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95878ds8.htm"/>
      <w:bookmarkStart w:id="1" w:name="ksd795878ds8"/>
      <w:bookmarkEnd w:id="0"/>
      <w:bookmarkEnd w:id="1"/>
      <w:r>
        <w:rPr>
          <w:rFonts w:ascii="Times New Roman" w:hAnsi="Times New Roman"/>
          <w:b/>
          <w:sz w:val="20"/>
        </w:rPr>
        <w:t xml:space="preserve">As filed with the Securities and Exchange Commission on February 29, 2024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VERACYTE,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20-5455398</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6000 Shoreline Court, Suite 300</w:t>
            </w:r>
          </w:p>
          <w:p>
            <w:pPr>
              <w:pStyle w:val="TableContents"/>
              <w:bidi w:val="0"/>
              <w:spacing w:before="0" w:after="20"/>
              <w:jc w:val="center"/>
              <w:rPr>
                <w:rFonts w:ascii="Times New Roman" w:hAnsi="Times New Roman"/>
                <w:b/>
                <w:sz w:val="20"/>
              </w:rPr>
            </w:pPr>
            <w:r>
              <w:rPr>
                <w:rFonts w:ascii="Times New Roman" w:hAnsi="Times New Roman"/>
                <w:b/>
                <w:sz w:val="20"/>
              </w:rPr>
              <w:t>South San Francisco,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94080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Options to purchase stock granted under the C2i Genomics, Inc. 2019 Stock Incentive Plan, and assumed by the Registrant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120" w:after="0"/>
        <w:jc w:val="center"/>
        <w:rPr>
          <w:rFonts w:ascii="Times New Roman" w:hAnsi="Times New Roman"/>
          <w:b/>
          <w:sz w:val="20"/>
        </w:rPr>
      </w:pPr>
      <w:r>
        <w:rPr>
          <w:rFonts w:ascii="Times New Roman" w:hAnsi="Times New Roman"/>
          <w:b/>
          <w:sz w:val="20"/>
        </w:rPr>
        <w:t xml:space="preserve">Marc Stapley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6000 Shoreline Court,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w:t>
      </w:r>
    </w:p>
    <w:p>
      <w:pPr>
        <w:pStyle w:val="TextBody"/>
        <w:bidi w:val="0"/>
        <w:spacing w:before="0" w:after="0"/>
        <w:jc w:val="center"/>
        <w:rPr>
          <w:rFonts w:ascii="Times New Roman" w:hAnsi="Times New Roman"/>
          <w:b/>
          <w:sz w:val="20"/>
        </w:rPr>
      </w:pPr>
      <w:r>
        <w:rPr>
          <w:rFonts w:ascii="Times New Roman" w:hAnsi="Times New Roman"/>
          <w:b/>
          <w:sz w:val="20"/>
        </w:rPr>
        <w:t xml:space="preserve">(Name and address of agent for service) </w:t>
      </w:r>
    </w:p>
    <w:p>
      <w:pPr>
        <w:pStyle w:val="TextBody"/>
        <w:bidi w:val="0"/>
        <w:spacing w:before="0" w:after="0"/>
        <w:jc w:val="center"/>
        <w:rPr>
          <w:rFonts w:ascii="Times New Roman" w:hAnsi="Times New Roman"/>
          <w:b/>
          <w:sz w:val="20"/>
        </w:rPr>
      </w:pPr>
      <w:r>
        <w:rPr>
          <w:rFonts w:ascii="Times New Roman" w:hAnsi="Times New Roman"/>
          <w:b/>
          <w:sz w:val="20"/>
        </w:rPr>
        <w:t xml:space="preserve">(650) 243-6300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5"/>
        <w:gridCol w:w="120"/>
        <w:gridCol w:w="4850"/>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0"/>
              <w:jc w:val="center"/>
              <w:rPr>
                <w:rFonts w:ascii="Times New Roman" w:hAnsi="Times New Roman"/>
                <w:b/>
                <w:sz w:val="20"/>
              </w:rPr>
            </w:pPr>
            <w:r>
              <w:rPr>
                <w:rFonts w:ascii="Times New Roman" w:hAnsi="Times New Roman"/>
                <w:b/>
                <w:sz w:val="20"/>
              </w:rPr>
              <w:t>Ran Ben-Tzur, Esq.</w:t>
            </w:r>
          </w:p>
          <w:p>
            <w:pPr>
              <w:pStyle w:val="TableContents"/>
              <w:bidi w:val="0"/>
              <w:spacing w:before="0" w:after="0"/>
              <w:jc w:val="center"/>
              <w:rPr>
                <w:rFonts w:ascii="Times New Roman" w:hAnsi="Times New Roman"/>
                <w:b/>
                <w:sz w:val="20"/>
              </w:rPr>
            </w:pPr>
            <w:r>
              <w:rPr>
                <w:rFonts w:ascii="Times New Roman" w:hAnsi="Times New Roman"/>
                <w:b/>
                <w:sz w:val="20"/>
              </w:rPr>
              <w:t>Chelsea Anderson, Esq.</w:t>
            </w:r>
          </w:p>
          <w:p>
            <w:pPr>
              <w:pStyle w:val="TableContents"/>
              <w:bidi w:val="0"/>
              <w:spacing w:before="0" w:after="0"/>
              <w:jc w:val="center"/>
              <w:rPr>
                <w:rFonts w:ascii="Times New Roman" w:hAnsi="Times New Roman"/>
                <w:b/>
                <w:sz w:val="20"/>
              </w:rPr>
            </w:pPr>
            <w:r>
              <w:rPr>
                <w:rFonts w:ascii="Times New Roman" w:hAnsi="Times New Roman"/>
                <w:b/>
                <w:sz w:val="20"/>
              </w:rPr>
              <w:t>Fenwick &amp; West LLP</w:t>
            </w:r>
          </w:p>
          <w:p>
            <w:pPr>
              <w:pStyle w:val="TableContents"/>
              <w:bidi w:val="0"/>
              <w:spacing w:before="0" w:after="0"/>
              <w:jc w:val="center"/>
              <w:rPr>
                <w:rFonts w:ascii="Times New Roman" w:hAnsi="Times New Roman"/>
                <w:b/>
                <w:sz w:val="20"/>
              </w:rPr>
            </w:pPr>
            <w:r>
              <w:rPr>
                <w:rFonts w:ascii="Times New Roman" w:hAnsi="Times New Roman"/>
                <w:b/>
                <w:sz w:val="20"/>
              </w:rPr>
              <w:t>730 Arizona Avenue, 1st Floor</w:t>
            </w:r>
          </w:p>
          <w:p>
            <w:pPr>
              <w:pStyle w:val="TableContents"/>
              <w:bidi w:val="0"/>
              <w:spacing w:before="0" w:after="20"/>
              <w:jc w:val="center"/>
              <w:rPr>
                <w:rFonts w:ascii="Times New Roman" w:hAnsi="Times New Roman"/>
                <w:b/>
                <w:sz w:val="20"/>
              </w:rPr>
            </w:pPr>
            <w:r>
              <w:rPr>
                <w:rFonts w:ascii="Times New Roman" w:hAnsi="Times New Roman"/>
                <w:b/>
                <w:sz w:val="20"/>
              </w:rPr>
              <w:t>Santa Monica, California 90401</w:t>
            </w:r>
          </w:p>
        </w:tc>
        <w:tc>
          <w:tcPr>
            <w:tcW w:w="120"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center"/>
              <w:rPr>
                <w:rFonts w:ascii="Times New Roman" w:hAnsi="Times New Roman"/>
                <w:b/>
                <w:sz w:val="20"/>
              </w:rPr>
            </w:pPr>
            <w:r>
              <w:rPr>
                <w:rFonts w:ascii="Times New Roman" w:hAnsi="Times New Roman"/>
                <w:b/>
                <w:sz w:val="20"/>
              </w:rPr>
              <w:t>Annie McGuire Esq.</w:t>
            </w:r>
          </w:p>
          <w:p>
            <w:pPr>
              <w:pStyle w:val="TableContents"/>
              <w:bidi w:val="0"/>
              <w:spacing w:before="0" w:after="0"/>
              <w:jc w:val="center"/>
              <w:rPr>
                <w:rFonts w:ascii="Times New Roman" w:hAnsi="Times New Roman"/>
                <w:b/>
                <w:sz w:val="20"/>
              </w:rPr>
            </w:pPr>
            <w:r>
              <w:rPr>
                <w:rFonts w:ascii="Times New Roman" w:hAnsi="Times New Roman"/>
                <w:b/>
                <w:sz w:val="20"/>
              </w:rPr>
              <w:t>Executive Vice President and</w:t>
            </w:r>
          </w:p>
          <w:p>
            <w:pPr>
              <w:pStyle w:val="TableContents"/>
              <w:bidi w:val="0"/>
              <w:spacing w:before="0" w:after="0"/>
              <w:jc w:val="center"/>
              <w:rPr>
                <w:rFonts w:ascii="Times New Roman" w:hAnsi="Times New Roman"/>
                <w:b/>
                <w:sz w:val="20"/>
              </w:rPr>
            </w:pPr>
            <w:r>
              <w:rPr>
                <w:rFonts w:ascii="Times New Roman" w:hAnsi="Times New Roman"/>
                <w:b/>
                <w:sz w:val="20"/>
              </w:rPr>
              <w:t>General Counsel</w:t>
            </w:r>
          </w:p>
          <w:p>
            <w:pPr>
              <w:pStyle w:val="TableContents"/>
              <w:bidi w:val="0"/>
              <w:spacing w:before="0" w:after="0"/>
              <w:jc w:val="center"/>
              <w:rPr>
                <w:rFonts w:ascii="Times New Roman" w:hAnsi="Times New Roman"/>
                <w:b/>
                <w:sz w:val="20"/>
              </w:rPr>
            </w:pPr>
            <w:r>
              <w:rPr>
                <w:rFonts w:ascii="Times New Roman" w:hAnsi="Times New Roman"/>
                <w:b/>
                <w:sz w:val="20"/>
              </w:rPr>
              <w:t>Veracyte, Inc.</w:t>
            </w:r>
          </w:p>
          <w:p>
            <w:pPr>
              <w:pStyle w:val="TableContents"/>
              <w:bidi w:val="0"/>
              <w:spacing w:before="0" w:after="0"/>
              <w:jc w:val="center"/>
              <w:rPr>
                <w:rFonts w:ascii="Times New Roman" w:hAnsi="Times New Roman"/>
                <w:b/>
                <w:sz w:val="20"/>
              </w:rPr>
            </w:pPr>
            <w:r>
              <w:rPr>
                <w:rFonts w:ascii="Times New Roman" w:hAnsi="Times New Roman"/>
                <w:b/>
                <w:sz w:val="20"/>
              </w:rPr>
              <w:t>6000 Shoreline Court, Suite 300</w:t>
            </w:r>
          </w:p>
          <w:p>
            <w:pPr>
              <w:pStyle w:val="TableContents"/>
              <w:bidi w:val="0"/>
              <w:spacing w:before="0" w:after="0"/>
              <w:jc w:val="center"/>
              <w:rPr>
                <w:rFonts w:ascii="Times New Roman" w:hAnsi="Times New Roman"/>
                <w:b/>
                <w:sz w:val="20"/>
              </w:rPr>
            </w:pPr>
            <w:r>
              <w:rPr>
                <w:rFonts w:ascii="Times New Roman" w:hAnsi="Times New Roman"/>
                <w:b/>
                <w:sz w:val="20"/>
              </w:rPr>
              <w:t>South San Francisco, California 94080</w:t>
            </w:r>
          </w:p>
          <w:p>
            <w:pPr>
              <w:pStyle w:val="TableContents"/>
              <w:bidi w:val="0"/>
              <w:spacing w:before="0" w:after="20"/>
              <w:jc w:val="center"/>
              <w:rPr>
                <w:rFonts w:ascii="Times New Roman" w:hAnsi="Times New Roman"/>
                <w:b/>
                <w:sz w:val="20"/>
              </w:rPr>
            </w:pPr>
            <w:r>
              <w:rPr>
                <w:rFonts w:ascii="Times New Roman" w:hAnsi="Times New Roman"/>
                <w:b/>
                <w:sz w:val="20"/>
              </w:rPr>
              <w:t>(650) 243-6300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Part I of Form S-8 is omitted from this Registration Statement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 covered by this Registration Statement as specified by Rule 428(b)(1) under the Securities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Veracyte, Inc. (the Registrant) with the U.S. Securities and Exchange Commission (the Commission) are hereby incorporated by reference in this Registration Statement: </w:t>
      </w:r>
    </w:p>
    <w:p>
      <w:pPr>
        <w:pStyle w:val="TextBody"/>
        <w:bidi w:val="0"/>
        <w:spacing w:before="240" w:after="0"/>
        <w:jc w:val="left"/>
        <w:rPr/>
      </w:pPr>
      <w:r>
        <w:rPr>
          <w:rFonts w:ascii="Times New Roman" w:hAnsi="Times New Roman"/>
          <w:sz w:val="20"/>
        </w:rPr>
        <w:t xml:space="preserve">(a) The Registrants Annual Report on Form 10-K for the year ended </w:t>
      </w:r>
      <w:hyperlink r:id="rId2">
        <w:r>
          <w:rPr>
            <w:rStyle w:val="InternetLink"/>
            <w:rFonts w:ascii="Times New Roman" w:hAnsi="Times New Roman"/>
            <w:sz w:val="20"/>
          </w:rPr>
          <w:t>December 31, 2023</w:t>
        </w:r>
      </w:hyperlink>
      <w:r>
        <w:rPr>
          <w:rFonts w:ascii="Times New Roman" w:hAnsi="Times New Roman"/>
          <w:sz w:val="20"/>
        </w:rPr>
        <w:t xml:space="preserve">, filed with the Commission on February 29, 2024; </w:t>
      </w:r>
    </w:p>
    <w:p>
      <w:pPr>
        <w:pStyle w:val="TextBody"/>
        <w:bidi w:val="0"/>
        <w:spacing w:before="240" w:after="0"/>
        <w:jc w:val="left"/>
        <w:rPr/>
      </w:pPr>
      <w:r>
        <w:rPr>
          <w:rFonts w:ascii="Times New Roman" w:hAnsi="Times New Roman"/>
          <w:sz w:val="20"/>
        </w:rPr>
        <w:t xml:space="preserve">(b) The Registrants Current Reports on Form 8-K filed with the Commission on </w:t>
      </w:r>
      <w:hyperlink r:id="rId3">
        <w:r>
          <w:rPr>
            <w:rStyle w:val="InternetLink"/>
            <w:rFonts w:ascii="Times New Roman" w:hAnsi="Times New Roman"/>
            <w:sz w:val="20"/>
          </w:rPr>
          <w:t>February  6, 2024</w:t>
        </w:r>
      </w:hyperlink>
      <w:r>
        <w:rPr>
          <w:rFonts w:ascii="Times New Roman" w:hAnsi="Times New Roman"/>
          <w:sz w:val="20"/>
        </w:rPr>
        <w:t xml:space="preserve">, and </w:t>
      </w:r>
      <w:hyperlink r:id="rId4">
        <w:r>
          <w:rPr>
            <w:rStyle w:val="InternetLink"/>
            <w:rFonts w:ascii="Times New Roman" w:hAnsi="Times New Roman"/>
            <w:sz w:val="20"/>
          </w:rPr>
          <w:t>February 13, 2024</w:t>
        </w:r>
      </w:hyperlink>
      <w:r>
        <w:rPr>
          <w:rFonts w:ascii="Times New Roman" w:hAnsi="Times New Roman"/>
          <w:sz w:val="20"/>
        </w:rPr>
        <w:t xml:space="preserve">, (except that any portions thereof which are furnished and not filed shall not be deemed incorporated); </w:t>
      </w:r>
    </w:p>
    <w:p>
      <w:pPr>
        <w:pStyle w:val="TextBody"/>
        <w:bidi w:val="0"/>
        <w:spacing w:before="240" w:after="0"/>
        <w:jc w:val="left"/>
        <w:rPr>
          <w:rFonts w:ascii="Times New Roman" w:hAnsi="Times New Roman"/>
          <w:sz w:val="20"/>
        </w:rPr>
      </w:pPr>
      <w:r>
        <w:rPr>
          <w:rFonts w:ascii="Times New Roman" w:hAnsi="Times New Roman"/>
          <w:sz w:val="20"/>
        </w:rPr>
        <w:t xml:space="preserve">(c) 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 and </w:t>
      </w:r>
    </w:p>
    <w:p>
      <w:pPr>
        <w:pStyle w:val="TextBody"/>
        <w:bidi w:val="0"/>
        <w:spacing w:before="240" w:after="0"/>
        <w:jc w:val="left"/>
        <w:rPr/>
      </w:pPr>
      <w:r>
        <w:rPr>
          <w:rFonts w:ascii="Times New Roman" w:hAnsi="Times New Roman"/>
          <w:sz w:val="20"/>
        </w:rPr>
        <w:t xml:space="preserve">(d) </w:t>
      </w:r>
      <w:hyperlink r:id="rId5">
        <w:r>
          <w:rPr>
            <w:rStyle w:val="InternetLink"/>
            <w:rFonts w:ascii="Times New Roman" w:hAnsi="Times New Roman"/>
            <w:sz w:val="20"/>
          </w:rPr>
          <w:t>The description of the Registrants Common Stock contained in Registrants registration statement on Form 8-A, filed on October 28, 2013 pursuant to Section 12(b) of the Exchange Act,</w:t>
        </w:r>
      </w:hyperlink>
      <w:r>
        <w:rPr>
          <w:rFonts w:ascii="Times New Roman" w:hAnsi="Times New Roman"/>
          <w:sz w:val="20"/>
        </w:rPr>
        <w:t xml:space="preserve"> including any amendment or report filed for the purpose of updating such description, including </w:t>
      </w:r>
      <w:hyperlink r:id="rId6">
        <w:r>
          <w:rPr>
            <w:rStyle w:val="InternetLink"/>
            <w:rFonts w:ascii="Times New Roman" w:hAnsi="Times New Roman"/>
            <w:sz w:val="20"/>
          </w:rPr>
          <w:t>Exhibit 4.2</w:t>
        </w:r>
      </w:hyperlink>
      <w:r>
        <w:rPr>
          <w:rFonts w:ascii="Times New Roman" w:hAnsi="Times New Roman"/>
          <w:sz w:val="20"/>
        </w:rPr>
        <w:t xml:space="preserve"> to the Registrants Annual Report on Form 10-K for the fiscal year ended </w:t>
      </w:r>
      <w:hyperlink r:id="rId7">
        <w:r>
          <w:rPr>
            <w:rStyle w:val="InternetLink"/>
            <w:rFonts w:ascii="Times New Roman" w:hAnsi="Times New Roman"/>
            <w:sz w:val="20"/>
          </w:rPr>
          <w:t>December 31, 2023</w:t>
        </w:r>
      </w:hyperlink>
      <w:r>
        <w:rPr>
          <w:rFonts w:ascii="Times New Roman" w:hAnsi="Times New Roman"/>
          <w:sz w:val="20"/>
        </w:rPr>
        <w:t xml:space="preserve">, filed with the Commission on February 29,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the Registrant or the Registrants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See also the undertakings set out in response to Item 9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herewith: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
        <w:gridCol w:w="301"/>
        <w:gridCol w:w="4183"/>
        <w:gridCol w:w="194"/>
        <w:gridCol w:w="592"/>
        <w:gridCol w:w="194"/>
        <w:gridCol w:w="862"/>
        <w:gridCol w:w="194"/>
        <w:gridCol w:w="776"/>
        <w:gridCol w:w="194"/>
        <w:gridCol w:w="763"/>
        <w:gridCol w:w="194"/>
        <w:gridCol w:w="982"/>
      </w:tblGrid>
      <w:tr>
        <w:trPr/>
        <w:tc>
          <w:tcPr>
            <w:tcW w:w="776"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4183"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7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418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575" w:type="dxa"/>
            <w:gridSpan w:val="7"/>
            <w:tcBorders/>
            <w:vAlign w:val="bottom"/>
          </w:tcPr>
          <w:p>
            <w:pPr>
              <w:pStyle w:val="TableContents"/>
              <w:bidi w:val="0"/>
              <w:spacing w:before="0" w:after="283"/>
              <w:jc w:val="center"/>
              <w:rPr>
                <w:b/>
              </w:rPr>
            </w:pPr>
            <w:r>
              <w:rPr>
                <w:b/>
              </w:rPr>
              <w:t>Incorporated by Reference</w:t>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pPr>
            <w:r>
              <w:rPr/>
              <w:t> </w:t>
            </w:r>
          </w:p>
        </w:tc>
      </w:tr>
      <w:tr>
        <w:trPr/>
        <w:tc>
          <w:tcPr>
            <w:tcW w:w="776"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301" w:type="dxa"/>
            <w:tcBorders/>
            <w:vAlign w:val="bottom"/>
          </w:tcPr>
          <w:p>
            <w:pPr>
              <w:pStyle w:val="TableContents"/>
              <w:bidi w:val="0"/>
              <w:spacing w:before="0" w:after="283"/>
              <w:jc w:val="left"/>
              <w:rPr/>
            </w:pPr>
            <w:r>
              <w:rPr/>
              <w:t>  </w:t>
            </w:r>
          </w:p>
        </w:tc>
        <w:tc>
          <w:tcPr>
            <w:tcW w:w="41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94" w:type="dxa"/>
            <w:tcBorders/>
            <w:vAlign w:val="bottom"/>
          </w:tcPr>
          <w:p>
            <w:pPr>
              <w:pStyle w:val="TableContents"/>
              <w:bidi w:val="0"/>
              <w:spacing w:before="0" w:after="283"/>
              <w:jc w:val="left"/>
              <w:rPr/>
            </w:pPr>
            <w:r>
              <w:rPr/>
              <w:t>  </w:t>
            </w:r>
          </w:p>
        </w:tc>
        <w:tc>
          <w:tcPr>
            <w:tcW w:w="592"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4" w:type="dxa"/>
            <w:tcBorders/>
            <w:vAlign w:val="bottom"/>
          </w:tcPr>
          <w:p>
            <w:pPr>
              <w:pStyle w:val="TableContents"/>
              <w:bidi w:val="0"/>
              <w:spacing w:before="0" w:after="283"/>
              <w:jc w:val="left"/>
              <w:rPr/>
            </w:pPr>
            <w:r>
              <w:rPr/>
              <w:t>  </w:t>
            </w:r>
          </w:p>
        </w:tc>
        <w:tc>
          <w:tcPr>
            <w:tcW w:w="862"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94" w:type="dxa"/>
            <w:tcBorders/>
            <w:vAlign w:val="bottom"/>
          </w:tcPr>
          <w:p>
            <w:pPr>
              <w:pStyle w:val="TableContents"/>
              <w:bidi w:val="0"/>
              <w:spacing w:before="0" w:after="283"/>
              <w:jc w:val="left"/>
              <w:rPr/>
            </w:pPr>
            <w:r>
              <w:rPr/>
              <w:t>  </w:t>
            </w:r>
          </w:p>
        </w:tc>
        <w:tc>
          <w:tcPr>
            <w:tcW w:w="776"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4" w:type="dxa"/>
            <w:tcBorders/>
            <w:vAlign w:val="bottom"/>
          </w:tcPr>
          <w:p>
            <w:pPr>
              <w:pStyle w:val="TableContents"/>
              <w:bidi w:val="0"/>
              <w:spacing w:before="0" w:after="283"/>
              <w:jc w:val="left"/>
              <w:rPr/>
            </w:pPr>
            <w:r>
              <w:rPr/>
              <w:t>  </w:t>
            </w:r>
          </w:p>
        </w:tc>
        <w:tc>
          <w:tcPr>
            <w:tcW w:w="763"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4" w:type="dxa"/>
            <w:tcBorders/>
            <w:vAlign w:val="bottom"/>
          </w:tcPr>
          <w:p>
            <w:pPr>
              <w:pStyle w:val="TableContents"/>
              <w:bidi w:val="0"/>
              <w:spacing w:before="0" w:after="283"/>
              <w:jc w:val="left"/>
              <w:rPr/>
            </w:pPr>
            <w:r>
              <w:rPr/>
              <w:t>  </w:t>
            </w:r>
          </w:p>
        </w:tc>
        <w:tc>
          <w:tcPr>
            <w:tcW w:w="982" w:type="dxa"/>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4.1</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r:id="rId8">
              <w:r>
                <w:rPr>
                  <w:rStyle w:val="InternetLink"/>
                </w:rPr>
                <w:t>Restated Certificate of Incorporation of the Registrant</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8-K</w:t>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center"/>
              <w:rPr/>
            </w:pPr>
            <w:r>
              <w:rPr/>
              <w:t>001-36156</w:t>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3.2</w:t>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center"/>
              <w:rPr/>
            </w:pPr>
            <w:r>
              <w:rPr/>
              <w:t>6/9/2023</w:t>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4.2</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r:id="rId9">
              <w:r>
                <w:rPr>
                  <w:rStyle w:val="InternetLink"/>
                </w:rPr>
                <w:t>Amended and Restated Bylaws of the Registrant</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8-K</w:t>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center"/>
              <w:rPr/>
            </w:pPr>
            <w:r>
              <w:rPr/>
              <w:t>001-36156</w:t>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3.3</w:t>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center"/>
              <w:rPr/>
            </w:pPr>
            <w:r>
              <w:rPr/>
              <w:t>6/9/2023</w:t>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4.3</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r:id="rId10">
              <w:r>
                <w:rPr>
                  <w:rStyle w:val="InternetLink"/>
                </w:rPr>
                <w:t>Form of Common Stock Certificate</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S-1/A</w:t>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center"/>
              <w:rPr/>
            </w:pPr>
            <w:r>
              <w:rPr/>
              <w:t>333-191282</w:t>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4.1</w:t>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center"/>
              <w:rPr/>
            </w:pPr>
            <w:r>
              <w:rPr/>
              <w:t>10/15/2013</w:t>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5.1</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w:anchor="d795878dex51.htm">
              <w:r>
                <w:rPr>
                  <w:rStyle w:val="InternetLink"/>
                </w:rPr>
                <w:t xml:space="preserve">Opinion of Fenwick &amp; West LLP </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center"/>
              <w:rPr/>
            </w:pPr>
            <w:r>
              <w:rPr/>
              <w:t>X</w:t>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23.1</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w:anchor="d795878dex231.htm">
              <w:r>
                <w:rPr>
                  <w:rStyle w:val="InternetLink"/>
                </w:rPr>
                <w:t xml:space="preserve">Consent of Independent Registered Public Accounting Firm </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center"/>
              <w:rPr/>
            </w:pPr>
            <w:r>
              <w:rPr/>
              <w:t>X</w:t>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23.2</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w:anchor="d795878dex51.htm">
              <w:r>
                <w:rPr>
                  <w:rStyle w:val="InternetLink"/>
                </w:rPr>
                <w:t xml:space="preserve">Consent of Fenwick &amp; West LLP (included in Exhibit 5.1) </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center"/>
              <w:rPr/>
            </w:pPr>
            <w:r>
              <w:rPr/>
              <w:t>X</w:t>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24.1</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w:anchor="sig">
              <w:r>
                <w:rPr>
                  <w:rStyle w:val="InternetLink"/>
                </w:rPr>
                <w:t xml:space="preserve">Power of Attorney (contained on signature page hereto) </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center"/>
              <w:rPr/>
            </w:pPr>
            <w:r>
              <w:rPr/>
              <w:t>X</w:t>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99.1</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r:id="rId11">
              <w:r>
                <w:rPr>
                  <w:rStyle w:val="InternetLink"/>
                </w:rPr>
                <w:t>2019 Stock Incentive Plan of C2i Genomics, Inc.</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10-K</w:t>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center"/>
              <w:rPr/>
            </w:pPr>
            <w:r>
              <w:rPr/>
              <w:t>001-36156</w:t>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10.27</w:t>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center"/>
              <w:rPr/>
            </w:pPr>
            <w:r>
              <w:rPr/>
              <w:t>2/29/2024</w:t>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99.2</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r:id="rId12">
              <w:r>
                <w:rPr>
                  <w:rStyle w:val="InternetLink"/>
                </w:rPr>
                <w:t>Form of Notice of Option Grant of C2i Genomics, Inc.</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10-K</w:t>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center"/>
              <w:rPr/>
            </w:pPr>
            <w:r>
              <w:rPr/>
              <w:t>001-36156</w:t>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10.28</w:t>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center"/>
              <w:rPr/>
            </w:pPr>
            <w:r>
              <w:rPr/>
              <w:t>2/29/2024</w:t>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99.3</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r:id="rId13">
              <w:r>
                <w:rPr>
                  <w:rStyle w:val="InternetLink"/>
                </w:rPr>
                <w:t>Form of Stock Option Assumption Notice by the Registrant to Option holders of C2i Genomics, Inc.</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center"/>
              <w:rPr/>
            </w:pPr>
            <w:r>
              <w:rPr/>
              <w:t>10-K</w:t>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center"/>
              <w:rPr/>
            </w:pPr>
            <w:r>
              <w:rPr/>
              <w:t>001-36156</w:t>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center"/>
              <w:rPr/>
            </w:pPr>
            <w:r>
              <w:rPr/>
              <w:t>10.29</w:t>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center"/>
              <w:rPr/>
            </w:pPr>
            <w:r>
              <w:rPr/>
              <w:t>2/29/2024</w:t>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6"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c>
          <w:tcPr>
            <w:tcW w:w="9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776" w:type="dxa"/>
            <w:tcBorders/>
          </w:tcPr>
          <w:p>
            <w:pPr>
              <w:pStyle w:val="TableContents"/>
              <w:bidi w:val="0"/>
              <w:spacing w:before="0" w:after="283"/>
              <w:jc w:val="left"/>
              <w:rPr/>
            </w:pPr>
            <w:r>
              <w:rPr/>
              <w:t>107.1</w:t>
            </w:r>
          </w:p>
        </w:tc>
        <w:tc>
          <w:tcPr>
            <w:tcW w:w="301" w:type="dxa"/>
            <w:tcBorders/>
            <w:vAlign w:val="bottom"/>
          </w:tcPr>
          <w:p>
            <w:pPr>
              <w:pStyle w:val="TableContents"/>
              <w:bidi w:val="0"/>
              <w:spacing w:before="0" w:after="283"/>
              <w:jc w:val="left"/>
              <w:rPr/>
            </w:pPr>
            <w:r>
              <w:rPr/>
              <w:t>  </w:t>
            </w:r>
          </w:p>
        </w:tc>
        <w:tc>
          <w:tcPr>
            <w:tcW w:w="4183" w:type="dxa"/>
            <w:tcBorders/>
          </w:tcPr>
          <w:p>
            <w:pPr>
              <w:pStyle w:val="TableContents"/>
              <w:bidi w:val="0"/>
              <w:spacing w:before="0" w:after="283"/>
              <w:jc w:val="left"/>
              <w:rPr/>
            </w:pPr>
            <w:hyperlink w:anchor="d795878dexfilingfees.htm">
              <w:r>
                <w:rPr>
                  <w:rStyle w:val="InternetLink"/>
                </w:rPr>
                <w:t xml:space="preserve">Filing Fee Table </w:t>
              </w:r>
            </w:hyperlink>
          </w:p>
        </w:tc>
        <w:tc>
          <w:tcPr>
            <w:tcW w:w="194"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center"/>
              <w:rPr/>
            </w:pPr>
            <w:r>
              <w:rPr/>
              <w:t>X</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9.</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29th day of February,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VERACYTE,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STAPLEY</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Marc Stapley</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i/>
              </w:rPr>
            </w:pPr>
            <w:r>
              <w:rPr>
                <w:i/>
              </w:rPr>
              <w:t>Chief Executive Officer and Director</w:t>
            </w:r>
          </w:p>
        </w:tc>
      </w:tr>
    </w:tbl>
    <w:p>
      <w:pPr>
        <w:pStyle w:val="TextBody"/>
        <w:bidi w:val="0"/>
        <w:spacing w:before="480" w:after="0"/>
        <w:jc w:val="center"/>
        <w:rPr>
          <w:rFonts w:ascii="Times New Roman" w:hAnsi="Times New Roman"/>
          <w:sz w:val="20"/>
        </w:rPr>
      </w:pPr>
      <w:bookmarkStart w:id="2" w:name="sig"/>
      <w:bookmarkEnd w:id="2"/>
      <w:r>
        <w:rPr>
          <w:rFonts w:ascii="Times New Roman" w:hAnsi="Times New Roman"/>
          <w:b/>
          <w:sz w:val="20"/>
        </w:rPr>
        <w:t>POWER OF</w:t>
      </w:r>
      <w:r>
        <w:rPr>
          <w:rFonts w:ascii="Times New Roman" w:hAnsi="Times New Roman"/>
          <w:sz w:val="20"/>
        </w:rPr>
        <w:t> </w:t>
      </w:r>
      <w:r>
        <w:rPr>
          <w:rFonts w:ascii="Times New Roman" w:hAnsi="Times New Roman"/>
          <w:b/>
          <w:sz w:val="20"/>
        </w:rPr>
        <w:t xml:space="preserve">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3"/>
        <w:gridCol w:w="120"/>
        <w:gridCol w:w="3260"/>
        <w:gridCol w:w="120"/>
        <w:gridCol w:w="3182"/>
      </w:tblGrid>
      <w:tr>
        <w:trPr/>
        <w:tc>
          <w:tcPr>
            <w:tcW w:w="35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r>
      <w:tr>
        <w:trPr/>
        <w:tc>
          <w:tcPr>
            <w:tcW w:w="3523"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260" w:type="dxa"/>
            <w:tcBorders/>
            <w:vAlign w:val="bottom"/>
          </w:tcPr>
          <w:p>
            <w:pPr>
              <w:pStyle w:val="TableContents"/>
              <w:bidi w:val="0"/>
              <w:spacing w:before="0" w:after="283"/>
              <w:jc w:val="center"/>
              <w:rPr>
                <w:b/>
              </w:rPr>
            </w:pPr>
            <w:r>
              <w:rPr>
                <w:b/>
              </w:rPr>
              <w:t>Title</w:t>
            </w:r>
          </w:p>
        </w:tc>
        <w:tc>
          <w:tcPr>
            <w:tcW w:w="120" w:type="dxa"/>
            <w:tcBorders/>
            <w:vAlign w:val="bottom"/>
          </w:tcPr>
          <w:p>
            <w:pPr>
              <w:pStyle w:val="TableContents"/>
              <w:bidi w:val="0"/>
              <w:spacing w:before="0" w:after="283"/>
              <w:jc w:val="left"/>
              <w:rPr/>
            </w:pPr>
            <w:r>
              <w:rPr/>
              <w:t>  </w:t>
            </w:r>
          </w:p>
        </w:tc>
        <w:tc>
          <w:tcPr>
            <w:tcW w:w="3182" w:type="dxa"/>
            <w:tcBorders/>
            <w:vAlign w:val="bottom"/>
          </w:tcPr>
          <w:p>
            <w:pPr>
              <w:pStyle w:val="TableContents"/>
              <w:bidi w:val="0"/>
              <w:spacing w:before="0" w:after="283"/>
              <w:jc w:val="center"/>
              <w:rPr>
                <w:b/>
              </w:rPr>
            </w:pPr>
            <w:r>
              <w:rPr>
                <w:b/>
              </w:rPr>
              <w:t>Date</w:t>
            </w:r>
          </w:p>
        </w:tc>
      </w:tr>
      <w:tr>
        <w:trPr>
          <w:trHeight w:val="240" w:hRule="atLeast"/>
        </w:trPr>
        <w:tc>
          <w:tcPr>
            <w:tcW w:w="3523"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352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MARC STAPLEY</w:t>
            </w:r>
          </w:p>
          <w:p>
            <w:pPr>
              <w:pStyle w:val="TableContents"/>
              <w:bidi w:val="0"/>
              <w:spacing w:before="0" w:after="20"/>
              <w:jc w:val="center"/>
              <w:rPr>
                <w:rFonts w:ascii="Times New Roman" w:hAnsi="Times New Roman"/>
                <w:sz w:val="20"/>
              </w:rPr>
            </w:pPr>
            <w:r>
              <w:rPr>
                <w:rFonts w:ascii="Times New Roman" w:hAnsi="Times New Roman"/>
                <w:sz w:val="20"/>
              </w:rPr>
              <w:t>Marc Stapley</w:t>
            </w:r>
          </w:p>
        </w:tc>
        <w:tc>
          <w:tcPr>
            <w:tcW w:w="120"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283"/>
              <w:jc w:val="center"/>
              <w:rPr/>
            </w:pPr>
            <w:r>
              <w:rPr/>
              <w:t>February 29, 2024</w:t>
            </w:r>
          </w:p>
        </w:tc>
      </w:tr>
      <w:tr>
        <w:trPr>
          <w:trHeight w:val="240" w:hRule="atLeast"/>
        </w:trPr>
        <w:tc>
          <w:tcPr>
            <w:tcW w:w="3523"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352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REBECCA CHAMBERS</w:t>
            </w:r>
          </w:p>
          <w:p>
            <w:pPr>
              <w:pStyle w:val="TableContents"/>
              <w:bidi w:val="0"/>
              <w:spacing w:before="0" w:after="20"/>
              <w:jc w:val="center"/>
              <w:rPr>
                <w:rFonts w:ascii="Times New Roman" w:hAnsi="Times New Roman"/>
                <w:sz w:val="20"/>
              </w:rPr>
            </w:pPr>
            <w:r>
              <w:rPr>
                <w:rFonts w:ascii="Times New Roman" w:hAnsi="Times New Roman"/>
                <w:sz w:val="20"/>
              </w:rPr>
              <w:t>Rebecca Chambers</w:t>
            </w:r>
          </w:p>
        </w:tc>
        <w:tc>
          <w:tcPr>
            <w:tcW w:w="120"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283"/>
              <w:jc w:val="center"/>
              <w:rPr/>
            </w:pPr>
            <w:r>
              <w:rPr/>
              <w:t>February 29, 2024</w:t>
            </w:r>
          </w:p>
        </w:tc>
      </w:tr>
      <w:tr>
        <w:trPr>
          <w:trHeight w:val="240" w:hRule="atLeast"/>
        </w:trPr>
        <w:tc>
          <w:tcPr>
            <w:tcW w:w="3523"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352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WYGANT</w:t>
            </w:r>
          </w:p>
          <w:p>
            <w:pPr>
              <w:pStyle w:val="TableContents"/>
              <w:bidi w:val="0"/>
              <w:spacing w:before="0" w:after="20"/>
              <w:jc w:val="center"/>
              <w:rPr>
                <w:rFonts w:ascii="Times New Roman" w:hAnsi="Times New Roman"/>
                <w:sz w:val="20"/>
              </w:rPr>
            </w:pPr>
            <w:r>
              <w:rPr>
                <w:rFonts w:ascii="Times New Roman" w:hAnsi="Times New Roman"/>
                <w:sz w:val="20"/>
              </w:rPr>
              <w:t>Jonathan Wygant</w:t>
            </w:r>
          </w:p>
        </w:tc>
        <w:tc>
          <w:tcPr>
            <w:tcW w:w="120"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283"/>
              <w:jc w:val="center"/>
              <w:rPr/>
            </w:pPr>
            <w:r>
              <w:rPr/>
              <w:t>February 29, 2024</w:t>
            </w:r>
          </w:p>
        </w:tc>
      </w:tr>
      <w:tr>
        <w:trPr>
          <w:trHeight w:val="240" w:hRule="atLeast"/>
        </w:trPr>
        <w:tc>
          <w:tcPr>
            <w:tcW w:w="3523"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352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S. EPSTEIN</w:t>
            </w:r>
          </w:p>
          <w:p>
            <w:pPr>
              <w:pStyle w:val="TableContents"/>
              <w:bidi w:val="0"/>
              <w:spacing w:before="0" w:after="20"/>
              <w:jc w:val="center"/>
              <w:rPr>
                <w:rFonts w:ascii="Times New Roman" w:hAnsi="Times New Roman"/>
                <w:sz w:val="20"/>
              </w:rPr>
            </w:pPr>
            <w:r>
              <w:rPr>
                <w:rFonts w:ascii="Times New Roman" w:hAnsi="Times New Roman"/>
                <w:sz w:val="20"/>
              </w:rPr>
              <w:t>Robert S. Epstein</w:t>
            </w:r>
          </w:p>
        </w:tc>
        <w:tc>
          <w:tcPr>
            <w:tcW w:w="120"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center"/>
              <w:rPr/>
            </w:pPr>
            <w:r>
              <w:rPr/>
              <w:t>Chairperson and Director</w:t>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283"/>
              <w:jc w:val="center"/>
              <w:rPr/>
            </w:pPr>
            <w:r>
              <w:rPr/>
              <w:t>February 29, 2024</w:t>
            </w:r>
          </w:p>
        </w:tc>
      </w:tr>
      <w:tr>
        <w:trPr>
          <w:trHeight w:val="240" w:hRule="atLeast"/>
        </w:trPr>
        <w:tc>
          <w:tcPr>
            <w:tcW w:w="3523"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352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L. BISHOP</w:t>
            </w:r>
          </w:p>
          <w:p>
            <w:pPr>
              <w:pStyle w:val="TableContents"/>
              <w:bidi w:val="0"/>
              <w:spacing w:before="0" w:after="20"/>
              <w:jc w:val="center"/>
              <w:rPr>
                <w:rFonts w:ascii="Times New Roman" w:hAnsi="Times New Roman"/>
                <w:sz w:val="20"/>
              </w:rPr>
            </w:pPr>
            <w:r>
              <w:rPr>
                <w:rFonts w:ascii="Times New Roman" w:hAnsi="Times New Roman"/>
                <w:sz w:val="20"/>
              </w:rPr>
              <w:t>John L. Bishop</w:t>
            </w:r>
          </w:p>
        </w:tc>
        <w:tc>
          <w:tcPr>
            <w:tcW w:w="120"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283"/>
              <w:jc w:val="center"/>
              <w:rPr/>
            </w:pPr>
            <w:r>
              <w:rPr/>
              <w:t>February 29, 2024</w:t>
            </w:r>
          </w:p>
        </w:tc>
      </w:tr>
      <w:tr>
        <w:trPr>
          <w:trHeight w:val="240" w:hRule="atLeast"/>
        </w:trPr>
        <w:tc>
          <w:tcPr>
            <w:tcW w:w="3523"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352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ELIAV BARR, M.D.</w:t>
            </w:r>
          </w:p>
          <w:p>
            <w:pPr>
              <w:pStyle w:val="TableContents"/>
              <w:bidi w:val="0"/>
              <w:spacing w:before="0" w:after="20"/>
              <w:jc w:val="center"/>
              <w:rPr>
                <w:rFonts w:ascii="Times New Roman" w:hAnsi="Times New Roman"/>
                <w:sz w:val="20"/>
              </w:rPr>
            </w:pPr>
            <w:r>
              <w:rPr>
                <w:rFonts w:ascii="Times New Roman" w:hAnsi="Times New Roman"/>
                <w:sz w:val="20"/>
              </w:rPr>
              <w:t>Eliav Barr, M.D.</w:t>
            </w:r>
          </w:p>
        </w:tc>
        <w:tc>
          <w:tcPr>
            <w:tcW w:w="120"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283"/>
              <w:jc w:val="center"/>
              <w:rPr/>
            </w:pPr>
            <w:r>
              <w:rPr/>
              <w:t>February 29, 2024</w:t>
            </w:r>
          </w:p>
        </w:tc>
      </w:tr>
      <w:tr>
        <w:trPr>
          <w:trHeight w:val="240" w:hRule="atLeast"/>
        </w:trPr>
        <w:tc>
          <w:tcPr>
            <w:tcW w:w="3523"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352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MUNA BHANJI</w:t>
            </w:r>
          </w:p>
          <w:p>
            <w:pPr>
              <w:pStyle w:val="TableContents"/>
              <w:bidi w:val="0"/>
              <w:spacing w:before="0" w:after="20"/>
              <w:jc w:val="center"/>
              <w:rPr>
                <w:rFonts w:ascii="Times New Roman" w:hAnsi="Times New Roman"/>
                <w:sz w:val="20"/>
              </w:rPr>
            </w:pPr>
            <w:r>
              <w:rPr>
                <w:rFonts w:ascii="Times New Roman" w:hAnsi="Times New Roman"/>
                <w:sz w:val="20"/>
              </w:rPr>
              <w:t>Muna Bhanji</w:t>
            </w:r>
          </w:p>
        </w:tc>
        <w:tc>
          <w:tcPr>
            <w:tcW w:w="120"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182" w:type="dxa"/>
            <w:tcBorders/>
          </w:tcPr>
          <w:p>
            <w:pPr>
              <w:pStyle w:val="TableContents"/>
              <w:bidi w:val="0"/>
              <w:spacing w:before="0" w:after="283"/>
              <w:jc w:val="center"/>
              <w:rPr/>
            </w:pPr>
            <w:r>
              <w:rPr/>
              <w:t>February 29, 2024</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40"/>
        <w:gridCol w:w="120"/>
        <w:gridCol w:w="3210"/>
        <w:gridCol w:w="120"/>
        <w:gridCol w:w="3215"/>
      </w:tblGrid>
      <w:tr>
        <w:trPr/>
        <w:tc>
          <w:tcPr>
            <w:tcW w:w="35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3540"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210" w:type="dxa"/>
            <w:tcBorders/>
            <w:vAlign w:val="bottom"/>
          </w:tcPr>
          <w:p>
            <w:pPr>
              <w:pStyle w:val="TableContents"/>
              <w:bidi w:val="0"/>
              <w:spacing w:before="0" w:after="283"/>
              <w:jc w:val="center"/>
              <w:rPr>
                <w:b/>
              </w:rPr>
            </w:pPr>
            <w:r>
              <w:rPr>
                <w:b/>
              </w:rPr>
              <w:t>Title</w:t>
            </w:r>
          </w:p>
        </w:tc>
        <w:tc>
          <w:tcPr>
            <w:tcW w:w="120" w:type="dxa"/>
            <w:tcBorders/>
            <w:vAlign w:val="bottom"/>
          </w:tcPr>
          <w:p>
            <w:pPr>
              <w:pStyle w:val="TableContents"/>
              <w:bidi w:val="0"/>
              <w:spacing w:before="0" w:after="283"/>
              <w:jc w:val="left"/>
              <w:rPr/>
            </w:pPr>
            <w:r>
              <w:rPr/>
              <w:t>  </w:t>
            </w:r>
          </w:p>
        </w:tc>
        <w:tc>
          <w:tcPr>
            <w:tcW w:w="3215" w:type="dxa"/>
            <w:tcBorders/>
            <w:vAlign w:val="bottom"/>
          </w:tcPr>
          <w:p>
            <w:pPr>
              <w:pStyle w:val="TableContents"/>
              <w:bidi w:val="0"/>
              <w:spacing w:before="0" w:after="283"/>
              <w:jc w:val="center"/>
              <w:rPr>
                <w:b/>
              </w:rPr>
            </w:pPr>
            <w:r>
              <w:rPr>
                <w:b/>
              </w:rPr>
              <w:t>Date</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c>
          <w:tcPr>
            <w:tcW w:w="3335"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KARIN EASTHAM</w:t>
            </w:r>
          </w:p>
          <w:p>
            <w:pPr>
              <w:pStyle w:val="TableContents"/>
              <w:bidi w:val="0"/>
              <w:spacing w:before="0" w:after="20"/>
              <w:jc w:val="center"/>
              <w:rPr>
                <w:rFonts w:ascii="Times New Roman" w:hAnsi="Times New Roman"/>
                <w:sz w:val="20"/>
              </w:rPr>
            </w:pPr>
            <w:r>
              <w:rPr>
                <w:rFonts w:ascii="Times New Roman" w:hAnsi="Times New Roman"/>
                <w:sz w:val="20"/>
              </w:rPr>
              <w:t>Karin Eastham</w:t>
            </w:r>
          </w:p>
        </w:tc>
        <w:tc>
          <w:tcPr>
            <w:tcW w:w="120" w:type="dxa"/>
            <w:tcBorders/>
            <w:vAlign w:val="bottom"/>
          </w:tcPr>
          <w:p>
            <w:pPr>
              <w:pStyle w:val="TableContents"/>
              <w:bidi w:val="0"/>
              <w:spacing w:before="0" w:after="283"/>
              <w:jc w:val="left"/>
              <w:rPr/>
            </w:pPr>
            <w:r>
              <w:rPr/>
              <w:t>  </w:t>
            </w:r>
          </w:p>
        </w:tc>
        <w:tc>
          <w:tcPr>
            <w:tcW w:w="3210"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15" w:type="dxa"/>
            <w:tcBorders/>
          </w:tcPr>
          <w:p>
            <w:pPr>
              <w:pStyle w:val="TableContents"/>
              <w:bidi w:val="0"/>
              <w:spacing w:before="0" w:after="283"/>
              <w:jc w:val="center"/>
              <w:rPr/>
            </w:pPr>
            <w:r>
              <w:rPr/>
              <w:t>February 29, 2024</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c>
          <w:tcPr>
            <w:tcW w:w="3335"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JENS HOLSTEIN</w:t>
            </w:r>
          </w:p>
          <w:p>
            <w:pPr>
              <w:pStyle w:val="TableContents"/>
              <w:bidi w:val="0"/>
              <w:spacing w:before="0" w:after="20"/>
              <w:jc w:val="center"/>
              <w:rPr>
                <w:rFonts w:ascii="Times New Roman" w:hAnsi="Times New Roman"/>
                <w:sz w:val="20"/>
              </w:rPr>
            </w:pPr>
            <w:r>
              <w:rPr>
                <w:rFonts w:ascii="Times New Roman" w:hAnsi="Times New Roman"/>
                <w:sz w:val="20"/>
              </w:rPr>
              <w:t>Jens Holstein</w:t>
            </w:r>
          </w:p>
        </w:tc>
        <w:tc>
          <w:tcPr>
            <w:tcW w:w="120" w:type="dxa"/>
            <w:tcBorders/>
            <w:vAlign w:val="bottom"/>
          </w:tcPr>
          <w:p>
            <w:pPr>
              <w:pStyle w:val="TableContents"/>
              <w:bidi w:val="0"/>
              <w:spacing w:before="0" w:after="283"/>
              <w:jc w:val="left"/>
              <w:rPr/>
            </w:pPr>
            <w:r>
              <w:rPr/>
              <w:t>  </w:t>
            </w:r>
          </w:p>
        </w:tc>
        <w:tc>
          <w:tcPr>
            <w:tcW w:w="3210"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15" w:type="dxa"/>
            <w:tcBorders/>
          </w:tcPr>
          <w:p>
            <w:pPr>
              <w:pStyle w:val="TableContents"/>
              <w:bidi w:val="0"/>
              <w:spacing w:before="0" w:after="283"/>
              <w:jc w:val="center"/>
              <w:rPr/>
            </w:pPr>
            <w:r>
              <w:rPr/>
              <w:t>February 29, 2024</w:t>
            </w:r>
          </w:p>
        </w:tc>
      </w:tr>
      <w:tr>
        <w:trPr>
          <w:trHeight w:val="240" w:hRule="atLeast"/>
        </w:trPr>
        <w:tc>
          <w:tcPr>
            <w:tcW w:w="3540" w:type="dxa"/>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c>
          <w:tcPr>
            <w:tcW w:w="3335" w:type="dxa"/>
            <w:gridSpan w:val="2"/>
            <w:tcBorders/>
            <w:vAlign w:val="center"/>
          </w:tcPr>
          <w:p>
            <w:pPr>
              <w:pStyle w:val="TableContents"/>
              <w:bidi w:val="0"/>
              <w:spacing w:before="0" w:after="283"/>
              <w:jc w:val="left"/>
              <w:rPr>
                <w:sz w:val="4"/>
                <w:szCs w:val="4"/>
              </w:rPr>
            </w:pPr>
            <w:r>
              <w:rPr>
                <w:sz w:val="4"/>
                <w:szCs w:val="4"/>
              </w:rPr>
            </w:r>
          </w:p>
        </w:tc>
      </w:tr>
      <w:tr>
        <w:trPr/>
        <w:tc>
          <w:tcPr>
            <w:tcW w:w="354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EVAN JONES</w:t>
            </w:r>
          </w:p>
          <w:p>
            <w:pPr>
              <w:pStyle w:val="TableContents"/>
              <w:bidi w:val="0"/>
              <w:spacing w:before="0" w:after="20"/>
              <w:jc w:val="center"/>
              <w:rPr>
                <w:rFonts w:ascii="Times New Roman" w:hAnsi="Times New Roman"/>
                <w:sz w:val="20"/>
              </w:rPr>
            </w:pPr>
            <w:r>
              <w:rPr>
                <w:rFonts w:ascii="Times New Roman" w:hAnsi="Times New Roman"/>
                <w:sz w:val="20"/>
              </w:rPr>
              <w:t>Evan Jones</w:t>
            </w:r>
          </w:p>
        </w:tc>
        <w:tc>
          <w:tcPr>
            <w:tcW w:w="120" w:type="dxa"/>
            <w:tcBorders/>
            <w:vAlign w:val="bottom"/>
          </w:tcPr>
          <w:p>
            <w:pPr>
              <w:pStyle w:val="TableContents"/>
              <w:bidi w:val="0"/>
              <w:spacing w:before="0" w:after="283"/>
              <w:jc w:val="left"/>
              <w:rPr/>
            </w:pPr>
            <w:r>
              <w:rPr/>
              <w:t>  </w:t>
            </w:r>
          </w:p>
        </w:tc>
        <w:tc>
          <w:tcPr>
            <w:tcW w:w="3210"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3215" w:type="dxa"/>
            <w:tcBorders/>
          </w:tcPr>
          <w:p>
            <w:pPr>
              <w:pStyle w:val="TableContents"/>
              <w:bidi w:val="0"/>
              <w:spacing w:before="0" w:after="283"/>
              <w:jc w:val="center"/>
              <w:rPr/>
            </w:pPr>
            <w:r>
              <w:rPr/>
              <w:t>February 29, 2024</w:t>
            </w:r>
          </w:p>
        </w:tc>
      </w:tr>
    </w:tbl>
    <w:p>
      <w:pPr>
        <w:pStyle w:val="TextBody"/>
        <w:bidi w:val="0"/>
        <w:spacing w:before="0" w:after="0"/>
        <w:jc w:val="right"/>
        <w:rPr>
          <w:rFonts w:ascii="Times New Roman" w:hAnsi="Times New Roman"/>
          <w:b/>
          <w:sz w:val="20"/>
        </w:rPr>
      </w:pPr>
      <w:bookmarkStart w:id="3" w:name="d795878dex51.htm"/>
      <w:bookmarkStart w:id="4" w:name="ksd795878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38"/>
        <w:gridCol w:w="120"/>
        <w:gridCol w:w="5147"/>
      </w:tblGrid>
      <w:tr>
        <w:trPr/>
        <w:tc>
          <w:tcPr>
            <w:tcW w:w="49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47" w:type="dxa"/>
            <w:tcBorders/>
            <w:vAlign w:val="center"/>
          </w:tcPr>
          <w:p>
            <w:pPr>
              <w:pStyle w:val="TableContents"/>
              <w:bidi w:val="0"/>
              <w:spacing w:before="0" w:after="283"/>
              <w:jc w:val="left"/>
              <w:rPr>
                <w:sz w:val="4"/>
                <w:szCs w:val="4"/>
              </w:rPr>
            </w:pPr>
            <w:r>
              <w:rPr>
                <w:sz w:val="4"/>
                <w:szCs w:val="4"/>
              </w:rPr>
            </w:r>
          </w:p>
        </w:tc>
      </w:tr>
      <w:tr>
        <w:trPr/>
        <w:tc>
          <w:tcPr>
            <w:tcW w:w="4938" w:type="dxa"/>
            <w:tcBorders/>
          </w:tcPr>
          <w:p>
            <w:pPr>
              <w:pStyle w:val="TableContents"/>
              <w:bidi w:val="0"/>
              <w:spacing w:before="0" w:after="283"/>
              <w:jc w:val="left"/>
              <w:rPr/>
            </w:pPr>
            <w:r>
              <w:rPr/>
              <w:drawing>
                <wp:inline distT="0" distB="0" distL="0" distR="0">
                  <wp:extent cx="16859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1685925" cy="2571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147" w:type="dxa"/>
            <w:tcBorders/>
          </w:tcPr>
          <w:p>
            <w:pPr>
              <w:pStyle w:val="TableContents"/>
              <w:bidi w:val="0"/>
              <w:spacing w:before="0" w:after="283"/>
              <w:jc w:val="right"/>
              <w:rPr/>
            </w:pPr>
            <w:r>
              <w:rPr/>
              <w:drawing>
                <wp:inline distT="0" distB="0" distL="0" distR="0">
                  <wp:extent cx="24765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476500" cy="39052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February 29, 2024 </w:t>
      </w:r>
    </w:p>
    <w:p>
      <w:pPr>
        <w:pStyle w:val="TextBody"/>
        <w:bidi w:val="0"/>
        <w:spacing w:before="240" w:after="0"/>
        <w:jc w:val="left"/>
        <w:rPr>
          <w:rFonts w:ascii="Times New Roman" w:hAnsi="Times New Roman"/>
          <w:sz w:val="20"/>
        </w:rPr>
      </w:pPr>
      <w:r>
        <w:rPr>
          <w:rFonts w:ascii="Times New Roman" w:hAnsi="Times New Roman"/>
          <w:sz w:val="20"/>
        </w:rPr>
        <w:t xml:space="preserve">Veracyte, Inc. </w:t>
      </w:r>
    </w:p>
    <w:p>
      <w:pPr>
        <w:pStyle w:val="TextBody"/>
        <w:bidi w:val="0"/>
        <w:spacing w:before="0" w:after="0"/>
        <w:jc w:val="left"/>
        <w:rPr>
          <w:rFonts w:ascii="Times New Roman" w:hAnsi="Times New Roman"/>
          <w:sz w:val="20"/>
        </w:rPr>
      </w:pPr>
      <w:r>
        <w:rPr>
          <w:rFonts w:ascii="Times New Roman" w:hAnsi="Times New Roman"/>
          <w:sz w:val="20"/>
        </w:rPr>
        <w:t xml:space="preserve">6000 Shoreline Court, Suite 300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left"/>
        <w:rPr>
          <w:rFonts w:ascii="Times New Roman" w:hAnsi="Times New Roman"/>
          <w:sz w:val="20"/>
        </w:rPr>
      </w:pPr>
      <w:r>
        <w:rPr>
          <w:rFonts w:ascii="Times New Roman" w:hAnsi="Times New Roman"/>
          <w:sz w:val="20"/>
        </w:rPr>
        <w:t xml:space="preserve">Re: Registration Statement on Form S-8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As counsel to Veracyte, Inc., a Delaware corporation (the </w:t>
      </w:r>
      <w:r>
        <w:rPr>
          <w:rFonts w:ascii="Times New Roman" w:hAnsi="Times New Roman"/>
          <w:b/>
          <w:i/>
          <w:sz w:val="20"/>
        </w:rPr>
        <w:t>Company</w:t>
      </w:r>
      <w:r>
        <w:rPr>
          <w:rFonts w:ascii="Times New Roman" w:hAnsi="Times New Roman"/>
          <w:sz w:val="20"/>
        </w:rPr>
        <w:t>), we have examined the Registration Statement on Form S-8 (the </w:t>
      </w:r>
      <w:r>
        <w:rPr>
          <w:rFonts w:ascii="Times New Roman" w:hAnsi="Times New Roman"/>
          <w:b/>
          <w:i/>
          <w:sz w:val="20"/>
        </w:rPr>
        <w:t>Registration Statement</w:t>
      </w:r>
      <w:r>
        <w:rPr>
          <w:rFonts w:ascii="Times New Roman" w:hAnsi="Times New Roman"/>
          <w:sz w:val="20"/>
        </w:rPr>
        <w:t>) to be filed by the Company with the Securities and Exchange Commission (the </w:t>
      </w:r>
      <w:r>
        <w:rPr>
          <w:rFonts w:ascii="Times New Roman" w:hAnsi="Times New Roman"/>
          <w:b/>
          <w:i/>
          <w:sz w:val="20"/>
        </w:rPr>
        <w:t>Commission</w:t>
      </w:r>
      <w:r>
        <w:rPr>
          <w:rFonts w:ascii="Times New Roman" w:hAnsi="Times New Roman"/>
          <w:sz w:val="20"/>
        </w:rPr>
        <w:t>) on or about February 29, 2024 in connection with the registration under the Securities Act of 1933, as amended (the </w:t>
      </w:r>
      <w:r>
        <w:rPr>
          <w:rFonts w:ascii="Times New Roman" w:hAnsi="Times New Roman"/>
          <w:b/>
          <w:i/>
          <w:sz w:val="20"/>
        </w:rPr>
        <w:t>Securities Act</w:t>
      </w:r>
      <w:r>
        <w:rPr>
          <w:rFonts w:ascii="Times New Roman" w:hAnsi="Times New Roman"/>
          <w:sz w:val="20"/>
        </w:rPr>
        <w:t>), of an aggregate of 71,208 shares (the </w:t>
      </w:r>
      <w:r>
        <w:rPr>
          <w:rFonts w:ascii="Times New Roman" w:hAnsi="Times New Roman"/>
          <w:b/>
          <w:i/>
          <w:sz w:val="20"/>
        </w:rPr>
        <w:t>Shares</w:t>
      </w:r>
      <w:r>
        <w:rPr>
          <w:rFonts w:ascii="Times New Roman" w:hAnsi="Times New Roman"/>
          <w:sz w:val="20"/>
        </w:rPr>
        <w:t>) of the Companys Common Stock, $0.001 par value per share (the </w:t>
      </w:r>
      <w:r>
        <w:rPr>
          <w:rFonts w:ascii="Times New Roman" w:hAnsi="Times New Roman"/>
          <w:b/>
          <w:i/>
          <w:sz w:val="20"/>
        </w:rPr>
        <w:t>Common Stock</w:t>
      </w:r>
      <w:r>
        <w:rPr>
          <w:rFonts w:ascii="Times New Roman" w:hAnsi="Times New Roman"/>
          <w:sz w:val="20"/>
        </w:rPr>
        <w:t>), subject to issuance by the Company upon the exercise of stock options (the </w:t>
      </w:r>
      <w:r>
        <w:rPr>
          <w:rFonts w:ascii="Times New Roman" w:hAnsi="Times New Roman"/>
          <w:b/>
          <w:i/>
          <w:sz w:val="20"/>
        </w:rPr>
        <w:t>Options</w:t>
      </w:r>
      <w:r>
        <w:rPr>
          <w:rFonts w:ascii="Times New Roman" w:hAnsi="Times New Roman"/>
          <w:sz w:val="20"/>
        </w:rPr>
        <w:t>) granted under the C2i Genomics, Inc. 2019 Stock Incentive Plan (the </w:t>
      </w:r>
      <w:r>
        <w:rPr>
          <w:rFonts w:ascii="Times New Roman" w:hAnsi="Times New Roman"/>
          <w:b/>
          <w:i/>
          <w:sz w:val="20"/>
        </w:rPr>
        <w:t>Plan</w:t>
      </w:r>
      <w:r>
        <w:rPr>
          <w:rFonts w:ascii="Times New Roman" w:hAnsi="Times New Roman"/>
          <w:sz w:val="20"/>
        </w:rPr>
        <w:t>) and assumed by the Company in accordance with the terms of the Agreement and Plan of Merger, dated as of January 5, 2024 (the </w:t>
      </w:r>
      <w:r>
        <w:rPr>
          <w:rFonts w:ascii="Times New Roman" w:hAnsi="Times New Roman"/>
          <w:b/>
          <w:i/>
          <w:sz w:val="20"/>
        </w:rPr>
        <w:t>Merger Agreement</w:t>
      </w:r>
      <w:r>
        <w:rPr>
          <w:rFonts w:ascii="Times New Roman" w:hAnsi="Times New Roman"/>
          <w:sz w:val="20"/>
        </w:rPr>
        <w:t>) by and among the Company, C2i Genomics, Inc., and the other parties thereto. At your request we are providing this letter to express our opinion on the matters set forth below in this letter (</w:t>
      </w:r>
      <w:r>
        <w:rPr>
          <w:rFonts w:ascii="Times New Roman" w:hAnsi="Times New Roman"/>
          <w:b/>
          <w:i/>
          <w:sz w:val="20"/>
        </w:rPr>
        <w:t>our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Times New Roman" w:hAnsi="Times New Roman"/>
          <w:b/>
          <w:i/>
          <w:sz w:val="20"/>
        </w:rPr>
        <w:t>Opinion Certificate</w:t>
      </w:r>
      <w:r>
        <w:rPr>
          <w:rFonts w:ascii="Times New Roman" w:hAnsi="Times New Roman"/>
          <w:sz w:val="20"/>
        </w:rPr>
        <w:t xml:space="preserve">).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 </w:t>
      </w:r>
    </w:p>
    <w:p>
      <w:pPr>
        <w:pStyle w:val="TextBody"/>
        <w:bidi w:val="0"/>
        <w:spacing w:before="240" w:after="0"/>
        <w:jc w:val="left"/>
        <w:rPr>
          <w:rFonts w:ascii="Times New Roman" w:hAnsi="Times New Roman"/>
          <w:sz w:val="20"/>
        </w:rPr>
      </w:pPr>
      <w:r>
        <w:rPr>
          <w:rFonts w:ascii="Times New Roman" w:hAnsi="Times New Roman"/>
          <w:sz w:val="20"/>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hAnsi="Times New Roman"/>
          <w:b/>
          <w:i/>
          <w:sz w:val="20"/>
        </w:rPr>
        <w:t>EDGAR</w:t>
      </w:r>
      <w:r>
        <w:rPr>
          <w:rFonts w:ascii="Times New Roman" w:hAnsi="Times New Roman"/>
          <w:sz w:val="20"/>
        </w:rPr>
        <w:t xml:space="preserve">), except for required EDGAR formatting changes, to physical copies submitted for our examination.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opinions in this letter are limited to the existing General Corporation Law of the State of Delaware now in effect.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the Shares, when issued and sold by the Company upon the exercise of the Options in accordance with the terms (including, without limitation, payment and authorization provisions) of the applicable Plan, the applicable form of award agreement thereunder, and the Companys form of Option Assumption Agreements entered into thereunder, and in the manner and for the consideration (not less than the par value per Share) stated in the Registration Statement and the prospectus prepared in connection therewith, and have been duly registered on the books of the transfer agent and registrar for the Shares in the name or on behalf of the holders thereof, such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all references to us, if any, in the Registration Statement, the prospectuses constituting a part thereof and any amendments thereto. In giving this consent, we do not thereby admit that we come within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intended solely for your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Fenwick &amp; West LLP</w:t>
            </w:r>
          </w:p>
        </w:tc>
      </w:tr>
      <w:tr>
        <w:trPr/>
        <w:tc>
          <w:tcPr>
            <w:tcW w:w="4082" w:type="dxa"/>
            <w:tcBorders/>
          </w:tcPr>
          <w:p>
            <w:pPr>
              <w:pStyle w:val="TableContents"/>
              <w:bidi w:val="0"/>
              <w:spacing w:before="0" w:after="283"/>
              <w:jc w:val="left"/>
              <w:rPr/>
            </w:pPr>
            <w:r>
              <w:rPr/>
              <w:t>FENWICK &amp; WEST LLP</w:t>
            </w:r>
          </w:p>
        </w:tc>
      </w:tr>
    </w:tbl>
    <w:p>
      <w:pPr>
        <w:pStyle w:val="TextBody"/>
        <w:bidi w:val="0"/>
        <w:spacing w:before="0" w:after="0"/>
        <w:jc w:val="right"/>
        <w:rPr>
          <w:rFonts w:ascii="Times New Roman" w:hAnsi="Times New Roman"/>
          <w:sz w:val="20"/>
        </w:rPr>
      </w:pPr>
      <w:bookmarkStart w:id="5" w:name="d795878dex231.htm"/>
      <w:bookmarkStart w:id="6" w:name="ksd795878dex231"/>
      <w:bookmarkEnd w:id="5"/>
      <w:bookmarkEnd w:id="6"/>
      <w:r>
        <w:rPr>
          <w:rFonts w:ascii="Times New Roman" w:hAnsi="Times New Roman"/>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Options to purchase stock granted under the C2i Genomics, Inc. 2019 Stock Incentive Plan, and assumed by the Registrant (Veracyte, Inc.) of our reports dated February 29, 2024, with respect to the consolidated financial statements of Veracyte, Inc and the effectiveness of internal control over financial reporting of Veracyte, Inc. included in its Annual Report (Form 10-K) for the year ended December 31, 2023,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February 29, 2024 </w:t>
      </w:r>
    </w:p>
    <w:p>
      <w:pPr>
        <w:pStyle w:val="TextBody"/>
        <w:bidi w:val="0"/>
        <w:spacing w:before="0" w:after="0"/>
        <w:jc w:val="right"/>
        <w:rPr>
          <w:rFonts w:ascii="Times New Roman" w:hAnsi="Times New Roman"/>
          <w:sz w:val="20"/>
        </w:rPr>
      </w:pPr>
      <w:bookmarkStart w:id="7" w:name="d795878dexfilingfees.htm"/>
      <w:bookmarkStart w:id="8" w:name="ksd795878dexfilingfees"/>
      <w:bookmarkEnd w:id="7"/>
      <w:bookmarkEnd w:id="8"/>
      <w:r>
        <w:rPr>
          <w:rFonts w:ascii="Times New Roman" w:hAnsi="Times New Roman"/>
          <w:b/>
          <w:sz w:val="20"/>
        </w:rPr>
        <w:t>EXHIBIT 107.1</w:t>
      </w:r>
      <w:r>
        <w:rPr>
          <w:rFonts w:ascii="Times New Roman" w:hAnsi="Times New Roman"/>
          <w:sz w:val="20"/>
        </w:rPr>
        <w:t xml:space="preserve">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sz w:val="20"/>
        </w:rPr>
      </w:pPr>
      <w:r>
        <w:rPr>
          <w:rFonts w:ascii="Times New Roman" w:hAnsi="Times New Roman"/>
          <w:sz w:val="20"/>
        </w:rPr>
        <w:t xml:space="preserve">Form S-8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sz w:val="20"/>
        </w:rPr>
      </w:pPr>
      <w:r>
        <w:rPr>
          <w:rFonts w:ascii="Times New Roman" w:hAnsi="Times New Roman"/>
          <w:sz w:val="20"/>
        </w:rPr>
        <w:t xml:space="preserve">Veracyte,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rPr>
      </w:pPr>
      <w:r>
        <w:rPr>
          <w:rFonts w:ascii="Times New Roman" w:hAnsi="Times New Roman"/>
          <w:sz w:val="20"/>
        </w:rPr>
        <w:t xml:space="preserve">Newly Registered Securities </w:t>
      </w:r>
    </w:p>
    <w:p>
      <w:pPr>
        <w:pStyle w:val="TextBody"/>
        <w:bidi w:val="0"/>
        <w:spacing w:before="0" w:after="0"/>
        <w:jc w:val="left"/>
        <w:rPr/>
      </w:pPr>
      <w:r>
        <w:rPr/>
        <w:t> </w:t>
      </w:r>
    </w:p>
    <w:tbl>
      <w:tblPr>
        <w:tblW w:w="9805" w:type="dxa"/>
        <w:jc w:val="center"/>
        <w:tblInd w:w="0" w:type="dxa"/>
        <w:tblLayout w:type="fixed"/>
        <w:tblCellMar>
          <w:top w:w="0" w:type="dxa"/>
          <w:left w:w="0" w:type="dxa"/>
          <w:bottom w:w="0" w:type="dxa"/>
          <w:right w:w="0" w:type="dxa"/>
        </w:tblCellMar>
      </w:tblPr>
      <w:tblGrid>
        <w:gridCol w:w="800"/>
        <w:gridCol w:w="60"/>
        <w:gridCol w:w="1520"/>
        <w:gridCol w:w="60"/>
        <w:gridCol w:w="1160"/>
        <w:gridCol w:w="60"/>
        <w:gridCol w:w="1100"/>
        <w:gridCol w:w="60"/>
        <w:gridCol w:w="995"/>
        <w:gridCol w:w="60"/>
        <w:gridCol w:w="1370"/>
        <w:gridCol w:w="60"/>
        <w:gridCol w:w="1280"/>
        <w:gridCol w:w="60"/>
        <w:gridCol w:w="116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vAlign w:val="bottom"/>
          </w:tcPr>
          <w:p>
            <w:pPr>
              <w:pStyle w:val="TableContents"/>
              <w:bidi w:val="0"/>
              <w:spacing w:before="0" w:after="283"/>
              <w:jc w:val="center"/>
              <w:rPr/>
            </w:pPr>
            <w:r>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Fee</w:t>
              <w:br/>
              <w:t>Calculation</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br/>
              <w:t>Aggregate</w:t>
              <w:b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Common stock, par value $0.001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Rule 457(h)</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71,208(2)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$16.90(3)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pPr>
            <w:r>
              <w:rPr/>
              <w:t>$1,203,401(3)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$178.00</w:t>
            </w:r>
          </w:p>
        </w:tc>
      </w:tr>
      <w:tr>
        <w:trPr>
          <w:trHeight w:val="15" w:hRule="atLeast"/>
        </w:trPr>
        <w:tc>
          <w:tcPr>
            <w:tcW w:w="476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760" w:type="dxa"/>
            <w:gridSpan w:val="7"/>
            <w:tcBorders>
              <w:left w:val="single" w:sz="2" w:space="0" w:color="000000"/>
            </w:tcBorders>
            <w:tcMar>
              <w:left w:w="160" w:type="dxa"/>
            </w:tcMar>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$178.00</w:t>
            </w:r>
          </w:p>
        </w:tc>
      </w:tr>
      <w:tr>
        <w:trPr>
          <w:trHeight w:val="15" w:hRule="atLeast"/>
        </w:trPr>
        <w:tc>
          <w:tcPr>
            <w:tcW w:w="476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760" w:type="dxa"/>
            <w:gridSpan w:val="7"/>
            <w:tcBorders>
              <w:left w:val="single" w:sz="2" w:space="0" w:color="000000"/>
            </w:tcBorders>
            <w:tcMar>
              <w:left w:w="160" w:type="dxa"/>
            </w:tcMar>
          </w:tcPr>
          <w:p>
            <w:pPr>
              <w:pStyle w:val="TableContents"/>
              <w:bidi w:val="0"/>
              <w:spacing w:before="0" w:after="283"/>
              <w:jc w:val="center"/>
              <w:rPr/>
            </w:pPr>
            <w:r>
              <w:rPr/>
              <w:t>Total Fee Offsets(4)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476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760"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$178.00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416(a) of the Securities Act of 1933, as amended (the Securities Act), this Registration Statement also covers any additional securities that may be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subject to issuance upon the exercise of stock options outstanding under the C2i Genomics, Inc. 2019 Stock Incentive Plan, and assumed by the Registrant on February 5, 2024, pursuant to the Agreement and Plan of Merger, dated as of January 5, 2024, by and among the Registrant, C2i Genomics, Inc., and the other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solely for the purposes of this offering under Rule 457(h) of the Securities Act on the basis of the weighted average exercise price of the outstanding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does not have any fee offsets.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384101/000138410124000017/vcyt-20231231.htm" TargetMode="External"/><Relationship Id="rId3" Type="http://schemas.openxmlformats.org/officeDocument/2006/relationships/hyperlink" Target="http://www.sec.gov/Archives/edgar/data/../../../ix?doc=/Archives/edgar/data/0001384101/000138410124000004/vcyt-20240205.htm" TargetMode="External"/><Relationship Id="rId4" Type="http://schemas.openxmlformats.org/officeDocument/2006/relationships/hyperlink" Target="http://www.sec.gov/Archives/edgar/data/../../../ix?doc=/Archives/edgar/data/0001384101/000138410124000007/vcyt-20240207.htm" TargetMode="External"/><Relationship Id="rId5" Type="http://schemas.openxmlformats.org/officeDocument/2006/relationships/hyperlink" Target="http://www.sec.gov/Archives/edgar/data/1384101/000110465913078343/a13-16266_158a12b.htm" TargetMode="External"/><Relationship Id="rId6" Type="http://schemas.openxmlformats.org/officeDocument/2006/relationships/hyperlink" Target="http://www.sec.gov/Archives/edgar/data/1384101/000138410124000017/vcyt-12312023xex42.htm" TargetMode="External"/><Relationship Id="rId7" Type="http://schemas.openxmlformats.org/officeDocument/2006/relationships/hyperlink" Target="http://www.sec.gov/Archives/edgar/data/../../../ix?doc=/Archives/edgar/data/1384101/000138410124000017/vcyt-20231231.htm" TargetMode="External"/><Relationship Id="rId8" Type="http://schemas.openxmlformats.org/officeDocument/2006/relationships/hyperlink" Target="http://www.sec.gov/Archives/edgar/data/1384101/000138410123000112/ex32-restatedcertificateof.htm" TargetMode="External"/><Relationship Id="rId9" Type="http://schemas.openxmlformats.org/officeDocument/2006/relationships/hyperlink" Target="http://www.sec.gov/Archives/edgar/data/1384101/000138410123000112/ex33-veracytexamendedandre.htm" TargetMode="External"/><Relationship Id="rId10" Type="http://schemas.openxmlformats.org/officeDocument/2006/relationships/hyperlink" Target="http://www.sec.gov/Archives/edgar/data/1384101/000104746913009631/a2216954zex-4_1.htm" TargetMode="External"/><Relationship Id="rId11" Type="http://schemas.openxmlformats.org/officeDocument/2006/relationships/hyperlink" Target="http://www.sec.gov/Archives/edgar/data/1384101/000138410124000017/vcyt-12312023xex10272019st.htm" TargetMode="External"/><Relationship Id="rId12" Type="http://schemas.openxmlformats.org/officeDocument/2006/relationships/hyperlink" Target="http://www.sec.gov/Archives/edgar/data/1384101/000138410124000017/vcyt-12312023xex1028c2igen.htm" TargetMode="External"/><Relationship Id="rId13" Type="http://schemas.openxmlformats.org/officeDocument/2006/relationships/hyperlink" Target="http://www.sec.gov/Archives/edgar/data/1384101/000138410124000017/vcyt-12x31x2023xex1029form.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3864</Words>
  <Characters>20186</Characters>
  <CharactersWithSpaces>24083</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