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27">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55">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ind w:left="260" w:right="20"/>
        <w:spacing w:after="0" w:line="262" w:lineRule="auto"/>
        <w:rPr>
          <w:sz w:val="20"/>
          <w:szCs w:val="20"/>
          <w:color w:val="auto"/>
        </w:rPr>
      </w:pPr>
      <w:r>
        <w:rPr>
          <w:rFonts w:ascii="Arial" w:cs="Arial" w:eastAsia="Arial" w:hAnsi="Arial"/>
          <w:sz w:val="13"/>
          <w:szCs w:val="13"/>
          <w:b w:val="1"/>
          <w:bCs w:val="1"/>
          <w:color w:val="auto"/>
        </w:rPr>
        <w:t>As confidentially submitted to the Securities and Exchange Commission on August 12, 2013. This draft registration statement has not been publicly filed with the Securities and Exchange Commission and all information herein remains strictly confidential.</w:t>
      </w:r>
    </w:p>
    <w:p>
      <w:pPr>
        <w:spacing w:after="0" w:line="172" w:lineRule="exact"/>
        <w:rPr>
          <w:sz w:val="24"/>
          <w:szCs w:val="24"/>
          <w:color w:val="auto"/>
        </w:rPr>
      </w:pPr>
    </w:p>
    <w:p>
      <w:pPr>
        <w:ind w:left="99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060" w:type="dxa"/>
            <w:vAlign w:val="bottom"/>
          </w:tcPr>
          <w:p>
            <w:pPr>
              <w:jc w:val="center"/>
              <w:ind w:right="214"/>
              <w:spacing w:after="0"/>
              <w:rPr>
                <w:sz w:val="20"/>
                <w:szCs w:val="20"/>
                <w:color w:val="auto"/>
              </w:rPr>
            </w:pPr>
            <w:r>
              <w:rPr>
                <w:rFonts w:ascii="Arial" w:cs="Arial" w:eastAsia="Arial" w:hAnsi="Arial"/>
                <w:sz w:val="13"/>
                <w:szCs w:val="13"/>
                <w:b w:val="1"/>
                <w:bCs w:val="1"/>
                <w:color w:val="auto"/>
                <w:w w:val="89"/>
              </w:rPr>
              <w:t>8071</w:t>
            </w:r>
          </w:p>
        </w:tc>
        <w:tc>
          <w:tcPr>
            <w:tcW w:w="11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2"/>
              </w:rPr>
              <w:t>(Primary Standard Industrial</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3"/>
              </w:rPr>
              <w:t>Classification Code Number)</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220" w:type="dxa"/>
            <w:vAlign w:val="bottom"/>
          </w:tcPr>
          <w:p>
            <w:pPr>
              <w:spacing w:after="0"/>
              <w:rPr>
                <w:sz w:val="14"/>
                <w:szCs w:val="14"/>
                <w:color w:val="auto"/>
              </w:rPr>
            </w:pPr>
          </w:p>
        </w:tc>
      </w:tr>
      <w:tr>
        <w:trPr>
          <w:trHeight w:val="356"/>
        </w:trPr>
        <w:tc>
          <w:tcPr>
            <w:tcW w:w="2380" w:type="dxa"/>
            <w:vAlign w:val="bottom"/>
          </w:tcPr>
          <w:p>
            <w:pPr>
              <w:jc w:val="center"/>
              <w:ind w:right="154"/>
              <w:spacing w:after="0"/>
              <w:rPr>
                <w:sz w:val="20"/>
                <w:szCs w:val="20"/>
                <w:color w:val="auto"/>
              </w:rPr>
            </w:pPr>
            <w:r>
              <w:rPr>
                <w:rFonts w:ascii="Arial" w:cs="Arial" w:eastAsia="Arial" w:hAnsi="Arial"/>
                <w:sz w:val="13"/>
                <w:szCs w:val="13"/>
                <w:b w:val="1"/>
                <w:bCs w:val="1"/>
                <w:color w:val="auto"/>
                <w:w w:val="91"/>
              </w:rPr>
              <w:t>Stanton D. Wong</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220" w:type="dxa"/>
            <w:vAlign w:val="bottom"/>
          </w:tcPr>
          <w:p>
            <w:pPr>
              <w:jc w:val="center"/>
              <w:ind w:left="29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220" w:type="dxa"/>
            <w:vAlign w:val="bottom"/>
          </w:tcPr>
          <w:p>
            <w:pPr>
              <w:jc w:val="center"/>
              <w:ind w:left="29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220" w:type="dxa"/>
            <w:vAlign w:val="bottom"/>
          </w:tcPr>
          <w:p>
            <w:pPr>
              <w:spacing w:after="0"/>
              <w:rPr>
                <w:sz w:val="12"/>
                <w:szCs w:val="12"/>
                <w:color w:val="auto"/>
              </w:rPr>
            </w:pP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3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9"/>
        </w:trPr>
        <w:tc>
          <w:tcPr>
            <w:tcW w:w="2380" w:type="dxa"/>
            <w:vAlign w:val="bottom"/>
          </w:tcPr>
          <w:p>
            <w:pPr>
              <w:jc w:val="center"/>
              <w:ind w:right="134"/>
              <w:spacing w:after="0"/>
              <w:rPr>
                <w:sz w:val="20"/>
                <w:szCs w:val="20"/>
                <w:color w:val="auto"/>
              </w:rPr>
            </w:pPr>
            <w:r>
              <w:rPr>
                <w:rFonts w:ascii="Arial" w:cs="Arial" w:eastAsia="Arial" w:hAnsi="Arial"/>
                <w:sz w:val="13"/>
                <w:szCs w:val="13"/>
                <w:b w:val="1"/>
                <w:bCs w:val="1"/>
                <w:color w:val="auto"/>
                <w:w w:val="90"/>
              </w:rPr>
              <w:t>San Francisco, California 94111</w:t>
            </w:r>
          </w:p>
        </w:tc>
        <w:tc>
          <w:tcPr>
            <w:tcW w:w="23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8"/>
        </w:trPr>
        <w:tc>
          <w:tcPr>
            <w:tcW w:w="23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6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53"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(Do not check if 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904" w:orient="portrait"/>
          <w:cols w:equalWidth="0" w:num="4">
            <w:col w:w="3140" w:space="720"/>
            <w:col w:w="1320" w:space="720"/>
            <w:col w:w="2120" w:space="720"/>
            <w:col w:w="2680"/>
          </w:cols>
          <w:pgMar w:left="240" w:top="669" w:right="239" w:bottom="0" w:gutter="0" w:footer="0" w:header="0"/>
          <w:type w:val="continuous"/>
        </w:sectPr>
      </w:pPr>
    </w:p>
    <w:bookmarkStart w:id="1" w:name="page2"/>
    <w:bookmarkEnd w:id="1"/>
    <w:p>
      <w:pPr>
        <w:ind w:left="580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1"/>
        </w:trPr>
        <w:tc>
          <w:tcPr>
            <w:tcW w:w="4700" w:type="dxa"/>
            <w:vAlign w:val="bottom"/>
          </w:tcPr>
          <w:p>
            <w:pPr>
              <w:spacing w:after="0"/>
              <w:rPr>
                <w:sz w:val="9"/>
                <w:szCs w:val="9"/>
                <w:color w:val="auto"/>
              </w:rPr>
            </w:pPr>
          </w:p>
        </w:tc>
        <w:tc>
          <w:tcPr>
            <w:tcW w:w="2780" w:type="dxa"/>
            <w:vAlign w:val="bottom"/>
          </w:tcPr>
          <w:p>
            <w:pPr>
              <w:jc w:val="center"/>
              <w:ind w:left="761"/>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640" w:type="dxa"/>
            <w:vAlign w:val="bottom"/>
          </w:tcPr>
          <w:p>
            <w:pPr>
              <w:spacing w:after="0"/>
              <w:rPr>
                <w:sz w:val="9"/>
                <w:szCs w:val="9"/>
                <w:color w:val="auto"/>
              </w:rPr>
            </w:pPr>
          </w:p>
        </w:tc>
      </w:tr>
      <w:tr>
        <w:trPr>
          <w:trHeight w:val="157"/>
        </w:trPr>
        <w:tc>
          <w:tcPr>
            <w:tcW w:w="4700" w:type="dxa"/>
            <w:vAlign w:val="bottom"/>
          </w:tcPr>
          <w:p>
            <w:pPr>
              <w:jc w:val="center"/>
              <w:ind w:left="754"/>
              <w:spacing w:after="0"/>
              <w:rPr>
                <w:sz w:val="20"/>
                <w:szCs w:val="20"/>
                <w:color w:val="auto"/>
              </w:rPr>
            </w:pPr>
            <w:r>
              <w:rPr>
                <w:rFonts w:ascii="Arial" w:cs="Arial" w:eastAsia="Arial" w:hAnsi="Arial"/>
                <w:sz w:val="13"/>
                <w:szCs w:val="13"/>
                <w:b w:val="1"/>
                <w:bCs w:val="1"/>
                <w:color w:val="auto"/>
                <w:w w:val="87"/>
              </w:rPr>
              <w:t>Title of each class of</w:t>
            </w:r>
          </w:p>
        </w:tc>
        <w:tc>
          <w:tcPr>
            <w:tcW w:w="2780" w:type="dxa"/>
            <w:vAlign w:val="bottom"/>
          </w:tcPr>
          <w:p>
            <w:pPr>
              <w:jc w:val="center"/>
              <w:ind w:left="781"/>
              <w:spacing w:after="0"/>
              <w:rPr>
                <w:sz w:val="20"/>
                <w:szCs w:val="20"/>
                <w:color w:val="auto"/>
              </w:rPr>
            </w:pPr>
            <w:r>
              <w:rPr>
                <w:rFonts w:ascii="Arial" w:cs="Arial" w:eastAsia="Arial" w:hAnsi="Arial"/>
                <w:sz w:val="13"/>
                <w:szCs w:val="13"/>
                <w:b w:val="1"/>
                <w:bCs w:val="1"/>
                <w:color w:val="auto"/>
                <w:w w:val="89"/>
              </w:rPr>
              <w:t>aggregate offering</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211"/>
        </w:trPr>
        <w:tc>
          <w:tcPr>
            <w:tcW w:w="4700" w:type="dxa"/>
            <w:vAlign w:val="bottom"/>
          </w:tcPr>
          <w:p>
            <w:pPr>
              <w:jc w:val="center"/>
              <w:ind w:left="774"/>
              <w:spacing w:after="0"/>
              <w:rPr>
                <w:sz w:val="20"/>
                <w:szCs w:val="20"/>
                <w:color w:val="auto"/>
              </w:rPr>
            </w:pPr>
            <w:r>
              <w:rPr>
                <w:rFonts w:ascii="Arial" w:cs="Arial" w:eastAsia="Arial" w:hAnsi="Arial"/>
                <w:sz w:val="13"/>
                <w:szCs w:val="13"/>
                <w:b w:val="1"/>
                <w:bCs w:val="1"/>
                <w:color w:val="auto"/>
                <w:w w:val="87"/>
              </w:rPr>
              <w:t>securities to be registered</w:t>
            </w:r>
          </w:p>
        </w:tc>
        <w:tc>
          <w:tcPr>
            <w:tcW w:w="2780" w:type="dxa"/>
            <w:vAlign w:val="bottom"/>
          </w:tcPr>
          <w:p>
            <w:pPr>
              <w:jc w:val="center"/>
              <w:ind w:left="781"/>
              <w:spacing w:after="0" w:line="211" w:lineRule="exact"/>
              <w:rPr>
                <w:sz w:val="20"/>
                <w:szCs w:val="20"/>
                <w:color w:val="auto"/>
              </w:rPr>
            </w:pPr>
            <w:r>
              <w:rPr>
                <w:rFonts w:ascii="Arial" w:cs="Arial" w:eastAsia="Arial" w:hAnsi="Arial"/>
                <w:sz w:val="24"/>
                <w:szCs w:val="24"/>
                <w:b w:val="1"/>
                <w:bCs w:val="1"/>
                <w:color w:val="auto"/>
                <w:w w:val="86"/>
                <w:vertAlign w:val="subscript"/>
              </w:rPr>
              <w:t>price</w:t>
            </w:r>
            <w:r>
              <w:rPr>
                <w:rFonts w:ascii="Arial" w:cs="Arial" w:eastAsia="Arial" w:hAnsi="Arial"/>
                <w:sz w:val="10"/>
                <w:szCs w:val="10"/>
                <w:b w:val="1"/>
                <w:bCs w:val="1"/>
                <w:color w:val="auto"/>
                <w:w w:val="86"/>
              </w:rPr>
              <w:t>(1)(2)</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registration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-8255</wp:posOffset>
            </wp:positionV>
            <wp:extent cx="579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12700</wp:posOffset>
            </wp:positionV>
            <wp:extent cx="579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29210</wp:posOffset>
            </wp:positionV>
            <wp:extent cx="579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spacing w:after="0" w:line="227"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i w:val="1"/>
          <w:iCs w:val="1"/>
          <w:color w:val="FF4019"/>
        </w:rPr>
        <w:t>Issued</w:t>
      </w:r>
      <w:r>
        <w:rPr>
          <w:sz w:val="20"/>
          <w:szCs w:val="20"/>
          <w:color w:val="auto"/>
        </w:rPr>
        <w:tab/>
      </w:r>
      <w:r>
        <w:rPr>
          <w:rFonts w:ascii="Arial" w:cs="Arial" w:eastAsia="Arial" w:hAnsi="Arial"/>
          <w:sz w:val="17"/>
          <w:szCs w:val="17"/>
          <w:i w:val="1"/>
          <w:iCs w:val="1"/>
          <w:color w:val="FF4019"/>
        </w:rPr>
        <w:t>, 2013</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Arial" w:cs="Arial" w:eastAsia="Arial" w:hAnsi="Arial"/>
                <w:sz w:val="17"/>
                <w:szCs w:val="17"/>
                <w:b w:val="1"/>
                <w:bCs w:val="1"/>
                <w:i w:val="1"/>
                <w:iCs w:val="1"/>
                <w:color w:val="auto"/>
              </w:rPr>
              <w:t>Veracyte, Inc. is offering</w:t>
            </w:r>
          </w:p>
        </w:tc>
        <w:tc>
          <w:tcPr>
            <w:tcW w:w="936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w w:val="87"/>
              </w:rPr>
              <w:t>shares of its common stock. This is our initial public offering and no public market currently exists for our shares. We anticipate</w:t>
            </w:r>
          </w:p>
        </w:tc>
      </w:tr>
      <w:tr>
        <w:trPr>
          <w:trHeight w:val="216"/>
        </w:trPr>
        <w:tc>
          <w:tcPr>
            <w:tcW w:w="556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2"/>
              </w:rPr>
              <w:t>that the initial public offering price of our common stock will be between $</w:t>
            </w:r>
          </w:p>
        </w:tc>
        <w:tc>
          <w:tcPr>
            <w:tcW w:w="136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and $</w:t>
            </w:r>
          </w:p>
        </w:tc>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per share.</w:t>
            </w:r>
          </w:p>
        </w:tc>
      </w:tr>
      <w:tr>
        <w:trPr>
          <w:trHeight w:val="212"/>
        </w:trPr>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intend to apply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i w:val="1"/>
                <w:iCs w:val="1"/>
                <w:color w:val="auto"/>
                <w:w w:val="92"/>
              </w:rPr>
              <w:t>Underwriting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13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53"/>
        </w:trPr>
        <w:tc>
          <w:tcPr>
            <w:tcW w:w="5420" w:type="dxa"/>
            <w:vAlign w:val="bottom"/>
            <w:vMerge w:val="restart"/>
          </w:tcPr>
          <w:p>
            <w:pPr>
              <w:ind w:left="1160"/>
              <w:spacing w:after="0"/>
              <w:rPr>
                <w:sz w:val="20"/>
                <w:szCs w:val="20"/>
                <w:color w:val="auto"/>
              </w:rPr>
            </w:pPr>
            <w:r>
              <w:rPr>
                <w:rFonts w:ascii="Arial" w:cs="Arial" w:eastAsia="Arial" w:hAnsi="Arial"/>
                <w:sz w:val="17"/>
                <w:szCs w:val="17"/>
                <w:i w:val="1"/>
                <w:iCs w:val="1"/>
                <w:color w:val="auto"/>
              </w:rPr>
              <w:t>Per Share</w:t>
            </w:r>
          </w:p>
        </w:tc>
        <w:tc>
          <w:tcPr>
            <w:tcW w:w="114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710"/>
              <w:spacing w:after="0" w:line="194" w:lineRule="exact"/>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6"/>
                <w:szCs w:val="16"/>
                <w:color w:val="auto"/>
              </w:rPr>
            </w:pPr>
          </w:p>
        </w:tc>
        <w:tc>
          <w:tcPr>
            <w:tcW w:w="84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160"/>
              <w:spacing w:after="0"/>
              <w:rPr>
                <w:sz w:val="20"/>
                <w:szCs w:val="20"/>
                <w:color w:val="auto"/>
              </w:rPr>
            </w:pPr>
            <w:r>
              <w:rPr>
                <w:rFonts w:ascii="Arial" w:cs="Arial" w:eastAsia="Arial" w:hAnsi="Arial"/>
                <w:sz w:val="17"/>
                <w:szCs w:val="17"/>
                <w:i w:val="1"/>
                <w:iCs w:val="1"/>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7"/>
                <w:szCs w:val="17"/>
                <w:i w:val="1"/>
                <w:iCs w:val="1"/>
                <w:color w:val="auto"/>
                <w:w w:val="96"/>
              </w:rPr>
              <w:t>We have granted the underwriters the right to purchase up to an additional</w:t>
            </w:r>
          </w:p>
        </w:tc>
        <w:tc>
          <w:tcPr>
            <w:tcW w:w="3740" w:type="dxa"/>
            <w:vAlign w:val="bottom"/>
            <w:gridSpan w:val="5"/>
          </w:tcPr>
          <w:p>
            <w:pPr>
              <w:ind w:left="300"/>
              <w:spacing w:after="0"/>
              <w:rPr>
                <w:sz w:val="20"/>
                <w:szCs w:val="20"/>
                <w:color w:val="auto"/>
              </w:rPr>
            </w:pPr>
            <w:r>
              <w:rPr>
                <w:rFonts w:ascii="Arial" w:cs="Arial" w:eastAsia="Arial" w:hAnsi="Arial"/>
                <w:sz w:val="17"/>
                <w:szCs w:val="17"/>
                <w:i w:val="1"/>
                <w:iCs w:val="1"/>
                <w:color w:val="auto"/>
                <w:w w:val="91"/>
              </w:rPr>
              <w:t>shares of common stock to cover over-allotments.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693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0"/>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0"/>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6"/>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0"/>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Information Regarding Forward-Looking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85"/>
              </w:rPr>
            </w:pPr>
            <w:hyperlink w:anchor="page38">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33</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Dividend Policy</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1">
              <w:r>
                <w:rPr>
                  <w:rFonts w:ascii="Arial" w:cs="Arial" w:eastAsia="Arial" w:hAnsi="Arial"/>
                  <w:sz w:val="17"/>
                  <w:szCs w:val="17"/>
                  <w:color w:val="0000EE"/>
                  <w:w w:val="95"/>
                </w:rPr>
                <w:t>Dilution</w:t>
              </w:r>
            </w:hyperlink>
          </w:p>
        </w:tc>
        <w:tc>
          <w:tcPr>
            <w:tcW w:w="8180" w:type="dxa"/>
            <w:vAlign w:val="bottom"/>
            <w:gridSpan w:val="2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Business</w:t>
              </w:r>
            </w:hyperlink>
          </w:p>
        </w:tc>
        <w:tc>
          <w:tcPr>
            <w:tcW w:w="8140" w:type="dxa"/>
            <w:vAlign w:val="bottom"/>
            <w:gridSpan w:val="22"/>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58</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Management</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86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7">
              <w:r>
                <w:rPr>
                  <w:rFonts w:ascii="Arial" w:cs="Arial" w:eastAsia="Arial" w:hAnsi="Arial"/>
                  <w:sz w:val="17"/>
                  <w:szCs w:val="17"/>
                  <w:color w:val="0000EE"/>
                </w:rPr>
                <w:t>Executive Compensation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7">
              <w:r>
                <w:rPr>
                  <w:rFonts w:ascii="Arial" w:cs="Arial" w:eastAsia="Arial" w:hAnsi="Arial"/>
                  <w:sz w:val="17"/>
                  <w:szCs w:val="17"/>
                  <w:color w:val="0000EE"/>
                </w:rPr>
                <w:t>92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Certain Relationships and Related Party Transactions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102</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104</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w:anchor="page112">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12">
              <w:r>
                <w:rPr>
                  <w:rFonts w:ascii="Arial" w:cs="Arial" w:eastAsia="Arial" w:hAnsi="Arial"/>
                  <w:sz w:val="17"/>
                  <w:szCs w:val="17"/>
                  <w:color w:val="0000EE"/>
                  <w:w w:val="84"/>
                </w:rPr>
                <w:t>107</w:t>
              </w:r>
            </w:hyperlink>
          </w:p>
        </w:tc>
        <w:tc>
          <w:tcPr>
            <w:tcW w:w="0" w:type="dxa"/>
            <w:vAlign w:val="bottom"/>
          </w:tcPr>
          <w:p>
            <w:pPr>
              <w:spacing w:after="0"/>
              <w:rPr>
                <w:sz w:val="1"/>
                <w:szCs w:val="1"/>
                <w:color w:val="auto"/>
              </w:rPr>
            </w:pPr>
          </w:p>
        </w:tc>
      </w:tr>
      <w:tr>
        <w:trPr>
          <w:trHeight w:val="190"/>
        </w:trPr>
        <w:tc>
          <w:tcPr>
            <w:tcW w:w="2100" w:type="dxa"/>
            <w:vAlign w:val="bottom"/>
            <w:gridSpan w:val="15"/>
          </w:tcPr>
          <w:p>
            <w:pPr>
              <w:spacing w:after="0" w:line="189" w:lineRule="exact"/>
              <w:rPr>
                <w:rFonts w:ascii="Arial" w:cs="Arial" w:eastAsia="Arial" w:hAnsi="Arial"/>
                <w:sz w:val="17"/>
                <w:szCs w:val="17"/>
                <w:color w:val="0000EE"/>
                <w:w w:val="90"/>
              </w:rPr>
            </w:pPr>
            <w:hyperlink w:anchor="page116">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111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2"/>
          </w:tcPr>
          <w:p>
            <w:pPr>
              <w:spacing w:after="0" w:line="189" w:lineRule="exact"/>
              <w:rPr>
                <w:rFonts w:ascii="Arial" w:cs="Arial" w:eastAsia="Arial" w:hAnsi="Arial"/>
                <w:sz w:val="17"/>
                <w:szCs w:val="17"/>
                <w:color w:val="0000EE"/>
                <w:w w:val="90"/>
              </w:rPr>
            </w:pPr>
            <w:hyperlink w:anchor="page118">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8">
              <w:r>
                <w:rPr>
                  <w:rFonts w:ascii="Arial" w:cs="Arial" w:eastAsia="Arial" w:hAnsi="Arial"/>
                  <w:sz w:val="17"/>
                  <w:szCs w:val="17"/>
                  <w:color w:val="0000EE"/>
                </w:rPr>
                <w:t>113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gridSpan w:val="6"/>
          </w:tcPr>
          <w:p>
            <w:pPr>
              <w:spacing w:after="0" w:line="189" w:lineRule="exact"/>
              <w:rPr>
                <w:rFonts w:ascii="Arial" w:cs="Arial" w:eastAsia="Arial" w:hAnsi="Arial"/>
                <w:sz w:val="17"/>
                <w:szCs w:val="17"/>
                <w:color w:val="0000EE"/>
                <w:w w:val="91"/>
              </w:rPr>
            </w:pPr>
            <w:hyperlink w:anchor="page122">
              <w:r>
                <w:rPr>
                  <w:rFonts w:ascii="Arial" w:cs="Arial" w:eastAsia="Arial" w:hAnsi="Arial"/>
                  <w:sz w:val="17"/>
                  <w:szCs w:val="17"/>
                  <w:color w:val="0000EE"/>
                  <w:w w:val="91"/>
                </w:rPr>
                <w:t>Underwriters</w:t>
              </w:r>
            </w:hyperlink>
          </w:p>
        </w:tc>
        <w:tc>
          <w:tcPr>
            <w:tcW w:w="3440" w:type="dxa"/>
            <w:vAlign w:val="bottom"/>
            <w:gridSpan w:val="16"/>
          </w:tcPr>
          <w:p>
            <w:pPr>
              <w:spacing w:after="0"/>
              <w:rPr>
                <w:sz w:val="16"/>
                <w:szCs w:val="16"/>
                <w:color w:val="auto"/>
              </w:rPr>
            </w:pPr>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117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Legal Matters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121</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26">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00" w:type="dxa"/>
            <w:vAlign w:val="bottom"/>
            <w:gridSpan w:val="18"/>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6">
              <w:r>
                <w:rPr>
                  <w:rFonts w:ascii="Arial" w:cs="Arial" w:eastAsia="Arial" w:hAnsi="Arial"/>
                  <w:sz w:val="17"/>
                  <w:szCs w:val="17"/>
                  <w:color w:val="0000EE"/>
                  <w:w w:val="84"/>
                </w:rPr>
                <w:t>121</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Where You Can Find Additional Information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121</w:t>
              </w:r>
            </w:hyperlink>
          </w:p>
        </w:tc>
        <w:tc>
          <w:tcPr>
            <w:tcW w:w="0" w:type="dxa"/>
            <w:vAlign w:val="bottom"/>
          </w:tcPr>
          <w:p>
            <w:pPr>
              <w:spacing w:after="0"/>
              <w:rPr>
                <w:sz w:val="1"/>
                <w:szCs w:val="1"/>
                <w:color w:val="auto"/>
              </w:rPr>
            </w:pPr>
          </w:p>
        </w:tc>
      </w:tr>
      <w:tr>
        <w:trPr>
          <w:trHeight w:val="190"/>
        </w:trPr>
        <w:tc>
          <w:tcPr>
            <w:tcW w:w="2620" w:type="dxa"/>
            <w:vAlign w:val="bottom"/>
            <w:tcBorders>
              <w:top w:val="single" w:sz="8" w:color="0000EE"/>
            </w:tcBorders>
            <w:gridSpan w:val="16"/>
          </w:tcPr>
          <w:p>
            <w:pPr>
              <w:spacing w:after="0" w:line="189" w:lineRule="exact"/>
              <w:rPr>
                <w:rFonts w:ascii="Arial" w:cs="Arial" w:eastAsia="Arial" w:hAnsi="Arial"/>
                <w:sz w:val="17"/>
                <w:szCs w:val="17"/>
                <w:color w:val="0000EE"/>
                <w:w w:val="90"/>
              </w:rPr>
            </w:pPr>
            <w:hyperlink w:anchor="page127">
              <w:r>
                <w:rPr>
                  <w:rFonts w:ascii="Arial" w:cs="Arial" w:eastAsia="Arial" w:hAnsi="Arial"/>
                  <w:sz w:val="17"/>
                  <w:szCs w:val="17"/>
                  <w:color w:val="0000EE"/>
                  <w:w w:val="90"/>
                </w:rPr>
                <w:t>Index to Audited Financial Statements</w:t>
              </w:r>
            </w:hyperlink>
          </w:p>
        </w:tc>
        <w:tc>
          <w:tcPr>
            <w:tcW w:w="440" w:type="dxa"/>
            <w:vAlign w:val="bottom"/>
            <w:tcBorders>
              <w:top w:val="single" w:sz="8" w:color="0000EE"/>
            </w:tcBorders>
          </w:tcPr>
          <w:p>
            <w:pPr>
              <w:spacing w:after="0"/>
              <w:rPr>
                <w:sz w:val="16"/>
                <w:szCs w:val="16"/>
                <w:color w:val="auto"/>
              </w:rPr>
            </w:pPr>
          </w:p>
        </w:tc>
        <w:tc>
          <w:tcPr>
            <w:tcW w:w="568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8"/>
              </w:rPr>
            </w:pPr>
            <w:hyperlink w:anchor="page127">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6"/>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Index to Unaudited Interim Condensed Financial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$14.5 million for the trailing twelve months endin March 31,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predicting outcomes and guiding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65"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range of diseases, includi many forms of cancer.</w:t>
      </w:r>
    </w:p>
    <w:p>
      <w:pPr>
        <w:spacing w:after="0" w:line="185" w:lineRule="exact"/>
        <w:rPr>
          <w:sz w:val="20"/>
          <w:szCs w:val="20"/>
          <w:color w:val="auto"/>
        </w:rPr>
      </w:pPr>
    </w:p>
    <w:p>
      <w:pPr>
        <w:jc w:val="both"/>
        <w:ind w:left="240" w:firstLine="474"/>
        <w:spacing w:after="0" w:line="270" w:lineRule="auto"/>
        <w:rPr>
          <w:sz w:val="20"/>
          <w:szCs w:val="20"/>
          <w:color w:val="auto"/>
        </w:rPr>
      </w:pPr>
      <w:r>
        <w:rPr>
          <w:rFonts w:ascii="Arial" w:cs="Arial" w:eastAsia="Arial" w:hAnsi="Arial"/>
          <w:sz w:val="17"/>
          <w:szCs w:val="17"/>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 clinical need an the shortcomings of the current standard of care. We define the precise clinical question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7"/>
          <w:szCs w:val="17"/>
          <w:color w:val="auto"/>
        </w:rPr>
        <w:t>in these diseases that, if informed by genomic information, would alter the standard of care in a way that improves patient outcomes while reducing costs in both t short- and long-term. Only then do we deploy our scientific expertise in biomarker discovery and algorithm development to derive a genomic signature that provid meaningful diagnostic information.</w:t>
      </w:r>
    </w:p>
    <w:p>
      <w:pPr>
        <w:spacing w:after="0" w:line="179" w:lineRule="exact"/>
        <w:rPr>
          <w:sz w:val="20"/>
          <w:szCs w:val="20"/>
          <w:color w:val="auto"/>
        </w:rPr>
      </w:pPr>
    </w:p>
    <w:p>
      <w:pPr>
        <w:jc w:val="both"/>
        <w:ind w:left="240" w:firstLine="338"/>
        <w:spacing w:after="0" w:line="279" w:lineRule="auto"/>
        <w:rPr>
          <w:sz w:val="20"/>
          <w:szCs w:val="20"/>
          <w:color w:val="auto"/>
        </w:rPr>
      </w:pPr>
      <w:r>
        <w:rPr>
          <w:rFonts w:ascii="Arial" w:cs="Arial" w:eastAsia="Arial" w:hAnsi="Arial"/>
          <w:sz w:val="16"/>
          <w:szCs w:val="16"/>
          <w:color w:val="auto"/>
        </w:rPr>
        <w:t>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Approximately 525,000 thyroid FNA were performed in the United States in 2011. Typically, 15% to 30% of FNAs yield indeterminate results, meaning they cannot be diagnosed as definitively benign malignant by cytopathology alone. Because the risk of malignancy is approximately 25% for an indeterminate diagnosis, clinical practice guidelines have historical recommended patients with indeterminate cytopathology results undergo surgery to remove part or all of their thyroid to obtain an accurate pathology diagnosi However, in 70% to 80% of these cases, the thyroid nodule proves to be benign for cancer. We estimate the average cost of this surgery to be $15,000, and surgery ca result in complications and leave a patient in need of hormone replacement therapy for life.</w:t>
      </w:r>
    </w:p>
    <w:p>
      <w:pPr>
        <w:spacing w:after="0" w:line="177" w:lineRule="exact"/>
        <w:rPr>
          <w:sz w:val="20"/>
          <w:szCs w:val="20"/>
          <w:color w:val="auto"/>
        </w:rPr>
      </w:pPr>
    </w:p>
    <w:p>
      <w:pPr>
        <w:jc w:val="both"/>
        <w:ind w:left="240"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 both a cytopathology indeterminate result and a GEC benign result. The study found that physicians recommended surgery in only 7.6% of these cases, representing 90% reduction in surgeries when compared to the historical average for patients with cytopathology indeterminate results alone. We believe the GEC is currently t only diagnostic test that meets the criteria of the National Comprehensive Cancer Network, or NCCN, for safely monitoring patients with indeterminate cytopatholog results in lieu of surgery.</w:t>
      </w:r>
    </w:p>
    <w:p>
      <w:pPr>
        <w:spacing w:after="0" w:line="179" w:lineRule="exact"/>
        <w:rPr>
          <w:sz w:val="20"/>
          <w:szCs w:val="20"/>
          <w:color w:val="auto"/>
        </w:rPr>
      </w:pPr>
    </w:p>
    <w:p>
      <w:pPr>
        <w:jc w:val="both"/>
        <w:ind w:left="240"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to diagnose rare forms of thyro cancer or metastases to the thyroid that is intended to better inform surgical strategy. We are also in late biomarker discovery in interstitial lung disease, a group of lu diseases affecting the tissue and space around the microscopic air sacs of the lungs that are difficult to diagnose prior to surgery. Specifically, we intend to improve t accuracy of diagnosis of idiopathic pulmonary fibrosis, one of the more progressive, often fatal, interstitial lung diseases, and to provide critical information physicians and patients as they decide whether to pursue potentially lifesaving treatments or participate in clinical studies.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jc w:val="both"/>
        <w:ind w:left="1280" w:hanging="524"/>
        <w:spacing w:after="0" w:line="294"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Clinically validated solution with demonstrated utility and significant payer adoption. </w:t>
      </w:r>
      <w:r>
        <w:rPr>
          <w:rFonts w:ascii="Arial" w:cs="Arial" w:eastAsia="Arial" w:hAnsi="Arial"/>
          <w:sz w:val="16"/>
          <w:szCs w:val="16"/>
          <w:color w:val="auto"/>
        </w:rPr>
        <w:t>We have demonstrated the benefits of Afirma in multip</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studies that have been published in leading peer-reviewed publications. As a result of Afirma's demonstrated utility and our managed ca expertise, we have obtained positive coverage decisions from a range of payers, including Aetna, Humana, Medicare and UnitedHealthcare.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Large, underserved specialty markets. </w:t>
      </w:r>
      <w:r>
        <w:rPr>
          <w:rFonts w:ascii="Arial" w:cs="Arial" w:eastAsia="Arial" w:hAnsi="Arial"/>
          <w:sz w:val="17"/>
          <w:szCs w:val="17"/>
          <w:color w:val="auto"/>
        </w:rPr>
        <w:t>Approximately 525,000 thyroid FNAs were performed in the United States in 2011, by an estimated 3,50</w:t>
      </w:r>
      <w:r>
        <w:rPr>
          <w:rFonts w:ascii="Arial" w:cs="Arial" w:eastAsia="Arial" w:hAnsi="Arial"/>
          <w:sz w:val="17"/>
          <w:szCs w:val="17"/>
          <w:i w:val="1"/>
          <w:iCs w:val="1"/>
          <w:color w:val="auto"/>
        </w:rPr>
        <w:t xml:space="preserve"> </w:t>
      </w:r>
      <w:r>
        <w:rPr>
          <w:rFonts w:ascii="Arial" w:cs="Arial" w:eastAsia="Arial" w:hAnsi="Arial"/>
          <w:sz w:val="17"/>
          <w:szCs w:val="17"/>
          <w:color w:val="auto"/>
        </w:rPr>
        <w:t>endocrinologists whom we believe specialize in thyroid disease. We estimate the thyroid nodule diagnostic market to be approximately $500 millio per year in the United States and approximately $300 million outside of the United States. We believe we can effectively market Afirma with a sma specialty sales force, in part because Afirma represents a significant innovation in the underserved thyroid cancer diagnostic market. We plan to addre diseases that have similar market characteristics with our future products.</w:t>
      </w:r>
    </w:p>
    <w:p>
      <w:pPr>
        <w:spacing w:after="0" w:line="200" w:lineRule="exact"/>
        <w:rPr>
          <w:rFonts w:ascii="Arial" w:cs="Arial" w:eastAsia="Arial" w:hAnsi="Arial"/>
          <w:sz w:val="17"/>
          <w:szCs w:val="17"/>
          <w:color w:val="auto"/>
        </w:rPr>
      </w:pPr>
    </w:p>
    <w:p>
      <w:pPr>
        <w:jc w:val="both"/>
        <w:ind w:left="1280" w:hanging="524"/>
        <w:spacing w:after="0" w:line="303"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74"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211"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left="240" w:firstLine="497"/>
        <w:spacing w:after="0" w:line="280"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 diagnosis treatment decisions pre-operatively. We focus on diseases in which a large number of patients undergo invasive and costly diagnostic procedures that could be avoid with a more accurate diagnosis from a cytology sample taken prior to surgery. Positioning our test as an alternative to an invasive procedure allows us to efficient validate the accuracy of our diagnostic test by comparing our test results to those obtained using the more invasive approach. Armed with clinical data that suppor the use of molecular cytology in lieu of a more invasive or costly procedure, we believe we are well-positioned to support clinical studies that demonstrate how o products change the standard of care, improve patient outcomes and reduce costs.</w:t>
      </w:r>
    </w:p>
    <w:p>
      <w:pPr>
        <w:spacing w:after="0" w:line="175"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185" w:lineRule="exact"/>
        <w:rPr>
          <w:sz w:val="20"/>
          <w:szCs w:val="20"/>
          <w:color w:val="auto"/>
        </w:rPr>
      </w:pPr>
    </w:p>
    <w:p>
      <w:pPr>
        <w:ind w:left="240" w:right="40" w:firstLine="496"/>
        <w:spacing w:after="0" w:line="282" w:lineRule="auto"/>
        <w:rPr>
          <w:sz w:val="20"/>
          <w:szCs w:val="20"/>
          <w:color w:val="auto"/>
        </w:rPr>
      </w:pPr>
      <w:r>
        <w:rPr>
          <w:rFonts w:ascii="Arial" w:cs="Arial" w:eastAsia="Arial" w:hAnsi="Arial"/>
          <w:sz w:val="17"/>
          <w:szCs w:val="17"/>
          <w:color w:val="auto"/>
        </w:rPr>
        <w:t>Afirma is our first commercial solution based on our molecular cytology platform. We drive physician adoption and retention by marketing Afirma as t centerpiece of a comprehensive solution for improved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47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24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63" w:lineRule="auto"/>
        <w:rPr>
          <w:sz w:val="20"/>
          <w:szCs w:val="20"/>
          <w:color w:val="auto"/>
        </w:rPr>
      </w:pPr>
      <w:r>
        <w:rPr>
          <w:rFonts w:ascii="Arial" w:cs="Arial" w:eastAsia="Arial" w:hAnsi="Arial"/>
          <w:sz w:val="17"/>
          <w:szCs w:val="17"/>
          <w:color w:val="auto"/>
        </w:rPr>
        <w:t>disease diagnosis, which allows our offering to seamlessly integrate into a physician's practice workflow. We offer Afirma to physicians as a turnkey solution th combines cytopathology for every patient with our molecular diagnostic test when cytopathology yields ambiguous results. Our solution includes a complete patie report that guides decision making. By integrating disparate diagnostic procedures into one comprehensive offering, we can simplify and improve the diagnost process for physicians and their patients while optimizing utilization of our molecular diagnostics to maximize clinical benefits and cost savings. We intend duplicate this model with solutions we develop for other diseases.</w:t>
      </w:r>
    </w:p>
    <w:p>
      <w:pPr>
        <w:spacing w:after="0" w:line="187"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322"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patients. </w:t>
      </w:r>
      <w:r>
        <w:rPr>
          <w:rFonts w:ascii="Arial" w:cs="Arial" w:eastAsia="Arial" w:hAnsi="Arial"/>
          <w:sz w:val="15"/>
          <w:szCs w:val="15"/>
          <w:color w:val="auto"/>
        </w:rPr>
        <w:t>With the GEC, approximately half of the patients with indeterminate cytology results may avoid unnecessary, invasive diagnost</w:t>
      </w:r>
      <w:r>
        <w:rPr>
          <w:rFonts w:ascii="Arial" w:cs="Arial" w:eastAsia="Arial" w:hAnsi="Arial"/>
          <w:sz w:val="15"/>
          <w:szCs w:val="15"/>
          <w:i w:val="1"/>
          <w:iCs w:val="1"/>
          <w:color w:val="auto"/>
        </w:rPr>
        <w:t xml:space="preserve"> </w:t>
      </w:r>
      <w:r>
        <w:rPr>
          <w:rFonts w:ascii="Arial" w:cs="Arial" w:eastAsia="Arial" w:hAnsi="Arial"/>
          <w:sz w:val="15"/>
          <w:szCs w:val="15"/>
          <w:color w:val="auto"/>
        </w:rPr>
        <w:t>surgery. Patients who obtain an Afirma benign result avoid the potential for surgery-related complications, the effects of life-long hormone replaceme therapy and the associated costs. We estimate that approximately 115,000 FNAs performed in the United States in 2011 yielded an indeterminate resu</w:t>
      </w:r>
    </w:p>
    <w:p>
      <w:pPr>
        <w:spacing w:after="0" w:line="157" w:lineRule="exact"/>
        <w:rPr>
          <w:rFonts w:ascii="Arial" w:cs="Arial" w:eastAsia="Arial" w:hAnsi="Arial"/>
          <w:sz w:val="15"/>
          <w:szCs w:val="15"/>
          <w:color w:val="auto"/>
        </w:rPr>
      </w:pPr>
    </w:p>
    <w:p>
      <w:pPr>
        <w:jc w:val="both"/>
        <w:ind w:left="1280" w:right="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ind w:left="1280" w:hanging="524"/>
        <w:spacing w:after="0" w:line="306"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payers. </w:t>
      </w:r>
      <w:r>
        <w:rPr>
          <w:rFonts w:ascii="Arial" w:cs="Arial" w:eastAsia="Arial" w:hAnsi="Arial"/>
          <w:sz w:val="15"/>
          <w:szCs w:val="15"/>
          <w:color w:val="auto"/>
        </w:rPr>
        <w:t>Payers differentiate themselves by offering their insured the most advanced care available in medicine. However, payers are 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5"/>
          <w:szCs w:val="15"/>
          <w:i w:val="1"/>
          <w:iCs w:val="1"/>
          <w:color w:val="auto"/>
        </w:rPr>
        <w:t>Journal of Clinical Endocrinology and Metabolism</w:t>
      </w:r>
      <w:r>
        <w:rPr>
          <w:rFonts w:ascii="Arial" w:cs="Arial" w:eastAsia="Arial" w:hAnsi="Arial"/>
          <w:sz w:val="15"/>
          <w:szCs w:val="15"/>
          <w:color w:val="auto"/>
        </w:rPr>
        <w:t>, concluded that routine use the GEC in the United States would prevent tens of thousands of surgeries each year. Based on our estimate of the average cost of surgery of $15,000 well as clinical utility studies, full adoption of Afirma would result in over $500 million in direct cost savings to the healthcare system over five years.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71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97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415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41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80" w:type="dxa"/>
            <w:vAlign w:val="bottom"/>
            <w:gridSpan w:val="2"/>
          </w:tcPr>
          <w:p>
            <w:pPr>
              <w:ind w:left="112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w:t>
            </w:r>
          </w:p>
        </w:tc>
        <w:tc>
          <w:tcPr>
            <w:tcW w:w="5280" w:type="dxa"/>
            <w:vAlign w:val="bottom"/>
          </w:tcPr>
          <w:p>
            <w:pPr>
              <w:spacing w:after="0"/>
              <w:rPr>
                <w:sz w:val="24"/>
                <w:szCs w:val="24"/>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 (</w:t>
            </w:r>
          </w:p>
        </w:tc>
        <w:tc>
          <w:tcPr>
            <w:tcW w:w="5280" w:type="dxa"/>
            <w:vAlign w:val="bottom"/>
          </w:tcPr>
          <w:p>
            <w:pPr>
              <w:ind w:left="540"/>
              <w:spacing w:after="0"/>
              <w:rPr>
                <w:sz w:val="20"/>
                <w:szCs w:val="20"/>
                <w:color w:val="auto"/>
              </w:rPr>
            </w:pPr>
            <w:r>
              <w:rPr>
                <w:rFonts w:ascii="Arial" w:cs="Arial" w:eastAsia="Arial" w:hAnsi="Arial"/>
                <w:sz w:val="17"/>
                <w:szCs w:val="17"/>
                <w:color w:val="auto"/>
                <w:w w:val="92"/>
              </w:rPr>
              <w:t>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7"/>
                <w:szCs w:val="17"/>
                <w:color w:val="auto"/>
              </w:rPr>
              <w:t>to purchase up to</w:t>
            </w:r>
          </w:p>
        </w:tc>
        <w:tc>
          <w:tcPr>
            <w:tcW w:w="5280" w:type="dxa"/>
            <w:vAlign w:val="bottom"/>
          </w:tcPr>
          <w:p>
            <w:pPr>
              <w:ind w:left="320"/>
              <w:spacing w:after="0"/>
              <w:rPr>
                <w:sz w:val="20"/>
                <w:szCs w:val="20"/>
                <w:color w:val="auto"/>
              </w:rPr>
            </w:pPr>
            <w:r>
              <w:rPr>
                <w:rFonts w:ascii="Arial" w:cs="Arial" w:eastAsia="Arial" w:hAnsi="Arial"/>
                <w:sz w:val="17"/>
                <w:szCs w:val="17"/>
                <w:color w:val="auto"/>
              </w:rPr>
              <w:t>additional shares of common stock.</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We intend to use the net proceeds received by us from this offering for working capital and general</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corporate purposes, including continued investments in research and development and in the growth o</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2"/>
              </w:rPr>
              <w:t>our business. In addition, we may use a portion of the net proceeds from this offering for acquisitions</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89"/>
              </w:rPr>
              <w:t>complementary businesses, technologies or other assets. However, we do not have agreements for any</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material acquisitions at this time. See "Use of Proceeds".</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10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2100" w:type="dxa"/>
            <w:vAlign w:val="bottom"/>
          </w:tcPr>
          <w:p>
            <w:pPr>
              <w:ind w:left="400"/>
              <w:spacing w:after="0"/>
              <w:rPr>
                <w:sz w:val="20"/>
                <w:szCs w:val="20"/>
                <w:color w:val="auto"/>
              </w:rPr>
            </w:pPr>
            <w:r>
              <w:rPr>
                <w:rFonts w:ascii="Arial" w:cs="Arial" w:eastAsia="Arial" w:hAnsi="Arial"/>
                <w:sz w:val="17"/>
                <w:szCs w:val="17"/>
                <w:color w:val="auto"/>
              </w:rPr>
              <w:t>VCYT</w:t>
            </w:r>
          </w:p>
        </w:tc>
        <w:tc>
          <w:tcPr>
            <w:tcW w:w="5280" w:type="dxa"/>
            <w:vAlign w:val="bottom"/>
          </w:tcPr>
          <w:p>
            <w:pPr>
              <w:spacing w:after="0"/>
              <w:rPr>
                <w:sz w:val="24"/>
                <w:szCs w:val="24"/>
                <w:color w:val="auto"/>
              </w:rPr>
            </w:pPr>
          </w:p>
        </w:tc>
      </w:tr>
    </w:tbl>
    <w:p>
      <w:pPr>
        <w:spacing w:after="0" w:line="204" w:lineRule="exact"/>
        <w:rPr>
          <w:sz w:val="20"/>
          <w:szCs w:val="20"/>
          <w:color w:val="auto"/>
        </w:rPr>
      </w:pPr>
    </w:p>
    <w:p>
      <w:pPr>
        <w:jc w:val="both"/>
        <w:ind w:left="240" w:firstLine="425"/>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56,508,785 shares outstanding as of March 31, 2013, on an a converted basis, and excludes:</w:t>
      </w:r>
    </w:p>
    <w:p>
      <w:pPr>
        <w:spacing w:after="0" w:line="196" w:lineRule="exact"/>
        <w:rPr>
          <w:sz w:val="20"/>
          <w:szCs w:val="20"/>
          <w:color w:val="auto"/>
        </w:rPr>
      </w:pPr>
    </w:p>
    <w:p>
      <w:pPr>
        <w:ind w:left="1280" w:right="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9,252,658 shares of common stock issuable upon the exercise of options outstanding as of March 31, 2013, at a weighted average exercise price $0.61 per share;</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6,904,761 shares of common stock issuable upon the conversion of the 6,904,761 shares of Series C preferred stock issued subsequent to March 3 2013;</w:t>
      </w:r>
    </w:p>
    <w:p>
      <w:pPr>
        <w:spacing w:after="0" w:line="182" w:lineRule="exact"/>
        <w:rPr>
          <w:rFonts w:ascii="Arial" w:cs="Arial" w:eastAsia="Arial" w:hAnsi="Arial"/>
          <w:sz w:val="17"/>
          <w:szCs w:val="17"/>
          <w:color w:val="auto"/>
        </w:rPr>
      </w:pPr>
    </w:p>
    <w:p>
      <w:pPr>
        <w:jc w:val="both"/>
        <w:ind w:left="1280" w:hanging="524"/>
        <w:spacing w:after="0" w:line="270"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issued subsequent to March 31, 201 which will become exercisable for shares of common stock upon conversion of our Series C preferred stock into common stock immediately prior the completion of this offering, with an exercise price of $1.89 per share; and</w:t>
      </w:r>
    </w:p>
    <w:p>
      <w:pPr>
        <w:spacing w:after="0" w:line="179" w:lineRule="exact"/>
        <w:rPr>
          <w:sz w:val="20"/>
          <w:szCs w:val="20"/>
          <w:color w:val="auto"/>
        </w:rPr>
      </w:pPr>
    </w:p>
    <w:p>
      <w:pPr>
        <w:ind w:left="1280" w:right="20" w:hanging="519"/>
        <w:spacing w:after="0" w:line="315" w:lineRule="auto"/>
        <w:tabs>
          <w:tab w:leader="none" w:pos="1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1,294,032 shares of common stock reserved for future issuance under our 2008 Stock Plan and shares of common stock, subject to increa on an annual basis, reserved for future issuance under our 2013 Stock Incentive Plan,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1677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Unless otherwise indicated, all information in this prospectus assumes:</w:t>
      </w:r>
    </w:p>
    <w:p>
      <w:pPr>
        <w:spacing w:after="0" w:line="250"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completion of this offering, is in effect;</w:t>
      </w:r>
    </w:p>
    <w:p>
      <w:pPr>
        <w:spacing w:after="0" w:line="237"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into an aggregate of 59,989,268 shares of common stock immediately pri to the completion of this offering; and</w:t>
      </w:r>
    </w:p>
    <w:p>
      <w:pPr>
        <w:spacing w:after="0" w:line="170"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4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a comprehensive loss data for the years ended December 31, 2011 and 2012 and the balance sheet data as of March 31, 2013 have been derived from our audite financial statements and unaudited interim condensed financial statements included elsewhere in this prospectus. Historical results are not necessarily indicative of th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Three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Pr>
          <w:p>
            <w:pPr>
              <w:spacing w:after="0"/>
              <w:rPr>
                <w:sz w:val="13"/>
                <w:szCs w:val="13"/>
                <w:color w:val="auto"/>
              </w:rPr>
            </w:pPr>
          </w:p>
        </w:tc>
        <w:tc>
          <w:tcPr>
            <w:tcW w:w="11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96"/>
              </w:rPr>
              <w:t>March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5"/>
              </w:rPr>
              <w:t>thousands, except</w:t>
            </w:r>
          </w:p>
        </w:tc>
        <w:tc>
          <w:tcPr>
            <w:tcW w:w="10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2"/>
              </w:rPr>
              <w:t>share and per share</w:t>
            </w:r>
          </w:p>
        </w:tc>
        <w:tc>
          <w:tcPr>
            <w:tcW w:w="36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data)</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1,468</w:t>
            </w:r>
          </w:p>
        </w:tc>
        <w:tc>
          <w:tcPr>
            <w:tcW w:w="160" w:type="dxa"/>
            <w:vAlign w:val="bottom"/>
          </w:tcPr>
          <w:p>
            <w:pPr>
              <w:spacing w:after="0"/>
              <w:rPr>
                <w:sz w:val="18"/>
                <w:szCs w:val="18"/>
                <w:color w:val="auto"/>
              </w:rPr>
            </w:pPr>
          </w:p>
        </w:tc>
        <w:tc>
          <w:tcPr>
            <w:tcW w:w="200" w:type="dxa"/>
            <w:vAlign w:val="bottom"/>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1,254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2,773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1,215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gridSpan w:val="3"/>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(4,248)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(14,445)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(18,649)</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loss per common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line="189" w:lineRule="exact"/>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line="189" w:lineRule="exact"/>
              <w:rPr>
                <w:sz w:val="20"/>
                <w:szCs w:val="20"/>
                <w:color w:val="auto"/>
              </w:rPr>
            </w:pPr>
            <w:r>
              <w:rPr>
                <w:rFonts w:ascii="Arial" w:cs="Arial" w:eastAsia="Arial" w:hAnsi="Arial"/>
                <w:sz w:val="17"/>
                <w:szCs w:val="17"/>
                <w:color w:val="auto"/>
              </w:rPr>
              <w:t>(7.17)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
              <w:spacing w:after="0" w:line="189" w:lineRule="exact"/>
              <w:rPr>
                <w:sz w:val="20"/>
                <w:szCs w:val="20"/>
                <w:color w:val="auto"/>
              </w:rPr>
            </w:pPr>
            <w:r>
              <w:rPr>
                <w:rFonts w:ascii="Arial" w:cs="Arial" w:eastAsia="Arial" w:hAnsi="Arial"/>
                <w:sz w:val="17"/>
                <w:szCs w:val="17"/>
                <w:color w:val="auto"/>
              </w:rPr>
              <w:t>(1.70)</w:t>
            </w:r>
          </w:p>
        </w:tc>
        <w:tc>
          <w:tcPr>
            <w:tcW w:w="200" w:type="dxa"/>
            <w:vAlign w:val="bottom"/>
            <w:shd w:val="clear" w:color="auto" w:fill="CCEEFF"/>
          </w:tcPr>
          <w:p>
            <w:pPr>
              <w:jc w:val="center"/>
              <w:ind w:right="3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Shares used in computing net loss per common share, basic and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2,494,075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3,052,129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96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Operating Data:</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Fine needle aspirations (FNAs) received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10,757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Three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3"/>
              </w:rPr>
              <w:t>March 31,</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w:t>
            </w:r>
          </w:p>
        </w:tc>
        <w:tc>
          <w:tcPr>
            <w:tcW w:w="360" w:type="dxa"/>
            <w:vAlign w:val="bottom"/>
            <w:gridSpan w:val="2"/>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4"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45</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120</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109</w:t>
            </w:r>
          </w:p>
        </w:tc>
        <w:tc>
          <w:tcPr>
            <w:tcW w:w="360" w:type="dxa"/>
            <w:vAlign w:val="bottom"/>
            <w:gridSpan w:val="2"/>
            <w:shd w:val="clear" w:color="auto" w:fill="CCEEFF"/>
          </w:tcPr>
          <w:p>
            <w:pPr>
              <w:jc w:val="right"/>
              <w:ind w:right="54"/>
              <w:spacing w:after="0" w:line="14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204</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As of March 31, 2013</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As Adjusted</w:t>
            </w:r>
          </w:p>
        </w:tc>
      </w:tr>
      <w:tr>
        <w:trPr>
          <w:trHeight w:val="124"/>
        </w:trPr>
        <w:tc>
          <w:tcPr>
            <w:tcW w:w="6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tcPr>
          <w:p>
            <w:pPr>
              <w:jc w:val="center"/>
              <w:ind w:left="54"/>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(Unaudited)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7,072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(66,964)</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(64,657)</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March 31, 2013:</w:t>
      </w:r>
    </w:p>
    <w:p>
      <w:pPr>
        <w:spacing w:after="0" w:line="250"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 to the completion of this offering; and</w:t>
      </w:r>
    </w:p>
    <w:p>
      <w:pPr>
        <w:sectPr>
          <w:pgSz w:w="11900" w:h="16838" w:orient="portrait"/>
          <w:cols w:equalWidth="0" w:num="1">
            <w:col w:w="11520"/>
          </w:cols>
          <w:pgMar w:left="240" w:top="131" w:right="1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 stock in this offering at a price of $ per share, the midpoint of the price range set forth on the cover page of this prospectus, and aft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jc w:val="both"/>
        <w:ind w:left="240" w:firstLine="350"/>
        <w:spacing w:after="0" w:line="277"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 prospectus, would increase (decrease) each of cash and cash equivalents, working capital, total assets and total stockholders' equity (deficit) by $ millio</w:t>
      </w:r>
    </w:p>
    <w:p>
      <w:pPr>
        <w:sectPr>
          <w:pgSz w:w="11900" w:h="16838" w:orient="portrait"/>
          <w:cols w:equalWidth="0" w:num="1">
            <w:col w:w="11520"/>
          </w:cols>
          <w:pgMar w:left="240" w:top="131" w:right="139" w:bottom="1440" w:gutter="0" w:footer="0" w:header="0"/>
          <w:type w:val="continuous"/>
        </w:sectPr>
      </w:pPr>
    </w:p>
    <w:p>
      <w:pPr>
        <w:spacing w:after="0" w:line="1" w:lineRule="exact"/>
        <w:rPr>
          <w:sz w:val="20"/>
          <w:szCs w:val="20"/>
          <w:color w:val="auto"/>
        </w:rPr>
      </w:pPr>
    </w:p>
    <w:p>
      <w:pPr>
        <w:ind w:left="240"/>
        <w:spacing w:after="0" w:line="287" w:lineRule="auto"/>
        <w:rPr>
          <w:sz w:val="20"/>
          <w:szCs w:val="20"/>
          <w:color w:val="auto"/>
        </w:rPr>
      </w:pPr>
      <w:r>
        <w:rPr>
          <w:rFonts w:ascii="Arial" w:cs="Arial" w:eastAsia="Arial" w:hAnsi="Arial"/>
          <w:sz w:val="15"/>
          <w:szCs w:val="15"/>
          <w:color w:val="auto"/>
        </w:rPr>
        <w:t>assuming that the number of shares offered as set forth on the cover page of this prospectus remains the same, and after deducting the estimated underwriting discoun and commissions and estimated expenses payable by us. Each increase (decrease) of 1.0 million shares in the number of shares of common stock offered by us wou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40"/>
        <w:spacing w:after="0" w:line="277" w:lineRule="auto"/>
        <w:rPr>
          <w:sz w:val="20"/>
          <w:szCs w:val="20"/>
          <w:color w:val="auto"/>
        </w:rPr>
      </w:pPr>
      <w:r>
        <w:rPr>
          <w:rFonts w:ascii="Arial" w:cs="Arial" w:eastAsia="Arial" w:hAnsi="Arial"/>
          <w:sz w:val="16"/>
          <w:szCs w:val="16"/>
          <w:color w:val="auto"/>
        </w:rPr>
        <w:t>increase (decrease) each of cash and cash equivalents, working capital, total assets and total stockholders' equity (deficit) by approximately $ millio assuming a price of $ per share, the midpoint of the price range set forth on the cover page of this prospectus, and after deducting the estimated underwritin</w:t>
      </w:r>
    </w:p>
    <w:p>
      <w:pPr>
        <w:spacing w:after="0" w:line="1" w:lineRule="exact"/>
        <w:rPr>
          <w:sz w:val="20"/>
          <w:szCs w:val="20"/>
          <w:color w:val="auto"/>
        </w:rPr>
      </w:pPr>
    </w:p>
    <w:p>
      <w:pPr>
        <w:jc w:val="both"/>
        <w:ind w:left="240"/>
        <w:spacing w:after="0" w:line="275" w:lineRule="auto"/>
        <w:rPr>
          <w:sz w:val="20"/>
          <w:szCs w:val="20"/>
          <w:color w:val="auto"/>
        </w:rPr>
      </w:pPr>
      <w:r>
        <w:rPr>
          <w:rFonts w:ascii="Arial" w:cs="Arial" w:eastAsia="Arial" w:hAnsi="Arial"/>
          <w:sz w:val="17"/>
          <w:szCs w:val="17"/>
          <w:color w:val="auto"/>
        </w:rPr>
        <w:t>discounts and commissions and estimated expenses payable by us. The pro forma as adjusted information discussed above is illustrative only and will be adjuste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three months ended March 31, 2013, we had a net loss of $14.4 million, $18.6 million and $6.9 million, respectively, and we expect to incur additional losses this year and in future years. As of March 31, 2013, we had an accumulated deficit of $67.0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24"/>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of our revenue for the year ended December 31, 2012 and for the three months ended March 31, 2013. UnitedHealthcare accounted for 12% and 10% of our revenue for the year ended December 31, 2012 and for the three months ended March 31, 2013, respectively. Aetna accounted for 13% and 9% of our revenue for the year ended December 31, 2012 and for the three months ended March 31,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8"/>
        <w:spacing w:after="0" w:line="315" w:lineRule="auto"/>
        <w:rPr>
          <w:sz w:val="20"/>
          <w:szCs w:val="20"/>
          <w:color w:val="auto"/>
        </w:rPr>
      </w:pPr>
      <w:r>
        <w:rPr>
          <w:rFonts w:ascii="Arial" w:cs="Arial" w:eastAsia="Arial" w:hAnsi="Arial"/>
          <w:sz w:val="16"/>
          <w:szCs w:val="16"/>
          <w:color w:val="auto"/>
        </w:rPr>
        <w:t>We do not have a contracted rate of reimbursement with Aetna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immediately transition to alternative suppliers.</w:t>
      </w:r>
    </w:p>
    <w:p>
      <w:pPr>
        <w:spacing w:after="0" w:line="170" w:lineRule="exact"/>
        <w:rPr>
          <w:sz w:val="20"/>
          <w:szCs w:val="20"/>
          <w:color w:val="auto"/>
        </w:rPr>
      </w:pPr>
    </w:p>
    <w:p>
      <w:pPr>
        <w:jc w:val="both"/>
        <w:ind w:firstLine="390"/>
        <w:spacing w:after="0" w:line="261" w:lineRule="auto"/>
        <w:rPr>
          <w:sz w:val="20"/>
          <w:szCs w:val="20"/>
          <w:color w:val="auto"/>
        </w:rPr>
      </w:pPr>
      <w:r>
        <w:rPr>
          <w:rFonts w:ascii="Arial" w:cs="Arial" w:eastAsia="Arial" w:hAnsi="Arial"/>
          <w:sz w:val="17"/>
          <w:szCs w:val="17"/>
          <w:color w:val="auto"/>
        </w:rPr>
        <w:t>We rely on sole suppliers, such as NuGEN Technologies, Inc. and Affymetrix, Inc., for critical supply of reagents, equipment, chips and other materials that we use to perform the GEC. All of these items are unique to these suppliers. While we have developed alternate sourcing strategies for these materials, we cannot be certain whether these strategies will be effective or the alternative sources will be available when we need them. If these suppliers can no longer provide us with the reagents, equipment, chips, and other materials used in processing the GEC,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We rely on Thyroid Cytology Partners, P.A., or TCP, with whom we have entered into an agreement to provide cytopathology professional diagnoses on thyroid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w:t>
      </w:r>
    </w:p>
    <w:p>
      <w:pPr>
        <w:spacing w:after="0" w:line="163"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We believe that Afirma is an LDT. As a result, we believe Afirma should not be subject to regulation in accordance with the FDA's current policy of exercising enforcement discretion regarding LDTs.</w:t>
      </w:r>
    </w:p>
    <w:p>
      <w:pPr>
        <w:spacing w:after="0" w:line="185"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7"/>
          <w:szCs w:val="17"/>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 future for our tests, whether through additional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We cannot predict the timing or content of future legislation enacted or guidance issued regarding LDTs, or how it will affect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5"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If FDA premarket review or approval is required for Afirma or any of our future tests we may develop, or we decide to voluntarily pursue FDA review or approval, we may be forced to stop selling our tests or we may be allowed to keep selling our tests while we work to obtain FDA approval. Our business would be negatively affected until such review is completed and clearance to market or approval is obtained. The regulatory approval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they are labeled investigational by the FDA,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7"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 capabilities outside of the United States and expanding our relationships with international payers. Doing business internationally involves a number of risks, including:</w:t>
      </w:r>
    </w:p>
    <w:p>
      <w:pPr>
        <w:spacing w:after="0" w:line="205" w:lineRule="exact"/>
        <w:rPr>
          <w:sz w:val="20"/>
          <w:szCs w:val="20"/>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conduct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we might choose to abandon the development of the product, which could harm our business. In addition, competitors may develop and commercialize competing products or technologies faster than us or at a lower cost.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color w:val="auto"/>
        </w:rPr>
        <w:t>We are also required to maintain state licenses to conduct testing in our laboratories. California law establishes standards for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 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75"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If we were to lose our CLIA certificate or state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 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3"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74" w:lineRule="exact"/>
        <w:rPr>
          <w:sz w:val="20"/>
          <w:szCs w:val="20"/>
          <w:color w:val="auto"/>
        </w:rPr>
      </w:pPr>
    </w:p>
    <w:p>
      <w:pPr>
        <w:jc w:val="both"/>
        <w:ind w:firstLine="338"/>
        <w:spacing w:after="0" w:line="278"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70"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78" w:lineRule="auto"/>
        <w:rPr>
          <w:sz w:val="20"/>
          <w:szCs w:val="20"/>
          <w:color w:val="auto"/>
        </w:rPr>
      </w:pPr>
      <w:r>
        <w:rPr>
          <w:rFonts w:ascii="Arial" w:cs="Arial" w:eastAsia="Arial" w:hAnsi="Arial"/>
          <w:sz w:val="16"/>
          <w:szCs w:val="16"/>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June 30, 2013, we had six pending United States non-provisional patent applications and one allowed patent application.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9"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90"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5"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8"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77"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 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1"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ind w:firstLine="370"/>
        <w:spacing w:after="0" w:line="315" w:lineRule="auto"/>
        <w:rPr>
          <w:sz w:val="20"/>
          <w:szCs w:val="20"/>
          <w:color w:val="auto"/>
        </w:rPr>
      </w:pPr>
      <w:r>
        <w:rPr>
          <w:rFonts w:ascii="Arial" w:cs="Arial" w:eastAsia="Arial" w:hAnsi="Arial"/>
          <w:sz w:val="16"/>
          <w:szCs w:val="16"/>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The price of our common stock could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 Further, securities analysts may elect not to provide research coverage of our company after the completion of this offering, and such lack of research coverage may adversely affect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restrictions on resale discussed in this prospectus lapse, the trading price of our common stock could decline. Based on shares outstanding as of , 2013, upon completion of this offering, we will have outstanding a total of shares of common stock. Of these shares, only the shares of common stock sold in this offering</w:t>
      </w:r>
    </w:p>
    <w:p>
      <w:pPr>
        <w:spacing w:after="0" w:line="1" w:lineRule="exact"/>
        <w:rPr>
          <w:sz w:val="20"/>
          <w:szCs w:val="20"/>
          <w:color w:val="auto"/>
        </w:rPr>
      </w:pPr>
    </w:p>
    <w:p>
      <w:pPr>
        <w:jc w:val="both"/>
        <w:spacing w:after="0" w:line="190" w:lineRule="auto"/>
        <w:rPr>
          <w:sz w:val="20"/>
          <w:szCs w:val="20"/>
          <w:color w:val="auto"/>
        </w:rPr>
      </w:pPr>
      <w:r>
        <w:rPr>
          <w:rFonts w:ascii="Arial" w:cs="Arial" w:eastAsia="Arial" w:hAnsi="Arial"/>
          <w:sz w:val="15"/>
          <w:szCs w:val="15"/>
          <w:color w:val="auto"/>
        </w:rPr>
        <w:t>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expiration of the lock-up agreements. After the lock-up agreements expire, based on shares outstanding as of , 2013, up to an additional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 stock that are subject to outstanding options as of , 2013 will become eligible for sale in the public market to the extent permitted by the provisions of various vesting agreements, the lock-up</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As of , 2013, directors and executive officers and their affiliates beneficially owned, in the aggregate, %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This concentration of ownership could limit stockholders' ability to influence corporate matters and may have the effect of delaying or preventing a third party from acquiring control over us.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completion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both"/>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new tests and cause the price of our common stock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20" w:type="dxa"/>
            <w:vAlign w:val="bottom"/>
            <w:gridSpan w:val="3"/>
          </w:tcPr>
          <w:p>
            <w:pPr>
              <w:spacing w:after="0"/>
              <w:rPr>
                <w:sz w:val="20"/>
                <w:szCs w:val="20"/>
                <w:color w:val="auto"/>
              </w:rPr>
            </w:pPr>
            <w:r>
              <w:rPr>
                <w:rFonts w:ascii="Arial" w:cs="Arial" w:eastAsia="Arial" w:hAnsi="Arial"/>
                <w:sz w:val="17"/>
                <w:szCs w:val="17"/>
                <w:color w:val="auto"/>
                <w:w w:val="97"/>
              </w:rPr>
              <w:t>this offering. Therefore, if you purchase our common stock in this offering, you will incur an immediate dilution of $</w:t>
            </w:r>
          </w:p>
        </w:tc>
        <w:tc>
          <w:tcPr>
            <w:tcW w:w="3100" w:type="dxa"/>
            <w:vAlign w:val="bottom"/>
            <w:gridSpan w:val="2"/>
          </w:tcPr>
          <w:p>
            <w:pPr>
              <w:jc w:val="right"/>
              <w:spacing w:after="0"/>
              <w:rPr>
                <w:sz w:val="20"/>
                <w:szCs w:val="20"/>
                <w:color w:val="auto"/>
              </w:rPr>
            </w:pPr>
            <w:r>
              <w:rPr>
                <w:rFonts w:ascii="Arial" w:cs="Arial" w:eastAsia="Arial" w:hAnsi="Arial"/>
                <w:sz w:val="17"/>
                <w:szCs w:val="17"/>
                <w:color w:val="auto"/>
                <w:w w:val="99"/>
              </w:rPr>
              <w:t>in net tangible book value per share from</w:t>
            </w:r>
          </w:p>
        </w:tc>
      </w:tr>
      <w:tr>
        <w:trPr>
          <w:trHeight w:val="210"/>
        </w:trPr>
        <w:tc>
          <w:tcPr>
            <w:tcW w:w="5420" w:type="dxa"/>
            <w:vAlign w:val="bottom"/>
            <w:gridSpan w:val="2"/>
          </w:tcPr>
          <w:p>
            <w:pPr>
              <w:spacing w:after="0"/>
              <w:rPr>
                <w:sz w:val="20"/>
                <w:szCs w:val="20"/>
                <w:color w:val="auto"/>
              </w:rPr>
            </w:pPr>
            <w:r>
              <w:rPr>
                <w:rFonts w:ascii="Arial" w:cs="Arial" w:eastAsia="Arial" w:hAnsi="Arial"/>
                <w:sz w:val="17"/>
                <w:szCs w:val="17"/>
                <w:color w:val="auto"/>
              </w:rPr>
              <w:t>the price you paid, based on an assumed initial public offering price of $</w:t>
            </w:r>
          </w:p>
        </w:tc>
        <w:tc>
          <w:tcPr>
            <w:tcW w:w="6000" w:type="dxa"/>
            <w:vAlign w:val="bottom"/>
            <w:gridSpan w:val="3"/>
          </w:tcPr>
          <w:p>
            <w:pPr>
              <w:jc w:val="right"/>
              <w:spacing w:after="0"/>
              <w:rPr>
                <w:sz w:val="20"/>
                <w:szCs w:val="20"/>
                <w:color w:val="auto"/>
              </w:rPr>
            </w:pPr>
            <w:r>
              <w:rPr>
                <w:rFonts w:ascii="Arial" w:cs="Arial" w:eastAsia="Arial" w:hAnsi="Arial"/>
                <w:sz w:val="17"/>
                <w:szCs w:val="17"/>
                <w:color w:val="auto"/>
              </w:rPr>
              <w:t>per share. In addition, new investors who purchase shares in this offering will</w:t>
            </w:r>
          </w:p>
        </w:tc>
      </w:tr>
      <w:tr>
        <w:trPr>
          <w:trHeight w:val="210"/>
        </w:trPr>
        <w:tc>
          <w:tcPr>
            <w:tcW w:w="1940" w:type="dxa"/>
            <w:vAlign w:val="bottom"/>
          </w:tcPr>
          <w:p>
            <w:pPr>
              <w:spacing w:after="0"/>
              <w:rPr>
                <w:sz w:val="20"/>
                <w:szCs w:val="20"/>
                <w:color w:val="auto"/>
              </w:rPr>
            </w:pPr>
            <w:r>
              <w:rPr>
                <w:rFonts w:ascii="Arial" w:cs="Arial" w:eastAsia="Arial" w:hAnsi="Arial"/>
                <w:sz w:val="17"/>
                <w:szCs w:val="17"/>
                <w:color w:val="auto"/>
              </w:rPr>
              <w:t>contribute approximately</w:t>
            </w:r>
          </w:p>
        </w:tc>
        <w:tc>
          <w:tcPr>
            <w:tcW w:w="8700" w:type="dxa"/>
            <w:vAlign w:val="bottom"/>
            <w:gridSpan w:val="3"/>
          </w:tcPr>
          <w:p>
            <w:pPr>
              <w:ind w:left="200"/>
              <w:spacing w:after="0"/>
              <w:rPr>
                <w:sz w:val="20"/>
                <w:szCs w:val="20"/>
                <w:color w:val="auto"/>
              </w:rPr>
            </w:pPr>
            <w:r>
              <w:rPr>
                <w:rFonts w:ascii="Arial" w:cs="Arial" w:eastAsia="Arial" w:hAnsi="Arial"/>
                <w:sz w:val="17"/>
                <w:szCs w:val="17"/>
                <w:color w:val="auto"/>
                <w:w w:val="98"/>
              </w:rPr>
              <w:t>% of the total amount of equity capital raised by us through the date of this offering, but will only own approximately</w:t>
            </w:r>
          </w:p>
        </w:tc>
        <w:tc>
          <w:tcPr>
            <w:tcW w:w="780" w:type="dxa"/>
            <w:vAlign w:val="bottom"/>
          </w:tcPr>
          <w:p>
            <w:pPr>
              <w:jc w:val="right"/>
              <w:spacing w:after="0"/>
              <w:rPr>
                <w:sz w:val="20"/>
                <w:szCs w:val="20"/>
                <w:color w:val="auto"/>
              </w:rPr>
            </w:pPr>
            <w:r>
              <w:rPr>
                <w:rFonts w:ascii="Arial" w:cs="Arial" w:eastAsia="Arial" w:hAnsi="Arial"/>
                <w:sz w:val="17"/>
                <w:szCs w:val="17"/>
                <w:color w:val="auto"/>
              </w:rPr>
              <w:t>% of the</w:t>
            </w:r>
          </w:p>
        </w:tc>
      </w:tr>
      <w:tr>
        <w:trPr>
          <w:trHeight w:val="216"/>
        </w:trPr>
        <w:tc>
          <w:tcPr>
            <w:tcW w:w="5420" w:type="dxa"/>
            <w:vAlign w:val="bottom"/>
            <w:gridSpan w:val="2"/>
          </w:tcPr>
          <w:p>
            <w:pPr>
              <w:spacing w:after="0"/>
              <w:rPr>
                <w:sz w:val="20"/>
                <w:szCs w:val="20"/>
                <w:color w:val="auto"/>
              </w:rPr>
            </w:pPr>
            <w:r>
              <w:rPr>
                <w:rFonts w:ascii="Arial" w:cs="Arial" w:eastAsia="Arial" w:hAnsi="Arial"/>
                <w:sz w:val="17"/>
                <w:szCs w:val="17"/>
                <w:color w:val="auto"/>
                <w:w w:val="94"/>
              </w:rPr>
              <w:t>outstanding equity capital. The exercise of outstanding options and warrants</w:t>
            </w:r>
          </w:p>
        </w:tc>
        <w:tc>
          <w:tcPr>
            <w:tcW w:w="2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19"/>
        </w:trPr>
        <w:tc>
          <w:tcPr>
            <w:tcW w:w="1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00" w:type="dxa"/>
            <w:vAlign w:val="bottom"/>
          </w:tcPr>
          <w:p>
            <w:pPr>
              <w:jc w:val="right"/>
              <w:ind w:right="2435"/>
              <w:spacing w:after="0"/>
              <w:rPr>
                <w:sz w:val="20"/>
                <w:szCs w:val="20"/>
                <w:color w:val="auto"/>
              </w:rPr>
            </w:pPr>
            <w:r>
              <w:rPr>
                <w:rFonts w:ascii="Arial" w:cs="Arial" w:eastAsia="Arial" w:hAnsi="Arial"/>
                <w:sz w:val="17"/>
                <w:szCs w:val="17"/>
                <w:color w:val="auto"/>
              </w:rPr>
              <w:t>30</w:t>
            </w: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19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will result in further dilution. For a detailed description of the dilution that you will experience immediately after this offering, see "Dilution".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our size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liquidity and working capital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52"/>
        <w:spacing w:after="0" w:line="322" w:lineRule="auto"/>
        <w:rPr>
          <w:sz w:val="20"/>
          <w:szCs w:val="20"/>
          <w:color w:val="auto"/>
        </w:rPr>
      </w:pPr>
      <w:r>
        <w:rPr>
          <w:rFonts w:ascii="Arial" w:cs="Arial" w:eastAsia="Arial" w:hAnsi="Arial"/>
          <w:sz w:val="15"/>
          <w:szCs w:val="15"/>
          <w:color w:val="auto"/>
        </w:rPr>
        <w:t>This prospectus also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Although we have assessed the information in the publications and found it to be reasonable and believe the publications are reliable, we have not independently verified their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162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7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280"/>
              <w:spacing w:after="0"/>
              <w:rPr>
                <w:sz w:val="20"/>
                <w:szCs w:val="20"/>
                <w:color w:val="auto"/>
              </w:rPr>
            </w:pPr>
            <w:r>
              <w:rPr>
                <w:rFonts w:ascii="Arial" w:cs="Arial" w:eastAsia="Arial" w:hAnsi="Arial"/>
                <w:sz w:val="17"/>
                <w:szCs w:val="17"/>
                <w:b w:val="1"/>
                <w:bCs w:val="1"/>
                <w:color w:val="auto"/>
              </w:rPr>
              <w:t>USE OF PROCEEDS</w:t>
            </w:r>
          </w:p>
        </w:tc>
        <w:tc>
          <w:tcPr>
            <w:tcW w:w="2700" w:type="dxa"/>
            <w:vAlign w:val="bottom"/>
          </w:tcPr>
          <w:p>
            <w:pPr>
              <w:spacing w:after="0"/>
              <w:rPr>
                <w:sz w:val="24"/>
                <w:szCs w:val="24"/>
                <w:color w:val="auto"/>
              </w:rPr>
            </w:pPr>
          </w:p>
        </w:tc>
      </w:tr>
      <w:tr>
        <w:trPr>
          <w:trHeight w:val="413"/>
        </w:trPr>
        <w:tc>
          <w:tcPr>
            <w:tcW w:w="8720" w:type="dxa"/>
            <w:vAlign w:val="bottom"/>
            <w:gridSpan w:val="3"/>
          </w:tcPr>
          <w:p>
            <w:pPr>
              <w:ind w:left="360"/>
              <w:spacing w:after="0"/>
              <w:rPr>
                <w:sz w:val="20"/>
                <w:szCs w:val="20"/>
                <w:color w:val="auto"/>
              </w:rPr>
            </w:pPr>
            <w:r>
              <w:rPr>
                <w:rFonts w:ascii="Arial" w:cs="Arial" w:eastAsia="Arial" w:hAnsi="Arial"/>
                <w:sz w:val="17"/>
                <w:szCs w:val="17"/>
                <w:color w:val="auto"/>
                <w:w w:val="94"/>
              </w:rPr>
              <w:t>We estimate that the net proceeds from the sale of shares of our common stock in this offering will be approximately $</w:t>
            </w:r>
          </w:p>
        </w:tc>
        <w:tc>
          <w:tcPr>
            <w:tcW w:w="2700" w:type="dxa"/>
            <w:vAlign w:val="bottom"/>
          </w:tcPr>
          <w:p>
            <w:pPr>
              <w:jc w:val="right"/>
              <w:spacing w:after="0"/>
              <w:rPr>
                <w:sz w:val="20"/>
                <w:szCs w:val="20"/>
                <w:color w:val="auto"/>
              </w:rPr>
            </w:pPr>
            <w:r>
              <w:rPr>
                <w:rFonts w:ascii="Arial" w:cs="Arial" w:eastAsia="Arial" w:hAnsi="Arial"/>
                <w:sz w:val="17"/>
                <w:szCs w:val="17"/>
                <w:color w:val="auto"/>
                <w:w w:val="99"/>
              </w:rPr>
              <w:t>, based on an assumed initial public</w:t>
            </w:r>
          </w:p>
        </w:tc>
      </w:tr>
      <w:tr>
        <w:trPr>
          <w:trHeight w:val="216"/>
        </w:trPr>
        <w:tc>
          <w:tcPr>
            <w:tcW w:w="162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00" w:type="dxa"/>
            <w:vAlign w:val="bottom"/>
            <w:gridSpan w:val="2"/>
          </w:tcPr>
          <w:p>
            <w:pPr>
              <w:jc w:val="right"/>
              <w:spacing w:after="0"/>
              <w:rPr>
                <w:sz w:val="20"/>
                <w:szCs w:val="20"/>
                <w:color w:val="auto"/>
              </w:rPr>
            </w:pPr>
            <w:r>
              <w:rPr>
                <w:rFonts w:ascii="Arial" w:cs="Arial" w:eastAsia="Arial" w:hAnsi="Arial"/>
                <w:sz w:val="17"/>
                <w:szCs w:val="17"/>
                <w:color w:val="auto"/>
                <w:w w:val="96"/>
              </w:rPr>
              <w:t>per share, the midpoint of the price range set forth on the cover page of this prospectus, and after deducting the estimated underwriting</w:t>
            </w:r>
          </w:p>
        </w:tc>
      </w:tr>
    </w:tbl>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over-allotment option to purchase additional shares from us is exercised</w:t>
      </w: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full, we estimate that our net proceeds will be approximately $ . A $1.00 increase (decrease) in the assumed initial public offering price of $ per share, the midpoint of the price range set forth on the cover page of this prospectus, would increase (decrease) the estimated net proceeds to us by $ million, assuming</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1.0 million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83"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We currently intend to use the net proceeds received by us from this offering for working capital and general corporate purposes, including continued investments in research and development and in the growth of our business. In addition, we may use a portion of the net proceeds received by us from this offering for acquisitions of complementary businesses, technologies or other assets. We have no agreements with respect to any material acquisitions at this time, and we have not allocated specific amounts of net proceeds for any of these purposes.</w:t>
      </w:r>
    </w:p>
    <w:p>
      <w:pPr>
        <w:spacing w:after="0" w:line="1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7"/>
          <w:szCs w:val="17"/>
          <w:color w:val="auto"/>
        </w:rPr>
        <w:t>We cannot specify with certainty the particular amounts or uses for the net proceeds to be received by us from this offering. Accordingly, our management will have broad discretion in using the net proceeds to be received by us from this offering.</w:t>
      </w:r>
    </w:p>
    <w:p>
      <w:pPr>
        <w:spacing w:after="0" w:line="170"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Pending the use of proceeds from this offering as described above,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March 31, 2013, as follows:</w:t>
      </w:r>
    </w:p>
    <w:p>
      <w:pPr>
        <w:spacing w:after="0" w:line="237"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prior to the completion of this offering; and</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gridSpan w:val="6"/>
          </w:tcPr>
          <w:p>
            <w:pPr>
              <w:jc w:val="center"/>
              <w:ind w:right="2080"/>
              <w:spacing w:after="0"/>
              <w:rPr>
                <w:sz w:val="20"/>
                <w:szCs w:val="20"/>
                <w:color w:val="auto"/>
              </w:rPr>
            </w:pPr>
            <w:r>
              <w:rPr>
                <w:rFonts w:ascii="Arial" w:cs="Arial" w:eastAsia="Arial" w:hAnsi="Arial"/>
                <w:sz w:val="13"/>
                <w:szCs w:val="13"/>
                <w:b w:val="1"/>
                <w:bCs w:val="1"/>
                <w:color w:val="auto"/>
                <w:w w:val="91"/>
              </w:rPr>
              <w:t>As of March 31, 2013</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Pro Forma as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 Forma</w:t>
            </w:r>
          </w:p>
        </w:tc>
        <w:tc>
          <w:tcPr>
            <w:tcW w:w="22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(Unaudited)</w:t>
            </w:r>
          </w:p>
        </w:tc>
        <w:tc>
          <w:tcPr>
            <w:tcW w:w="1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00" w:type="dxa"/>
            <w:vAlign w:val="bottom"/>
            <w:gridSpan w:val="9"/>
          </w:tcPr>
          <w:p>
            <w:pPr>
              <w:jc w:val="center"/>
              <w:ind w:right="1280"/>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7,072</w:t>
            </w:r>
          </w:p>
        </w:tc>
        <w:tc>
          <w:tcPr>
            <w:tcW w:w="880" w:type="dxa"/>
            <w:vAlign w:val="bottom"/>
            <w:gridSpan w:val="2"/>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616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0" w:type="dxa"/>
            <w:vAlign w:val="bottom"/>
          </w:tcPr>
          <w:p>
            <w:pPr>
              <w:spacing w:after="0"/>
              <w:rPr>
                <w:sz w:val="15"/>
                <w:szCs w:val="15"/>
                <w:color w:val="auto"/>
              </w:rPr>
            </w:pPr>
          </w:p>
        </w:tc>
        <w:tc>
          <w:tcPr>
            <w:tcW w:w="6160" w:type="dxa"/>
            <w:vAlign w:val="bottom"/>
            <w:gridSpan w:val="3"/>
          </w:tcPr>
          <w:p>
            <w:pPr>
              <w:ind w:left="20"/>
              <w:spacing w:after="0" w:line="180" w:lineRule="exact"/>
              <w:rPr>
                <w:sz w:val="20"/>
                <w:szCs w:val="20"/>
                <w:color w:val="auto"/>
              </w:rPr>
            </w:pPr>
            <w:r>
              <w:rPr>
                <w:rFonts w:ascii="Arial" w:cs="Arial" w:eastAsia="Arial" w:hAnsi="Arial"/>
                <w:sz w:val="17"/>
                <w:szCs w:val="17"/>
                <w:color w:val="auto"/>
                <w:w w:val="93"/>
              </w:rPr>
              <w:t>Convertible preferred stock, par value $0.001 per share: 59,147,999 shares authorized,</w:t>
            </w: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rPr>
              <w:t>53,084,507 issued and outstanding, actual; no shares authorized, issued or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w w:val="91"/>
              </w:rPr>
              <w:t>outstanding, pro forma and 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63,372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w w:val="94"/>
              </w:rPr>
              <w:t>Common stock, par value $0.001 per share: 77,000,000 shares authorized, 3,424,278</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actual;</w:t>
            </w:r>
          </w:p>
        </w:tc>
        <w:tc>
          <w:tcPr>
            <w:tcW w:w="2680" w:type="dxa"/>
            <w:vAlign w:val="bottom"/>
            <w:gridSpan w:val="3"/>
          </w:tcPr>
          <w:p>
            <w:pPr>
              <w:jc w:val="right"/>
              <w:ind w:right="405"/>
              <w:spacing w:after="0"/>
              <w:rPr>
                <w:sz w:val="20"/>
                <w:szCs w:val="20"/>
                <w:color w:val="auto"/>
              </w:rPr>
            </w:pPr>
            <w:r>
              <w:rPr>
                <w:rFonts w:ascii="Arial" w:cs="Arial" w:eastAsia="Arial" w:hAnsi="Arial"/>
                <w:sz w:val="17"/>
                <w:szCs w:val="17"/>
                <w:color w:val="auto"/>
                <w:w w:val="94"/>
              </w:rPr>
              <w:t>shares authorized, 56,508,785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pro forma;</w:t>
            </w:r>
          </w:p>
        </w:tc>
        <w:tc>
          <w:tcPr>
            <w:tcW w:w="2680" w:type="dxa"/>
            <w:vAlign w:val="bottom"/>
            <w:gridSpan w:val="3"/>
          </w:tcPr>
          <w:p>
            <w:pPr>
              <w:jc w:val="right"/>
              <w:ind w:right="465"/>
              <w:spacing w:after="0"/>
              <w:rPr>
                <w:sz w:val="20"/>
                <w:szCs w:val="20"/>
                <w:color w:val="auto"/>
              </w:rPr>
            </w:pPr>
            <w:r>
              <w:rPr>
                <w:rFonts w:ascii="Arial" w:cs="Arial" w:eastAsia="Arial" w:hAnsi="Arial"/>
                <w:sz w:val="17"/>
                <w:szCs w:val="17"/>
                <w:color w:val="auto"/>
                <w:w w:val="90"/>
              </w:rPr>
              <w:t>shares issued and outstanding,</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(66,964)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(64,657)</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ind w:right="785"/>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00" w:type="dxa"/>
            <w:vAlign w:val="bottom"/>
            <w:gridSpan w:val="3"/>
          </w:tcPr>
          <w:p>
            <w:pPr>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5520" w:type="dxa"/>
            <w:vAlign w:val="bottom"/>
            <w:gridSpan w:val="10"/>
          </w:tcPr>
          <w:p>
            <w:pPr>
              <w:ind w:left="300"/>
              <w:spacing w:after="0"/>
              <w:rPr>
                <w:sz w:val="20"/>
                <w:szCs w:val="20"/>
                <w:color w:val="auto"/>
              </w:rPr>
            </w:pPr>
            <w:r>
              <w:rPr>
                <w:rFonts w:ascii="Arial" w:cs="Arial" w:eastAsia="Arial" w:hAnsi="Arial"/>
                <w:sz w:val="17"/>
                <w:szCs w:val="17"/>
                <w:color w:val="auto"/>
                <w:w w:val="91"/>
              </w:rPr>
              <w:t>per share, the midpoint of the price range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prospectus, would increase (decrease) each of cash and cash equivalents, additional paid-in capital, total capitalization and total stockholders' (deficit) equity by</w:t>
      </w:r>
    </w:p>
    <w:p>
      <w:pPr>
        <w:spacing w:after="0" w:line="26" w:lineRule="exact"/>
        <w:rPr>
          <w:sz w:val="20"/>
          <w:szCs w:val="20"/>
          <w:color w:val="auto"/>
        </w:rPr>
      </w:pPr>
    </w:p>
    <w:p>
      <w:pPr>
        <w:jc w:val="both"/>
        <w:ind w:firstLine="5"/>
        <w:spacing w:after="0" w:line="291" w:lineRule="auto"/>
        <w:tabs>
          <w:tab w:leader="none" w:pos="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cash and cash equivalents, additional paid-in capital, total capitalization and total stockholders' (deficit) equity by</w:t>
      </w:r>
    </w:p>
    <w:p>
      <w:pPr>
        <w:spacing w:after="0" w:line="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approximately $ million, assuming an initial public offering price of $ per share, the midpoint of the price range set forth on the cover page of this prospectus, and after deducting the estimated underwriting discounts and commissions and estimated offering expenses payable by us. The pro forma as adjusted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information discussed above is illustrative only and will be adjusted based on the actual public offering price and other terms of this offering determined at pricing.</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the underwriters' over-allotment option were exercised in full, pro forma as adjusted cash and cash equivalents, common stock, additional paid-in capital, total</w:t>
      </w:r>
    </w:p>
    <w:p>
      <w:pPr>
        <w:spacing w:after="0" w:line="43" w:lineRule="exact"/>
        <w:rPr>
          <w:sz w:val="20"/>
          <w:szCs w:val="20"/>
          <w:color w:val="auto"/>
        </w:rPr>
      </w:pPr>
    </w:p>
    <w:p>
      <w:pPr>
        <w:spacing w:after="0"/>
        <w:tabs>
          <w:tab w:leader="none" w:pos="6520" w:val="left"/>
          <w:tab w:leader="none" w:pos="7200" w:val="left"/>
          <w:tab w:leader="none" w:pos="7880" w:val="left"/>
          <w:tab w:leader="none" w:pos="8560" w:val="left"/>
          <w:tab w:leader="none" w:pos="9320" w:val="left"/>
        </w:tabs>
        <w:rPr>
          <w:sz w:val="20"/>
          <w:szCs w:val="20"/>
          <w:color w:val="auto"/>
        </w:rPr>
      </w:pPr>
      <w:r>
        <w:rPr>
          <w:rFonts w:ascii="Arial" w:cs="Arial" w:eastAsia="Arial" w:hAnsi="Arial"/>
          <w:sz w:val="17"/>
          <w:szCs w:val="17"/>
          <w:color w:val="auto"/>
        </w:rPr>
        <w:t>stockholders' deficit and shares issued and outstanding as of March 31, 2013 would be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respectively.</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9,252,658 shares of common stock issuable upon the exercise of options outstanding as of March 31, 2013, at a weighted average exercise price of $0.61 per share;</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6,904,761 shares of common stock issuable upon the conversion of the 6,904,761 shares of Series C preferred stock issued subsequent to March 31, 2013;</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issued subsequent to March 31, 2013, which will become exercisable for shares of common stock upon conversion of our Series C preferred stock into common stock immediately prior to the completion of this offering, with an exercise price of $1.89 per share; and</w:t>
      </w:r>
    </w:p>
    <w:p>
      <w:pPr>
        <w:spacing w:after="0" w:line="179" w:lineRule="exact"/>
        <w:rPr>
          <w:sz w:val="20"/>
          <w:szCs w:val="20"/>
          <w:color w:val="auto"/>
        </w:rPr>
      </w:pPr>
    </w:p>
    <w:p>
      <w:pPr>
        <w:jc w:val="center"/>
        <w:ind w:left="1300"/>
        <w:spacing w:after="0" w:line="315" w:lineRule="auto"/>
        <w:tabs>
          <w:tab w:leader="none" w:pos="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1,294,032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outstanding. Our historical net tangible book value (deficit) as of March 31, 2013, was $ , or $ per share of common stock. Our pro forma net tangible book value (deficit) as of March 31, 2013, was $ , or $ per share of common stock, based on the total number of shares of our common stock outstanding as of March 31, 2013, after giving effect to the conversion of all outstanding shares of our convertible preferred stock into common stock.</w:t>
      </w:r>
    </w:p>
    <w:p>
      <w:pPr>
        <w:spacing w:after="0" w:line="183"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price range set forth on the cover page of this prospectus, and after deducting the estimated underwriting discounts and commissions and estimated offering expenses</w:t>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payable by us, our pro forma as adjusted net tangible book value as of March 31, 2013 would have been $ , or $ per share. This represents an immediate increase in pro forma net tangible book value of $ per share to existing stockholders and an immediate dilution in net tangible book value of</w:t>
      </w:r>
    </w:p>
    <w:p>
      <w:pPr>
        <w:ind w:left="780" w:hanging="775"/>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 share to purchasers of common stock in this offering, as illustrated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Arial" w:cs="Arial" w:eastAsia="Arial" w:hAnsi="Arial"/>
                <w:sz w:val="17"/>
                <w:szCs w:val="17"/>
                <w:color w:val="auto"/>
              </w:rPr>
              <w:t>Pro forma net tangible book value (deficit) per share as of March 31, 2013</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60" w:type="dxa"/>
            <w:vAlign w:val="bottom"/>
            <w:gridSpan w:val="3"/>
            <w:vMerge w:val="restart"/>
          </w:tcPr>
          <w:p>
            <w:pPr>
              <w:ind w:left="1720"/>
              <w:spacing w:after="0"/>
              <w:rPr>
                <w:sz w:val="20"/>
                <w:szCs w:val="20"/>
                <w:color w:val="auto"/>
              </w:rPr>
            </w:pPr>
            <w:r>
              <w:rPr>
                <w:rFonts w:ascii="Arial" w:cs="Arial" w:eastAsia="Arial" w:hAnsi="Arial"/>
                <w:sz w:val="17"/>
                <w:szCs w:val="17"/>
                <w:color w:val="auto"/>
                <w:w w:val="99"/>
              </w:rPr>
              <w:t>Pro forma as adjusted net tangible book value (deficit) per share after this offering</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w w:val="94"/>
              </w:rPr>
              <w:t>Dilution per share to investors participating in this offering</w:t>
            </w:r>
          </w:p>
        </w:tc>
        <w:tc>
          <w:tcPr>
            <w:tcW w:w="20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2"/>
          </w:tcPr>
          <w:p>
            <w:pPr>
              <w:spacing w:after="0"/>
              <w:rPr>
                <w:sz w:val="2"/>
                <w:szCs w:val="2"/>
                <w:color w:val="auto"/>
              </w:rPr>
            </w:pPr>
          </w:p>
        </w:tc>
        <w:tc>
          <w:tcPr>
            <w:tcW w:w="31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40" w:type="dxa"/>
            <w:vAlign w:val="bottom"/>
            <w:gridSpan w:val="2"/>
          </w:tcPr>
          <w:p>
            <w:pPr>
              <w:ind w:left="400"/>
              <w:spacing w:after="0"/>
              <w:rPr>
                <w:sz w:val="20"/>
                <w:szCs w:val="20"/>
                <w:color w:val="auto"/>
              </w:rPr>
            </w:pPr>
            <w:r>
              <w:rPr>
                <w:rFonts w:ascii="Arial" w:cs="Arial" w:eastAsia="Arial" w:hAnsi="Arial"/>
                <w:sz w:val="17"/>
                <w:szCs w:val="17"/>
                <w:color w:val="auto"/>
                <w:w w:val="99"/>
              </w:rPr>
              <w:t>Each $1.00 increase (decrease) in the assumed public offering price of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7"/>
              </w:rPr>
              <w:t>per share, the midpoint of the price range set forth on the cover page of this</w:t>
            </w:r>
          </w:p>
        </w:tc>
        <w:tc>
          <w:tcPr>
            <w:tcW w:w="0" w:type="dxa"/>
            <w:vAlign w:val="bottom"/>
          </w:tcPr>
          <w:p>
            <w:pPr>
              <w:spacing w:after="0"/>
              <w:rPr>
                <w:sz w:val="1"/>
                <w:szCs w:val="1"/>
                <w:color w:val="auto"/>
              </w:rPr>
            </w:pPr>
          </w:p>
        </w:tc>
      </w:tr>
      <w:tr>
        <w:trPr>
          <w:trHeight w:val="210"/>
        </w:trPr>
        <w:tc>
          <w:tcPr>
            <w:tcW w:w="7860" w:type="dxa"/>
            <w:vAlign w:val="bottom"/>
            <w:gridSpan w:val="3"/>
          </w:tcPr>
          <w:p>
            <w:pPr>
              <w:spacing w:after="0"/>
              <w:rPr>
                <w:sz w:val="20"/>
                <w:szCs w:val="20"/>
                <w:color w:val="auto"/>
              </w:rPr>
            </w:pPr>
            <w:r>
              <w:rPr>
                <w:rFonts w:ascii="Arial" w:cs="Arial" w:eastAsia="Arial" w:hAnsi="Arial"/>
                <w:sz w:val="17"/>
                <w:szCs w:val="17"/>
                <w:color w:val="auto"/>
                <w:w w:val="95"/>
              </w:rPr>
              <w:t>prospectus, would increase (decrease) our pro forma as adjusted net tangible book value by approximately $</w:t>
            </w:r>
          </w:p>
        </w:tc>
        <w:tc>
          <w:tcPr>
            <w:tcW w:w="2540" w:type="dxa"/>
            <w:vAlign w:val="bottom"/>
            <w:gridSpan w:val="6"/>
          </w:tcPr>
          <w:p>
            <w:pPr>
              <w:ind w:left="300"/>
              <w:spacing w:after="0"/>
              <w:rPr>
                <w:sz w:val="20"/>
                <w:szCs w:val="20"/>
                <w:color w:val="auto"/>
              </w:rPr>
            </w:pPr>
            <w:r>
              <w:rPr>
                <w:rFonts w:ascii="Arial" w:cs="Arial" w:eastAsia="Arial" w:hAnsi="Arial"/>
                <w:sz w:val="17"/>
                <w:szCs w:val="17"/>
                <w:color w:val="auto"/>
              </w:rPr>
              <w:t>million, or approximately $</w:t>
            </w:r>
          </w:p>
        </w:tc>
        <w:tc>
          <w:tcPr>
            <w:tcW w:w="1020" w:type="dxa"/>
            <w:vAlign w:val="bottom"/>
          </w:tcPr>
          <w:p>
            <w:pPr>
              <w:jc w:val="right"/>
              <w:spacing w:after="0"/>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7"/>
                <w:szCs w:val="17"/>
                <w:color w:val="auto"/>
              </w:rPr>
              <w:t>and the dilution per share to investors in this offering by approximately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2"/>
              </w:rPr>
              <w:t>per share, assuming that the number of shares offered by us, as set forth on the</w:t>
            </w:r>
          </w:p>
        </w:tc>
        <w:tc>
          <w:tcPr>
            <w:tcW w:w="0" w:type="dxa"/>
            <w:vAlign w:val="bottom"/>
          </w:tcPr>
          <w:p>
            <w:pPr>
              <w:spacing w:after="0"/>
              <w:rPr>
                <w:sz w:val="1"/>
                <w:szCs w:val="1"/>
                <w:color w:val="auto"/>
              </w:rPr>
            </w:pPr>
          </w:p>
        </w:tc>
      </w:tr>
    </w:tbl>
    <w:p>
      <w:pPr>
        <w:jc w:val="both"/>
        <w:spacing w:after="0" w:line="432"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(decrease) our pro forma as adjusted net tangible book value by approximately $ million, or approximately $ per share, and the pro forma dilution per share to investors in this offering by approximately $ per share, assuming an initial public offering price of $ per share, the midpoint of the price</w:t>
      </w:r>
    </w:p>
    <w:p>
      <w:pPr>
        <w:jc w:val="both"/>
        <w:spacing w:after="0" w:line="266" w:lineRule="auto"/>
        <w:rPr>
          <w:sz w:val="20"/>
          <w:szCs w:val="20"/>
          <w:color w:val="auto"/>
        </w:rPr>
      </w:pPr>
      <w:r>
        <w:rPr>
          <w:rFonts w:ascii="Arial" w:cs="Arial" w:eastAsia="Arial" w:hAnsi="Arial"/>
          <w:sz w:val="17"/>
          <w:szCs w:val="17"/>
          <w:color w:val="auto"/>
        </w:rPr>
        <w:t>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to purchase additional shares is exercised in full, the pro forma as adjusted net tangible book value per share after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Arial" w:cs="Arial" w:eastAsia="Arial" w:hAnsi="Arial"/>
                <w:sz w:val="17"/>
                <w:szCs w:val="17"/>
                <w:color w:val="auto"/>
              </w:rPr>
              <w:t>offering would be $</w:t>
            </w:r>
          </w:p>
        </w:tc>
        <w:tc>
          <w:tcPr>
            <w:tcW w:w="8720" w:type="dxa"/>
            <w:vAlign w:val="bottom"/>
            <w:gridSpan w:val="2"/>
          </w:tcPr>
          <w:p>
            <w:pPr>
              <w:jc w:val="right"/>
              <w:ind w:right="275"/>
              <w:spacing w:after="0"/>
              <w:rPr>
                <w:sz w:val="20"/>
                <w:szCs w:val="20"/>
                <w:color w:val="auto"/>
              </w:rPr>
            </w:pPr>
            <w:r>
              <w:rPr>
                <w:rFonts w:ascii="Arial" w:cs="Arial" w:eastAsia="Arial" w:hAnsi="Arial"/>
                <w:sz w:val="17"/>
                <w:szCs w:val="17"/>
                <w:color w:val="auto"/>
                <w:w w:val="94"/>
              </w:rPr>
              <w:t>per share, the increase in pro forma as adjusted net tangible book value per share to existing stockholders would be $</w:t>
            </w:r>
          </w:p>
        </w:tc>
        <w:tc>
          <w:tcPr>
            <w:tcW w:w="980" w:type="dxa"/>
            <w:vAlign w:val="bottom"/>
          </w:tcPr>
          <w:p>
            <w:pPr>
              <w:ind w:left="360"/>
              <w:spacing w:after="0"/>
              <w:rPr>
                <w:sz w:val="20"/>
                <w:szCs w:val="20"/>
                <w:color w:val="auto"/>
              </w:rPr>
            </w:pPr>
            <w:r>
              <w:rPr>
                <w:rFonts w:ascii="Arial" w:cs="Arial" w:eastAsia="Arial" w:hAnsi="Arial"/>
                <w:sz w:val="17"/>
                <w:szCs w:val="17"/>
                <w:color w:val="auto"/>
                <w:w w:val="83"/>
              </w:rPr>
              <w:t>per share</w:t>
            </w: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w w:val="93"/>
              </w:rPr>
              <w:t>and the dilution to new investors purchasing shares in this offering would be $</w:t>
            </w:r>
          </w:p>
        </w:tc>
        <w:tc>
          <w:tcPr>
            <w:tcW w:w="4960" w:type="dxa"/>
            <w:vAlign w:val="bottom"/>
          </w:tcPr>
          <w:p>
            <w:pPr>
              <w:jc w:val="right"/>
              <w:ind w:right="3675"/>
              <w:spacing w:after="0"/>
              <w:rPr>
                <w:sz w:val="20"/>
                <w:szCs w:val="20"/>
                <w:color w:val="auto"/>
              </w:rPr>
            </w:pPr>
            <w:r>
              <w:rPr>
                <w:rFonts w:ascii="Arial" w:cs="Arial" w:eastAsia="Arial" w:hAnsi="Arial"/>
                <w:sz w:val="17"/>
                <w:szCs w:val="17"/>
                <w:color w:val="auto"/>
              </w:rPr>
              <w:t>per share.</w:t>
            </w:r>
          </w:p>
        </w:tc>
        <w:tc>
          <w:tcPr>
            <w:tcW w:w="98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tcPr>
          <w:p>
            <w:pPr>
              <w:jc w:val="right"/>
              <w:ind w:right="4555"/>
              <w:spacing w:after="0"/>
              <w:rPr>
                <w:sz w:val="20"/>
                <w:szCs w:val="20"/>
                <w:color w:val="auto"/>
              </w:rPr>
            </w:pPr>
            <w:r>
              <w:rPr>
                <w:rFonts w:ascii="Arial" w:cs="Arial" w:eastAsia="Arial" w:hAnsi="Arial"/>
                <w:sz w:val="17"/>
                <w:szCs w:val="17"/>
                <w:color w:val="auto"/>
              </w:rPr>
              <w:t>36</w:t>
            </w:r>
          </w:p>
        </w:tc>
        <w:tc>
          <w:tcPr>
            <w:tcW w:w="98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color w:val="auto"/>
        </w:rPr>
        <w:t>The following table presents, on a pro forma as adjusted basis as of March 31, 2013, the differences between existing stockholders and purchasers of shares in this offering with respect to the number of shares purchased from us, the total consideration paid or to be paid and the average price paid per share assuming with respect to the purchasers of shares in this offering an initial public offering price of $ per share, the midpoint of the price range on the cover of this prospectus before deducting estimated underwriting discounts and commissions and estimated expenses payable by us: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0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Total Shares</w:t>
            </w:r>
          </w:p>
        </w:tc>
        <w:tc>
          <w:tcPr>
            <w:tcW w:w="1580" w:type="dxa"/>
            <w:vAlign w:val="bottom"/>
            <w:gridSpan w:val="3"/>
            <w:vMerge w:val="restart"/>
          </w:tcPr>
          <w:p>
            <w:pPr>
              <w:jc w:val="right"/>
              <w:ind w:right="254"/>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89"/>
              </w:rPr>
              <w:t>Number</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w w:val="81"/>
              </w:rPr>
              <w:t>% $</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 $</w:t>
            </w:r>
          </w:p>
        </w:tc>
        <w:tc>
          <w:tcPr>
            <w:tcW w:w="8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00" w:type="dxa"/>
            <w:vAlign w:val="bottom"/>
            <w:gridSpan w:val="3"/>
          </w:tcPr>
          <w:p>
            <w:pPr>
              <w:ind w:left="3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5020" w:type="dxa"/>
            <w:vAlign w:val="bottom"/>
            <w:gridSpan w:val="12"/>
          </w:tcPr>
          <w:p>
            <w:pPr>
              <w:jc w:val="right"/>
              <w:spacing w:after="0"/>
              <w:rPr>
                <w:sz w:val="20"/>
                <w:szCs w:val="20"/>
                <w:color w:val="auto"/>
              </w:rPr>
            </w:pPr>
            <w:r>
              <w:rPr>
                <w:rFonts w:ascii="Arial" w:cs="Arial" w:eastAsia="Arial" w:hAnsi="Arial"/>
                <w:sz w:val="17"/>
                <w:szCs w:val="17"/>
                <w:color w:val="auto"/>
                <w:w w:val="93"/>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7"/>
                <w:szCs w:val="17"/>
                <w:color w:val="auto"/>
              </w:rPr>
              <w:t>this prospectus, would increase (decrease) the total consideration paid to us by new</w:t>
            </w: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8"/>
              </w:rPr>
              <w:t>investors and total consideration paid</w:t>
            </w:r>
          </w:p>
        </w:tc>
        <w:tc>
          <w:tcPr>
            <w:tcW w:w="2180" w:type="dxa"/>
            <w:vAlign w:val="bottom"/>
            <w:gridSpan w:val="4"/>
          </w:tcPr>
          <w:p>
            <w:pPr>
              <w:jc w:val="right"/>
              <w:spacing w:after="0"/>
              <w:rPr>
                <w:sz w:val="20"/>
                <w:szCs w:val="20"/>
                <w:color w:val="auto"/>
              </w:rPr>
            </w:pPr>
            <w:r>
              <w:rPr>
                <w:rFonts w:ascii="Arial" w:cs="Arial" w:eastAsia="Arial" w:hAnsi="Arial"/>
                <w:sz w:val="17"/>
                <w:szCs w:val="17"/>
                <w:color w:val="auto"/>
              </w:rPr>
              <w:t>to us by all stockholders by</w:t>
            </w:r>
          </w:p>
        </w:tc>
        <w:tc>
          <w:tcPr>
            <w:tcW w:w="0" w:type="dxa"/>
            <w:vAlign w:val="bottom"/>
          </w:tcPr>
          <w:p>
            <w:pPr>
              <w:spacing w:after="0"/>
              <w:rPr>
                <w:sz w:val="1"/>
                <w:szCs w:val="1"/>
                <w:color w:val="auto"/>
              </w:rPr>
            </w:pPr>
          </w:p>
        </w:tc>
      </w:tr>
    </w:tbl>
    <w:p>
      <w:pPr>
        <w:ind w:left="980" w:hanging="975"/>
        <w:spacing w:after="0"/>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estimated underwriting discounts and commissions and estimated offering expenses payable by us. An increase (decrease) of 1.0 million shares in the number of shares</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offered by us would increase (decrease) the total consideration paid to us by new investors and total consideration paid to us by all stockholders by $ million, assuming an initial public offering price of $ per share, the midpoint of the price range set forth on the cover page of this prospectus, and after deducting the estimated underwriting discounts and commissions and estimated offering expenses payable by us.</w:t>
      </w:r>
    </w:p>
    <w:p>
      <w:pPr>
        <w:sectPr>
          <w:pgSz w:w="11900" w:h="16838" w:orient="portrait"/>
          <w:cols w:equalWidth="0" w:num="1">
            <w:col w:w="11420"/>
          </w:cols>
          <w:pgMar w:left="240" w:top="131" w:right="2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own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hanging="357"/>
        <w:spacing w:after="0" w:line="282" w:lineRule="auto"/>
        <w:rPr>
          <w:sz w:val="20"/>
          <w:szCs w:val="20"/>
          <w:color w:val="auto"/>
        </w:rPr>
      </w:pPr>
      <w:r>
        <w:rPr>
          <w:rFonts w:ascii="Arial" w:cs="Arial" w:eastAsia="Arial" w:hAnsi="Arial"/>
          <w:sz w:val="17"/>
          <w:szCs w:val="17"/>
          <w:color w:val="auto"/>
        </w:rPr>
        <w:t>If the underwriters' over-allotment option to purchase additional shares is exercised in full, existing stockholders would own % of the total number of shares of our common stock outstanding immediately after this offering.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 and new investors would</w:t>
      </w:r>
    </w:p>
    <w:p>
      <w:pPr>
        <w:spacing w:after="0" w:line="456" w:lineRule="exact"/>
        <w:rPr>
          <w:sz w:val="20"/>
          <w:szCs w:val="20"/>
          <w:color w:val="auto"/>
        </w:rPr>
      </w:pPr>
    </w:p>
    <w:p>
      <w:pPr>
        <w:sectPr>
          <w:pgSz w:w="11900" w:h="16838" w:orient="portrait"/>
          <w:cols w:equalWidth="0" w:num="3">
            <w:col w:w="300" w:space="460"/>
            <w:col w:w="8240" w:space="500"/>
            <w:col w:w="1920"/>
          </w:cols>
          <w:pgMar w:left="240" w:top="131" w:right="239" w:bottom="1440" w:gutter="0" w:footer="0" w:header="0"/>
          <w:type w:val="continuous"/>
        </w:sectPr>
      </w:pPr>
    </w:p>
    <w:p>
      <w:pPr>
        <w:ind w:firstLine="338"/>
        <w:spacing w:after="0" w:line="352" w:lineRule="auto"/>
        <w:rPr>
          <w:sz w:val="20"/>
          <w:szCs w:val="20"/>
          <w:color w:val="auto"/>
        </w:rPr>
      </w:pPr>
      <w:r>
        <w:rPr>
          <w:rFonts w:ascii="Arial" w:cs="Arial" w:eastAsia="Arial" w:hAnsi="Arial"/>
          <w:sz w:val="15"/>
          <w:szCs w:val="15"/>
          <w:color w:val="auto"/>
        </w:rPr>
        <w:t>The calculations above are based on preferred stock into common stock and exclude: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outstanding as of March 31, 2013 after giving effect to the conversion of all outstanding shares of convertible</w:t>
      </w:r>
    </w:p>
    <w:p>
      <w:pPr>
        <w:spacing w:after="0" w:line="469" w:lineRule="exact"/>
        <w:rPr>
          <w:sz w:val="20"/>
          <w:szCs w:val="20"/>
          <w:color w:val="auto"/>
        </w:rPr>
      </w:pPr>
    </w:p>
    <w:p>
      <w:pPr>
        <w:sectPr>
          <w:pgSz w:w="11900" w:h="16838" w:orient="portrait"/>
          <w:cols w:equalWidth="0" w:num="2">
            <w:col w:w="3280" w:space="220"/>
            <w:col w:w="7920"/>
          </w:cols>
          <w:pgMar w:left="240" w:top="131" w:right="239" w:bottom="1440" w:gutter="0" w:footer="0" w:header="0"/>
          <w:type w:val="continuous"/>
        </w:sect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9,252,658 shares of common stock issuable upon the exercise of options outstanding as of March 31, 2013, at a weighted average exercise price of $0.61 per share;</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6,904,761 shares of common stock issuable upon the conversion of the 6,904,761 shares of Series C preferred stock issued subsequent to March 31, 2013;</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issued subsequent to March 31, 2013, which will become exercisable for shares of common stock upon conversion of our Series C preferred stock into common stock immediately prior to the completion of this offering, with an exercise price of $1.89 per share; and</w:t>
      </w:r>
    </w:p>
    <w:p>
      <w:pPr>
        <w:sectPr>
          <w:pgSz w:w="11900" w:h="16838" w:orient="portrait"/>
          <w:cols w:equalWidth="0" w:num="1">
            <w:col w:w="11420"/>
          </w:cols>
          <w:pgMar w:left="240" w:top="131" w:right="239" w:bottom="1440" w:gutter="0" w:footer="0" w:header="0"/>
          <w:type w:val="continuous"/>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1,294,032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46"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three months ended March 31, 2012 and 2013 and the selected balance sheets data as of March 31,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Three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1,468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4,384</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1,254</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2,773</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1,481</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1,215</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2,703</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1,766</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2,791</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0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5,716</w:t>
            </w:r>
          </w:p>
        </w:tc>
        <w:tc>
          <w:tcPr>
            <w:tcW w:w="1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10,277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(5,893)</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819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(14,445)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(18,649)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per common share, basic and diluted</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line="189" w:lineRule="exact"/>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
              <w:spacing w:after="0" w:line="189" w:lineRule="exact"/>
              <w:rPr>
                <w:sz w:val="20"/>
                <w:szCs w:val="20"/>
                <w:color w:val="auto"/>
              </w:rPr>
            </w:pPr>
            <w:r>
              <w:rPr>
                <w:rFonts w:ascii="Arial" w:cs="Arial" w:eastAsia="Arial" w:hAnsi="Arial"/>
                <w:sz w:val="17"/>
                <w:szCs w:val="17"/>
                <w:color w:val="auto"/>
              </w:rPr>
              <w:t>(7.17)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2,320,252</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2,601,352</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2,494,075</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3,052,129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6,402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25,890</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3,925</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10,757</w:t>
            </w:r>
          </w:p>
        </w:tc>
        <w:tc>
          <w:tcPr>
            <w:tcW w:w="0" w:type="dxa"/>
            <w:vAlign w:val="bottom"/>
          </w:tcPr>
          <w:p>
            <w:pPr>
              <w:spacing w:after="0"/>
              <w:rPr>
                <w:sz w:val="1"/>
                <w:szCs w:val="1"/>
                <w:color w:val="auto"/>
              </w:rPr>
            </w:pPr>
          </w:p>
        </w:tc>
      </w:tr>
      <w:tr>
        <w:trPr>
          <w:trHeight w:val="99"/>
        </w:trPr>
        <w:tc>
          <w:tcPr>
            <w:tcW w:w="9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Three Months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3"/>
          </w:tcPr>
          <w:p>
            <w:pPr>
              <w:jc w:val="center"/>
              <w:ind w:left="104"/>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26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March 31,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120</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204</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960" w:type="dxa"/>
            <w:vAlign w:val="bottom"/>
            <w:gridSpan w:val="5"/>
          </w:tcPr>
          <w:p>
            <w:pPr>
              <w:ind w:left="320"/>
              <w:spacing w:after="0"/>
              <w:rPr>
                <w:sz w:val="20"/>
                <w:szCs w:val="20"/>
                <w:color w:val="auto"/>
              </w:rPr>
            </w:pPr>
            <w:r>
              <w:rPr>
                <w:rFonts w:ascii="Arial" w:cs="Arial" w:eastAsia="Arial" w:hAnsi="Arial"/>
                <w:sz w:val="13"/>
                <w:szCs w:val="13"/>
                <w:b w:val="1"/>
                <w:bCs w:val="1"/>
                <w:color w:val="auto"/>
              </w:rPr>
              <w:t>As of December 31,</w:t>
            </w:r>
          </w:p>
        </w:tc>
        <w:tc>
          <w:tcPr>
            <w:tcW w:w="11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1"/>
              </w:rPr>
              <w:t>As of March 31,</w:t>
            </w:r>
          </w:p>
        </w:tc>
        <w:tc>
          <w:tcPr>
            <w:tcW w:w="0" w:type="dxa"/>
            <w:vAlign w:val="bottom"/>
          </w:tcPr>
          <w:p>
            <w:pPr>
              <w:spacing w:after="0"/>
              <w:rPr>
                <w:sz w:val="1"/>
                <w:szCs w:val="1"/>
                <w:color w:val="auto"/>
              </w:rPr>
            </w:pPr>
          </w:p>
        </w:tc>
      </w:tr>
      <w:tr>
        <w:trPr>
          <w:trHeight w:val="137"/>
        </w:trPr>
        <w:tc>
          <w:tcPr>
            <w:tcW w:w="59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4"/>
                <w:szCs w:val="14"/>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5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$ 14,002</w:t>
            </w:r>
          </w:p>
        </w:tc>
        <w:tc>
          <w:tcPr>
            <w:tcW w:w="80" w:type="dxa"/>
            <w:vAlign w:val="bottom"/>
          </w:tcPr>
          <w:p>
            <w:pPr>
              <w:spacing w:after="0"/>
              <w:rPr>
                <w:sz w:val="18"/>
                <w:szCs w:val="18"/>
                <w:color w:val="auto"/>
              </w:rPr>
            </w:pPr>
          </w:p>
        </w:tc>
        <w:tc>
          <w:tcPr>
            <w:tcW w:w="260" w:type="dxa"/>
            <w:vAlign w:val="bottom"/>
          </w:tcPr>
          <w:p>
            <w:pPr>
              <w:jc w:val="right"/>
              <w:ind w:right="28"/>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7,072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19,067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12,179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63,372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(66,964)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84"/>
        <w:spacing w:after="0" w:line="287" w:lineRule="auto"/>
        <w:rPr>
          <w:sz w:val="20"/>
          <w:szCs w:val="20"/>
          <w:color w:val="auto"/>
        </w:rPr>
      </w:pPr>
      <w:r>
        <w:rPr>
          <w:rFonts w:ascii="Arial" w:cs="Arial" w:eastAsia="Arial" w:hAnsi="Arial"/>
          <w:sz w:val="16"/>
          <w:szCs w:val="16"/>
          <w:color w:val="auto"/>
        </w:rPr>
        <w:t>As of June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344"/>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$1.5 million for the three months ended March 31, 2012 to $4.4 million for three months ended March 31, 2013. We incurred a net loss of $14.4 million and $18.6 million for the years ended December 31, 2011 and 2012, respectively, and $6.9 million for the three months ended March 31, 2013. As of March 31, 2013, we had an accumulated deficit of $67.0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66"/>
        <w:spacing w:after="0" w:line="281" w:lineRule="auto"/>
        <w:rPr>
          <w:sz w:val="20"/>
          <w:szCs w:val="20"/>
          <w:color w:val="auto"/>
        </w:rPr>
      </w:pPr>
      <w:r>
        <w:rPr>
          <w:rFonts w:ascii="Arial" w:cs="Arial" w:eastAsia="Arial" w:hAnsi="Arial"/>
          <w:sz w:val="16"/>
          <w:szCs w:val="16"/>
          <w:color w:val="auto"/>
        </w:rPr>
        <w:t>The components of our cost of revenue are materials and service costs,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5"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in future periods primarily driven by the co-promotion fees to Genzyme and marketing and education expenses to drive market penetration and reimbursement.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as we expand our billing and client services functions.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481"/>
        <w:spacing w:after="0" w:line="282" w:lineRule="auto"/>
        <w:rPr>
          <w:sz w:val="20"/>
          <w:szCs w:val="20"/>
          <w:color w:val="auto"/>
        </w:rPr>
      </w:pPr>
      <w:r>
        <w:rPr>
          <w:rFonts w:ascii="Arial" w:cs="Arial" w:eastAsia="Arial" w:hAnsi="Arial"/>
          <w:sz w:val="17"/>
          <w:szCs w:val="17"/>
          <w:color w:val="auto"/>
        </w:rPr>
        <w:t>In addition, other income (expense) in 2011 includes $0.1 million we received from Genzyme in exchange for exclusive rights to negotiate a co-promotion agreement.</w:t>
      </w:r>
    </w:p>
    <w:p>
      <w:pPr>
        <w:spacing w:after="0" w:line="170"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Other income (expense) is related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liability at each reporting period with the corresponding gain or loss from the adjustment recorded as other income (expense), net. The Series B liability expired in July 2011. The Series C liability expired in June 2013 when the second tranche was closed.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61" w:lineRule="auto"/>
        <w:rPr>
          <w:sz w:val="20"/>
          <w:szCs w:val="20"/>
          <w:color w:val="auto"/>
        </w:rPr>
      </w:pPr>
      <w:r>
        <w:rPr>
          <w:rFonts w:ascii="Arial" w:cs="Arial" w:eastAsia="Arial" w:hAnsi="Arial"/>
          <w:sz w:val="17"/>
          <w:szCs w:val="17"/>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w:t>
      </w:r>
    </w:p>
    <w:p>
      <w:pPr>
        <w:spacing w:after="0" w:line="174"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auto"/>
        </w:rPr>
        <w:t>We account for derivative financial instruments as either equity or liabilities based upon the characteristics and provisions of each instrument. We recorded the preferred stock liability incurred in connection with our Series B and Series C convertible preferred stock as a derivative financial instrument liability at their fair value on the date of issuance and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$24.8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$0.2 million for the years ended December 31, 2011, and 2012, and the three months ended March 31,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199"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6"/>
          <w:szCs w:val="16"/>
          <w:color w:val="auto"/>
        </w:rPr>
        <w:t xml:space="preserve">In determining the estimated fair value of our common stock, our board of directors, with the assistance of management, used the market approach to estimate the enterprise value of our company in 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The market approach, comprised of the Guideline Publicly Traded Company and the M&amp;A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methodologies, estimates the value of 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81"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and April 2013 valuations, we took into consideration the revenue multiples and enterprise value of select companies that had completed IPOs in the molecular diagnostic industry in the prior twelve months. For the November 2012 and April 2013 valuations, we also used the Backsolve method, a form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market approach to valuation, which derives the implied equity value for a company from a recent transaction involving the company's own securities.</w:t>
      </w:r>
    </w:p>
    <w:p>
      <w:pPr>
        <w:spacing w:after="0" w:line="236"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6"/>
          <w:szCs w:val="16"/>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In the IPO scenarios, it is assumed that all outstanding shares of our convertible preferred stock will convert into common stock.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as we achieve certain company-related milestones, the probability of each scenario is evaluated and adjusted accordingly.</w:t>
      </w:r>
    </w:p>
    <w:p>
      <w:pPr>
        <w:spacing w:after="0" w:line="177"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Estimated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2"/>
              </w:rPr>
              <w:t>per Share of</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Grant Date</w:t>
            </w: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22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1,814,628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22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924,000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2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22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270,000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2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22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1,709,007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2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5600" w:type="dxa"/>
            <w:vAlign w:val="bottom"/>
            <w:gridSpan w:val="4"/>
          </w:tcPr>
          <w:p>
            <w:pPr>
              <w:ind w:left="340"/>
              <w:spacing w:after="0"/>
              <w:rPr>
                <w:sz w:val="20"/>
                <w:szCs w:val="20"/>
                <w:color w:val="auto"/>
              </w:rPr>
            </w:pPr>
            <w:r>
              <w:rPr>
                <w:rFonts w:ascii="Arial" w:cs="Arial" w:eastAsia="Arial" w:hAnsi="Arial"/>
                <w:sz w:val="17"/>
                <w:szCs w:val="17"/>
                <w:color w:val="auto"/>
                <w:w w:val="96"/>
              </w:rPr>
              <w:t>The intrinsic value of all outstanding options as of March 31, 2013 was $</w:t>
            </w:r>
          </w:p>
        </w:tc>
        <w:tc>
          <w:tcPr>
            <w:tcW w:w="5820" w:type="dxa"/>
            <w:vAlign w:val="bottom"/>
            <w:gridSpan w:val="10"/>
          </w:tcPr>
          <w:p>
            <w:pPr>
              <w:ind w:left="280"/>
              <w:spacing w:after="0"/>
              <w:rPr>
                <w:sz w:val="20"/>
                <w:szCs w:val="20"/>
                <w:color w:val="auto"/>
              </w:rPr>
            </w:pPr>
            <w:r>
              <w:rPr>
                <w:rFonts w:ascii="Arial" w:cs="Arial" w:eastAsia="Arial" w:hAnsi="Arial"/>
                <w:sz w:val="17"/>
                <w:szCs w:val="17"/>
                <w:color w:val="auto"/>
                <w:w w:val="91"/>
              </w:rPr>
              <w:t>million based on the mid-point of the estimated price range set forth on the cover</w:t>
            </w:r>
          </w:p>
        </w:tc>
      </w:tr>
      <w:tr>
        <w:trPr>
          <w:trHeight w:val="216"/>
        </w:trPr>
        <w:tc>
          <w:tcPr>
            <w:tcW w:w="3320" w:type="dxa"/>
            <w:vAlign w:val="bottom"/>
            <w:gridSpan w:val="3"/>
          </w:tcPr>
          <w:p>
            <w:pPr>
              <w:spacing w:after="0"/>
              <w:rPr>
                <w:sz w:val="20"/>
                <w:szCs w:val="20"/>
                <w:color w:val="auto"/>
              </w:rPr>
            </w:pPr>
            <w:r>
              <w:rPr>
                <w:rFonts w:ascii="Arial" w:cs="Arial" w:eastAsia="Arial" w:hAnsi="Arial"/>
                <w:sz w:val="17"/>
                <w:szCs w:val="17"/>
                <w:color w:val="auto"/>
              </w:rPr>
              <w:t>of this prospectus, of which approximately $</w:t>
            </w:r>
          </w:p>
        </w:tc>
        <w:tc>
          <w:tcPr>
            <w:tcW w:w="4200" w:type="dxa"/>
            <w:vAlign w:val="bottom"/>
            <w:gridSpan w:val="3"/>
          </w:tcPr>
          <w:p>
            <w:pPr>
              <w:jc w:val="right"/>
              <w:ind w:right="214"/>
              <w:spacing w:after="0"/>
              <w:rPr>
                <w:sz w:val="20"/>
                <w:szCs w:val="20"/>
                <w:color w:val="auto"/>
              </w:rPr>
            </w:pPr>
            <w:r>
              <w:rPr>
                <w:rFonts w:ascii="Arial" w:cs="Arial" w:eastAsia="Arial" w:hAnsi="Arial"/>
                <w:sz w:val="17"/>
                <w:szCs w:val="17"/>
                <w:color w:val="auto"/>
                <w:w w:val="98"/>
              </w:rPr>
              <w:t>million related to vested options and approximately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million related to unvested options.</w:t>
            </w:r>
          </w:p>
        </w:tc>
      </w:tr>
    </w:tbl>
    <w:p>
      <w:pPr>
        <w:spacing w:after="0" w:line="20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i w:val="1"/>
          <w:iCs w:val="1"/>
          <w:color w:val="auto"/>
        </w:rPr>
        <w:t xml:space="preserve">March 2012. </w:t>
      </w:r>
      <w:r>
        <w:rPr>
          <w:rFonts w:ascii="Arial" w:cs="Arial" w:eastAsia="Arial" w:hAnsi="Arial"/>
          <w:sz w:val="16"/>
          <w:szCs w:val="16"/>
          <w:color w:val="auto"/>
        </w:rPr>
        <w:t>We granted options to purchase 1,814,628 shares of our common stock on March 10, 2012. Our board of directors set an exercise price of $0.67</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 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$0.67 per share.</w:t>
      </w:r>
    </w:p>
    <w:p>
      <w:pPr>
        <w:spacing w:after="0" w:line="17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924,000, 450,000 and 270,000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$0.67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$0.67 per share.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269,167 shares of our common stock on December 6, 2012. Our board of directors set an exercise price of</w:t>
      </w:r>
      <w:r>
        <w:rPr>
          <w:rFonts w:ascii="Arial" w:cs="Arial" w:eastAsia="Arial" w:hAnsi="Arial"/>
          <w:sz w:val="15"/>
          <w:szCs w:val="15"/>
          <w:i w:val="1"/>
          <w:iCs w:val="1"/>
          <w:color w:val="auto"/>
        </w:rPr>
        <w:t xml:space="preserve"> </w:t>
      </w:r>
      <w:r>
        <w:rPr>
          <w:rFonts w:ascii="Arial" w:cs="Arial" w:eastAsia="Arial" w:hAnsi="Arial"/>
          <w:sz w:val="15"/>
          <w:szCs w:val="15"/>
          <w:color w:val="auto"/>
        </w:rPr>
        <w:t>$1.00 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$1.00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$1.00 per share.</w:t>
      </w:r>
    </w:p>
    <w:p>
      <w:pPr>
        <w:spacing w:after="0" w:line="179"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1,709,007 shares of our common stock on February 5,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$1.00 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$1.00 per share.</w:t>
      </w:r>
    </w:p>
    <w:p>
      <w:pPr>
        <w:spacing w:after="0" w:line="185" w:lineRule="exact"/>
        <w:rPr>
          <w:sz w:val="20"/>
          <w:szCs w:val="20"/>
          <w:color w:val="auto"/>
        </w:rPr>
      </w:pPr>
    </w:p>
    <w:p>
      <w:pPr>
        <w:jc w:val="both"/>
        <w:ind w:firstLine="411"/>
        <w:spacing w:after="0" w:line="301" w:lineRule="auto"/>
        <w:rPr>
          <w:sz w:val="20"/>
          <w:szCs w:val="20"/>
          <w:color w:val="auto"/>
        </w:rPr>
      </w:pPr>
      <w:r>
        <w:rPr>
          <w:rFonts w:ascii="Arial" w:cs="Arial" w:eastAsia="Arial" w:hAnsi="Arial"/>
          <w:sz w:val="15"/>
          <w:szCs w:val="15"/>
          <w:i w:val="1"/>
          <w:iCs w:val="1"/>
          <w:color w:val="auto"/>
        </w:rPr>
        <w:t xml:space="preserve">June 2013. </w:t>
      </w:r>
      <w:r>
        <w:rPr>
          <w:rFonts w:ascii="Arial" w:cs="Arial" w:eastAsia="Arial" w:hAnsi="Arial"/>
          <w:sz w:val="15"/>
          <w:szCs w:val="15"/>
          <w:color w:val="auto"/>
        </w:rPr>
        <w:t>We granted options to purchase 801,625 shares of our common stock on June 20, 2013. Our board of directors set an exercise price of $1.51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We had obtained a contemporaneous independent valuation of our common stock as of April 30, 2013. Our considerations of the form, timing and 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4"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We applied equal weighting to the results under the OPM and the PWERM methodologies to arrive at a pre-discounted value and then applied a non-marketability discount of 20% which resulted in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estimated common stock value of $1.51 per share on a non-marketable, minority interest basis as of April 30, 2013.</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In the judgment of our board of directors, there were no internal or external developments that would indicate that the fair value of our common stock would have increased from April 30, 2013. Accordingly, the board of directors determined that the estimated fair value of our common stock at June 20, 2013 was $1.51 per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growth in our business is tied to the number of FNAs we receive. Generally 5%-10% of the FNA samples we receive have insufficient cellular material from which to render a cytopathology diagnosis. We do not bill for these tests. For results that are benign or suspicious/malignant, we bill for the cytopathology portion of the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37"/>
        <w:spacing w:after="0" w:line="301" w:lineRule="auto"/>
        <w:rPr>
          <w:sz w:val="20"/>
          <w:szCs w:val="20"/>
          <w:color w:val="auto"/>
        </w:rPr>
      </w:pPr>
      <w:r>
        <w:rPr>
          <w:rFonts w:ascii="Arial" w:cs="Arial" w:eastAsia="Arial" w:hAnsi="Arial"/>
          <w:sz w:val="15"/>
          <w:szCs w:val="15"/>
          <w:color w:val="auto"/>
        </w:rPr>
        <w:t>As of June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do not expect we will be able to recognize revenue from new products on an accrual basis for some period of time. This may result in continued fluctuations in our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1"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87"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diagnose ILD on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263"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on-going clinical studies to further the published evidence to support our commercialized test.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generally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2012</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2,791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1,025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10,277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(4,248)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(5,893)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(1,645)</w:t>
            </w: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(4,248)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(6,895)</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(2,647)</w:t>
            </w: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firstLine="458"/>
        <w:spacing w:after="0" w:line="315" w:lineRule="auto"/>
        <w:rPr>
          <w:sz w:val="20"/>
          <w:szCs w:val="20"/>
          <w:color w:val="auto"/>
        </w:rPr>
      </w:pPr>
      <w:r>
        <w:rPr>
          <w:rFonts w:ascii="Arial" w:cs="Arial" w:eastAsia="Arial" w:hAnsi="Arial"/>
          <w:sz w:val="16"/>
          <w:szCs w:val="16"/>
          <w:color w:val="auto"/>
        </w:rPr>
        <w:t>Revenue increased $2.9 million, or 199%, for the three months ended March 31, 2013 compared to the same period in 2012 primarily due to a $2.0 million increase in revenue from increased adoption of Afirma, resulting in increased collections, and a $0.9 million increase in revenue from Medicare.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315" w:lineRule="auto"/>
        <w:rPr>
          <w:sz w:val="20"/>
          <w:szCs w:val="20"/>
          <w:color w:val="auto"/>
        </w:rPr>
      </w:pPr>
      <w:r>
        <w:rPr>
          <w:rFonts w:ascii="Arial" w:cs="Arial" w:eastAsia="Arial" w:hAnsi="Arial"/>
          <w:sz w:val="16"/>
          <w:szCs w:val="16"/>
          <w:color w:val="auto"/>
        </w:rPr>
        <w:t>Cost of revenue increased $1.5 million, or 121%, for the three months ended March 31, 2013 compared to the same period in 2012 primarily due to the increase in the number of FNAs received for analysis from 3,925 for the three months ended March 31, 2012 to 10,757 in the same period in 2013.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Research and development expenses increased $0.5 million, or 36%, for the three months ended March 31, 2013 compared to the same period in 2012. The increase was primarily driven by a $0.4 million increase in costs to support our product pipeline and ongoing support for Afirma and a $0.2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Selling and marketing expenses increased $1.5 million, or 122%, for the three months ended March 31, 2013 compared to the same period in 2012. The increase was primarily due to a $1.2 million increase in net expense recognized under our co-promotion agreement with Genzyme, which was entered into in January 2012. The net expense of $1.2 million is comprised of the co-promotion fee to Genzyme offset in part by amortization of the deferred upfront fee paid to us by Genzyme. In addition, there was an increase of $0.1 million in personnel expenses for additional sales representatives hired in the three months ended March 31, 2013 and a $0.1 million increase in marketing and promotional materials.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General and administrative expenses increased $1.0 million, or 58%, for the three months ended March 31, 2013 compared to the same period in 2012. The increase is primarily related to a $0.6 million increase in personnel expenses resulting from an increase in headcount and employee severance, a $0.2 million increase in facility, equipment, and information technology expenses, and a $0.1 million increase in professional fees.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7"/>
          <w:szCs w:val="17"/>
          <w:color w:val="auto"/>
        </w:rPr>
        <w:t>Other income (expense), net, was ($1.0) million for the three months ended March 31, 2013 which represents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16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8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80" w:type="dxa"/>
            <w:vAlign w:val="bottom"/>
            <w:vMerge w:val="restart"/>
          </w:tcPr>
          <w:p>
            <w:pPr>
              <w:jc w:val="right"/>
              <w:ind w:right="615"/>
              <w:spacing w:after="0"/>
              <w:rPr>
                <w:sz w:val="20"/>
                <w:szCs w:val="20"/>
                <w:color w:val="auto"/>
              </w:rPr>
            </w:pPr>
            <w:r>
              <w:rPr>
                <w:rFonts w:ascii="Arial" w:cs="Arial" w:eastAsia="Arial" w:hAnsi="Arial"/>
                <w:sz w:val="17"/>
                <w:szCs w:val="17"/>
                <w:color w:val="auto"/>
              </w:rPr>
              <w:t>51</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Cost of revenue increased $4.7 million, or 159%, in 2012 compared to 2011 primarily due to the increase in the number of FNAs received for analysis from 6,402 in 2011 to 25,890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72"/>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five most recent quarters in the period ended March 31,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statements and related notes included elsewhere in this prospectus. The results of historical periods are not necessarily indicative of results for a full year or for any future period.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7"/>
          </w:tcPr>
          <w:p>
            <w:pPr>
              <w:jc w:val="center"/>
              <w:ind w:left="379"/>
              <w:spacing w:after="0"/>
              <w:rPr>
                <w:sz w:val="20"/>
                <w:szCs w:val="20"/>
                <w:color w:val="auto"/>
              </w:rPr>
            </w:pPr>
            <w:r>
              <w:rPr>
                <w:rFonts w:ascii="Arial" w:cs="Arial" w:eastAsia="Arial" w:hAnsi="Arial"/>
                <w:sz w:val="13"/>
                <w:szCs w:val="13"/>
                <w:b w:val="1"/>
                <w:bCs w:val="1"/>
                <w:color w:val="auto"/>
                <w:w w:val="92"/>
              </w:rPr>
              <w:t>Three Months Ended,</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64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84"/>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8"/>
              </w:rPr>
              <w:t>Sept 30,</w:t>
            </w:r>
          </w:p>
        </w:tc>
        <w:tc>
          <w:tcPr>
            <w:tcW w:w="140" w:type="dxa"/>
            <w:vAlign w:val="bottom"/>
          </w:tcPr>
          <w:p>
            <w:pPr>
              <w:spacing w:after="0"/>
              <w:rPr>
                <w:sz w:val="10"/>
                <w:szCs w:val="10"/>
                <w:color w:val="auto"/>
              </w:rPr>
            </w:pPr>
          </w:p>
        </w:tc>
        <w:tc>
          <w:tcPr>
            <w:tcW w:w="700" w:type="dxa"/>
            <w:vAlign w:val="bottom"/>
            <w:gridSpan w:val="2"/>
          </w:tcPr>
          <w:p>
            <w:pPr>
              <w:jc w:val="right"/>
              <w:ind w:right="300"/>
              <w:spacing w:after="0" w:line="124" w:lineRule="exact"/>
              <w:rPr>
                <w:sz w:val="20"/>
                <w:szCs w:val="20"/>
                <w:color w:val="auto"/>
              </w:rPr>
            </w:pPr>
            <w:r>
              <w:rPr>
                <w:rFonts w:ascii="Arial" w:cs="Arial" w:eastAsia="Arial" w:hAnsi="Arial"/>
                <w:sz w:val="13"/>
                <w:szCs w:val="13"/>
                <w:b w:val="1"/>
                <w:bCs w:val="1"/>
                <w:color w:val="auto"/>
                <w:w w:val="83"/>
              </w:rPr>
              <w:t>Dec 31,</w:t>
            </w:r>
          </w:p>
        </w:tc>
        <w:tc>
          <w:tcPr>
            <w:tcW w:w="100" w:type="dxa"/>
            <w:vAlign w:val="bottom"/>
          </w:tcPr>
          <w:p>
            <w:pPr>
              <w:spacing w:after="0"/>
              <w:rPr>
                <w:sz w:val="10"/>
                <w:szCs w:val="10"/>
                <w:color w:val="auto"/>
              </w:rPr>
            </w:pPr>
          </w:p>
        </w:tc>
        <w:tc>
          <w:tcPr>
            <w:tcW w:w="5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98"/>
              </w:rPr>
              <w:t>Mar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2,479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3,224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4,384</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1,984</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2,773</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10"/>
        </w:trPr>
        <w:tc>
          <w:tcPr>
            <w:tcW w:w="498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2,347</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2,703</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2,791</w:t>
            </w:r>
          </w:p>
        </w:tc>
        <w:tc>
          <w:tcPr>
            <w:tcW w:w="0" w:type="dxa"/>
            <w:vAlign w:val="bottom"/>
          </w:tcPr>
          <w:p>
            <w:pPr>
              <w:spacing w:after="0"/>
              <w:rPr>
                <w:sz w:val="1"/>
                <w:szCs w:val="1"/>
                <w:color w:val="auto"/>
              </w:rPr>
            </w:pPr>
          </w:p>
        </w:tc>
      </w:tr>
      <w:tr>
        <w:trPr>
          <w:trHeight w:val="26"/>
        </w:trPr>
        <w:tc>
          <w:tcPr>
            <w:tcW w:w="498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(4,939)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(5,893)</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6"/>
        </w:trPr>
        <w:tc>
          <w:tcPr>
            <w:tcW w:w="498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(4,938)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(4,837)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Other Operating Data:</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3,925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5,610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7,052</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9,303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10,757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 ended March 31,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Our general and administrative expenses in the quarter ended March 31, 2013 were higher as we invested in building out our Austin, Texas laboratory, which began processing cytology samples in the quarter ended June 30, 2013.</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Since inception, our operations have been financed primarily by net proceeds of $65.6 million from sales of our preferred stock and a $10.0 million payment from our co-promotion agreement with Genzyme, and since June 2013, borrowings under our loan and security agreement. As of December 31, 2012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March 31, 2013, we had $14.0 million and $7.1 million of cash and cash equivalents, respectively. In June 2013, we received an additional $13.0 million from sales of our preferred stock.</w:t>
      </w:r>
    </w:p>
    <w:p>
      <w:pPr>
        <w:spacing w:after="0" w:line="170"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63" w:lineRule="auto"/>
        <w:rPr>
          <w:sz w:val="20"/>
          <w:szCs w:val="20"/>
          <w:color w:val="auto"/>
        </w:rPr>
      </w:pPr>
      <w:r>
        <w:rPr>
          <w:rFonts w:ascii="Arial" w:cs="Arial" w:eastAsia="Arial" w:hAnsi="Arial"/>
          <w:sz w:val="17"/>
          <w:szCs w:val="17"/>
          <w:color w:val="auto"/>
        </w:rPr>
        <w:t>The initial term loan bears interest at a fixed rate equal to 6.06%. The second term loan, if drawn, will bear interest at a fixed rate equal to the greater of (a) 5.88% or (b) the three-year U.S. Treasury note rate, plus 5.40%. Principal on each term loan is payable in 30 equal monthly installments beginning 18 months after the date on which such term loan is made. On the date of our final principal payment, we must also pay an end-of-term payment equal to 4.45% of the amounts borrowed. We may, at our option, prepay all of the term loan borrowings by paying the lender, among other things, all principal and accrued interest, together with a prepayment premium.</w:t>
      </w:r>
    </w:p>
    <w:p>
      <w:pPr>
        <w:spacing w:after="0" w:line="18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the same number of shares of our common stock following completion of this offering. The warrant will expire on the seventh anniversary of this offering. If we draw down the second term loan under the loan and security agreement, we will issue the lender a second warrant with identical terms.</w:t>
      </w:r>
    </w:p>
    <w:p>
      <w:pPr>
        <w:spacing w:after="0" w:line="185"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Our primary uses of cash are to fund our operations as we continue to grow our business.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65"/>
        <w:spacing w:after="0" w:line="280" w:lineRule="auto"/>
        <w:rPr>
          <w:sz w:val="20"/>
          <w:szCs w:val="20"/>
          <w:color w:val="auto"/>
        </w:rPr>
      </w:pPr>
      <w:r>
        <w:rPr>
          <w:rFonts w:ascii="Arial" w:cs="Arial" w:eastAsia="Arial" w:hAnsi="Arial"/>
          <w:sz w:val="16"/>
          <w:szCs w:val="16"/>
          <w:color w:val="auto"/>
        </w:rPr>
        <w:t>We believe that our existing cash and cash equivalents as of March 31, 2013, together with the proceeds from sales of our Series C convertible preferred stock in June 2013, amounts available under our loan and security agreement and the estimated net proceeds from this offering, will be sufficient to meet our anticipated cash requirements for at least the next 12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Year Ended</w:t>
            </w:r>
          </w:p>
        </w:tc>
        <w:tc>
          <w:tcPr>
            <w:tcW w:w="15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580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5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6"/>
              </w:rPr>
              <w:t>March 31,</w:t>
            </w:r>
          </w:p>
        </w:tc>
      </w:tr>
      <w:tr>
        <w:trPr>
          <w:trHeight w:val="137"/>
        </w:trPr>
        <w:tc>
          <w:tcPr>
            <w:tcW w:w="58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500"/>
              <w:spacing w:after="0" w:line="124" w:lineRule="exact"/>
              <w:rPr>
                <w:sz w:val="20"/>
                <w:szCs w:val="20"/>
                <w:color w:val="auto"/>
              </w:rPr>
            </w:pPr>
            <w:r>
              <w:rPr>
                <w:rFonts w:ascii="Arial" w:cs="Arial" w:eastAsia="Arial" w:hAnsi="Arial"/>
                <w:sz w:val="13"/>
                <w:szCs w:val="13"/>
                <w:b w:val="1"/>
                <w:bCs w:val="1"/>
                <w:color w:val="auto"/>
              </w:rPr>
              <w:t>(In thousands)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6,092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  (6,619)</w:t>
            </w:r>
          </w:p>
        </w:tc>
      </w:tr>
      <w:tr>
        <w:trPr>
          <w:trHeight w:val="210"/>
        </w:trPr>
        <w:tc>
          <w:tcPr>
            <w:tcW w:w="580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(179)</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(506)</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7"/>
          <w:szCs w:val="17"/>
          <w:color w:val="auto"/>
        </w:rPr>
        <w:t>Cash used in operating activities for the three months ended March 31, 2013 was $6.6 million. The net loss of $6.9 million reflects non-cash charges of $1.0 million for the change in the value of the preferred stock liability, $0.6 million in amortization of the deferred fee received from Genzyme, $0.2 million of depreciation and amortization, $0.2 million of stock-based and equity-based compensation and $0.1 million of bad debt expense. The decrease in net operating assets of $0.6 million was primarily due to a $0.8 million decrease in accounts payable and accrued liabilities due to timing of payments offset by a $0.3 million decrease in supply inventory due to the increase in volume of testing performed.</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color w:val="auto"/>
        </w:rPr>
        <w:t>Cash provided by operating activities for the three months ended March 31, 2012 was $6.1 million. The net loss of $4.2 million reflects non-cash charges of $0.5 million in amortization of the deferred fee from Genzyme, $0.2 million of depreciation and amortization and $0.1 million of stock-based compensation. The increase in net operating assets of $10.5 million was primarily due to the $10.0 million we received from Genzyme. Accounts payable and accrued liabilities increased $0.8 million due to the growth in our operations and the timing of our payments. Accounts receivable increased by $0.4 million due to the significant increase in accrued revenue in 2012 as we had only begun to sell Afirma in 2011.</w:t>
      </w:r>
    </w:p>
    <w:p>
      <w:pPr>
        <w:spacing w:after="0" w:line="187"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508"/>
        <w:spacing w:after="0" w:line="315" w:lineRule="auto"/>
        <w:rPr>
          <w:sz w:val="20"/>
          <w:szCs w:val="20"/>
          <w:color w:val="auto"/>
        </w:rPr>
      </w:pPr>
      <w:r>
        <w:rPr>
          <w:rFonts w:ascii="Arial" w:cs="Arial" w:eastAsia="Arial" w:hAnsi="Arial"/>
          <w:sz w:val="16"/>
          <w:szCs w:val="16"/>
          <w:color w:val="auto"/>
        </w:rPr>
        <w:t>Cash used in investing activities is related to the acquisition of property and equipment totaling $0.2 million and $0.5 million for the three months ended March 31, 2012 and 2013, respectively. Purchases of property and equipment were primarily related to research and development and laboratory equipment.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32"/>
        <w:spacing w:after="0" w:line="315" w:lineRule="auto"/>
        <w:rPr>
          <w:sz w:val="20"/>
          <w:szCs w:val="20"/>
          <w:color w:val="auto"/>
        </w:rPr>
      </w:pPr>
      <w:r>
        <w:rPr>
          <w:rFonts w:ascii="Arial" w:cs="Arial" w:eastAsia="Arial" w:hAnsi="Arial"/>
          <w:sz w:val="16"/>
          <w:szCs w:val="16"/>
          <w:color w:val="auto"/>
        </w:rPr>
        <w:t>Cash from financing activities for the three months ended March 31, 2012 and 2013 of $61,000 and $0.2 million, respectively, represented proceeds from the exercise of options to purchase common stock. Payment of issuance costs of $52,000 offset the cash inflow for the three months ended March 31, 2013.</w:t>
      </w:r>
    </w:p>
    <w:p>
      <w:pPr>
        <w:spacing w:after="0" w:line="146"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311"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$14.0 million and $7.1 million as of December 31, 2012 and March 31,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from new or revised accounting standards and, therefore, will be subject to the same new or revised accounting standards as other public companies that are not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$14.5 million for the trailing twelve months ending March 31,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predicting outcomes and guiding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65"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range of diseases, including many forms of cancer.</w:t>
      </w:r>
    </w:p>
    <w:p>
      <w:pPr>
        <w:spacing w:after="0" w:line="185"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90"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We developed our first commercial offering, Afirma, to address a significant unmet need in thyroid nodule diagnosis. Thyroid nodules, or bumps under the skin of the neck around the thyroid gland,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Approximately 525,000 thyroid FNAs were performed in the United States in 2011. Typically 15% to 30% of FNAs yield indeterminate results, meaning they cannot be diagnosed as definitively benign or malignant by cytopathology alone. Because the risk of malignancy is approximately 25% for an indeterminate diagnosis, clinical practice guidelines have historically recommended that patients with indeterminate cytopathology results undergo surgery to remove part or all of their thyroid to obtain an accurate pathology diagnosis. However, in 70%-80% of these cases, the thyroid nodule proves to be benign for cancer. We estimate the average cost of surgery to be $15,000, and surgery can result in complications and leave a patient in need of hormone replacement therapy for life.</w:t>
      </w:r>
    </w:p>
    <w:p>
      <w:pPr>
        <w:spacing w:after="0" w:line="175" w:lineRule="exact"/>
        <w:rPr>
          <w:sz w:val="20"/>
          <w:szCs w:val="20"/>
          <w:color w:val="auto"/>
        </w:rPr>
      </w:pPr>
    </w:p>
    <w:p>
      <w:pPr>
        <w:jc w:val="both"/>
        <w:ind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analyzing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had both a cytopathology indeterminate result and a GEC-benign result. The study found that physicians recommended surgery in only 7.6% of these cases, representing a 90% reduction in surgeries when compared to the historical average for patients with cytopathology indeterminate results alone. We believe the GEC is currently the only diagnostic test that meets the criteria of the National Comprehensive Cancer Network, or NCCN, for safely monitoring patients with indeterminate cytopathology results in lieu of surgery.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developing the Afirma Malignant GEC test to diagnose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 patient care would be meaningfully improved with lower costs if that diagnosis could be provided without surgery.</w:t>
      </w:r>
    </w:p>
    <w:p>
      <w:pPr>
        <w:spacing w:after="0" w:line="176"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301" w:lineRule="auto"/>
        <w:rPr>
          <w:sz w:val="20"/>
          <w:szCs w:val="20"/>
          <w:color w:val="auto"/>
        </w:rPr>
      </w:pPr>
      <w:r>
        <w:rPr>
          <w:rFonts w:ascii="Arial" w:cs="Arial" w:eastAsia="Arial" w:hAnsi="Arial"/>
          <w:sz w:val="15"/>
          <w:szCs w:val="15"/>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 partner with key opinion leaders to design and execute clinical studies that specifically validate the key attributes we believe will be required for broad adoption and reimbursement of our products.</w:t>
      </w:r>
    </w:p>
    <w:p>
      <w:pPr>
        <w:spacing w:after="0" w:line="164"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guides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requirements, which informs our strategy across disease selection, clinical study design, marketing and sales.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79"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Large, growing market. </w:t>
      </w:r>
      <w:r>
        <w:rPr>
          <w:rFonts w:ascii="Arial" w:cs="Arial" w:eastAsia="Arial" w:hAnsi="Arial"/>
          <w:sz w:val="16"/>
          <w:szCs w:val="16"/>
          <w:color w:val="auto"/>
        </w:rPr>
        <w:t>Thyroid cancer is the fastest growing cancer in the United States according to the American Cancer Society, and screening of</w:t>
      </w:r>
      <w:r>
        <w:rPr>
          <w:rFonts w:ascii="Arial" w:cs="Arial" w:eastAsia="Arial" w:hAnsi="Arial"/>
          <w:sz w:val="16"/>
          <w:szCs w:val="16"/>
          <w:i w:val="1"/>
          <w:iCs w:val="1"/>
          <w:color w:val="auto"/>
        </w:rPr>
        <w:t xml:space="preserve"> </w:t>
      </w:r>
      <w:r>
        <w:rPr>
          <w:rFonts w:ascii="Arial" w:cs="Arial" w:eastAsia="Arial" w:hAnsi="Arial"/>
          <w:sz w:val="16"/>
          <w:szCs w:val="16"/>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$50 million related to a molecular cytology test for malignant thyroid FNA samples. Our market research indicates that there is an estimated $300 million market opportunity for the GEC internationally. We believe we can effectively market Afirma with a small specialty sales force because Afirma represents a significant innovation in the underserved thyroid cancer diagnostic market. We intend to address diseases that have similar market characteristics with our future products.</w:t>
      </w:r>
    </w:p>
    <w:p>
      <w:pPr>
        <w:spacing w:after="0" w:line="202"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 cytopathology alone. This ambiguity results in confusion for doctors and patients. The 2011 NCCN Clinical Practice Guidelines in Oncology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72"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Afirma Thyroid FNA Analysis is our comprehensive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The majority of our customers practice in the community setting. Our community-based customers send both the cytopathology and the GEC samples overnight to our licensed CLIA laboratory for analysis.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After we receive samples and accession them into our laboratory information system, the GEC samples are stored in a freezer while the cytopathology samples are prepared and stained for review by Thyroid Cytology Partners, or TCP, a practice solely focused on thyroid FNA analysis.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76"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147955</wp:posOffset>
            </wp:positionV>
            <wp:extent cx="5577205" cy="3221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7205" cy="322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360"/>
        <w:spacing w:after="0" w:line="315" w:lineRule="auto"/>
        <w:rPr>
          <w:sz w:val="20"/>
          <w:szCs w:val="20"/>
          <w:color w:val="auto"/>
        </w:rPr>
      </w:pPr>
      <w:r>
        <w:rPr>
          <w:rFonts w:ascii="Arial" w:cs="Arial" w:eastAsia="Arial" w:hAnsi="Arial"/>
          <w:sz w:val="16"/>
          <w:szCs w:val="16"/>
          <w:color w:val="auto"/>
        </w:rPr>
        <w:t>With the GEC, approximately half of the patients with indeterminate cytology results may avoid unnecessary, invasive diagnostic surgery. Patients who obtain an Afirma benign result avoid the potential for surgery-related complications, the effects of life-long hormone replacement therapy and the associated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costs. We estimate that approximately 115,000 FNAs performed in the United States in 2011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281" w:lineRule="auto"/>
        <w:rPr>
          <w:sz w:val="20"/>
          <w:szCs w:val="20"/>
          <w:color w:val="auto"/>
        </w:rPr>
      </w:pPr>
      <w:r>
        <w:rPr>
          <w:rFonts w:ascii="Arial" w:cs="Arial" w:eastAsia="Arial" w:hAnsi="Arial"/>
          <w:sz w:val="16"/>
          <w:szCs w:val="16"/>
          <w:color w:val="auto"/>
        </w:rPr>
        <w:t>Afirma enables every physician, regardless of practice setting, to offer his or her patients access to advanced technology for the diagnosis and management of thyroid nodules.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commissioned by Genzyme, a survey of 229 endocrinologists indicated that 86% of 102 Afirma users reported that they were either extremely satisfied or very satisfied with the services of TCP.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concluded that routine use of the GEC in the United States would prevent tens of thousands of surgeries each year. Based on our estimate of the average cost of surgery of $15,000 as well as clinical utility studies, full adoption of Afirma would result in over $500 million in direct cost savings to the healthcare system over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Unites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14"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67" w:lineRule="exact"/>
        <w:rPr>
          <w:rFonts w:ascii="Arial" w:cs="Arial" w:eastAsia="Arial" w:hAnsi="Arial"/>
          <w:sz w:val="15"/>
          <w:szCs w:val="15"/>
          <w:color w:val="auto"/>
        </w:rPr>
      </w:pPr>
    </w:p>
    <w:p>
      <w:pPr>
        <w:ind w:left="1060" w:hanging="531"/>
        <w:spacing w:after="0" w:line="352"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Drive cost and capital efficiencies by offering turnkey solutions to physicians in specialty markets. </w:t>
      </w:r>
      <w:r>
        <w:rPr>
          <w:rFonts w:ascii="Arial" w:cs="Arial" w:eastAsia="Arial" w:hAnsi="Arial"/>
          <w:sz w:val="15"/>
          <w:szCs w:val="15"/>
          <w:color w:val="auto"/>
        </w:rPr>
        <w:t>The infrastructure we have built to make Afirma</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commercially available is designed to support a rapid acceleration in patient volumes as we drive broader adoption. Because we market Afirma in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auto"/>
        </w:rPr>
        <w:t>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199" w:lineRule="exact"/>
        <w:rPr>
          <w:sz w:val="20"/>
          <w:szCs w:val="20"/>
          <w:color w:val="auto"/>
        </w:rPr>
      </w:pPr>
    </w:p>
    <w:p>
      <w:pPr>
        <w:jc w:val="both"/>
        <w:ind w:left="1060" w:hanging="531"/>
        <w:spacing w:after="0" w:line="26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guide surgical strategy for the treatment of medullary thyroid cancer and other rare and metastatic forms of thyroid cancer.</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 product in 2016 and believe this product will serve as the foundational application to expand our molecular cytology platform within the pulmonology vertical.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20"/>
        <w:spacing w:after="0" w:line="287" w:lineRule="auto"/>
        <w:rPr>
          <w:sz w:val="20"/>
          <w:szCs w:val="20"/>
          <w:color w:val="auto"/>
        </w:rPr>
      </w:pPr>
      <w:r>
        <w:rPr>
          <w:rFonts w:ascii="Arial" w:cs="Arial" w:eastAsia="Arial" w:hAnsi="Arial"/>
          <w:sz w:val="16"/>
          <w:szCs w:val="16"/>
          <w:color w:val="auto"/>
        </w:rPr>
        <w:t>In this study,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79"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5"/>
          <w:szCs w:val="15"/>
          <w:color w:val="auto"/>
        </w:rPr>
        <w:t>In this study,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59"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79" w:lineRule="auto"/>
        <w:rPr>
          <w:sz w:val="20"/>
          <w:szCs w:val="20"/>
          <w:color w:val="auto"/>
        </w:rPr>
      </w:pPr>
      <w:r>
        <w:rPr>
          <w:rFonts w:ascii="Arial" w:cs="Arial" w:eastAsia="Arial" w:hAnsi="Arial"/>
          <w:sz w:val="16"/>
          <w:szCs w:val="16"/>
          <w:color w:val="auto"/>
        </w:rPr>
        <w:t>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an approximately 25% risk of malignancy when resected, approximately 75% of these operations will likely be on nodules determined to be benign post-operatively. Thyroid surgery is associated with potential complications, including temporary and permanent hypocalcemia, recurrent laryngeal 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indeterminate. We believe the impact of the GEC on the physician and patient decision making is immediate and measurable from both the perspective of avoidance of unnecessary surgery and cost savings.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color w:val="auto"/>
        </w:rPr>
        <w:t xml:space="preserve">This study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6"/>
          <w:szCs w:val="16"/>
          <w:i w:val="1"/>
          <w:iCs w:val="1"/>
          <w:color w:val="auto"/>
        </w:rPr>
        <w:t xml:space="preserve">Thyroid </w:t>
      </w:r>
      <w:r>
        <w:rPr>
          <w:rFonts w:ascii="Arial" w:cs="Arial" w:eastAsia="Arial" w:hAnsi="Arial"/>
          <w:sz w:val="16"/>
          <w:szCs w:val="16"/>
          <w:color w:val="auto"/>
        </w:rPr>
        <w:t>in 2011, a 90% reduction in the decision to operate (p &lt; 0.001). The study demonstrates the effect of the GEC on clinical decision making for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indeterminate thyroid nodules. The graph below sets forth the results of the study: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143510</wp:posOffset>
            </wp:positionV>
            <wp:extent cx="3146425" cy="29965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6425"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81"/>
        <w:spacing w:after="0" w:line="282" w:lineRule="auto"/>
        <w:rPr>
          <w:sz w:val="20"/>
          <w:szCs w:val="20"/>
          <w:color w:val="auto"/>
        </w:rPr>
      </w:pPr>
      <w:r>
        <w:rPr>
          <w:rFonts w:ascii="Arial" w:cs="Arial" w:eastAsia="Arial" w:hAnsi="Arial"/>
          <w:sz w:val="17"/>
          <w:szCs w:val="17"/>
          <w:color w:val="auto"/>
        </w:rPr>
        <w:t>In addition, such results were consistent with results from an earlier unpublished study presented at the American Thyroid Association annual scientific meeting in 2011, which reported the results of a web-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and mail-based opinion survey of 32 physician practices, with a mean of 89% of physicians reporting that they recommended watchful waiting for patients with cytologically indeterminate FNAs but benign GEC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Cost-effectiveness of a Novel Molecular Test for Cytologically Indeterminate Thyroid Nodules (Journal of Clinical Endocrinology and Metabolism, 2011)</w:t>
      </w:r>
    </w:p>
    <w:p>
      <w:pPr>
        <w:spacing w:after="0" w:line="236"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1"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 xml:space="preserve">The cost savings estimate in the Johns Hopkins model was based on an estimated 14% rate of surgery on a GEC benign nodule, which rate is almost double the 7.6% subsequently reported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described above. Based on the rate of surgery on GEC benign nodules reported in </w:t>
      </w:r>
      <w:r>
        <w:rPr>
          <w:rFonts w:ascii="Arial" w:cs="Arial" w:eastAsia="Arial" w:hAnsi="Arial"/>
          <w:sz w:val="17"/>
          <w:szCs w:val="17"/>
          <w:i w:val="1"/>
          <w:iCs w:val="1"/>
          <w:color w:val="auto"/>
        </w:rPr>
        <w:t>Thyroid</w:t>
      </w:r>
      <w:r>
        <w:rPr>
          <w:rFonts w:ascii="Arial" w:cs="Arial" w:eastAsia="Arial" w:hAnsi="Arial"/>
          <w:sz w:val="17"/>
          <w:szCs w:val="17"/>
          <w:color w:val="auto"/>
        </w:rPr>
        <w:t>, we estimate that each GEC test would save approximately $2,600. The graph below sets forth the results of the study: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143510</wp:posOffset>
            </wp:positionV>
            <wp:extent cx="3721100" cy="255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2110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tabs>
          <w:tab w:leader="none" w:pos="3640" w:val="left"/>
        </w:tabs>
        <w:rPr>
          <w:sz w:val="20"/>
          <w:szCs w:val="20"/>
          <w:color w:val="auto"/>
        </w:rPr>
      </w:pPr>
      <w:r>
        <w:rPr>
          <w:rFonts w:ascii="Arial" w:cs="Arial" w:eastAsia="Arial" w:hAnsi="Arial"/>
          <w:sz w:val="13"/>
          <w:szCs w:val="13"/>
          <w:color w:val="auto"/>
        </w:rPr>
        <w:t>Preoperative Diagnosis of Benign Thyroid Nodules with</w:t>
      </w:r>
      <w:r>
        <w:rPr>
          <w:sz w:val="20"/>
          <w:szCs w:val="20"/>
          <w:color w:val="auto"/>
        </w:rPr>
        <w:tab/>
      </w:r>
      <w:r>
        <w:rPr>
          <w:rFonts w:ascii="Arial" w:cs="Arial" w:eastAsia="Arial" w:hAnsi="Arial"/>
          <w:sz w:val="12"/>
          <w:szCs w:val="12"/>
          <w:i w:val="1"/>
          <w:iCs w:val="1"/>
          <w:color w:val="auto"/>
        </w:rPr>
        <w:t>The New England Journal of Medicine</w:t>
      </w:r>
    </w:p>
    <w:p>
      <w:pPr>
        <w:spacing w:after="0"/>
        <w:tabs>
          <w:tab w:leader="none" w:pos="3640" w:val="left"/>
        </w:tabs>
        <w:rPr>
          <w:sz w:val="20"/>
          <w:szCs w:val="20"/>
          <w:color w:val="auto"/>
        </w:rPr>
      </w:pPr>
      <w:r>
        <w:rPr>
          <w:rFonts w:ascii="Arial" w:cs="Arial" w:eastAsia="Arial" w:hAnsi="Arial"/>
          <w:sz w:val="13"/>
          <w:szCs w:val="13"/>
          <w:color w:val="auto"/>
        </w:rPr>
        <w:t>Indeterminate Cytology</w:t>
      </w:r>
      <w:r>
        <w:rPr>
          <w:sz w:val="20"/>
          <w:szCs w:val="20"/>
          <w:color w:val="auto"/>
        </w:rPr>
        <w:tab/>
      </w:r>
      <w:r>
        <w:rPr>
          <w:rFonts w:ascii="Arial" w:cs="Arial" w:eastAsia="Arial" w:hAnsi="Arial"/>
          <w:sz w:val="12"/>
          <w:szCs w:val="12"/>
          <w:color w:val="auto"/>
        </w:rPr>
        <w:t>(August 2012)</w:t>
      </w:r>
    </w:p>
    <w:p>
      <w:pPr>
        <w:spacing w:after="0" w:line="200" w:lineRule="exact"/>
        <w:rPr>
          <w:sz w:val="20"/>
          <w:szCs w:val="20"/>
          <w:color w:val="auto"/>
        </w:rPr>
      </w:pPr>
    </w:p>
    <w:p>
      <w:pPr>
        <w:spacing w:after="0" w:line="257"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Molecular Classification of Thyroid Nodules Using High-</w:t>
      </w:r>
      <w:r>
        <w:rPr>
          <w:sz w:val="20"/>
          <w:szCs w:val="20"/>
          <w:color w:val="auto"/>
        </w:rPr>
        <w:tab/>
      </w:r>
      <w:r>
        <w:rPr>
          <w:rFonts w:ascii="Arial" w:cs="Arial" w:eastAsia="Arial" w:hAnsi="Arial"/>
          <w:sz w:val="12"/>
          <w:szCs w:val="12"/>
          <w:i w:val="1"/>
          <w:iCs w:val="1"/>
          <w:color w:val="auto"/>
        </w:rPr>
        <w:t>Journal of Clinical Endocrinology and Metabolism</w:t>
      </w:r>
    </w:p>
    <w:p>
      <w:pPr>
        <w:spacing w:after="0" w:line="5"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Dimensionality Genomic Data</w:t>
      </w:r>
      <w:r>
        <w:rPr>
          <w:sz w:val="20"/>
          <w:szCs w:val="20"/>
          <w:color w:val="auto"/>
        </w:rPr>
        <w:tab/>
      </w:r>
      <w:r>
        <w:rPr>
          <w:rFonts w:ascii="Arial" w:cs="Arial" w:eastAsia="Arial" w:hAnsi="Arial"/>
          <w:sz w:val="11"/>
          <w:szCs w:val="11"/>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tabs>
          <w:tab w:leader="none" w:pos="3640" w:val="left"/>
        </w:tabs>
        <w:rPr>
          <w:sz w:val="20"/>
          <w:szCs w:val="20"/>
          <w:color w:val="auto"/>
        </w:rPr>
      </w:pPr>
      <w:r>
        <w:rPr>
          <w:rFonts w:ascii="Arial" w:cs="Arial" w:eastAsia="Arial" w:hAnsi="Arial"/>
          <w:sz w:val="13"/>
          <w:szCs w:val="13"/>
          <w:color w:val="auto"/>
        </w:rPr>
        <w:t>The Impact of Benign Gene Expression Classifier Test</w:t>
      </w:r>
      <w:r>
        <w:rPr>
          <w:sz w:val="20"/>
          <w:szCs w:val="20"/>
          <w:color w:val="auto"/>
        </w:rPr>
        <w:tab/>
      </w:r>
      <w:r>
        <w:rPr>
          <w:rFonts w:ascii="Arial" w:cs="Arial" w:eastAsia="Arial" w:hAnsi="Arial"/>
          <w:sz w:val="12"/>
          <w:szCs w:val="12"/>
          <w:i w:val="1"/>
          <w:iCs w:val="1"/>
          <w:color w:val="auto"/>
        </w:rPr>
        <w:t>Thyroid</w:t>
      </w:r>
    </w:p>
    <w:p>
      <w:pPr>
        <w:spacing w:after="0"/>
        <w:tabs>
          <w:tab w:leader="none" w:pos="3640" w:val="left"/>
        </w:tabs>
        <w:rPr>
          <w:sz w:val="20"/>
          <w:szCs w:val="20"/>
          <w:color w:val="auto"/>
        </w:rPr>
      </w:pPr>
      <w:r>
        <w:rPr>
          <w:rFonts w:ascii="Arial" w:cs="Arial" w:eastAsia="Arial" w:hAnsi="Arial"/>
          <w:sz w:val="13"/>
          <w:szCs w:val="13"/>
          <w:color w:val="auto"/>
        </w:rPr>
        <w:t>Results on the Endocrinologist-Patient Decision to</w:t>
      </w:r>
      <w:r>
        <w:rPr>
          <w:sz w:val="20"/>
          <w:szCs w:val="20"/>
          <w:color w:val="auto"/>
        </w:rPr>
        <w:tab/>
      </w:r>
      <w:r>
        <w:rPr>
          <w:rFonts w:ascii="Arial" w:cs="Arial" w:eastAsia="Arial" w:hAnsi="Arial"/>
          <w:sz w:val="11"/>
          <w:szCs w:val="11"/>
          <w:color w:val="auto"/>
        </w:rPr>
        <w:t>(October 2012)</w:t>
      </w:r>
    </w:p>
    <w:p>
      <w:pPr>
        <w:spacing w:after="0" w:line="232" w:lineRule="auto"/>
        <w:rPr>
          <w:sz w:val="20"/>
          <w:szCs w:val="20"/>
          <w:color w:val="auto"/>
        </w:rPr>
      </w:pPr>
      <w:r>
        <w:rPr>
          <w:rFonts w:ascii="Arial" w:cs="Arial" w:eastAsia="Arial" w:hAnsi="Arial"/>
          <w:sz w:val="13"/>
          <w:szCs w:val="13"/>
          <w:color w:val="auto"/>
        </w:rPr>
        <w:t>Operate on Patients with Thyroid Nodules with</w:t>
      </w:r>
    </w:p>
    <w:p>
      <w:pPr>
        <w:spacing w:after="0"/>
        <w:rPr>
          <w:sz w:val="20"/>
          <w:szCs w:val="20"/>
          <w:color w:val="auto"/>
        </w:rPr>
      </w:pPr>
      <w:r>
        <w:rPr>
          <w:rFonts w:ascii="Arial" w:cs="Arial" w:eastAsia="Arial" w:hAnsi="Arial"/>
          <w:sz w:val="13"/>
          <w:szCs w:val="13"/>
          <w:color w:val="auto"/>
        </w:rPr>
        <w:t>Indeterminate Fine-Needle Aspiration Cytopathology</w:t>
      </w:r>
    </w:p>
    <w:p>
      <w:pPr>
        <w:spacing w:after="0" w:line="168" w:lineRule="exact"/>
        <w:rPr>
          <w:sz w:val="20"/>
          <w:szCs w:val="20"/>
          <w:color w:val="auto"/>
        </w:rPr>
      </w:pPr>
    </w:p>
    <w:p>
      <w:pPr>
        <w:spacing w:after="0"/>
        <w:tabs>
          <w:tab w:leader="none" w:pos="3640" w:val="left"/>
        </w:tabs>
        <w:rPr>
          <w:sz w:val="20"/>
          <w:szCs w:val="20"/>
          <w:color w:val="auto"/>
        </w:rPr>
      </w:pPr>
      <w:r>
        <w:rPr>
          <w:rFonts w:ascii="Arial" w:cs="Arial" w:eastAsia="Arial" w:hAnsi="Arial"/>
          <w:sz w:val="13"/>
          <w:szCs w:val="13"/>
          <w:color w:val="auto"/>
        </w:rPr>
        <w:t>Clinical Practice Impact of a Novel mRNA–based Gene</w:t>
      </w:r>
      <w:r>
        <w:rPr>
          <w:sz w:val="20"/>
          <w:szCs w:val="20"/>
          <w:color w:val="auto"/>
        </w:rPr>
        <w:tab/>
      </w:r>
      <w:r>
        <w:rPr>
          <w:rFonts w:ascii="Arial" w:cs="Arial" w:eastAsia="Arial" w:hAnsi="Arial"/>
          <w:sz w:val="12"/>
          <w:szCs w:val="12"/>
          <w:i w:val="1"/>
          <w:iCs w:val="1"/>
          <w:color w:val="auto"/>
        </w:rPr>
        <w:t xml:space="preserve">American Thyroid Association </w:t>
      </w:r>
      <w:r>
        <w:rPr>
          <w:rFonts w:ascii="Arial" w:cs="Arial" w:eastAsia="Arial" w:hAnsi="Arial"/>
          <w:sz w:val="12"/>
          <w:szCs w:val="12"/>
          <w:color w:val="auto"/>
        </w:rPr>
        <w:t>(</w:t>
      </w:r>
      <w:r>
        <w:rPr>
          <w:rFonts w:ascii="Arial" w:cs="Arial" w:eastAsia="Arial" w:hAnsi="Arial"/>
          <w:sz w:val="12"/>
          <w:szCs w:val="12"/>
          <w:i w:val="1"/>
          <w:iCs w:val="1"/>
          <w:color w:val="auto"/>
        </w:rPr>
        <w:t>Abstract Poster</w:t>
      </w:r>
    </w:p>
    <w:p>
      <w:pPr>
        <w:spacing w:after="0"/>
        <w:tabs>
          <w:tab w:leader="none" w:pos="3640" w:val="left"/>
        </w:tabs>
        <w:rPr>
          <w:sz w:val="20"/>
          <w:szCs w:val="20"/>
          <w:color w:val="auto"/>
        </w:rPr>
      </w:pPr>
      <w:r>
        <w:rPr>
          <w:rFonts w:ascii="Arial" w:cs="Arial" w:eastAsia="Arial" w:hAnsi="Arial"/>
          <w:sz w:val="13"/>
          <w:szCs w:val="13"/>
          <w:color w:val="auto"/>
        </w:rPr>
        <w:t>Expression Classifier in Thyroid Nodules with</w:t>
      </w:r>
      <w:r>
        <w:rPr>
          <w:sz w:val="20"/>
          <w:szCs w:val="20"/>
          <w:color w:val="auto"/>
        </w:rPr>
        <w:tab/>
      </w:r>
      <w:r>
        <w:rPr>
          <w:rFonts w:ascii="Arial" w:cs="Arial" w:eastAsia="Arial" w:hAnsi="Arial"/>
          <w:sz w:val="12"/>
          <w:szCs w:val="12"/>
          <w:i w:val="1"/>
          <w:iCs w:val="1"/>
          <w:color w:val="auto"/>
        </w:rPr>
        <w:t>Presentation</w:t>
      </w:r>
      <w:r>
        <w:rPr>
          <w:rFonts w:ascii="Arial" w:cs="Arial" w:eastAsia="Arial" w:hAnsi="Arial"/>
          <w:sz w:val="12"/>
          <w:szCs w:val="12"/>
          <w:color w:val="auto"/>
        </w:rPr>
        <w:t>)</w:t>
      </w:r>
    </w:p>
    <w:p>
      <w:pPr>
        <w:spacing w:after="0"/>
        <w:tabs>
          <w:tab w:leader="none" w:pos="3640" w:val="left"/>
        </w:tabs>
        <w:rPr>
          <w:sz w:val="20"/>
          <w:szCs w:val="20"/>
          <w:color w:val="auto"/>
        </w:rPr>
      </w:pPr>
      <w:r>
        <w:rPr>
          <w:rFonts w:ascii="Arial" w:cs="Arial" w:eastAsia="Arial" w:hAnsi="Arial"/>
          <w:sz w:val="13"/>
          <w:szCs w:val="13"/>
          <w:color w:val="auto"/>
        </w:rPr>
        <w:t>Indeterminate Fine Needle Aspiration Cytopathology</w:t>
      </w:r>
      <w:r>
        <w:rPr>
          <w:sz w:val="20"/>
          <w:szCs w:val="20"/>
          <w:color w:val="auto"/>
        </w:rPr>
        <w:tab/>
      </w:r>
      <w:r>
        <w:rPr>
          <w:rFonts w:ascii="Arial" w:cs="Arial" w:eastAsia="Arial" w:hAnsi="Arial"/>
          <w:sz w:val="11"/>
          <w:szCs w:val="11"/>
          <w:color w:val="auto"/>
        </w:rPr>
        <w:t>(October 2011)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hanging="180"/>
        <w:spacing w:after="0"/>
        <w:tabs>
          <w:tab w:leader="none" w:pos="180" w:val="left"/>
        </w:tabs>
        <w:numPr>
          <w:ilvl w:val="0"/>
          <w:numId w:val="34"/>
        </w:numPr>
        <w:rPr>
          <w:rFonts w:ascii="Arial" w:cs="Arial" w:eastAsia="Arial" w:hAnsi="Arial"/>
          <w:sz w:val="19"/>
          <w:szCs w:val="19"/>
          <w:color w:val="auto"/>
        </w:rPr>
      </w:pPr>
      <w:r>
        <w:rPr>
          <w:rFonts w:ascii="Arial" w:cs="Arial" w:eastAsia="Arial" w:hAnsi="Arial"/>
          <w:sz w:val="12"/>
          <w:szCs w:val="12"/>
          <w:color w:val="auto"/>
        </w:rPr>
        <w:t>Pivotal clinical validation study (prospective, multicenter, double-blind)</w:t>
      </w:r>
    </w:p>
    <w:p>
      <w:pPr>
        <w:spacing w:after="0" w:line="241"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4"/>
        </w:numPr>
        <w:rPr>
          <w:rFonts w:ascii="Arial" w:cs="Arial" w:eastAsia="Arial" w:hAnsi="Arial"/>
          <w:sz w:val="21"/>
          <w:szCs w:val="21"/>
          <w:color w:val="auto"/>
        </w:rPr>
      </w:pPr>
      <w:r>
        <w:rPr>
          <w:rFonts w:ascii="Arial" w:cs="Arial" w:eastAsia="Arial" w:hAnsi="Arial"/>
          <w:sz w:val="13"/>
          <w:szCs w:val="13"/>
          <w:color w:val="auto"/>
        </w:rPr>
        <w:t>A GEC benign result is comparable in accuracy to a benign cytology result</w:t>
      </w:r>
    </w:p>
    <w:p>
      <w:pPr>
        <w:spacing w:after="0" w:line="1"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4"/>
        </w:numPr>
        <w:rPr>
          <w:rFonts w:ascii="Arial" w:cs="Arial" w:eastAsia="Arial" w:hAnsi="Arial"/>
          <w:sz w:val="21"/>
          <w:szCs w:val="21"/>
          <w:color w:val="auto"/>
        </w:rPr>
      </w:pPr>
      <w:r>
        <w:rPr>
          <w:rFonts w:ascii="Arial" w:cs="Arial" w:eastAsia="Arial" w:hAnsi="Arial"/>
          <w:sz w:val="13"/>
          <w:szCs w:val="13"/>
          <w:color w:val="auto"/>
        </w:rPr>
        <w:t>First prospective, multicenter, double-blind validation study</w:t>
      </w:r>
    </w:p>
    <w:p>
      <w:pPr>
        <w:spacing w:after="0" w:line="242" w:lineRule="exact"/>
        <w:rPr>
          <w:rFonts w:ascii="Arial" w:cs="Arial" w:eastAsia="Arial" w:hAnsi="Arial"/>
          <w:sz w:val="21"/>
          <w:szCs w:val="21"/>
          <w:color w:val="auto"/>
        </w:rPr>
      </w:pPr>
    </w:p>
    <w:p>
      <w:pPr>
        <w:jc w:val="both"/>
        <w:ind w:left="180" w:hanging="180"/>
        <w:spacing w:after="0" w:line="207" w:lineRule="auto"/>
        <w:tabs>
          <w:tab w:leader="none" w:pos="180" w:val="left"/>
        </w:tabs>
        <w:numPr>
          <w:ilvl w:val="0"/>
          <w:numId w:val="34"/>
        </w:numPr>
        <w:rPr>
          <w:rFonts w:ascii="Arial" w:cs="Arial" w:eastAsia="Arial" w:hAnsi="Arial"/>
          <w:sz w:val="21"/>
          <w:szCs w:val="21"/>
          <w:color w:val="auto"/>
        </w:rPr>
      </w:pPr>
      <w:r>
        <w:rPr>
          <w:rFonts w:ascii="Arial" w:cs="Arial" w:eastAsia="Arial" w:hAnsi="Arial"/>
          <w:sz w:val="13"/>
          <w:szCs w:val="13"/>
          <w:color w:val="auto"/>
        </w:rPr>
        <w:t>Even in the presence of degraded RNA, bloody samples, or malignant samples diluted up to 80% with aspirate material from benign nodules, the GEC correctly recognizes benign nodules and does not miss malignancy in the majority of FNA samples</w:t>
      </w:r>
    </w:p>
    <w:p>
      <w:pPr>
        <w:spacing w:after="0" w:line="114" w:lineRule="exact"/>
        <w:rPr>
          <w:rFonts w:ascii="Arial" w:cs="Arial" w:eastAsia="Arial" w:hAnsi="Arial"/>
          <w:sz w:val="21"/>
          <w:szCs w:val="21"/>
          <w:color w:val="auto"/>
        </w:rPr>
      </w:pPr>
    </w:p>
    <w:p>
      <w:pPr>
        <w:ind w:left="180" w:hanging="180"/>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13"/>
          <w:szCs w:val="13"/>
          <w:color w:val="auto"/>
        </w:rPr>
        <w:t>Large multicenter study of endocrinologists' practices</w:t>
      </w:r>
    </w:p>
    <w:p>
      <w:pPr>
        <w:spacing w:after="0" w:line="24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4"/>
        </w:numPr>
        <w:rPr>
          <w:rFonts w:ascii="Arial" w:cs="Arial" w:eastAsia="Arial" w:hAnsi="Arial"/>
          <w:sz w:val="21"/>
          <w:szCs w:val="21"/>
          <w:color w:val="auto"/>
        </w:rPr>
      </w:pPr>
      <w:r>
        <w:rPr>
          <w:rFonts w:ascii="Arial" w:cs="Arial" w:eastAsia="Arial" w:hAnsi="Arial"/>
          <w:sz w:val="13"/>
          <w:szCs w:val="13"/>
          <w:color w:val="auto"/>
        </w:rPr>
        <w:t>Approximately one surgery was avoided for every two GEC tests run on thyroid FNAs with indeterminate cytology</w:t>
      </w:r>
    </w:p>
    <w:p>
      <w:pPr>
        <w:spacing w:after="0" w:line="41" w:lineRule="exact"/>
        <w:rPr>
          <w:rFonts w:ascii="Arial" w:cs="Arial" w:eastAsia="Arial" w:hAnsi="Arial"/>
          <w:sz w:val="21"/>
          <w:szCs w:val="21"/>
          <w:color w:val="auto"/>
        </w:rPr>
      </w:pPr>
    </w:p>
    <w:p>
      <w:pPr>
        <w:ind w:left="180" w:hanging="180"/>
        <w:spacing w:after="0"/>
        <w:tabs>
          <w:tab w:leader="none" w:pos="180" w:val="left"/>
        </w:tabs>
        <w:numPr>
          <w:ilvl w:val="0"/>
          <w:numId w:val="34"/>
        </w:numPr>
        <w:rPr>
          <w:rFonts w:ascii="Arial" w:cs="Arial" w:eastAsia="Arial" w:hAnsi="Arial"/>
          <w:sz w:val="19"/>
          <w:szCs w:val="19"/>
          <w:color w:val="auto"/>
        </w:rPr>
      </w:pPr>
      <w:r>
        <w:rPr>
          <w:rFonts w:ascii="Arial" w:cs="Arial" w:eastAsia="Arial" w:hAnsi="Arial"/>
          <w:sz w:val="12"/>
          <w:szCs w:val="12"/>
          <w:color w:val="auto"/>
        </w:rPr>
        <w:t>Assessed clinical utility by surveying physicians' treatment decisions</w:t>
      </w:r>
      <w:r>
        <w:rPr>
          <w:rFonts w:ascii="Arial" w:cs="Arial" w:eastAsia="Arial" w:hAnsi="Arial"/>
          <w:sz w:val="19"/>
          <w:szCs w:val="19"/>
          <w:color w:val="auto"/>
          <w:vertAlign w:val="superscript"/>
        </w:rPr>
        <w:t>(1)</w:t>
      </w:r>
    </w:p>
    <w:p>
      <w:pPr>
        <w:spacing w:after="0" w:line="169"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3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00" w:type="dxa"/>
            <w:vAlign w:val="bottom"/>
            <w:gridSpan w:val="2"/>
          </w:tcPr>
          <w:p>
            <w:pPr>
              <w:ind w:left="480"/>
              <w:spacing w:after="0" w:line="195" w:lineRule="exact"/>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Applying  the</w:t>
            </w:r>
          </w:p>
        </w:tc>
        <w:tc>
          <w:tcPr>
            <w:tcW w:w="880" w:type="dxa"/>
            <w:vAlign w:val="bottom"/>
          </w:tcPr>
          <w:p>
            <w:pPr>
              <w:ind w:left="40"/>
              <w:spacing w:after="0"/>
              <w:rPr>
                <w:sz w:val="20"/>
                <w:szCs w:val="20"/>
                <w:color w:val="auto"/>
              </w:rPr>
            </w:pPr>
            <w:r>
              <w:rPr>
                <w:rFonts w:ascii="Arial" w:cs="Arial" w:eastAsia="Arial" w:hAnsi="Arial"/>
                <w:sz w:val="13"/>
                <w:szCs w:val="13"/>
                <w:color w:val="auto"/>
                <w:w w:val="97"/>
              </w:rPr>
              <w:t>survey  results</w:t>
            </w:r>
          </w:p>
        </w:tc>
        <w:tc>
          <w:tcPr>
            <w:tcW w:w="2200" w:type="dxa"/>
            <w:vAlign w:val="bottom"/>
          </w:tcPr>
          <w:p>
            <w:pPr>
              <w:ind w:left="80"/>
              <w:spacing w:after="0"/>
              <w:rPr>
                <w:sz w:val="20"/>
                <w:szCs w:val="20"/>
                <w:color w:val="auto"/>
              </w:rPr>
            </w:pPr>
            <w:r>
              <w:rPr>
                <w:rFonts w:ascii="Arial" w:cs="Arial" w:eastAsia="Arial" w:hAnsi="Arial"/>
                <w:sz w:val="13"/>
                <w:szCs w:val="13"/>
                <w:color w:val="auto"/>
              </w:rPr>
              <w:t>to  540  patients  with  indeterminate</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gridSpan w:val="3"/>
          </w:tcPr>
          <w:p>
            <w:pPr>
              <w:ind w:left="60"/>
              <w:spacing w:after="0" w:line="144" w:lineRule="exact"/>
              <w:rPr>
                <w:sz w:val="20"/>
                <w:szCs w:val="20"/>
                <w:color w:val="auto"/>
              </w:rPr>
            </w:pPr>
            <w:r>
              <w:rPr>
                <w:rFonts w:ascii="Arial" w:cs="Arial" w:eastAsia="Arial" w:hAnsi="Arial"/>
                <w:sz w:val="13"/>
                <w:szCs w:val="13"/>
                <w:color w:val="auto"/>
                <w:w w:val="99"/>
              </w:rPr>
              <w:t>cytopathology,   physicians   recommended   watchful   waiting   and</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gridSpan w:val="3"/>
          </w:tcPr>
          <w:p>
            <w:pPr>
              <w:ind w:left="60"/>
              <w:spacing w:after="0" w:line="144" w:lineRule="exact"/>
              <w:rPr>
                <w:sz w:val="20"/>
                <w:szCs w:val="20"/>
                <w:color w:val="auto"/>
              </w:rPr>
            </w:pPr>
            <w:r>
              <w:rPr>
                <w:rFonts w:ascii="Arial" w:cs="Arial" w:eastAsia="Arial" w:hAnsi="Arial"/>
                <w:sz w:val="13"/>
                <w:szCs w:val="13"/>
                <w:color w:val="auto"/>
                <w:w w:val="96"/>
              </w:rPr>
              <w:t>sonographic follow up in lieu of surgery in 89% (234 of 263) of patients</w:t>
            </w:r>
          </w:p>
        </w:tc>
        <w:tc>
          <w:tcPr>
            <w:tcW w:w="0" w:type="dxa"/>
            <w:vAlign w:val="bottom"/>
          </w:tcPr>
          <w:p>
            <w:pPr>
              <w:spacing w:after="0"/>
              <w:rPr>
                <w:sz w:val="1"/>
                <w:szCs w:val="1"/>
                <w:color w:val="auto"/>
              </w:rPr>
            </w:pPr>
          </w:p>
        </w:tc>
      </w:tr>
      <w:tr>
        <w:trPr>
          <w:trHeight w:val="165"/>
        </w:trPr>
        <w:tc>
          <w:tcPr>
            <w:tcW w:w="336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Health Economics</w:t>
            </w:r>
          </w:p>
        </w:tc>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color w:val="auto"/>
              </w:rPr>
              <w:t>with a benign GEC result</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600" w:type="dxa"/>
            <w:vAlign w:val="bottom"/>
            <w:vMerge w:val="restart"/>
          </w:tcPr>
          <w:p>
            <w:pPr>
              <w:ind w:left="480"/>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Cost-Effectiveness of a Novel Molecular Test for</w:t>
            </w:r>
          </w:p>
        </w:tc>
        <w:tc>
          <w:tcPr>
            <w:tcW w:w="3480" w:type="dxa"/>
            <w:vAlign w:val="bottom"/>
          </w:tcPr>
          <w:p>
            <w:pPr>
              <w:ind w:left="300"/>
              <w:spacing w:after="0" w:line="144" w:lineRule="exact"/>
              <w:rPr>
                <w:sz w:val="20"/>
                <w:szCs w:val="20"/>
                <w:color w:val="auto"/>
              </w:rPr>
            </w:pPr>
            <w:r>
              <w:rPr>
                <w:rFonts w:ascii="Arial" w:cs="Arial" w:eastAsia="Arial" w:hAnsi="Arial"/>
                <w:sz w:val="13"/>
                <w:szCs w:val="13"/>
                <w:i w:val="1"/>
                <w:iCs w:val="1"/>
                <w:color w:val="auto"/>
              </w:rPr>
              <w:t>Journal of Clinical Endocrinology and Metabolism</w:t>
            </w:r>
          </w:p>
        </w:tc>
        <w:tc>
          <w:tcPr>
            <w:tcW w:w="600" w:type="dxa"/>
            <w:vAlign w:val="bottom"/>
            <w:vMerge w:val="continue"/>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Use of Afirma</w:t>
            </w:r>
          </w:p>
        </w:tc>
        <w:tc>
          <w:tcPr>
            <w:tcW w:w="880" w:type="dxa"/>
            <w:vAlign w:val="bottom"/>
            <w:vMerge w:val="restart"/>
          </w:tcPr>
          <w:p>
            <w:pPr>
              <w:ind w:left="40"/>
              <w:spacing w:after="0"/>
              <w:rPr>
                <w:sz w:val="20"/>
                <w:szCs w:val="20"/>
                <w:color w:val="auto"/>
              </w:rPr>
            </w:pPr>
            <w:r>
              <w:rPr>
                <w:rFonts w:ascii="Arial" w:cs="Arial" w:eastAsia="Arial" w:hAnsi="Arial"/>
                <w:sz w:val="13"/>
                <w:szCs w:val="13"/>
                <w:color w:val="auto"/>
                <w:w w:val="98"/>
              </w:rPr>
              <w:t>can potentially</w:t>
            </w:r>
          </w:p>
        </w:tc>
        <w:tc>
          <w:tcPr>
            <w:tcW w:w="2200" w:type="dxa"/>
            <w:vAlign w:val="bottom"/>
            <w:vMerge w:val="restart"/>
          </w:tcPr>
          <w:p>
            <w:pPr>
              <w:ind w:left="40"/>
              <w:spacing w:after="0"/>
              <w:rPr>
                <w:sz w:val="20"/>
                <w:szCs w:val="20"/>
                <w:color w:val="auto"/>
              </w:rPr>
            </w:pPr>
            <w:r>
              <w:rPr>
                <w:rFonts w:ascii="Arial" w:cs="Arial" w:eastAsia="Arial" w:hAnsi="Arial"/>
                <w:sz w:val="13"/>
                <w:szCs w:val="13"/>
                <w:color w:val="auto"/>
                <w:w w:val="98"/>
              </w:rPr>
              <w:t>avoid almost three-fourths of currently</w:t>
            </w:r>
          </w:p>
        </w:tc>
        <w:tc>
          <w:tcPr>
            <w:tcW w:w="0" w:type="dxa"/>
            <w:vAlign w:val="bottom"/>
          </w:tcPr>
          <w:p>
            <w:pPr>
              <w:spacing w:after="0"/>
              <w:rPr>
                <w:sz w:val="1"/>
                <w:szCs w:val="1"/>
                <w:color w:val="auto"/>
              </w:rPr>
            </w:pPr>
          </w:p>
        </w:tc>
      </w:tr>
      <w:tr>
        <w:trPr>
          <w:trHeight w:val="66"/>
        </w:trPr>
        <w:tc>
          <w:tcPr>
            <w:tcW w:w="3360" w:type="dxa"/>
            <w:vAlign w:val="bottom"/>
            <w:vMerge w:val="restart"/>
          </w:tcPr>
          <w:p>
            <w:pPr>
              <w:spacing w:after="0"/>
              <w:rPr>
                <w:sz w:val="20"/>
                <w:szCs w:val="20"/>
                <w:color w:val="auto"/>
              </w:rPr>
            </w:pPr>
            <w:r>
              <w:rPr>
                <w:rFonts w:ascii="Arial" w:cs="Arial" w:eastAsia="Arial" w:hAnsi="Arial"/>
                <w:sz w:val="13"/>
                <w:szCs w:val="13"/>
                <w:color w:val="auto"/>
              </w:rPr>
              <w:t>Cytologically Indeterminate Thyroid Nodules</w:t>
            </w:r>
          </w:p>
        </w:tc>
        <w:tc>
          <w:tcPr>
            <w:tcW w:w="3480" w:type="dxa"/>
            <w:vAlign w:val="bottom"/>
            <w:vMerge w:val="restart"/>
          </w:tcPr>
          <w:p>
            <w:pPr>
              <w:ind w:left="300"/>
              <w:spacing w:after="0"/>
              <w:rPr>
                <w:sz w:val="20"/>
                <w:szCs w:val="20"/>
                <w:color w:val="auto"/>
              </w:rPr>
            </w:pPr>
            <w:r>
              <w:rPr>
                <w:rFonts w:ascii="Arial" w:cs="Arial" w:eastAsia="Arial" w:hAnsi="Arial"/>
                <w:sz w:val="13"/>
                <w:szCs w:val="13"/>
                <w:color w:val="auto"/>
              </w:rPr>
              <w:t>(August 2011)</w:t>
            </w:r>
          </w:p>
        </w:tc>
        <w:tc>
          <w:tcPr>
            <w:tcW w:w="6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36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performed surgeries in patients with benign nodules</w:t>
            </w:r>
          </w:p>
        </w:tc>
        <w:tc>
          <w:tcPr>
            <w:tcW w:w="0" w:type="dxa"/>
            <w:vAlign w:val="bottom"/>
          </w:tcPr>
          <w:p>
            <w:pPr>
              <w:spacing w:after="0"/>
              <w:rPr>
                <w:sz w:val="1"/>
                <w:szCs w:val="1"/>
                <w:color w:val="auto"/>
              </w:rPr>
            </w:pPr>
          </w:p>
        </w:tc>
      </w:tr>
      <w:tr>
        <w:trPr>
          <w:trHeight w:val="66"/>
        </w:trPr>
        <w:tc>
          <w:tcPr>
            <w:tcW w:w="336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Analytical Validity</w:t>
            </w:r>
          </w:p>
        </w:tc>
        <w:tc>
          <w:tcPr>
            <w:tcW w:w="3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4580" w:type="dxa"/>
            <w:vAlign w:val="bottom"/>
            <w:gridSpan w:val="4"/>
            <w:vMerge w:val="restart"/>
          </w:tcPr>
          <w:p>
            <w:pPr>
              <w:ind w:left="480"/>
              <w:spacing w:after="0"/>
              <w:rPr>
                <w:sz w:val="20"/>
                <w:szCs w:val="20"/>
                <w:color w:val="auto"/>
              </w:rPr>
            </w:pPr>
            <w:r>
              <w:rPr>
                <w:rFonts w:ascii="Arial" w:cs="Arial" w:eastAsia="Arial" w:hAnsi="Arial"/>
                <w:sz w:val="21"/>
                <w:szCs w:val="21"/>
                <w:color w:val="auto"/>
                <w:w w:val="98"/>
              </w:rPr>
              <w:t xml:space="preserve">• </w:t>
            </w:r>
            <w:r>
              <w:rPr>
                <w:rFonts w:ascii="Arial" w:cs="Arial" w:eastAsia="Arial" w:hAnsi="Arial"/>
                <w:sz w:val="13"/>
                <w:szCs w:val="13"/>
                <w:color w:val="auto"/>
                <w:w w:val="98"/>
              </w:rPr>
              <w:t>Analytical  sensitivity,  analytical  specificity,  robustness,  and  quality</w:t>
            </w:r>
          </w:p>
        </w:tc>
        <w:tc>
          <w:tcPr>
            <w:tcW w:w="0" w:type="dxa"/>
            <w:vAlign w:val="bottom"/>
          </w:tcPr>
          <w:p>
            <w:pPr>
              <w:spacing w:after="0"/>
              <w:rPr>
                <w:sz w:val="1"/>
                <w:szCs w:val="1"/>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Analytical Performance Verification of a Molecular</w:t>
            </w:r>
          </w:p>
        </w:tc>
        <w:tc>
          <w:tcPr>
            <w:tcW w:w="3480" w:type="dxa"/>
            <w:vAlign w:val="bottom"/>
          </w:tcPr>
          <w:p>
            <w:pPr>
              <w:ind w:left="300"/>
              <w:spacing w:after="0" w:line="144" w:lineRule="exact"/>
              <w:rPr>
                <w:sz w:val="20"/>
                <w:szCs w:val="20"/>
                <w:color w:val="auto"/>
              </w:rPr>
            </w:pPr>
            <w:r>
              <w:rPr>
                <w:rFonts w:ascii="Arial" w:cs="Arial" w:eastAsia="Arial" w:hAnsi="Arial"/>
                <w:sz w:val="13"/>
                <w:szCs w:val="13"/>
                <w:i w:val="1"/>
                <w:iCs w:val="1"/>
                <w:color w:val="auto"/>
              </w:rPr>
              <w:t>Journal of Clinical Endocrinology and Metabolism</w:t>
            </w:r>
          </w:p>
        </w:tc>
        <w:tc>
          <w:tcPr>
            <w:tcW w:w="4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360" w:type="dxa"/>
            <w:vAlign w:val="bottom"/>
            <w:vMerge w:val="restart"/>
          </w:tcPr>
          <w:p>
            <w:pPr>
              <w:spacing w:after="0"/>
              <w:rPr>
                <w:sz w:val="20"/>
                <w:szCs w:val="20"/>
                <w:color w:val="auto"/>
              </w:rPr>
            </w:pPr>
            <w:r>
              <w:rPr>
                <w:rFonts w:ascii="Arial" w:cs="Arial" w:eastAsia="Arial" w:hAnsi="Arial"/>
                <w:sz w:val="13"/>
                <w:szCs w:val="13"/>
                <w:color w:val="auto"/>
              </w:rPr>
              <w:t>Diagnostic for Cytology-Indeterminate Thyroid Nodules</w:t>
            </w:r>
          </w:p>
        </w:tc>
        <w:tc>
          <w:tcPr>
            <w:tcW w:w="3480" w:type="dxa"/>
            <w:vAlign w:val="bottom"/>
            <w:vMerge w:val="restart"/>
          </w:tcPr>
          <w:p>
            <w:pPr>
              <w:ind w:left="300"/>
              <w:spacing w:after="0"/>
              <w:rPr>
                <w:sz w:val="20"/>
                <w:szCs w:val="20"/>
                <w:color w:val="auto"/>
              </w:rPr>
            </w:pPr>
            <w:r>
              <w:rPr>
                <w:rFonts w:ascii="Arial" w:cs="Arial" w:eastAsia="Arial" w:hAnsi="Arial"/>
                <w:sz w:val="13"/>
                <w:szCs w:val="13"/>
                <w:color w:val="auto"/>
              </w:rPr>
              <w:t>(October 2012)</w:t>
            </w:r>
          </w:p>
        </w:tc>
        <w:tc>
          <w:tcPr>
            <w:tcW w:w="4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36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9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auto"/>
                <w:w w:val="94"/>
              </w:rPr>
              <w:t>control of the GEC were successfully verified, indicating its suitability for</w:t>
            </w:r>
          </w:p>
        </w:tc>
        <w:tc>
          <w:tcPr>
            <w:tcW w:w="0" w:type="dxa"/>
            <w:vAlign w:val="bottom"/>
          </w:tcPr>
          <w:p>
            <w:pPr>
              <w:spacing w:after="0"/>
              <w:rPr>
                <w:sz w:val="1"/>
                <w:szCs w:val="1"/>
                <w:color w:val="auto"/>
              </w:rPr>
            </w:pPr>
          </w:p>
        </w:tc>
      </w:tr>
      <w:tr>
        <w:trPr>
          <w:trHeight w:val="45"/>
        </w:trPr>
        <w:tc>
          <w:tcPr>
            <w:tcW w:w="33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9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36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Other Studies</w:t>
            </w:r>
          </w:p>
        </w:tc>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clinical use</w:t>
            </w:r>
          </w:p>
        </w:tc>
        <w:tc>
          <w:tcPr>
            <w:tcW w:w="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600" w:type="dxa"/>
            <w:vAlign w:val="bottom"/>
            <w:vMerge w:val="restart"/>
          </w:tcPr>
          <w:p>
            <w:pPr>
              <w:ind w:left="480"/>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A Large Multicenter Correlation Study of Thyroid Nodule</w:t>
            </w:r>
          </w:p>
        </w:tc>
        <w:tc>
          <w:tcPr>
            <w:tcW w:w="3480" w:type="dxa"/>
            <w:vAlign w:val="bottom"/>
          </w:tcPr>
          <w:p>
            <w:pPr>
              <w:ind w:left="300"/>
              <w:spacing w:after="0" w:line="144" w:lineRule="exact"/>
              <w:rPr>
                <w:sz w:val="20"/>
                <w:szCs w:val="20"/>
                <w:color w:val="auto"/>
              </w:rPr>
            </w:pPr>
            <w:r>
              <w:rPr>
                <w:rFonts w:ascii="Arial" w:cs="Arial" w:eastAsia="Arial" w:hAnsi="Arial"/>
                <w:sz w:val="13"/>
                <w:szCs w:val="13"/>
                <w:i w:val="1"/>
                <w:iCs w:val="1"/>
                <w:color w:val="auto"/>
              </w:rPr>
              <w:t>Thyroid</w:t>
            </w:r>
          </w:p>
        </w:tc>
        <w:tc>
          <w:tcPr>
            <w:tcW w:w="600" w:type="dxa"/>
            <w:vAlign w:val="bottom"/>
            <w:vMerge w:val="continue"/>
          </w:tcPr>
          <w:p>
            <w:pPr>
              <w:spacing w:after="0"/>
              <w:rPr>
                <w:sz w:val="12"/>
                <w:szCs w:val="12"/>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w w:val="95"/>
              </w:rPr>
              <w:t>Prospective multicenter study and meta-review of 11 recently published</w:t>
            </w:r>
          </w:p>
        </w:tc>
        <w:tc>
          <w:tcPr>
            <w:tcW w:w="0" w:type="dxa"/>
            <w:vAlign w:val="bottom"/>
          </w:tcPr>
          <w:p>
            <w:pPr>
              <w:spacing w:after="0"/>
              <w:rPr>
                <w:sz w:val="1"/>
                <w:szCs w:val="1"/>
                <w:color w:val="auto"/>
              </w:rPr>
            </w:pPr>
          </w:p>
        </w:tc>
      </w:tr>
      <w:tr>
        <w:trPr>
          <w:trHeight w:val="66"/>
        </w:trPr>
        <w:tc>
          <w:tcPr>
            <w:tcW w:w="3360" w:type="dxa"/>
            <w:vAlign w:val="bottom"/>
            <w:vMerge w:val="restart"/>
          </w:tcPr>
          <w:p>
            <w:pPr>
              <w:spacing w:after="0"/>
              <w:rPr>
                <w:sz w:val="20"/>
                <w:szCs w:val="20"/>
                <w:color w:val="auto"/>
              </w:rPr>
            </w:pPr>
            <w:r>
              <w:rPr>
                <w:rFonts w:ascii="Arial" w:cs="Arial" w:eastAsia="Arial" w:hAnsi="Arial"/>
                <w:sz w:val="13"/>
                <w:szCs w:val="13"/>
                <w:color w:val="auto"/>
              </w:rPr>
              <w:t>Cytopathology and Histopathology</w:t>
            </w:r>
          </w:p>
        </w:tc>
        <w:tc>
          <w:tcPr>
            <w:tcW w:w="3480" w:type="dxa"/>
            <w:vAlign w:val="bottom"/>
            <w:vMerge w:val="restart"/>
          </w:tcPr>
          <w:p>
            <w:pPr>
              <w:ind w:left="300"/>
              <w:spacing w:after="0"/>
              <w:rPr>
                <w:sz w:val="20"/>
                <w:szCs w:val="20"/>
                <w:color w:val="auto"/>
              </w:rPr>
            </w:pPr>
            <w:r>
              <w:rPr>
                <w:rFonts w:ascii="Arial" w:cs="Arial" w:eastAsia="Arial" w:hAnsi="Arial"/>
                <w:sz w:val="13"/>
                <w:szCs w:val="13"/>
                <w:color w:val="auto"/>
              </w:rPr>
              <w:t>(March 2011)</w:t>
            </w:r>
          </w:p>
        </w:tc>
        <w:tc>
          <w:tcPr>
            <w:tcW w:w="600" w:type="dxa"/>
            <w:vAlign w:val="bottom"/>
            <w:vMerge w:val="continue"/>
          </w:tcPr>
          <w:p>
            <w:pPr>
              <w:spacing w:after="0"/>
              <w:rPr>
                <w:sz w:val="5"/>
                <w:szCs w:val="5"/>
                <w:color w:val="auto"/>
              </w:rPr>
            </w:pPr>
          </w:p>
        </w:tc>
        <w:tc>
          <w:tcPr>
            <w:tcW w:w="3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36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3"/>
                <w:szCs w:val="13"/>
                <w:color w:val="auto"/>
              </w:rPr>
              <w:t>U.S. based pathology series</w:t>
            </w: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3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21"/>
                <w:szCs w:val="21"/>
                <w:color w:val="auto"/>
              </w:rPr>
              <w:t>•</w:t>
            </w:r>
          </w:p>
        </w:tc>
        <w:tc>
          <w:tcPr>
            <w:tcW w:w="3980" w:type="dxa"/>
            <w:vAlign w:val="bottom"/>
            <w:gridSpan w:val="3"/>
          </w:tcPr>
          <w:p>
            <w:pPr>
              <w:ind w:left="60"/>
              <w:spacing w:after="0"/>
              <w:rPr>
                <w:sz w:val="20"/>
                <w:szCs w:val="20"/>
                <w:color w:val="auto"/>
              </w:rPr>
            </w:pPr>
            <w:r>
              <w:rPr>
                <w:rFonts w:ascii="Arial" w:cs="Arial" w:eastAsia="Arial" w:hAnsi="Arial"/>
                <w:sz w:val="13"/>
                <w:szCs w:val="13"/>
                <w:color w:val="auto"/>
                <w:w w:val="98"/>
              </w:rPr>
              <w:t>Two-thirds of cytologically indeterminate nodules</w:t>
            </w:r>
            <w:r>
              <w:rPr>
                <w:rFonts w:ascii="Arial" w:cs="Arial" w:eastAsia="Arial" w:hAnsi="Arial"/>
                <w:sz w:val="21"/>
                <w:szCs w:val="21"/>
                <w:color w:val="auto"/>
                <w:w w:val="98"/>
                <w:vertAlign w:val="superscript"/>
              </w:rPr>
              <w:t>(1)</w:t>
            </w:r>
            <w:r>
              <w:rPr>
                <w:rFonts w:ascii="Arial" w:cs="Arial" w:eastAsia="Arial" w:hAnsi="Arial"/>
                <w:sz w:val="13"/>
                <w:szCs w:val="13"/>
                <w:color w:val="auto"/>
                <w:w w:val="98"/>
              </w:rPr>
              <w:t xml:space="preserve"> were found to be</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color w:val="auto"/>
              </w:rPr>
              <w:t>benign post-operatively</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3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21"/>
                <w:szCs w:val="21"/>
                <w:color w:val="auto"/>
              </w:rPr>
              <w:t>•</w:t>
            </w:r>
          </w:p>
        </w:tc>
        <w:tc>
          <w:tcPr>
            <w:tcW w:w="3980" w:type="dxa"/>
            <w:vAlign w:val="bottom"/>
            <w:gridSpan w:val="3"/>
          </w:tcPr>
          <w:p>
            <w:pPr>
              <w:ind w:left="60"/>
              <w:spacing w:after="0"/>
              <w:rPr>
                <w:sz w:val="20"/>
                <w:szCs w:val="20"/>
                <w:color w:val="auto"/>
              </w:rPr>
            </w:pPr>
            <w:r>
              <w:rPr>
                <w:rFonts w:ascii="Arial" w:cs="Arial" w:eastAsia="Arial" w:hAnsi="Arial"/>
                <w:sz w:val="13"/>
                <w:szCs w:val="13"/>
                <w:color w:val="auto"/>
                <w:w w:val="98"/>
              </w:rPr>
              <w:t>Operated cytology benign nodules were found to have an 11% risk of</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gridSpan w:val="3"/>
          </w:tcPr>
          <w:p>
            <w:pPr>
              <w:ind w:left="60"/>
              <w:spacing w:after="0" w:line="144" w:lineRule="exact"/>
              <w:rPr>
                <w:sz w:val="20"/>
                <w:szCs w:val="20"/>
                <w:color w:val="auto"/>
              </w:rPr>
            </w:pPr>
            <w:r>
              <w:rPr>
                <w:rFonts w:ascii="Arial" w:cs="Arial" w:eastAsia="Arial" w:hAnsi="Arial"/>
                <w:sz w:val="13"/>
                <w:szCs w:val="13"/>
                <w:color w:val="auto"/>
                <w:w w:val="98"/>
              </w:rPr>
              <w:t>malignancy in the prospective study and 6% risk of malignancy in the</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color w:val="auto"/>
              </w:rPr>
              <w:t>meta-review (range 2%-18%)</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Indeterminate results were defined to include any cytological results suspicious for malignancy in addition to AUS/FLUS and SFN/SHN.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 Cytopathology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Diagnostic Use of Molecular Markers in the Evaluation of Thyroid Nodules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13"/>
          <w:szCs w:val="13"/>
          <w:color w:val="auto"/>
        </w:rPr>
        <w:t>Diagnosis and Management of Differentiated Thyroid Cancer using Molecular Biology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p>
    <w:p>
      <w:pPr>
        <w:spacing w:after="0" w:line="360" w:lineRule="exact"/>
        <w:rPr>
          <w:sz w:val="20"/>
          <w:szCs w:val="20"/>
          <w:color w:val="auto"/>
        </w:rPr>
      </w:pPr>
    </w:p>
    <w:p>
      <w:pPr>
        <w:ind w:right="700"/>
        <w:spacing w:after="0" w:line="297" w:lineRule="auto"/>
        <w:rPr>
          <w:sz w:val="20"/>
          <w:szCs w:val="20"/>
          <w:color w:val="auto"/>
        </w:rPr>
      </w:pPr>
      <w:r>
        <w:rPr>
          <w:rFonts w:ascii="Arial" w:cs="Arial" w:eastAsia="Arial" w:hAnsi="Arial"/>
          <w:sz w:val="12"/>
          <w:szCs w:val="12"/>
          <w:color w:val="auto"/>
        </w:rPr>
        <w:t>Progress in Molecular-based Management of Differentiated Thyroid Cancer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93"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revised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Relationship with Genzyme</w:t>
      </w:r>
    </w:p>
    <w:p>
      <w:pPr>
        <w:spacing w:after="0" w:line="228"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23"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3"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this data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87"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6"/>
          <w:szCs w:val="16"/>
          <w:color w:val="auto"/>
        </w:rPr>
        <w:t>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Bronchoscopy, a minimally invasive procedure often used to diagnose lung cancer, is typically inadequate for definitive diagnosis of ILDs. As a result, tens of thousands of patients undergo expensive and invasive diagnostic surgeries.</w:t>
      </w:r>
    </w:p>
    <w:p>
      <w:pPr>
        <w:spacing w:after="0" w:line="17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119380</wp:posOffset>
            </wp:positionV>
            <wp:extent cx="5552440" cy="2647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2440" cy="264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 in next generation sequencing platforms has allowed us to pursue our whole genome approach to biomarker discovery using a range of technologies, including gene expression and DNA methylation, as well as DNA and RNA sequencing.</w:t>
      </w:r>
    </w:p>
    <w:p>
      <w:pPr>
        <w:spacing w:after="0" w:line="187"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three months ended March 31, 2013 were $6.7 million, $6.6 million and $2.0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auto"/>
        </w:rPr>
        <w:t>Our quality assurance function oversees quality of the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time and believe our implementation of these processes has supported our achievement of product performance, customer satisfaction and retention and a philosophy of continuous improvement.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our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what we consider to be reasonable security measures in place to maintain confidentiality. Our intellectual property strategy is intended to develop and maintain our competitive position.</w:t>
      </w:r>
    </w:p>
    <w:p>
      <w:pPr>
        <w:spacing w:after="0" w:line="170"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of June 30, 2013, we had six pending United States nonprovisional patent applications and one allowed patent application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Diagnostic kits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letters, and can be liable for criminal or civil penalties, such as recalls, import detentions, seizures, or injunctions, including orders to cease manufacturing.</w:t>
      </w:r>
    </w:p>
    <w:p>
      <w:pPr>
        <w:spacing w:after="0" w:line="236"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both"/>
        <w:ind w:firstLine="345"/>
        <w:spacing w:after="0" w:line="281"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so long as no sterility claims are made. It is subject to MDR requirements, the reporting of corrections and removals, registration and listing. It is exempt from premarket review, and from QSR requirements except for recordkeeping and complaint handling requirements. Our facility is registered with the FDA and the container we provide for collection and transport of FNA samples from a physician to our clinical reference laboratory is listed with the FDA as a Class I medical device and is subject to regulation by the FDA.</w:t>
      </w:r>
    </w:p>
    <w:p>
      <w:pPr>
        <w:spacing w:after="0" w:line="176"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62" w:lineRule="auto"/>
        <w:rPr>
          <w:sz w:val="20"/>
          <w:szCs w:val="20"/>
          <w:color w:val="auto"/>
        </w:rPr>
      </w:pPr>
      <w:r>
        <w:rPr>
          <w:rFonts w:ascii="Arial" w:cs="Arial" w:eastAsia="Arial" w:hAnsi="Arial"/>
          <w:sz w:val="17"/>
          <w:szCs w:val="17"/>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5,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87" w:lineRule="exact"/>
        <w:rPr>
          <w:sz w:val="20"/>
          <w:szCs w:val="20"/>
          <w:color w:val="auto"/>
        </w:rPr>
      </w:pPr>
    </w:p>
    <w:p>
      <w:pPr>
        <w:jc w:val="both"/>
        <w:ind w:firstLine="379"/>
        <w:spacing w:after="0" w:line="283"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 Labeled for Research Use Only or Investigational Use Only." Aspects of this draft guidance, which has not been finalized, are controversial.</w:t>
      </w:r>
    </w:p>
    <w:p>
      <w:pPr>
        <w:spacing w:after="0" w:line="174"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4"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15"/>
          <w:szCs w:val="15"/>
          <w:color w:val="auto"/>
        </w:rPr>
        <w:t>If premarket review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our services, if they are labeled investigational by the FDA, or if labeling claims the FDA allows us to make are limited, order levels may decline and reimbursement may be adversely affected. The regulatory approval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65"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80" w:lineRule="auto"/>
        <w:rPr>
          <w:sz w:val="20"/>
          <w:szCs w:val="20"/>
          <w:color w:val="auto"/>
        </w:rPr>
      </w:pPr>
      <w:r>
        <w:rPr>
          <w:rFonts w:ascii="Arial" w:cs="Arial" w:eastAsia="Arial" w:hAnsi="Arial"/>
          <w:sz w:val="16"/>
          <w:szCs w:val="16"/>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5"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315"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8"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261" w:lineRule="auto"/>
        <w:rPr>
          <w:sz w:val="20"/>
          <w:szCs w:val="20"/>
          <w:color w:val="auto"/>
        </w:rPr>
      </w:pPr>
      <w:r>
        <w:rPr>
          <w:rFonts w:ascii="Arial" w:cs="Arial" w:eastAsia="Arial" w:hAnsi="Arial"/>
          <w:sz w:val="17"/>
          <w:szCs w:val="17"/>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quality control.</w:t>
      </w:r>
    </w:p>
    <w:p>
      <w:pPr>
        <w:spacing w:after="0" w:line="22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or not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PRC is effective until December 2015 and automatically renews on an annual basis unless either party provides notice of intent not to renew.</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93"/>
        <w:spacing w:after="0" w:line="322" w:lineRule="auto"/>
        <w:rPr>
          <w:sz w:val="20"/>
          <w:szCs w:val="20"/>
          <w:color w:val="auto"/>
        </w:rPr>
      </w:pPr>
      <w:r>
        <w:rPr>
          <w:rFonts w:ascii="Arial" w:cs="Arial" w:eastAsia="Arial" w:hAnsi="Arial"/>
          <w:sz w:val="15"/>
          <w:szCs w:val="15"/>
          <w:color w:val="auto"/>
        </w:rPr>
        <w:t>As of June 30, 2013, we had 98 employees, of which 24 work in laboratory operations, 19 in research and development and clinical development, 15 in selling and marketing, 40 in general and administrative including 16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the near-term and that additional space will be available on commercially reasonable terms, if required.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June 30,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6"/>
          <w:szCs w:val="16"/>
          <w:i w:val="1"/>
          <w:iCs w:val="1"/>
          <w:color w:val="auto"/>
        </w:rPr>
        <w:t xml:space="preserve">Brian G. Atwood </w:t>
      </w:r>
      <w:r>
        <w:rPr>
          <w:rFonts w:ascii="Arial" w:cs="Arial" w:eastAsia="Arial" w:hAnsi="Arial"/>
          <w:sz w:val="16"/>
          <w:szCs w:val="16"/>
          <w:color w:val="auto"/>
        </w:rPr>
        <w:t>has served as Chairman of our board of directors since February 2008 and as a director since December 2006. Since 1999, Mr. Atwood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Trius Therapeutics, Inc. and a number of privately held companies. Mr. Atwood served as a director of Helicos BioSciences Corporation from 2003 until September 2011 and Pharmion Corporation from January 2000 until its acquisition in March 2008.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79"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i w:val="1"/>
          <w:iCs w:val="1"/>
          <w:color w:val="auto"/>
        </w:rPr>
        <w:t xml:space="preserve">Brook H. Byers </w:t>
      </w:r>
      <w:r>
        <w:rPr>
          <w:rFonts w:ascii="Arial" w:cs="Arial" w:eastAsia="Arial" w:hAnsi="Arial"/>
          <w:sz w:val="16"/>
          <w:szCs w:val="16"/>
          <w:color w:val="auto"/>
        </w:rPr>
        <w:t>has served as a member of our board of directors since January 2007. Mr. Byers is a Managing Partner of Kleiner Perkins Caufield &amp; Byers,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which he joined in 1977. Mr. Byers currently serves as a director of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97" w:lineRule="auto"/>
        <w:rPr>
          <w:sz w:val="20"/>
          <w:szCs w:val="20"/>
          <w:color w:val="auto"/>
        </w:rPr>
      </w:pPr>
      <w:r>
        <w:rPr>
          <w:rFonts w:ascii="Arial" w:cs="Arial" w:eastAsia="Arial" w:hAnsi="Arial"/>
          <w:sz w:val="15"/>
          <w:szCs w:val="15"/>
          <w:i w:val="1"/>
          <w:iCs w:val="1"/>
          <w:color w:val="auto"/>
        </w:rPr>
        <w:t xml:space="preserve">Karin Eastham </w:t>
      </w:r>
      <w:r>
        <w:rPr>
          <w:rFonts w:ascii="Arial" w:cs="Arial" w:eastAsia="Arial" w:hAnsi="Arial"/>
          <w:sz w:val="15"/>
          <w:szCs w:val="15"/>
          <w:color w:val="auto"/>
        </w:rPr>
        <w:t>has served as a member our board of directors since December 2012. Ms. Eastham serves on the boards of directors of several life sciences</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MorphoSys AG, and Trius Therapeutics, Inc. Ms. Eastham served as a director of Amylin Pharmaceuticals, Inc. from September 2005 until its acquisition in August 2012, Genoptix, Inc. from August 2008 until its acquisition in March 2011, and Tercica, Inc. from December 2003 until its acquisition in October 2008.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and Fluidigm Corporation. Mr. Jones received a B.A. in Biotechnology from the University of Colorado and an M.B.A. from The Wharton School at the University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0" w:lineRule="exact"/>
        <w:rPr>
          <w:sz w:val="20"/>
          <w:szCs w:val="20"/>
          <w:color w:val="auto"/>
        </w:rPr>
      </w:pPr>
    </w:p>
    <w:p>
      <w:pPr>
        <w:jc w:val="both"/>
        <w:ind w:firstLine="406"/>
        <w:spacing w:after="0" w:line="301" w:lineRule="auto"/>
        <w:rPr>
          <w:sz w:val="20"/>
          <w:szCs w:val="20"/>
          <w:color w:val="auto"/>
        </w:rPr>
      </w:pPr>
      <w:r>
        <w:rPr>
          <w:rFonts w:ascii="Arial" w:cs="Arial" w:eastAsia="Arial" w:hAnsi="Arial"/>
          <w:sz w:val="15"/>
          <w:szCs w:val="15"/>
          <w:i w:val="1"/>
          <w:iCs w:val="1"/>
          <w:color w:val="auto"/>
        </w:rPr>
        <w:t xml:space="preserve">Jesse I. Treu, Ph.D., </w:t>
      </w:r>
      <w:r>
        <w:rPr>
          <w:rFonts w:ascii="Arial" w:cs="Arial" w:eastAsia="Arial" w:hAnsi="Arial"/>
          <w:sz w:val="15"/>
          <w:szCs w:val="15"/>
          <w:color w:val="auto"/>
        </w:rPr>
        <w:t>has served as a member our board of directors since June 2010. Dr. Treu has been a partner at Domain Associates, a venture capital firm,</w:t>
      </w:r>
      <w:r>
        <w:rPr>
          <w:rFonts w:ascii="Arial" w:cs="Arial" w:eastAsia="Arial" w:hAnsi="Arial"/>
          <w:sz w:val="15"/>
          <w:szCs w:val="15"/>
          <w:i w:val="1"/>
          <w:iCs w:val="1"/>
          <w:color w:val="auto"/>
        </w:rPr>
        <w:t xml:space="preserve"> </w:t>
      </w:r>
      <w:r>
        <w:rPr>
          <w:rFonts w:ascii="Arial" w:cs="Arial" w:eastAsia="Arial" w:hAnsi="Arial"/>
          <w:sz w:val="15"/>
          <w:szCs w:val="15"/>
          <w:color w:val="auto"/>
        </w:rPr>
        <w:t>since its inception in 1985. Dr. Treu currently serves as a director of a number of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board of directors currently consists of eight members. The restated certificate of incorporation that will become effective upon completion of this offering</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provides that the authorized number of directors on our board will consist of not fewer than and not more than directors, as the board of directors may from time to time determine. Our board of directors will initially consist of eight directors. The authorized number of directors may be changed by resolution of our board of directors. Vacancies on our board of directors can be filled by resolution of our board of directors. Upon the completion of this offering, our board of directors will be divided into three classes, each serving staggered, three-year terms:</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 directors will be</w:t>
            </w:r>
          </w:p>
        </w:tc>
        <w:tc>
          <w:tcPr>
            <w:tcW w:w="1360" w:type="dxa"/>
            <w:vAlign w:val="bottom"/>
          </w:tcPr>
          <w:p>
            <w:pPr>
              <w:ind w:left="48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w w:val="99"/>
              </w:rPr>
              <w:t>and their terms will expire at the first annual meeting of stockholders following the date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of this prospectus;</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440"/>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II directors will be</w:t>
            </w:r>
          </w:p>
        </w:tc>
        <w:tc>
          <w:tcPr>
            <w:tcW w:w="1360" w:type="dxa"/>
            <w:vAlign w:val="bottom"/>
          </w:tcPr>
          <w:p>
            <w:pPr>
              <w:ind w:left="56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rPr>
              <w:t>and their terms will expire at the second annual meeting of stockholders following the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date of this prospectus; and</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42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2760" w:type="dxa"/>
            <w:vAlign w:val="bottom"/>
          </w:tcPr>
          <w:p>
            <w:pPr>
              <w:ind w:left="240"/>
              <w:spacing w:after="0"/>
              <w:rPr>
                <w:sz w:val="20"/>
                <w:szCs w:val="20"/>
                <w:color w:val="auto"/>
              </w:rPr>
            </w:pPr>
            <w:r>
              <w:rPr>
                <w:rFonts w:ascii="Arial" w:cs="Arial" w:eastAsia="Arial" w:hAnsi="Arial"/>
                <w:sz w:val="17"/>
                <w:szCs w:val="17"/>
                <w:color w:val="auto"/>
              </w:rPr>
              <w:t>Our Class III directors will be</w:t>
            </w:r>
          </w:p>
        </w:tc>
        <w:tc>
          <w:tcPr>
            <w:tcW w:w="1360" w:type="dxa"/>
            <w:vAlign w:val="bottom"/>
          </w:tcPr>
          <w:p>
            <w:pPr>
              <w:ind w:left="660"/>
              <w:spacing w:after="0"/>
              <w:rPr>
                <w:sz w:val="20"/>
                <w:szCs w:val="20"/>
                <w:color w:val="auto"/>
              </w:rPr>
            </w:pPr>
            <w:r>
              <w:rPr>
                <w:rFonts w:ascii="Arial" w:cs="Arial" w:eastAsia="Arial" w:hAnsi="Arial"/>
                <w:sz w:val="17"/>
                <w:szCs w:val="17"/>
                <w:color w:val="auto"/>
              </w:rPr>
              <w:t>and</w:t>
            </w:r>
          </w:p>
        </w:tc>
        <w:tc>
          <w:tcPr>
            <w:tcW w:w="6480" w:type="dxa"/>
            <w:vAlign w:val="bottom"/>
          </w:tcPr>
          <w:p>
            <w:pPr>
              <w:jc w:val="right"/>
              <w:spacing w:after="0"/>
              <w:rPr>
                <w:sz w:val="20"/>
                <w:szCs w:val="20"/>
                <w:color w:val="auto"/>
              </w:rPr>
            </w:pPr>
            <w:r>
              <w:rPr>
                <w:rFonts w:ascii="Arial" w:cs="Arial" w:eastAsia="Arial" w:hAnsi="Arial"/>
                <w:sz w:val="17"/>
                <w:szCs w:val="17"/>
                <w:color w:val="auto"/>
              </w:rPr>
              <w:t>and their terms will expire at the third annual meeting of stockholders following the</w:t>
            </w:r>
          </w:p>
        </w:tc>
      </w:tr>
      <w:tr>
        <w:trPr>
          <w:trHeight w:val="216"/>
        </w:trPr>
        <w:tc>
          <w:tcPr>
            <w:tcW w:w="30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7"/>
                <w:szCs w:val="17"/>
                <w:color w:val="auto"/>
              </w:rPr>
              <w:t>date of this prospectus.</w:t>
            </w:r>
          </w:p>
        </w:tc>
        <w:tc>
          <w:tcPr>
            <w:tcW w:w="1360" w:type="dxa"/>
            <w:vAlign w:val="bottom"/>
          </w:tcPr>
          <w:p>
            <w:pPr>
              <w:spacing w:after="0"/>
              <w:rPr>
                <w:sz w:val="18"/>
                <w:szCs w:val="18"/>
                <w:color w:val="auto"/>
              </w:rPr>
            </w:pPr>
          </w:p>
        </w:tc>
        <w:tc>
          <w:tcPr>
            <w:tcW w:w="6480" w:type="dxa"/>
            <w:vAlign w:val="bottom"/>
          </w:tcPr>
          <w:p>
            <w:pPr>
              <w:spacing w:after="0"/>
              <w:rPr>
                <w:sz w:val="18"/>
                <w:szCs w:val="18"/>
                <w:color w:val="auto"/>
              </w:rPr>
            </w:pPr>
          </w:p>
        </w:tc>
      </w:tr>
    </w:tbl>
    <w:p>
      <w:pPr>
        <w:spacing w:after="0" w:line="204"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completion of this offering, the code of business conduct and ethics and the code of ethics for senior financial officers will each be posted on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left="340"/>
        <w:spacing w:after="0"/>
        <w:tabs>
          <w:tab w:leader="none" w:pos="3980" w:val="left"/>
          <w:tab w:leader="none" w:pos="5280" w:val="left"/>
        </w:tabs>
        <w:rPr>
          <w:sz w:val="20"/>
          <w:szCs w:val="20"/>
          <w:color w:val="auto"/>
        </w:rPr>
      </w:pPr>
      <w:r>
        <w:rPr>
          <w:rFonts w:ascii="Arial" w:cs="Arial" w:eastAsia="Arial" w:hAnsi="Arial"/>
          <w:sz w:val="17"/>
          <w:szCs w:val="17"/>
          <w:color w:val="auto"/>
        </w:rPr>
        <w:t>Our board of directors determined that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are "independent directors" as defined under the rules of The NASDAQ Stock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Mr. Atwood, Dr. Cohen and Ms. Eastham serve on our audit committee. Ms. Eastham is the chairperson of this committee. Our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corporate accounting and financial reporting process and assists our board of directors in oversight of the integrity of our financial statements, our compliance with financial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has determined that is an audit committee financial expert, as defined by the rules promulgated by the SEC, and has the requisite financial sophistication as defined under the applicable rules and regulations of The NASDAQ Stock Market.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Messrs. Byers, Colella and Jones serve on our compensation committee. Mr. Jones is the chairperson of this committee.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Messrs. Atwood and Byers and Dr. Treu serve on our nominating and corporate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Treu is the chairperson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46"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(1)(2)</w:t>
            </w:r>
          </w:p>
        </w:tc>
        <w:tc>
          <w:tcPr>
            <w:tcW w:w="14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25,000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13,334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6,666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191"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Compensation ($)</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jc w:val="both"/>
        <w:ind w:left="1680" w:hanging="533"/>
        <w:spacing w:after="0" w:line="243"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 under which our executive officers are eligible to receive annual cash and equity incentives if the company achieves certain annual corporate goals as determined for such year by our board of directors. Such bonuses may be paid partly in cash and partly in fully vested stock options or restricted stock at the discretion of our board of directors.</w:t>
      </w:r>
    </w:p>
    <w:p>
      <w:pPr>
        <w:spacing w:after="0" w:line="109"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96,451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46,296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47,068 shares of our common stock granted on February 5, 2013 pursuant to our Executive Bonus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52,613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72,500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131,131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610,000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450,000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44,000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jc w:val="both"/>
        <w:ind w:firstLine="365"/>
        <w:spacing w:after="0" w:line="262" w:lineRule="auto"/>
        <w:rPr>
          <w:sz w:val="20"/>
          <w:szCs w:val="20"/>
          <w:color w:val="auto"/>
        </w:rPr>
      </w:pPr>
      <w:r>
        <w:rPr>
          <w:rFonts w:ascii="Arial" w:cs="Arial" w:eastAsia="Arial" w:hAnsi="Arial"/>
          <w:sz w:val="17"/>
          <w:szCs w:val="17"/>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Since entering into this agreement, our board of directors has adjusted Ms. Anderson's base salary to $350,000 and pursuant to an amendment to the employment agreement dated March 11, 2009, increased her target bonus percentage to 30% of her base salary.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406"/>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which the termination occurs and (iii) accelerated vesting equal to 100% of any outstanding equity awards along with the extension of the post-termination exercise period of such awards to 18 months after the termination date</w:t>
      </w:r>
    </w:p>
    <w:p>
      <w:pPr>
        <w:spacing w:after="0" w:line="170"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7"/>
        <w:spacing w:after="0" w:line="303"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2"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March 31, 2013, 11,800,873 shares of common stock have been authorized for issuance under the 2008 Stock Plan. As of March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9,252,658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administrator may grant incentive or nonstatutory stock options under our 2008 Stock Plan; provided that incentive stock options are only</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5"/>
          <w:szCs w:val="15"/>
          <w:i w:val="1"/>
          <w:iCs w:val="1"/>
          <w:color w:val="auto"/>
        </w:rPr>
        <w:t>e.g.</w:t>
      </w:r>
      <w:r>
        <w:rPr>
          <w:rFonts w:ascii="Arial" w:cs="Arial" w:eastAsia="Arial" w:hAnsi="Arial"/>
          <w:sz w:val="15"/>
          <w:szCs w:val="15"/>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6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any change is made in our common stock subject to the 2008 Stock Plan including a subdivision, stock dividend, dividend payable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stock that has a material effect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7"/>
          <w:szCs w:val="17"/>
          <w:i w:val="1"/>
          <w:iCs w:val="1"/>
          <w:color w:val="auto"/>
        </w:rPr>
        <w:t>Plan amendments and termination.</w:t>
      </w:r>
      <w:r>
        <w:rPr>
          <w:sz w:val="20"/>
          <w:szCs w:val="20"/>
          <w:color w:val="auto"/>
        </w:rPr>
        <w:tab/>
      </w:r>
      <w:r>
        <w:rPr>
          <w:rFonts w:ascii="Arial" w:cs="Arial" w:eastAsia="Arial" w:hAnsi="Arial"/>
          <w:sz w:val="15"/>
          <w:szCs w:val="15"/>
          <w:color w:val="auto"/>
        </w:rPr>
        <w:t>Our board of directors may at any time amend, suspend or terminate the 2008 Stock Plan. Certain amendments which</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materially alter or impair the rights of existing option holders require an optionee's consent. Our 2008 Stock Plan will automatically terminate on , unless we terminate it sooner.</w:t>
      </w:r>
    </w:p>
    <w:p>
      <w:pPr>
        <w:spacing w:after="0" w:line="17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Upon the completion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Arial" w:cs="Arial" w:eastAsia="Arial" w:hAnsi="Arial"/>
                <w:sz w:val="17"/>
                <w:szCs w:val="17"/>
                <w:i w:val="1"/>
                <w:iCs w:val="1"/>
                <w:color w:val="auto"/>
                <w:w w:val="97"/>
              </w:rPr>
              <w:t xml:space="preserve">General.  </w:t>
            </w:r>
            <w:r>
              <w:rPr>
                <w:rFonts w:ascii="Arial" w:cs="Arial" w:eastAsia="Arial" w:hAnsi="Arial"/>
                <w:sz w:val="17"/>
                <w:szCs w:val="17"/>
                <w:color w:val="auto"/>
                <w:w w:val="97"/>
              </w:rPr>
              <w:t>Our 2013 Stock Incentive Plan was adopted by our board of directors and approved by our stockholders in</w:t>
            </w:r>
          </w:p>
        </w:tc>
        <w:tc>
          <w:tcPr>
            <w:tcW w:w="9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The 2013 Stock Incentive Plan provides for the granting of incentive stock options within the meaning of Section 422 of the Internal Revenue Code to employees and the granting of nonstatutory stock options to employees, non-employee directors, advisors and consultants. The 2013 Stock Incentive Plan also provides for the grants of restricted stock, stock appreciation rights and stock unit awards to employees, non-employee directors, advisors and consultants.</w:t>
      </w:r>
    </w:p>
    <w:p>
      <w:pPr>
        <w:spacing w:after="0" w:line="163"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2013 Stock Incentive Plan, including the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an award, the number of shares subject to each award, whether an option is to be classified as an incentive stock option or nonstatutory option, and the terms and conditions of each award, including the exercise and purchase prices and the vesting or duration of the award.</w:t>
      </w:r>
    </w:p>
    <w:p>
      <w:pPr>
        <w:spacing w:after="0" w:line="179"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solely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Securities Exchange Act of 1934, as amended, or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Under our 2013 Stock Incentive Plan, shares of our common stock have been authorized for issuance. In addition,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have been authorized for issuance under the 2013 Stock Incentive Plan will be automatically increased on the first day of each year beginning in fiscal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20"/>
                <w:szCs w:val="20"/>
                <w:color w:val="auto"/>
              </w:rPr>
            </w:pPr>
            <w:r>
              <w:rPr>
                <w:rFonts w:ascii="Arial" w:cs="Arial" w:eastAsia="Arial" w:hAnsi="Arial"/>
                <w:sz w:val="17"/>
                <w:szCs w:val="17"/>
                <w:color w:val="auto"/>
              </w:rPr>
              <w:t>and ending in 2023, in an amount equal to the least of (i)</w:t>
            </w:r>
          </w:p>
        </w:tc>
        <w:tc>
          <w:tcPr>
            <w:tcW w:w="1140" w:type="dxa"/>
            <w:vAlign w:val="bottom"/>
          </w:tcPr>
          <w:p>
            <w:pPr>
              <w:ind w:left="380"/>
              <w:spacing w:after="0"/>
              <w:rPr>
                <w:sz w:val="20"/>
                <w:szCs w:val="20"/>
                <w:color w:val="auto"/>
              </w:rPr>
            </w:pPr>
            <w:r>
              <w:rPr>
                <w:rFonts w:ascii="Arial" w:cs="Arial" w:eastAsia="Arial" w:hAnsi="Arial"/>
                <w:sz w:val="17"/>
                <w:szCs w:val="17"/>
                <w:color w:val="auto"/>
                <w:w w:val="93"/>
              </w:rPr>
              <w:t>shares, (ii)</w:t>
            </w:r>
          </w:p>
        </w:tc>
        <w:tc>
          <w:tcPr>
            <w:tcW w:w="5820" w:type="dxa"/>
            <w:vAlign w:val="bottom"/>
          </w:tcPr>
          <w:p>
            <w:pPr>
              <w:jc w:val="right"/>
              <w:spacing w:after="0"/>
              <w:rPr>
                <w:sz w:val="20"/>
                <w:szCs w:val="20"/>
                <w:color w:val="auto"/>
              </w:rPr>
            </w:pPr>
            <w:r>
              <w:rPr>
                <w:rFonts w:ascii="Arial" w:cs="Arial" w:eastAsia="Arial" w:hAnsi="Arial"/>
                <w:sz w:val="17"/>
                <w:szCs w:val="17"/>
                <w:color w:val="auto"/>
              </w:rPr>
              <w:t>% of the outstanding shares of our common stock on the last day of the</w:t>
            </w:r>
          </w:p>
        </w:tc>
      </w:tr>
      <w:tr>
        <w:trPr>
          <w:trHeight w:val="216"/>
        </w:trPr>
        <w:tc>
          <w:tcPr>
            <w:tcW w:w="4460" w:type="dxa"/>
            <w:vAlign w:val="bottom"/>
          </w:tcPr>
          <w:p>
            <w:pPr>
              <w:spacing w:after="0"/>
              <w:rPr>
                <w:sz w:val="20"/>
                <w:szCs w:val="20"/>
                <w:color w:val="auto"/>
              </w:rPr>
            </w:pPr>
            <w:r>
              <w:rPr>
                <w:rFonts w:ascii="Arial" w:cs="Arial" w:eastAsia="Arial" w:hAnsi="Arial"/>
                <w:sz w:val="17"/>
                <w:szCs w:val="17"/>
                <w:color w:val="auto"/>
              </w:rPr>
              <w:t>immediately preceding year or (iii) another</w:t>
            </w:r>
          </w:p>
        </w:tc>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19"/>
        </w:trPr>
        <w:tc>
          <w:tcPr>
            <w:tcW w:w="4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20" w:type="dxa"/>
            <w:vAlign w:val="bottom"/>
          </w:tcPr>
          <w:p>
            <w:pPr>
              <w:jc w:val="right"/>
              <w:ind w:right="5535"/>
              <w:spacing w:after="0"/>
              <w:rPr>
                <w:sz w:val="20"/>
                <w:szCs w:val="20"/>
                <w:color w:val="auto"/>
              </w:rPr>
            </w:pPr>
            <w:r>
              <w:rPr>
                <w:rFonts w:ascii="Arial" w:cs="Arial" w:eastAsia="Arial" w:hAnsi="Arial"/>
                <w:sz w:val="17"/>
                <w:szCs w:val="17"/>
                <w:color w:val="auto"/>
                <w:w w:val="94"/>
              </w:rPr>
              <w:t>97</w:t>
            </w:r>
          </w:p>
        </w:tc>
      </w:tr>
      <w:tr>
        <w:trPr>
          <w:trHeight w:val="222"/>
        </w:trPr>
        <w:tc>
          <w:tcPr>
            <w:tcW w:w="4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2013 Stock Incentive Plan. However, shares that have actually been issued shall not again become available unless forfeited. No more than shares may be delivered upon the exercise of incentive stock options granted under the 2013 Stock Incentive Plan plus, to the extent allowable under applicable law, any shares that again become available for issuance under the 2013 Stock Incentive Plan. In addition, shares originally reserved for issuance under our 2008 Stock Plan but which are not issued or subject to outstanding grants on the effective date of the 2013 Stock Incentive Plan, and shares subject to outstanding options under our 2008 Stock Plan on the effective date of the 2013 Stock Incentive Plan that are subsequently forfeited or terminated for any reason before being exercised, and shares subject to vesting</w:t>
      </w:r>
    </w:p>
    <w:p>
      <w:pPr>
        <w:spacing w:after="0" w:line="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restrictions under the 2008 Stock Plan that are subsequently forfeited, up to a number of additional shares not to exceed an aggregate of shares, will again become available for awards under our 2013 Stock Incentive Plan on the date the 2013 Stock Incentive Plan becomes effective.</w:t>
      </w:r>
    </w:p>
    <w:p>
      <w:pPr>
        <w:spacing w:after="0" w:line="175"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No participant in the 2013 Stock Incentive Plan can receive option grants, restricted shares, stock appreciation rights or stock units totaling more than an aggregate of shares in any calendar year, except in the participant's first year of employment in which the participant may receive equity awards totaling up to shares. No participant in the 2013 Stock Incentive Plan may be paid more than an aggregate of in cash during any calendar year with respect to equity awards that are payable in cash.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76"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 stock option is the right to purchase a certain number of shares of stock, at a certain exercise price, in the future. Under our 2013</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No incentive stock option can be granted to an employee if as a result of the grant, the employee would have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that 1/4th of the total number of shares subject to the options will vest and become exercisable 12 months after the vesting commencement date for options granted, and the remaining options will vest and become exercisable at a rate of 1/48th of the total number of shares subject to the options each month thereafter. Each stock option agreement sets forth the term of the options, which is prohibited from exceeding ten years (five years in the case of an incentive stock option granted to any holder of more than 10% of our voting shares), and the extent to which the optionee will have the right to exercise the option following termination of the optionee's service with the company. Payment of the exercise price may be made in cash or cash equivalents or, if provided for in the stock option agreement evidencing the award, (i)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301" w:lineRule="auto"/>
        <w:tabs>
          <w:tab w:leader="none" w:pos="106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 share award that may be subject to vesting conditioned upon continued service, the achievement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objectives or the satisfaction of any other condition as specified in a restricted stock agreement. Participants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 without payment by the recipient.</w:t>
      </w:r>
    </w:p>
    <w:p>
      <w:pPr>
        <w:spacing w:after="0" w:line="189" w:lineRule="exact"/>
        <w:rPr>
          <w:rFonts w:ascii="Arial" w:cs="Arial" w:eastAsia="Arial" w:hAnsi="Arial"/>
          <w:sz w:val="15"/>
          <w:szCs w:val="15"/>
          <w:color w:val="auto"/>
        </w:rPr>
      </w:pPr>
    </w:p>
    <w:p>
      <w:pPr>
        <w:jc w:val="both"/>
        <w:ind w:left="1060" w:hanging="531"/>
        <w:spacing w:after="0" w:line="261"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at a future date upon the satisfaction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0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typically will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352" w:lineRule="auto"/>
        <w:tabs>
          <w:tab w:leader="none" w:pos="10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w:t>
      </w:r>
    </w:p>
    <w:p>
      <w:pPr>
        <w:spacing w:after="0" w:line="149" w:lineRule="exact"/>
        <w:rPr>
          <w:rFonts w:ascii="Arial" w:cs="Arial" w:eastAsia="Arial" w:hAnsi="Arial"/>
          <w:sz w:val="15"/>
          <w:szCs w:val="15"/>
          <w:color w:val="auto"/>
        </w:rPr>
      </w:pPr>
    </w:p>
    <w:p>
      <w:pPr>
        <w:jc w:val="both"/>
        <w:ind w:left="1060" w:hanging="531"/>
        <w:spacing w:after="0" w:line="296" w:lineRule="auto"/>
        <w:tabs>
          <w:tab w:leader="none" w:pos="10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Nondiscretionary, automatic grants of nonstatutory stock options will be made to outside directors. Any outside director who first joins our board of directors on or after the effective date, will be automatically granted an initial nonstatutory option to purchase shares of our common stock that have a</w:t>
      </w:r>
    </w:p>
    <w:p>
      <w:pPr>
        <w:jc w:val="both"/>
        <w:ind w:left="1060"/>
        <w:spacing w:after="0" w:line="291" w:lineRule="auto"/>
        <w:rPr>
          <w:rFonts w:ascii="Arial" w:cs="Arial" w:eastAsia="Arial" w:hAnsi="Arial"/>
          <w:sz w:val="15"/>
          <w:szCs w:val="15"/>
          <w:color w:val="auto"/>
        </w:rPr>
      </w:pPr>
      <w:r>
        <w:rPr>
          <w:rFonts w:ascii="Arial" w:cs="Arial" w:eastAsia="Arial" w:hAnsi="Arial"/>
          <w:sz w:val="15"/>
          <w:szCs w:val="15"/>
          <w:color w:val="auto"/>
        </w:rPr>
        <w:t>value of $ , calculated using the fair market value of our common stock on the date of grant, upon first becoming a member of our board of directors. The initial option will vest and become exercisable over four years in equal monthly installments. On the first business day after each of our regularly scheduled annual meetings of stockholders, each outside director will be automatically granted an option to purchase shares of our common</w:t>
      </w:r>
    </w:p>
    <w:p>
      <w:pPr>
        <w:spacing w:after="0" w:line="1"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stock that have a value of $ , calculated using the fair market value of our common stock on the date of grant,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w:t>
      </w:r>
    </w:p>
    <w:p>
      <w:pPr>
        <w:spacing w:after="0" w:line="192" w:lineRule="exact"/>
        <w:rPr>
          <w:sz w:val="20"/>
          <w:szCs w:val="20"/>
          <w:color w:val="auto"/>
        </w:rPr>
      </w:pPr>
    </w:p>
    <w:p>
      <w:pPr>
        <w:jc w:val="both"/>
        <w:ind w:left="1060" w:hanging="531"/>
        <w:spacing w:after="0" w:line="263"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2008 Stock Plan, including the share number in the formula for automatic annual increases, the limitation regarding the total number of shares underlying awards given to an individual participant in any calendar year, the number of shares that can be issued as incentive stock options and other adjustments in order to preserve the benefits of outstanding awards under the 2013 Stock Incentive Plan.</w:t>
      </w:r>
    </w:p>
    <w:p>
      <w:pPr>
        <w:spacing w:after="0" w:line="213"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Generally, if we merge with or into another corporation, we will provide for full exercisability or vesting and accelerated expiration of outstanding awards or settlement of the intrinsic value of the outstanding awards in cash or cash equivalents followed by cancellation of such awards unless the awards are continued if we are the surviving entity, or assumed or substituted for by any surviving entity or a parent or subsidiary of the surviving entity.</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we are involved in an asset acquisition, stock acquisition, merger or similar transaction with another entity, our compensation committee may make awards under the 2013 Stock Incentive Plan by the assumption, substitution or replacement of awards granted by another entity. The terms of such assumed, substituted or replaced awards will be determined by our compensation committee in its discretion.</w:t>
      </w:r>
    </w:p>
    <w:p>
      <w:pPr>
        <w:spacing w:after="0" w:line="192"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Awards under our 2013 Stock Incentive Plan may be made subject to the attainment of performance criteria including cash flows, earnings per share, earnings before interest, taxes and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regulatory body approval for commercialization of a product or implementation or completion of critical projects.</w:t>
      </w:r>
    </w:p>
    <w:p>
      <w:pPr>
        <w:spacing w:after="0" w:line="213"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2013 Stock Incentive Plan terminates ten years after its initial adoption, unless terminated earlier by our board of directors. Our board of directors may amend or terminate the plan at any time, subject to stockholder approval where required by applicable law. Any amendment or termination may not materially impair the rights of holders of outstanding awards without their consent.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6"/>
          <w:szCs w:val="16"/>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We have entered into agreements to indemnify our directors and expect to continue to enter into agreements to indemnify all of our directors. Prior to the closing of the offering, we plan to amend and restate our indemnification agreements with our directors and enter into indemnification agreements with each of our officers. With certain exceptions, these agreements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79"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convertible into one share of our common stock upon the completion of this offering. As of June 30, 2013, all of our outstanding convertible preferred stock will convert into 59,989,268 shares of our common stock assuming the conversion immediately upon the closing of this offering.</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82"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See "Description of Capital Stock–Investor Rights Agreement"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We intend to adopt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our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such policy.</w:t>
      </w:r>
    </w:p>
    <w:p>
      <w:pPr>
        <w:spacing w:after="0" w:line="192" w:lineRule="exact"/>
        <w:rPr>
          <w:sz w:val="20"/>
          <w:szCs w:val="20"/>
          <w:color w:val="auto"/>
        </w:rPr>
      </w:pPr>
    </w:p>
    <w:p>
      <w:pPr>
        <w:jc w:val="both"/>
        <w:ind w:firstLine="337"/>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436"/>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July 15,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Applicable percentage ownership is based on 63,704,170 shares of common stock outstanding at July 15, 2013 and assumes the conversion of all outstanding</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shares of our convertible preferred stock into shares of our common stock. For purposes of the table below, we have assumed that shares of common stock will be outstanding upon completion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July 15, 2013. We did not deem these shares outstanding, however, for the purpose of computing the percentage ownership of any other person.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5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56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15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9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70"/>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19.38%</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22.30%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22.71%</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6500" w:type="dxa"/>
            <w:vAlign w:val="bottom"/>
            <w:gridSpan w:val="3"/>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gridSpan w:val="3"/>
            <w:shd w:val="clear" w:color="auto" w:fill="CCEEFF"/>
          </w:tcPr>
          <w:p>
            <w:pPr>
              <w:ind w:left="18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3,224,036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22.71%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22.71%</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77,910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2,195,629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19.38%</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tcPr>
          <w:p>
            <w:pPr>
              <w:ind w:left="18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933,776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62,512,942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92.90%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50" w:lineRule="exact"/>
        <w:rPr>
          <w:sz w:val="20"/>
          <w:szCs w:val="20"/>
          <w:color w:val="auto"/>
        </w:rPr>
      </w:pPr>
    </w:p>
    <w:p>
      <w:pPr>
        <w:ind w:left="1680" w:hanging="533"/>
        <w:spacing w:after="0" w:line="282" w:lineRule="auto"/>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spacing w:after="0" w:line="282" w:lineRule="auto"/>
        <w:rPr>
          <w:sz w:val="20"/>
          <w:szCs w:val="20"/>
          <w:color w:val="auto"/>
        </w:rPr>
      </w:pPr>
      <w:r>
        <w:rPr>
          <w:rFonts w:ascii="Arial" w:cs="Arial" w:eastAsia="Arial" w:hAnsi="Arial"/>
          <w:sz w:val="17"/>
          <w:szCs w:val="17"/>
          <w:color w:val="auto"/>
        </w:rPr>
        <w:t>purchase shares of common stock exercisable within 60 days of July 15, 2013. Unless otherwise indicated, shares are owned of record and beneficially by the named person.</w:t>
      </w:r>
    </w:p>
    <w:p>
      <w:pPr>
        <w:spacing w:after="0" w:line="183" w:lineRule="exact"/>
        <w:rPr>
          <w:sz w:val="20"/>
          <w:szCs w:val="20"/>
          <w:color w:val="auto"/>
        </w:rPr>
      </w:pPr>
    </w:p>
    <w:p>
      <w:pPr>
        <w:jc w:val="both"/>
        <w:ind w:left="1680" w:hanging="533"/>
        <w:spacing w:after="0" w:line="261"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12,253,179 shares held by Domain Partners VIII, L.P. and 90,922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16" w:lineRule="exact"/>
        <w:rPr>
          <w:rFonts w:ascii="Arial" w:cs="Arial" w:eastAsia="Arial" w:hAnsi="Arial"/>
          <w:sz w:val="17"/>
          <w:szCs w:val="17"/>
          <w:color w:val="auto"/>
        </w:rPr>
      </w:pPr>
    </w:p>
    <w:p>
      <w:pPr>
        <w:jc w:val="both"/>
        <w:ind w:left="1680" w:hanging="533"/>
        <w:spacing w:after="0" w:line="299" w:lineRule="auto"/>
        <w:tabs>
          <w:tab w:leader="none" w:pos="16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Includes 12,697,935 shares of common stock beneficially owned by Kleiner Perkins Caufield &amp; Byers XII, LLC, or KPCB XII; 182,782 shares of common stock beneficially owned by KPCB XII Founders Fund, LLC, or KPCB XII FF; 245,741 shares of common stock beneficially owned by Brook H. Byers, a member of our board of directors; and 1,081,260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76" w:lineRule="exact"/>
        <w:rPr>
          <w:rFonts w:ascii="Arial" w:cs="Arial" w:eastAsia="Arial" w:hAnsi="Arial"/>
          <w:sz w:val="15"/>
          <w:szCs w:val="15"/>
          <w:color w:val="auto"/>
        </w:rPr>
      </w:pPr>
    </w:p>
    <w:p>
      <w:pPr>
        <w:jc w:val="both"/>
        <w:ind w:left="1680" w:hanging="533"/>
        <w:spacing w:after="0" w:line="299" w:lineRule="auto"/>
        <w:tabs>
          <w:tab w:leader="none" w:pos="16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Consists of 14,207,718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directors,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76" w:lineRule="exact"/>
        <w:rPr>
          <w:rFonts w:ascii="Arial" w:cs="Arial" w:eastAsia="Arial" w:hAnsi="Arial"/>
          <w:sz w:val="15"/>
          <w:szCs w:val="15"/>
          <w:color w:val="auto"/>
        </w:rPr>
      </w:pPr>
    </w:p>
    <w:p>
      <w:pPr>
        <w:jc w:val="both"/>
        <w:ind w:left="1680" w:hanging="533"/>
        <w:spacing w:after="0" w:line="280"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14,379,957 shares held by Versant Venture Capital III, L.P. and 84,929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a member of our board of directors, Ross A. Jaffe, William J. Link, Kirk G. Nielsen, Rebecca B. Robertson, and Charles M. Warden, all of whom share voting and investment power with respect to these shares.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1,827,695 shares of our common stock which are immediately exercisable, 1,005,826 of which are subject to the company's right of repurchase on or prior to 60 days after July 15, 2013 and 50,000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65"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Does not include 14,207,718 shares held by TPG Biotechnology Partners II, LP. Dr. Cohen is a partner at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8"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25,000 shares of our common stock which are immediately exercisable, 6,250 of which are subject to the company's right of repurchase on or prior to 60 days after July 15, 2013, which right lapses over time. Also includes 52,910 shares held by Karin Eastham Defined Benefit Plan.</w:t>
      </w:r>
    </w:p>
    <w:p>
      <w:pPr>
        <w:spacing w:after="0" w:line="19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200,000 shares of our common stock which are immediately exercisable. Also includes 1,995,629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options to purchase 600,000 shares of our common stock which are immediately exercisable, all of which are subject to the company's right of repurchase on or prior to 60 days after July 15,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options to purchase 933,776 shares of our common stock which are immediately exercisable, 287,500 of which are subject to the company's right of repurchase on or prior to 60 days after July 15,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3,586,471 shares of our common stock which are immediately exercisable, 1,953,311 of which are subject to the company's right of repurchase on or prior to 60 days after July 15, 2013, which right lapses over time and 50,000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completion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completion of this offering, our authorized capital stock will consist of shares, with a par value of $0.001 per share, of which:</w:t>
      </w:r>
    </w:p>
    <w:p>
      <w:pPr>
        <w:spacing w:after="0" w:line="249"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shares will be designated as preferred stock.</w:t>
      </w:r>
    </w:p>
    <w:p>
      <w:pPr>
        <w:spacing w:after="0" w:line="224"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As of July 15, 2013, we had outstanding 63,704,170 shares of common stock held of record by 130 stockholders, assuming the automatic conversion of all outstanding shares of preferred stock into common stock immediately prior to the closing of this offering. Upon completion of this offering, no shares of preferred stock will be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Upon the closing of this offering, our board of directors will have the authority, without further action by our stockholders, to issue from time to time up</w:t>
      </w:r>
    </w:p>
    <w:p>
      <w:pPr>
        <w:spacing w:after="0" w:line="3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to shares of preferred stock in one or more series, and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49"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jc w:val="both"/>
        <w:ind w:firstLine="391"/>
        <w:spacing w:after="0" w:line="315" w:lineRule="auto"/>
        <w:rPr>
          <w:sz w:val="20"/>
          <w:szCs w:val="20"/>
          <w:color w:val="auto"/>
        </w:rPr>
      </w:pPr>
      <w:r>
        <w:rPr>
          <w:rFonts w:ascii="Arial" w:cs="Arial" w:eastAsia="Arial" w:hAnsi="Arial"/>
          <w:sz w:val="16"/>
          <w:szCs w:val="16"/>
          <w:color w:val="auto"/>
        </w:rPr>
        <w:t>As of July 15, 2013, we had a warrant outstanding to purchase 99,206 shares of our Series C preferred stock at an exercise price of $1.89 per share, which will become exercisable for the same number of shares of our common stock upon completion of this offering. This warrant has a net exercise provision 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After this offering, the holders of 59,989,268 shares of our common stock issued upon the conversion of our preferred stock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07"/>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completion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completion of this offering include provisions that:</w:t>
      </w:r>
    </w:p>
    <w:p>
      <w:pPr>
        <w:spacing w:after="0" w:line="236"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(2) shares owned by employee stock plans in which employee participants do not have the right to determine confidentially whether shares held subject to the plan will be tendered in a tender or exchange offer; or</w:t>
      </w:r>
    </w:p>
    <w:p>
      <w:pPr>
        <w:spacing w:after="0" w:line="182" w:lineRule="exact"/>
        <w:rPr>
          <w:sz w:val="20"/>
          <w:szCs w:val="20"/>
          <w:color w:val="auto"/>
        </w:rPr>
      </w:pPr>
    </w:p>
    <w:p>
      <w:pPr>
        <w:ind w:left="1060" w:hanging="531"/>
        <w:spacing w:after="0" w:line="287"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50"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tabs>
          <w:tab w:leader="none" w:pos="5200" w:val="left"/>
          <w:tab w:leader="none" w:pos="834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7"/>
          <w:szCs w:val="17"/>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394"/>
        <w:spacing w:after="0" w:line="276" w:lineRule="auto"/>
        <w:rPr>
          <w:sz w:val="20"/>
          <w:szCs w:val="20"/>
          <w:color w:val="auto"/>
        </w:rPr>
      </w:pPr>
      <w:r>
        <w:rPr>
          <w:rFonts w:ascii="Arial" w:cs="Arial" w:eastAsia="Arial" w:hAnsi="Arial"/>
          <w:sz w:val="16"/>
          <w:szCs w:val="16"/>
          <w:color w:val="auto"/>
        </w:rPr>
        <w:t>Based on the number of shares outstanding as of , 2013, upon the completion of this offering a total of shares of common stock will be outstanding, assuming that there are no exercises of options or warrants after , 2013 and no exercise of the underwriters' over-allotment option. Of these shares, all shares of common stock sold in this offering, and any shares sold upon exercise of the underwriters' over-allotment option, will be freely tradable 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public market without restriction or further registration under the Securities Act of 1933, unless these shares are held by "affiliates," as that term is defined in Rule 144 under the Securities Act.</w:t>
      </w:r>
    </w:p>
    <w:p>
      <w:pPr>
        <w:spacing w:after="0" w:line="175"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400" w:type="dxa"/>
            <w:vAlign w:val="bottom"/>
          </w:tcPr>
          <w:p>
            <w:pPr>
              <w:spacing w:after="0"/>
              <w:rPr>
                <w:sz w:val="18"/>
                <w:szCs w:val="18"/>
                <w:color w:val="auto"/>
              </w:rPr>
            </w:pPr>
          </w:p>
        </w:tc>
        <w:tc>
          <w:tcPr>
            <w:tcW w:w="12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1"/>
        </w:trPr>
        <w:tc>
          <w:tcPr>
            <w:tcW w:w="1880" w:type="dxa"/>
            <w:vAlign w:val="bottom"/>
            <w:gridSpan w:val="3"/>
          </w:tcPr>
          <w:p>
            <w:pPr>
              <w:ind w:left="360"/>
              <w:spacing w:after="0"/>
              <w:rPr>
                <w:sz w:val="20"/>
                <w:szCs w:val="20"/>
                <w:color w:val="auto"/>
              </w:rPr>
            </w:pPr>
            <w:r>
              <w:rPr>
                <w:rFonts w:ascii="Arial" w:cs="Arial" w:eastAsia="Arial" w:hAnsi="Arial"/>
                <w:sz w:val="17"/>
                <w:szCs w:val="17"/>
                <w:color w:val="auto"/>
              </w:rPr>
              <w:t>In addition, of the</w:t>
            </w:r>
          </w:p>
        </w:tc>
        <w:tc>
          <w:tcPr>
            <w:tcW w:w="5620" w:type="dxa"/>
            <w:vAlign w:val="bottom"/>
          </w:tcPr>
          <w:p>
            <w:pPr>
              <w:ind w:left="260"/>
              <w:spacing w:after="0"/>
              <w:rPr>
                <w:sz w:val="20"/>
                <w:szCs w:val="20"/>
                <w:color w:val="auto"/>
              </w:rPr>
            </w:pPr>
            <w:r>
              <w:rPr>
                <w:rFonts w:ascii="Arial" w:cs="Arial" w:eastAsia="Arial" w:hAnsi="Arial"/>
                <w:sz w:val="17"/>
                <w:szCs w:val="17"/>
                <w:color w:val="auto"/>
                <w:w w:val="95"/>
              </w:rPr>
              <w:t>shares of our common stock that were subject to options outstanding as of</w:t>
            </w:r>
          </w:p>
        </w:tc>
        <w:tc>
          <w:tcPr>
            <w:tcW w:w="2640" w:type="dxa"/>
            <w:vAlign w:val="bottom"/>
            <w:gridSpan w:val="3"/>
          </w:tcPr>
          <w:p>
            <w:pPr>
              <w:ind w:left="260"/>
              <w:spacing w:after="0"/>
              <w:rPr>
                <w:sz w:val="20"/>
                <w:szCs w:val="20"/>
                <w:color w:val="auto"/>
              </w:rPr>
            </w:pPr>
            <w:r>
              <w:rPr>
                <w:rFonts w:ascii="Arial" w:cs="Arial" w:eastAsia="Arial" w:hAnsi="Arial"/>
                <w:sz w:val="17"/>
                <w:szCs w:val="17"/>
                <w:color w:val="auto"/>
              </w:rPr>
              <w:t>, 2013, options to purchase</w:t>
            </w:r>
          </w:p>
        </w:tc>
        <w:tc>
          <w:tcPr>
            <w:tcW w:w="1280" w:type="dxa"/>
            <w:vAlign w:val="bottom"/>
            <w:gridSpan w:val="2"/>
          </w:tcPr>
          <w:p>
            <w:pPr>
              <w:ind w:left="20"/>
              <w:spacing w:after="0"/>
              <w:rPr>
                <w:sz w:val="20"/>
                <w:szCs w:val="20"/>
                <w:color w:val="auto"/>
              </w:rPr>
            </w:pPr>
            <w:r>
              <w:rPr>
                <w:rFonts w:ascii="Arial" w:cs="Arial" w:eastAsia="Arial" w:hAnsi="Arial"/>
                <w:sz w:val="17"/>
                <w:szCs w:val="17"/>
                <w:color w:val="auto"/>
                <w:w w:val="88"/>
              </w:rPr>
              <w:t>shares of common</w:t>
            </w:r>
          </w:p>
        </w:tc>
      </w:tr>
      <w:tr>
        <w:trPr>
          <w:trHeight w:val="216"/>
        </w:trPr>
        <w:tc>
          <w:tcPr>
            <w:tcW w:w="1880" w:type="dxa"/>
            <w:vAlign w:val="bottom"/>
            <w:gridSpan w:val="3"/>
          </w:tcPr>
          <w:p>
            <w:pPr>
              <w:spacing w:after="0"/>
              <w:rPr>
                <w:sz w:val="20"/>
                <w:szCs w:val="20"/>
                <w:color w:val="auto"/>
              </w:rPr>
            </w:pPr>
            <w:r>
              <w:rPr>
                <w:rFonts w:ascii="Arial" w:cs="Arial" w:eastAsia="Arial" w:hAnsi="Arial"/>
                <w:sz w:val="17"/>
                <w:szCs w:val="17"/>
                <w:color w:val="auto"/>
              </w:rPr>
              <w:t>stock were vested as of</w:t>
            </w:r>
          </w:p>
        </w:tc>
        <w:tc>
          <w:tcPr>
            <w:tcW w:w="9540" w:type="dxa"/>
            <w:vAlign w:val="bottom"/>
            <w:gridSpan w:val="6"/>
          </w:tcPr>
          <w:p>
            <w:pPr>
              <w:ind w:left="720"/>
              <w:spacing w:after="0"/>
              <w:rPr>
                <w:sz w:val="20"/>
                <w:szCs w:val="20"/>
                <w:color w:val="auto"/>
              </w:rPr>
            </w:pPr>
            <w:r>
              <w:rPr>
                <w:rFonts w:ascii="Arial" w:cs="Arial" w:eastAsia="Arial" w:hAnsi="Arial"/>
                <w:sz w:val="17"/>
                <w:szCs w:val="17"/>
                <w:color w:val="auto"/>
                <w:w w:val="94"/>
              </w:rPr>
              <w:t>, 2013 and will be eligible for sale at various times beginning more than 180 days following the effective date of this offering.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79" w:lineRule="exact"/>
        <w:rPr>
          <w:sz w:val="20"/>
          <w:szCs w:val="20"/>
          <w:color w:val="auto"/>
        </w:rPr>
      </w:pPr>
    </w:p>
    <w:p>
      <w:pPr>
        <w:ind w:left="520"/>
        <w:spacing w:after="0"/>
        <w:tabs>
          <w:tab w:leader="none" w:pos="1040" w:val="left"/>
          <w:tab w:leader="none" w:pos="8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After this offering, the holders of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p>
      <w:pPr>
        <w:ind w:left="1160"/>
        <w:spacing w:after="0"/>
        <w:tabs>
          <w:tab w:leader="none" w:pos="918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u w:val="single" w:color="auto"/>
          <w:color w:val="auto"/>
        </w:rPr>
        <w:t>Number of Shares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793740" cy="133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27305</wp:posOffset>
            </wp:positionV>
            <wp:extent cx="7156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31115</wp:posOffset>
            </wp:positionV>
            <wp:extent cx="715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47625</wp:posOffset>
            </wp:positionV>
            <wp:extent cx="715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5"/>
          </w:tcPr>
          <w:p>
            <w:pPr>
              <w:jc w:val="right"/>
              <w:ind w:right="180"/>
              <w:spacing w:after="0"/>
              <w:rPr>
                <w:sz w:val="20"/>
                <w:szCs w:val="20"/>
                <w:color w:val="auto"/>
              </w:rPr>
            </w:pPr>
            <w:r>
              <w:rPr>
                <w:rFonts w:ascii="Arial" w:cs="Arial" w:eastAsia="Arial" w:hAnsi="Arial"/>
                <w:sz w:val="17"/>
                <w:szCs w:val="17"/>
                <w:color w:val="auto"/>
                <w:w w:val="90"/>
              </w:rPr>
              <w:t>amounts are shown assuming both no exercise and full exercise of the underwriters' option to purchase up to an additional</w:t>
            </w:r>
          </w:p>
        </w:tc>
        <w:tc>
          <w:tcPr>
            <w:tcW w:w="1940" w:type="dxa"/>
            <w:vAlign w:val="bottom"/>
            <w:gridSpan w:val="6"/>
          </w:tcPr>
          <w:p>
            <w:pPr>
              <w:ind w:left="260"/>
              <w:spacing w:after="0"/>
              <w:rPr>
                <w:sz w:val="20"/>
                <w:szCs w:val="20"/>
                <w:color w:val="auto"/>
              </w:rPr>
            </w:pPr>
            <w:r>
              <w:rPr>
                <w:rFonts w:ascii="Arial" w:cs="Arial" w:eastAsia="Arial" w:hAnsi="Arial"/>
                <w:sz w:val="17"/>
                <w:szCs w:val="17"/>
                <w:color w:val="auto"/>
                <w:w w:val="87"/>
              </w:rPr>
              <w:t>shares of common stock.</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1"/>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tcPr>
          <w:p>
            <w:pPr>
              <w:spacing w:after="0"/>
              <w:rPr>
                <w:sz w:val="18"/>
                <w:szCs w:val="18"/>
                <w:color w:val="auto"/>
              </w:rPr>
            </w:pP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jc w:val="right"/>
              <w:ind w:right="275"/>
              <w:spacing w:after="0"/>
              <w:rPr>
                <w:sz w:val="20"/>
                <w:szCs w:val="20"/>
                <w:color w:val="auto"/>
              </w:rPr>
            </w:pPr>
            <w:r>
              <w:rPr>
                <w:rFonts w:ascii="Arial" w:cs="Arial" w:eastAsia="Arial" w:hAnsi="Arial"/>
                <w:sz w:val="17"/>
                <w:szCs w:val="17"/>
                <w:color w:val="auto"/>
                <w:w w:val="97"/>
              </w:rPr>
              <w:t>The estimated offering expenses payable by us, exclusive of the underwriting discounts and commissions, are approximately $</w:t>
            </w:r>
          </w:p>
        </w:tc>
        <w:tc>
          <w:tcPr>
            <w:tcW w:w="1740" w:type="dxa"/>
            <w:vAlign w:val="bottom"/>
          </w:tcPr>
          <w:p>
            <w:pPr>
              <w:ind w:left="340"/>
              <w:spacing w:after="0"/>
              <w:rPr>
                <w:sz w:val="20"/>
                <w:szCs w:val="20"/>
                <w:color w:val="auto"/>
              </w:rPr>
            </w:pPr>
            <w:r>
              <w:rPr>
                <w:rFonts w:ascii="Arial" w:cs="Arial" w:eastAsia="Arial" w:hAnsi="Arial"/>
                <w:sz w:val="17"/>
                <w:szCs w:val="17"/>
                <w:color w:val="auto"/>
                <w:w w:val="90"/>
              </w:rPr>
              <w:t>. We have agreed to</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w w:val="95"/>
              </w:rPr>
              <w:t>reimburse the underwriters for certain expenses in an amount up to $</w:t>
            </w:r>
          </w:p>
        </w:tc>
        <w:tc>
          <w:tcPr>
            <w:tcW w:w="4720" w:type="dxa"/>
            <w:vAlign w:val="bottom"/>
          </w:tcPr>
          <w:p>
            <w:pPr>
              <w:jc w:val="right"/>
              <w:ind w:right="4355"/>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419"/>
        </w:trPr>
        <w:tc>
          <w:tcPr>
            <w:tcW w:w="4960" w:type="dxa"/>
            <w:vAlign w:val="bottom"/>
          </w:tcPr>
          <w:p>
            <w:pPr>
              <w:spacing w:after="0"/>
              <w:rPr>
                <w:sz w:val="24"/>
                <w:szCs w:val="24"/>
                <w:color w:val="auto"/>
              </w:rPr>
            </w:pPr>
          </w:p>
        </w:tc>
        <w:tc>
          <w:tcPr>
            <w:tcW w:w="4720" w:type="dxa"/>
            <w:vAlign w:val="bottom"/>
          </w:tcPr>
          <w:p>
            <w:pPr>
              <w:jc w:val="right"/>
              <w:ind w:right="3755"/>
              <w:spacing w:after="0"/>
              <w:rPr>
                <w:sz w:val="20"/>
                <w:szCs w:val="20"/>
                <w:color w:val="auto"/>
              </w:rPr>
            </w:pPr>
            <w:r>
              <w:rPr>
                <w:rFonts w:ascii="Arial" w:cs="Arial" w:eastAsia="Arial" w:hAnsi="Arial"/>
                <w:sz w:val="17"/>
                <w:szCs w:val="17"/>
                <w:color w:val="auto"/>
              </w:rPr>
              <w:t>117</w:t>
            </w:r>
          </w:p>
        </w:tc>
        <w:tc>
          <w:tcPr>
            <w:tcW w:w="1740" w:type="dxa"/>
            <w:vAlign w:val="bottom"/>
          </w:tcPr>
          <w:p>
            <w:pPr>
              <w:spacing w:after="0"/>
              <w:rPr>
                <w:sz w:val="24"/>
                <w:szCs w:val="24"/>
                <w:color w:val="auto"/>
              </w:rPr>
            </w:pPr>
          </w:p>
        </w:tc>
      </w:tr>
      <w:tr>
        <w:trPr>
          <w:trHeight w:val="222"/>
        </w:trPr>
        <w:tc>
          <w:tcPr>
            <w:tcW w:w="4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are subject to certain customary exceptions.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28">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8"/>
              </w:rPr>
              <w:t>Common stock, $0.001 par value; 60,000,000 and 77,000,000 shares authorized, 2,379,782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2,670,767 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2,601,352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48,961,439</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60" w:type="dxa"/>
            <w:vAlign w:val="bottom"/>
          </w:tcPr>
          <w:p>
            <w:pPr>
              <w:spacing w:after="0"/>
              <w:rPr>
                <w:sz w:val="7"/>
                <w:szCs w:val="7"/>
                <w:color w:val="auto"/>
              </w:rPr>
            </w:pPr>
          </w:p>
        </w:tc>
        <w:tc>
          <w:tcPr>
            <w:tcW w:w="18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30,249,334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$ 30,674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2,227,387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7,449,335</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7,449,330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152,395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6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2,379,782</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per share, net of issuance costs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7,936,508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290,985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53,084,507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$ 63,372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2,670,767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59" w:lineRule="exact"/>
        <w:rPr>
          <w:sz w:val="20"/>
          <w:szCs w:val="20"/>
          <w:color w:val="auto"/>
        </w:rPr>
      </w:pPr>
    </w:p>
    <w:p>
      <w:pPr>
        <w:ind w:left="520" w:right="8040" w:hanging="515"/>
        <w:spacing w:after="0" w:line="517" w:lineRule="auto"/>
        <w:tabs>
          <w:tab w:leader="none" w:pos="166"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24" w:lineRule="exact"/>
        <w:rPr>
          <w:sz w:val="20"/>
          <w:szCs w:val="20"/>
          <w:color w:val="auto"/>
        </w:rPr>
      </w:pPr>
    </w:p>
    <w:p>
      <w:pPr>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cards and a letter of credit totaling $118,000 which is related to security for the lease of the Company's office space.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70"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software is included in property and equipment, and had a net book value of $58,000 and $184,000 and as of December 31, 2011 and 2012,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recognition and measurement of tax benefits requires significant judgment. Judgments concerning the recognition and measurement of a tax benefit may change as new information becomes available.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46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50,866,951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61,995,213</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2,601,352</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46,360,087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48,961,439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24"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9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22,748,000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22,748,000</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7,936,508</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5,291,005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1,899,834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52,766,785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68,675,713</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2,824,999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4,946,182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0.31</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7"/>
                <w:szCs w:val="17"/>
                <w:color w:val="auto"/>
              </w:rPr>
              <w:t>(1,474,500)</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1,474,500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549,335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(549,335)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1,899,834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5,718,952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2,972,400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(3,727,795)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3,727,795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245,056</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(245,056)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(290,985)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0.52</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8,910,706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88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4,166,004</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8,472,770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0.51</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0"/>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Options Outstanding</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(Years)</w:t>
            </w: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1,176,312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$0.20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973,557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778,711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1,313,971</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$0.60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934,375</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428,382</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3,458,628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438,628</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$1.00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269,167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30,000</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8,910,706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8.17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4,166,004</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$0.42 and $0.49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$0.25 and $0.35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$0.16 and $0.22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$0.60 and $1.00 per share, respectively.</w:t>
      </w:r>
    </w:p>
    <w:p>
      <w:pPr>
        <w:spacing w:after="0" w:line="163"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1,396,341 shares of restricted common stock at $0.005 per share, of which 62,060 shares were unvested as of January 1, 2011. These shares had a grant date fair value of $0.015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438,628 fully vested stock options at a fair value of $0.44 resulting in $193,000 in expense in the year ended December 31, 2011. The option fair value was determined using the Black-Scholes option-pricing valuation model. The option exercise price was $0.67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402,007 fully vested stock options at a fair value of $0.65 resulting in $259,000 in expense in the year ended December 31, 2012. The fair value of the options was determined using the Black-Scholes option-pricing valuation model with the following assumptions: fair market value of common stock of $1.00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were ultimately realized additional paid in capital would be increased and taxes payable would be reduced.</w:t>
      </w:r>
    </w:p>
    <w:p>
      <w:pPr>
        <w:spacing w:after="0" w:line="185"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of deferred tax assets and liabilities shown above does not include certain deferred tax assets at December 31, 2011 and 2012 that would have arose directly from tax deductions related to equity compensation in excess of compensation recognized for financial reporting purposes. Had the tax deductions related to equity compensation been in excess of compensation recognized for financial reporting purposes, additional paid-in capital would be increased if and when such benefits were ultimately realized and reduce taxes payable.</w:t>
      </w:r>
    </w:p>
    <w:p>
      <w:pPr>
        <w:spacing w:after="0" w:line="187"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purposes, respectively. The Federal credit carryforwards begin to expire in 2028. California credits have no expiration date.</w:t>
      </w:r>
    </w:p>
    <w:p>
      <w:pPr>
        <w:spacing w:after="0" w:line="224" w:lineRule="exact"/>
        <w:rPr>
          <w:sz w:val="20"/>
          <w:szCs w:val="20"/>
          <w:color w:val="auto"/>
        </w:rPr>
      </w:pPr>
    </w:p>
    <w:p>
      <w:pPr>
        <w:jc w:val="both"/>
        <w:ind w:firstLine="446"/>
        <w:spacing w:after="0" w:line="280" w:lineRule="auto"/>
        <w:rPr>
          <w:sz w:val="20"/>
          <w:szCs w:val="20"/>
          <w:color w:val="auto"/>
        </w:rPr>
      </w:pPr>
      <w:r>
        <w:rPr>
          <w:rFonts w:ascii="Arial" w:cs="Arial" w:eastAsia="Arial" w:hAnsi="Arial"/>
          <w:sz w:val="16"/>
          <w:szCs w:val="16"/>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7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50,000 shares of its common stock with an exercise price of $1.00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6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80" w:type="dxa"/>
            <w:vAlign w:val="bottom"/>
            <w:gridSpan w:val="3"/>
          </w:tcPr>
          <w:p>
            <w:pPr>
              <w:jc w:val="center"/>
              <w:ind w:right="2055"/>
              <w:spacing w:after="0"/>
              <w:rPr>
                <w:sz w:val="20"/>
                <w:szCs w:val="20"/>
                <w:color w:val="auto"/>
              </w:rPr>
            </w:pPr>
            <w:r>
              <w:rPr>
                <w:rFonts w:ascii="Arial" w:cs="Arial" w:eastAsia="Arial" w:hAnsi="Arial"/>
                <w:sz w:val="17"/>
                <w:szCs w:val="17"/>
                <w:b w:val="1"/>
                <w:bCs w:val="1"/>
                <w:color w:val="auto"/>
                <w:w w:val="92"/>
              </w:rPr>
              <w:t>Three Months Ended March 31,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56">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56">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58">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59">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59">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0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Equity as of</w:t>
            </w: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1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March 31, 2013</w:t>
            </w: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
              <w:spacing w:after="0" w:line="138" w:lineRule="exact"/>
              <w:rPr>
                <w:sz w:val="20"/>
                <w:szCs w:val="20"/>
                <w:color w:val="auto"/>
              </w:rPr>
            </w:pPr>
            <w:r>
              <w:rPr>
                <w:rFonts w:ascii="Arial" w:cs="Arial" w:eastAsia="Arial" w:hAnsi="Arial"/>
                <w:sz w:val="13"/>
                <w:szCs w:val="13"/>
                <w:b w:val="1"/>
                <w:bCs w:val="1"/>
                <w:color w:val="auto"/>
                <w:w w:val="94"/>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20" w:type="dxa"/>
            <w:vAlign w:val="bottom"/>
            <w:gridSpan w:val="2"/>
          </w:tcPr>
          <w:p>
            <w:pPr>
              <w:ind w:left="160"/>
              <w:spacing w:after="0"/>
              <w:rPr>
                <w:sz w:val="20"/>
                <w:szCs w:val="20"/>
                <w:color w:val="auto"/>
              </w:rPr>
            </w:pPr>
            <w:r>
              <w:rPr>
                <w:rFonts w:ascii="Arial" w:cs="Arial" w:eastAsia="Arial" w:hAnsi="Arial"/>
                <w:sz w:val="17"/>
                <w:szCs w:val="17"/>
                <w:color w:val="auto"/>
                <w:w w:val="98"/>
              </w:rPr>
              <w:t>Accounts receivable, net of allowance of $222 and $308 as of December 31,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300"/>
              <w:spacing w:after="0"/>
              <w:rPr>
                <w:sz w:val="20"/>
                <w:szCs w:val="20"/>
                <w:color w:val="auto"/>
              </w:rPr>
            </w:pPr>
            <w:r>
              <w:rPr>
                <w:rFonts w:ascii="Arial" w:cs="Arial" w:eastAsia="Arial" w:hAnsi="Arial"/>
                <w:sz w:val="17"/>
                <w:szCs w:val="17"/>
                <w:color w:val="auto"/>
              </w:rPr>
              <w:t>2012 and March 31, 2013</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40" w:type="dxa"/>
            <w:vAlign w:val="bottom"/>
            <w:vMerge w:val="restart"/>
          </w:tcPr>
          <w:p>
            <w:pPr>
              <w:ind w:left="300"/>
              <w:spacing w:after="0"/>
              <w:rPr>
                <w:sz w:val="20"/>
                <w:szCs w:val="20"/>
                <w:color w:val="auto"/>
              </w:rPr>
            </w:pPr>
            <w:r>
              <w:rPr>
                <w:rFonts w:ascii="Arial" w:cs="Arial" w:eastAsia="Arial" w:hAnsi="Arial"/>
                <w:sz w:val="17"/>
                <w:szCs w:val="17"/>
                <w:color w:val="auto"/>
              </w:rPr>
              <w:t>Total current assets</w:t>
            </w: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40" w:type="dxa"/>
            <w:vAlign w:val="bottom"/>
            <w:vMerge w:val="restart"/>
          </w:tcPr>
          <w:p>
            <w:pPr>
              <w:ind w:left="460"/>
              <w:spacing w:after="0"/>
              <w:rPr>
                <w:sz w:val="20"/>
                <w:szCs w:val="20"/>
                <w:color w:val="auto"/>
              </w:rPr>
            </w:pPr>
            <w:r>
              <w:rPr>
                <w:rFonts w:ascii="Arial" w:cs="Arial" w:eastAsia="Arial" w:hAnsi="Arial"/>
                <w:sz w:val="17"/>
                <w:szCs w:val="17"/>
                <w:color w:val="auto"/>
              </w:rPr>
              <w:t>Total assets</w:t>
            </w: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w w:val="97"/>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3,168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Deferred Genzyme co-promotion fee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1,585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8,904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40" w:type="dxa"/>
            <w:vAlign w:val="bottom"/>
            <w:vMerge w:val="restart"/>
          </w:tcPr>
          <w:p>
            <w:pPr>
              <w:ind w:left="300"/>
              <w:spacing w:after="0"/>
              <w:rPr>
                <w:sz w:val="20"/>
                <w:szCs w:val="20"/>
                <w:color w:val="auto"/>
              </w:rPr>
            </w:pPr>
            <w:r>
              <w:rPr>
                <w:rFonts w:ascii="Arial" w:cs="Arial" w:eastAsia="Arial" w:hAnsi="Arial"/>
                <w:sz w:val="17"/>
                <w:szCs w:val="17"/>
                <w:color w:val="auto"/>
              </w:rPr>
              <w:t>Total liabilities</w:t>
            </w: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3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20" w:type="dxa"/>
            <w:vAlign w:val="bottom"/>
            <w:gridSpan w:val="2"/>
          </w:tcPr>
          <w:p>
            <w:pPr>
              <w:ind w:left="20"/>
              <w:spacing w:after="0"/>
              <w:rPr>
                <w:sz w:val="20"/>
                <w:szCs w:val="20"/>
                <w:color w:val="auto"/>
              </w:rPr>
            </w:pPr>
            <w:r>
              <w:rPr>
                <w:rFonts w:ascii="Arial" w:cs="Arial" w:eastAsia="Arial" w:hAnsi="Arial"/>
                <w:sz w:val="17"/>
                <w:szCs w:val="17"/>
                <w:color w:val="auto"/>
                <w:w w:val="97"/>
              </w:rPr>
              <w:t>Convertible preferred stock; $0.001 par value, 59,147,999 shares authorized at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w w:val="93"/>
              </w:rPr>
              <w:t>December 31, 2012 and March 31, 2013 (unaudited); 53,084,507 shares issued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w w:val="99"/>
              </w:rPr>
              <w:t>and outstanding at December 31, 2012 and March 31, 2013 (unaudited); no</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w w:val="97"/>
              </w:rPr>
              <w:t>shares authorized, issued and outstanding, pro forma (unaudited); aggregate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rPr>
              <w:t>liquidation value of $65,835 at December 31, 2012 and March 31, 2013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160"/>
              <w:spacing w:after="0"/>
              <w:rPr>
                <w:sz w:val="20"/>
                <w:szCs w:val="20"/>
                <w:color w:val="auto"/>
              </w:rPr>
            </w:pPr>
            <w:r>
              <w:rPr>
                <w:rFonts w:ascii="Arial" w:cs="Arial" w:eastAsia="Arial" w:hAnsi="Arial"/>
                <w:sz w:val="17"/>
                <w:szCs w:val="17"/>
                <w:color w:val="auto"/>
              </w:rPr>
              <w:t>(unaudited)</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20" w:type="dxa"/>
            <w:vAlign w:val="bottom"/>
            <w:gridSpan w:val="2"/>
          </w:tcPr>
          <w:p>
            <w:pPr>
              <w:ind w:left="20"/>
              <w:spacing w:after="0"/>
              <w:rPr>
                <w:sz w:val="20"/>
                <w:szCs w:val="20"/>
                <w:color w:val="auto"/>
              </w:rPr>
            </w:pPr>
            <w:r>
              <w:rPr>
                <w:rFonts w:ascii="Arial" w:cs="Arial" w:eastAsia="Arial" w:hAnsi="Arial"/>
                <w:sz w:val="17"/>
                <w:szCs w:val="17"/>
                <w:color w:val="auto"/>
                <w:w w:val="96"/>
              </w:rPr>
              <w:t>Common stock, $0.001 par value; 77,000,000 shares authorized; 2,670,767 and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160"/>
              <w:spacing w:after="0"/>
              <w:rPr>
                <w:sz w:val="20"/>
                <w:szCs w:val="20"/>
                <w:color w:val="auto"/>
              </w:rPr>
            </w:pPr>
            <w:r>
              <w:rPr>
                <w:rFonts w:ascii="Arial" w:cs="Arial" w:eastAsia="Arial" w:hAnsi="Arial"/>
                <w:sz w:val="17"/>
                <w:szCs w:val="17"/>
                <w:color w:val="auto"/>
                <w:w w:val="94"/>
              </w:rPr>
              <w:t>3,424,278 shares issued and outstanding at December 31, 2012 and March 31,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7"/>
                <w:szCs w:val="17"/>
                <w:color w:val="auto"/>
              </w:rPr>
              <w:t>2013 (unaudited), respectively;</w:t>
            </w:r>
          </w:p>
        </w:tc>
        <w:tc>
          <w:tcPr>
            <w:tcW w:w="3080" w:type="dxa"/>
            <w:vAlign w:val="bottom"/>
          </w:tcPr>
          <w:p>
            <w:pPr>
              <w:ind w:left="40"/>
              <w:spacing w:after="0"/>
              <w:rPr>
                <w:sz w:val="20"/>
                <w:szCs w:val="20"/>
                <w:color w:val="auto"/>
              </w:rPr>
            </w:pPr>
            <w:r>
              <w:rPr>
                <w:rFonts w:ascii="Arial" w:cs="Arial" w:eastAsia="Arial" w:hAnsi="Arial"/>
                <w:sz w:val="17"/>
                <w:szCs w:val="17"/>
                <w:color w:val="auto"/>
                <w:w w:val="96"/>
              </w:rPr>
              <w:t>shares authorized and 56,508,785 shares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gridSpan w:val="2"/>
          </w:tcPr>
          <w:p>
            <w:pPr>
              <w:ind w:left="160"/>
              <w:spacing w:after="0"/>
              <w:rPr>
                <w:sz w:val="20"/>
                <w:szCs w:val="20"/>
                <w:color w:val="auto"/>
              </w:rPr>
            </w:pPr>
            <w:r>
              <w:rPr>
                <w:rFonts w:ascii="Arial" w:cs="Arial" w:eastAsia="Arial" w:hAnsi="Arial"/>
                <w:sz w:val="17"/>
                <w:szCs w:val="17"/>
                <w:color w:val="auto"/>
              </w:rPr>
              <w:t>issued and outstanding, pro forma (unaudited)</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421"/>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2,304</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65,622</w:t>
            </w:r>
          </w:p>
        </w:tc>
        <w:tc>
          <w:tcPr>
            <w:tcW w:w="0" w:type="dxa"/>
            <w:vAlign w:val="bottom"/>
          </w:tcPr>
          <w:p>
            <w:pPr>
              <w:spacing w:after="0"/>
              <w:rPr>
                <w:sz w:val="1"/>
                <w:szCs w:val="1"/>
                <w:color w:val="auto"/>
              </w:rPr>
            </w:pPr>
          </w:p>
        </w:tc>
      </w:tr>
      <w:tr>
        <w:trPr>
          <w:trHeight w:val="417"/>
        </w:trPr>
        <w:tc>
          <w:tcPr>
            <w:tcW w:w="274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(66,964)</w:t>
            </w:r>
          </w:p>
        </w:tc>
        <w:tc>
          <w:tcPr>
            <w:tcW w:w="1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(66,964)</w:t>
            </w: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3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(64,657)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(1,285)</w:t>
            </w:r>
          </w:p>
        </w:tc>
        <w:tc>
          <w:tcPr>
            <w:tcW w:w="0" w:type="dxa"/>
            <w:vAlign w:val="bottom"/>
          </w:tcPr>
          <w:p>
            <w:pPr>
              <w:spacing w:after="0"/>
              <w:rPr>
                <w:sz w:val="1"/>
                <w:szCs w:val="1"/>
                <w:color w:val="auto"/>
              </w:rPr>
            </w:pPr>
          </w:p>
        </w:tc>
      </w:tr>
      <w:tr>
        <w:trPr>
          <w:trHeight w:val="26"/>
        </w:trPr>
        <w:tc>
          <w:tcPr>
            <w:tcW w:w="5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20" w:type="dxa"/>
            <w:vAlign w:val="bottom"/>
            <w:gridSpan w:val="2"/>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12,179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2"/>
              </w:rPr>
              <w:t>Three Months Ended March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1,481</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1,766</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5,716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and comprehensive loss</w:t>
            </w: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per common share, basic and diluted</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2,494,075</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3,052,129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56,136,636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94"/>
              </w:rPr>
              <w:t>Three Months Ended</w:t>
            </w:r>
          </w:p>
        </w:tc>
        <w:tc>
          <w:tcPr>
            <w:tcW w:w="0" w:type="dxa"/>
            <w:vAlign w:val="bottom"/>
          </w:tcPr>
          <w:p>
            <w:pPr>
              <w:spacing w:after="0"/>
              <w:rPr>
                <w:sz w:val="1"/>
                <w:szCs w:val="1"/>
                <w:color w:val="auto"/>
              </w:rPr>
            </w:pPr>
          </w:p>
        </w:tc>
      </w:tr>
      <w:tr>
        <w:trPr>
          <w:trHeight w:val="157"/>
        </w:trPr>
        <w:tc>
          <w:tcPr>
            <w:tcW w:w="7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w w:val="82"/>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(4,248)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(6,895)</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(511)</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Supplies inventory</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366</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460" w:type="dxa"/>
            <w:vAlign w:val="bottom"/>
            <w:vMerge w:val="restart"/>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(6,619)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(179)</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restricted cash</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46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Payment of convertible preferred stock issuance costs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46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5,974</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(6,930)</w:t>
            </w:r>
          </w:p>
        </w:tc>
        <w:tc>
          <w:tcPr>
            <w:tcW w:w="0" w:type="dxa"/>
            <w:vAlign w:val="bottom"/>
          </w:tcPr>
          <w:p>
            <w:pPr>
              <w:spacing w:after="0"/>
              <w:rPr>
                <w:sz w:val="1"/>
                <w:szCs w:val="1"/>
                <w:color w:val="auto"/>
              </w:rPr>
            </w:pPr>
          </w:p>
        </w:tc>
      </w:tr>
      <w:tr>
        <w:trPr>
          <w:trHeight w:val="417"/>
        </w:trPr>
        <w:tc>
          <w:tcPr>
            <w:tcW w:w="74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7,566</w:t>
            </w:r>
          </w:p>
        </w:tc>
        <w:tc>
          <w:tcPr>
            <w:tcW w:w="2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14,002</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13,540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7,072</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95"/>
        <w:spacing w:after="0" w:line="301" w:lineRule="auto"/>
        <w:rPr>
          <w:sz w:val="20"/>
          <w:szCs w:val="20"/>
          <w:color w:val="auto"/>
        </w:rPr>
      </w:pPr>
      <w:r>
        <w:rPr>
          <w:rFonts w:ascii="Arial" w:cs="Arial" w:eastAsia="Arial" w:hAnsi="Arial"/>
          <w:sz w:val="15"/>
          <w:szCs w:val="15"/>
          <w:color w:val="auto"/>
        </w:rPr>
        <w:t>The unaudited interim balance sheet as of March 31, 2013, and the statements of operations and comprehensive loss and cash flows for the three months ended March 31,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March 31, 2013 and its results of operations and cash flows for the three months ended March 31, 2012 and 2013. The financial data and the other financial information contained in these notes to the financial statements related to the three month periods are also unaudited. The results of operations for the three months ended March 31,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65"/>
        <w:spacing w:after="0" w:line="322" w:lineRule="auto"/>
        <w:rPr>
          <w:sz w:val="20"/>
          <w:szCs w:val="20"/>
          <w:color w:val="auto"/>
        </w:rPr>
      </w:pPr>
      <w:r>
        <w:rPr>
          <w:rFonts w:ascii="Arial" w:cs="Arial" w:eastAsia="Arial" w:hAnsi="Arial"/>
          <w:sz w:val="15"/>
          <w:szCs w:val="15"/>
          <w:color w:val="auto"/>
        </w:rPr>
        <w:t>The pro forma stockholders' equity as of March 31, 2013 presents the Company's stockholders' equity as though all of the Company's convertible preferred stock outstanding had automatically converted into 53,084,507 shares of common stock upon the completion of a qualifying initial public offering ("IPO") of the Company's common stock. The shares of common stock issuable and the proceeds expected to be received in the IPO are excluded from such pro forma financial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2"/>
        <w:spacing w:after="0" w:line="315" w:lineRule="auto"/>
        <w:rPr>
          <w:sz w:val="20"/>
          <w:szCs w:val="20"/>
          <w:color w:val="auto"/>
        </w:rPr>
      </w:pPr>
      <w:r>
        <w:rPr>
          <w:rFonts w:ascii="Arial" w:cs="Arial" w:eastAsia="Arial" w:hAnsi="Arial"/>
          <w:sz w:val="16"/>
          <w:szCs w:val="16"/>
          <w:color w:val="auto"/>
        </w:rPr>
        <w:t>As of December 31, 2012 and March 31,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ind w:left="340"/>
              <w:spacing w:after="0" w:line="144" w:lineRule="exact"/>
              <w:rPr>
                <w:sz w:val="20"/>
                <w:szCs w:val="20"/>
                <w:color w:val="auto"/>
              </w:rPr>
            </w:pPr>
            <w:r>
              <w:rPr>
                <w:rFonts w:ascii="Arial" w:cs="Arial" w:eastAsia="Arial" w:hAnsi="Arial"/>
                <w:sz w:val="13"/>
                <w:szCs w:val="13"/>
                <w:b w:val="1"/>
                <w:bCs w:val="1"/>
                <w:color w:val="auto"/>
                <w:w w:val="90"/>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ind w:left="240"/>
              <w:spacing w:after="0"/>
              <w:rPr>
                <w:sz w:val="20"/>
                <w:szCs w:val="20"/>
                <w:color w:val="auto"/>
              </w:rPr>
            </w:pPr>
            <w:r>
              <w:rPr>
                <w:rFonts w:ascii="Arial" w:cs="Arial" w:eastAsia="Arial" w:hAnsi="Arial"/>
                <w:sz w:val="13"/>
                <w:szCs w:val="13"/>
                <w:b w:val="1"/>
                <w:bCs w:val="1"/>
                <w:color w:val="auto"/>
              </w:rPr>
              <w:t>March 31,</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ind w:left="24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53%</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Accounts receivable from Medicare amounted to 87% and 84% of gross receivables as of December 31, 2012 and March 31,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At December 31, 2012 and March 31, 2013, deposits of $168,000 and $118,000 were restricted from withdrawal and held by a bank in the form of certificates of deposit and collateral for letters of credit. The balance at December 31, 2012 and March 31,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March 31, 2013 was $222,000 and $308,000, respectively. The provision for bad debt expense was $34,000 and $93,000 for the three months ended March 31, 2012 and 2013, respectively. There were $0 and $7,000 in write-offs for doubtful accounts against the allowance during the three months ended March 31, 2012 and 2013,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three months ended March 31, 2012 and 2013, the Company capitalized $0 and $99,000 of software development costs, respectively. Capitalized software is classified as part of property and equipment, and had a net book value of $184,000 and $267,000 as of December 31, 2012 and March 31,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March 31, 2013, the Company accrued $671,000 and $200,000,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82"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the fixed or determinable nature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March 31, 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80" w:type="dxa"/>
            <w:vAlign w:val="bottom"/>
            <w:vMerge w:val="restart"/>
          </w:tcPr>
          <w:p>
            <w:pPr>
              <w:spacing w:after="0"/>
              <w:rPr>
                <w:sz w:val="20"/>
                <w:szCs w:val="20"/>
                <w:color w:val="auto"/>
              </w:rPr>
            </w:pPr>
            <w:r>
              <w:rPr>
                <w:rFonts w:ascii="Arial" w:cs="Arial" w:eastAsia="Arial" w:hAnsi="Arial"/>
                <w:sz w:val="17"/>
                <w:szCs w:val="17"/>
                <w:color w:val="auto"/>
              </w:rPr>
              <w:t>Accrued liabilities</w:t>
            </w: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ind w:firstLine="392"/>
        <w:spacing w:after="0" w:line="315"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9"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3"/>
                <w:szCs w:val="13"/>
                <w:b w:val="1"/>
                <w:bCs w:val="1"/>
                <w:color w:val="auto"/>
              </w:rPr>
              <w:t>March 31, 2013</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9"/>
              <w:spacing w:after="0" w:line="138" w:lineRule="exact"/>
              <w:rPr>
                <w:sz w:val="20"/>
                <w:szCs w:val="20"/>
                <w:color w:val="auto"/>
              </w:rPr>
            </w:pPr>
            <w:r>
              <w:rPr>
                <w:rFonts w:ascii="Arial" w:cs="Arial" w:eastAsia="Arial" w:hAnsi="Arial"/>
                <w:sz w:val="13"/>
                <w:szCs w:val="13"/>
                <w:b w:val="1"/>
                <w:bCs w:val="1"/>
                <w:color w:val="auto"/>
                <w:w w:val="93"/>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6,753</w:t>
            </w:r>
          </w:p>
        </w:tc>
        <w:tc>
          <w:tcPr>
            <w:tcW w:w="3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6,753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2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2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6,753</w:t>
            </w:r>
          </w:p>
        </w:tc>
        <w:tc>
          <w:tcPr>
            <w:tcW w:w="360" w:type="dxa"/>
            <w:vAlign w:val="bottom"/>
            <w:gridSpan w:val="2"/>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6,753</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2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52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2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20" w:type="dxa"/>
            <w:vAlign w:val="bottom"/>
            <w:gridSpan w:val="2"/>
          </w:tcPr>
          <w:p>
            <w:pPr>
              <w:jc w:val="right"/>
              <w:ind w:right="675"/>
              <w:spacing w:after="0"/>
              <w:rPr>
                <w:sz w:val="20"/>
                <w:szCs w:val="20"/>
                <w:color w:val="auto"/>
              </w:rPr>
            </w:pPr>
            <w:r>
              <w:rPr>
                <w:rFonts w:ascii="Arial" w:cs="Arial" w:eastAsia="Arial" w:hAnsi="Arial"/>
                <w:sz w:val="17"/>
                <w:szCs w:val="17"/>
                <w:color w:val="auto"/>
              </w:rPr>
              <w:t>F-37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Level III liabilities consist of a preferred stock liability. The following table sets forth a summary of the changes in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Level 3 financial liabilities, which are measured on a recurring basis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w:t>
            </w:r>
          </w:p>
        </w:tc>
      </w:tr>
      <w:tr>
        <w:trPr>
          <w:trHeight w:val="157"/>
        </w:trPr>
        <w:tc>
          <w:tcPr>
            <w:tcW w:w="7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7"/>
                <w:szCs w:val="17"/>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1,002</w:t>
            </w:r>
          </w:p>
        </w:tc>
        <w:tc>
          <w:tcPr>
            <w:tcW w:w="16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60" w:type="dxa"/>
            <w:vAlign w:val="bottom"/>
            <w:shd w:val="clear" w:color="auto" w:fill="CCEEFF"/>
          </w:tcPr>
          <w:p>
            <w:pPr>
              <w:spacing w:after="0"/>
              <w:rPr>
                <w:sz w:val="17"/>
                <w:szCs w:val="17"/>
                <w:color w:val="auto"/>
              </w:rPr>
            </w:pPr>
          </w:p>
        </w:tc>
      </w:tr>
      <w:tr>
        <w:trPr>
          <w:trHeight w:val="26"/>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17"/>
          <w:szCs w:val="17"/>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At March 31, 2013, the Company revalued the preferred stock liability to $1.6 million and recorded other expense, net of $0.7 million related to the change in value of the liability through that date. The preferred stock liability was valued using the option-pricing method with the following assumptions: 100% probability of success of the second tranche, fair value of Series C preferred stock of $2.15, a term of 0.25 years and expected volatility of 45%.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 Incentive Plan</w:t>
      </w:r>
    </w:p>
    <w:p>
      <w:pPr>
        <w:spacing w:after="0" w:line="22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8,911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(754)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March 31,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1,294</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Vested–March 31,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4,607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2,410</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vest–March 31,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8,692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3,451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$1.00 per share as of March 31,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March 31,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ind w:left="360"/>
              <w:spacing w:after="0"/>
              <w:rPr>
                <w:sz w:val="20"/>
                <w:szCs w:val="20"/>
                <w:color w:val="auto"/>
              </w:rPr>
            </w:pPr>
            <w:r>
              <w:rPr>
                <w:rFonts w:ascii="Arial" w:cs="Arial" w:eastAsia="Arial" w:hAnsi="Arial"/>
                <w:sz w:val="13"/>
                <w:szCs w:val="13"/>
                <w:b w:val="1"/>
                <w:bCs w:val="1"/>
                <w:color w:val="auto"/>
              </w:rPr>
              <w:t>Options Vested and Exercisable</w:t>
            </w: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8"/>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$0.02</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796,937</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$0.20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944,778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6.83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792,640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6.80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1,898,874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1,300,745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$0.60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895,000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8.44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446,716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2,783,628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857,272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$1.00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1,931,878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9.83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412,377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9.83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$0.02-1.00</w:t>
            </w:r>
          </w:p>
        </w:tc>
        <w:tc>
          <w:tcPr>
            <w:tcW w:w="1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9,252,658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4,606,687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7.62</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granted was $0.47 and $0.66 per share in the three months ended March 31, 2012 and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$0.36 and $0.52 per share in the three months ended March 31, 2012 and 2013, respectively.</w:t>
      </w:r>
    </w:p>
    <w:p>
      <w:pPr>
        <w:spacing w:after="0" w:line="236" w:lineRule="exact"/>
        <w:rPr>
          <w:sz w:val="20"/>
          <w:szCs w:val="20"/>
          <w:color w:val="auto"/>
        </w:rPr>
      </w:pPr>
    </w:p>
    <w:p>
      <w:pPr>
        <w:ind w:firstLine="363"/>
        <w:spacing w:after="0" w:line="315" w:lineRule="auto"/>
        <w:rPr>
          <w:sz w:val="20"/>
          <w:szCs w:val="20"/>
          <w:color w:val="auto"/>
        </w:rPr>
      </w:pPr>
      <w:r>
        <w:rPr>
          <w:rFonts w:ascii="Arial" w:cs="Arial" w:eastAsia="Arial" w:hAnsi="Arial"/>
          <w:sz w:val="16"/>
          <w:szCs w:val="16"/>
          <w:color w:val="auto"/>
        </w:rPr>
        <w:t>The weighted average fair value of stock options exercised was $0.22 and $0.22 per share in the three months ended March 31, 2012 and 2013, respectively. The intrinsic value of stock options exercised was $90,000 and $507,000 in the three months ended March 31, 2012 and 2013,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Three Months</w:t>
            </w:r>
          </w:p>
        </w:tc>
      </w:tr>
      <w:tr>
        <w:trPr>
          <w:trHeight w:val="144"/>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244"/>
              <w:spacing w:after="0" w:line="144" w:lineRule="exact"/>
              <w:rPr>
                <w:sz w:val="20"/>
                <w:szCs w:val="20"/>
                <w:color w:val="auto"/>
              </w:rPr>
            </w:pPr>
            <w:r>
              <w:rPr>
                <w:rFonts w:ascii="Arial" w:cs="Arial" w:eastAsia="Arial" w:hAnsi="Arial"/>
                <w:sz w:val="13"/>
                <w:szCs w:val="13"/>
                <w:b w:val="1"/>
                <w:bCs w:val="1"/>
                <w:color w:val="auto"/>
                <w:w w:val="90"/>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March 31,</w:t>
            </w:r>
          </w:p>
        </w:tc>
      </w:tr>
      <w:tr>
        <w:trPr>
          <w:trHeight w:val="137"/>
        </w:trPr>
        <w:tc>
          <w:tcPr>
            <w:tcW w:w="65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120</w:t>
            </w:r>
          </w:p>
        </w:tc>
        <w:tc>
          <w:tcPr>
            <w:tcW w:w="1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60" w:type="dxa"/>
            <w:vAlign w:val="bottom"/>
            <w:shd w:val="clear" w:color="auto" w:fill="CCEEFF"/>
          </w:tcPr>
          <w:p>
            <w:pPr>
              <w:spacing w:after="0"/>
              <w:rPr>
                <w:sz w:val="17"/>
                <w:szCs w:val="17"/>
                <w:color w:val="auto"/>
              </w:rPr>
            </w:pPr>
          </w:p>
        </w:tc>
      </w:tr>
      <w:tr>
        <w:trPr>
          <w:trHeight w:val="26"/>
        </w:trPr>
        <w:tc>
          <w:tcPr>
            <w:tcW w:w="6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21"/>
        <w:spacing w:after="0" w:line="282" w:lineRule="auto"/>
        <w:rPr>
          <w:sz w:val="20"/>
          <w:szCs w:val="20"/>
          <w:color w:val="auto"/>
        </w:rPr>
      </w:pPr>
      <w:r>
        <w:rPr>
          <w:rFonts w:ascii="Arial" w:cs="Arial" w:eastAsia="Arial" w:hAnsi="Arial"/>
          <w:sz w:val="17"/>
          <w:szCs w:val="17"/>
          <w:color w:val="auto"/>
        </w:rPr>
        <w:t>As of March 31, 2013, the Company had $1.9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 Incentive Plan (Continued)</w:t>
      </w:r>
    </w:p>
    <w:p>
      <w:pPr>
        <w:spacing w:after="0" w:line="228"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3"/>
              </w:rPr>
              <w:t>March 31,</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83.24</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80.52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- 1.16%</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8.00 years to 9.94 years as of March 31, 2012 and 8.47 years to 9.68 years as of March 31, 2013; risk free rate is based on the U.S. Treasury Constant Maturity rate with a term similar to the expected life of the option at the measurement date; expected dividend yield of 0%; and volatilities ranging from 81.73% to 82.78% as of March 31, 2012 and 80.27% to 80.99% as of March 31,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March 31, 2013, respectively, and is included in accrued liabilities in the balance sheet.</w:t>
      </w:r>
    </w:p>
    <w:p>
      <w:pPr>
        <w:spacing w:after="0" w:line="179" w:lineRule="exact"/>
        <w:rPr>
          <w:sz w:val="20"/>
          <w:szCs w:val="20"/>
          <w:color w:val="auto"/>
        </w:rPr>
      </w:pPr>
    </w:p>
    <w:p>
      <w:pPr>
        <w:jc w:val="both"/>
        <w:ind w:firstLine="357"/>
        <w:spacing w:after="0" w:line="265" w:lineRule="auto"/>
        <w:rPr>
          <w:sz w:val="20"/>
          <w:szCs w:val="20"/>
          <w:color w:val="auto"/>
        </w:rPr>
      </w:pPr>
      <w:r>
        <w:rPr>
          <w:rFonts w:ascii="Arial" w:cs="Arial" w:eastAsia="Arial" w:hAnsi="Arial"/>
          <w:sz w:val="17"/>
          <w:szCs w:val="17"/>
          <w:color w:val="auto"/>
        </w:rPr>
        <w:t>In February 2013, the Company's Board of Directors authorized the grant of 402,007 fully vested stock options at a fair value of approximately $0.65 resulting in $259,000 in expense in the year ended December 31, 2012. The fair value of the stock options was determined using the Black-Scholes option-pricing valuation model. The grant date fair market value was $1.00 as determined by the Company's Board of Directors, the risk free rate was 0.88%, the expected life was 5.0 years, the volatility was determined to be 81.41% and there was no dividend yield.</w:t>
      </w:r>
    </w:p>
    <w:p>
      <w:pPr>
        <w:spacing w:after="0" w:line="185"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50,000 shares of common stock with an exercise price of $1.00 per share and a contractual term of 10 years. The option will only vest if an initial public offering or merger occurs in 2013. The Company has not recorded any compensation expense related to this option grant as the vesting event is not deemed probable of occurring as of March 31, 2013.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 Incentive Plan (Continued)</w:t>
      </w:r>
    </w:p>
    <w:p>
      <w:pPr>
        <w:spacing w:after="0" w:line="22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The following table summarizes equity-based compensation expense for the three months ended March 31,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Arial" w:cs="Arial" w:eastAsia="Arial" w:hAnsi="Arial"/>
                <w:sz w:val="13"/>
                <w:szCs w:val="13"/>
                <w:b w:val="1"/>
                <w:bCs w:val="1"/>
                <w:color w:val="auto"/>
                <w:w w:val="97"/>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460" w:type="dxa"/>
            <w:vAlign w:val="bottom"/>
          </w:tcPr>
          <w:p>
            <w:pPr>
              <w:spacing w:after="0"/>
              <w:rPr>
                <w:sz w:val="13"/>
                <w:szCs w:val="13"/>
                <w:color w:val="auto"/>
              </w:rPr>
            </w:pPr>
          </w:p>
        </w:tc>
        <w:tc>
          <w:tcPr>
            <w:tcW w:w="12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3"/>
                <w:szCs w:val="13"/>
                <w:b w:val="1"/>
                <w:bCs w:val="1"/>
                <w:color w:val="auto"/>
              </w:rPr>
              <w:t>March 31,</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440" w:type="dxa"/>
            <w:vAlign w:val="bottom"/>
            <w:shd w:val="clear" w:color="auto" w:fill="CCEEFF"/>
          </w:tcPr>
          <w:p>
            <w:pPr>
              <w:jc w:val="right"/>
              <w:ind w:right="26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8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3"/>
              </w:rPr>
              <w:t>21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3"/>
              </w:rPr>
              <w:t>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3"/>
              </w:rPr>
              <w:t>29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CCEEFF"/>
          </w:tcPr>
          <w:p>
            <w:pPr>
              <w:jc w:val="right"/>
              <w:ind w:right="26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3"/>
              </w:rPr>
              <w:t>61</w:t>
            </w:r>
          </w:p>
        </w:tc>
        <w:tc>
          <w:tcPr>
            <w:tcW w:w="68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Genzyme Co–promotion Agreement</w:t>
      </w:r>
    </w:p>
    <w:p>
      <w:pPr>
        <w:spacing w:after="0" w:line="228"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5"/>
          <w:szCs w:val="15"/>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$511,000 and $625,000 in the three months ended March 31, 2012 and 2013, respectively, which are reflected as a reduction to selling and marketing expenses in the statements of operations and comprehensive loss. The unamortized balance of the co-promotion fee is $7.0 million as of March 31, 2013.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Thyroid Cytology Partners</w:t>
      </w:r>
    </w:p>
    <w:p>
      <w:pPr>
        <w:spacing w:after="0" w:line="228" w:lineRule="exact"/>
        <w:rPr>
          <w:sz w:val="20"/>
          <w:szCs w:val="20"/>
          <w:color w:val="auto"/>
        </w:rPr>
      </w:pPr>
    </w:p>
    <w:p>
      <w:pPr>
        <w:jc w:val="both"/>
        <w:ind w:firstLine="370"/>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 costs for the leased facility. The Company does not have an ownership interest in or provide any form of financial or other support to TCP.</w:t>
      </w:r>
    </w:p>
    <w:p>
      <w:pPr>
        <w:spacing w:after="0" w:line="236"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7"/>
          <w:szCs w:val="17"/>
          <w:color w:val="auto"/>
        </w:rPr>
        <w:t>TCP provided $261,000 and $711,000 in cytopathology testing and evaluation services in the three months ended March 31, 2012 and 2013, respectively. The Company also reimbursed TCP for licensure fees of $30,000 and $0 in three months ended March 31, 2012 and 2013, respectively. Expenses for testing and evaluation services and reimbursed professional licensure fees are included in cost of revenue in the statements of operations and comprehensive loss. The Company's outstanding obligations to TCP were $458,000 and $487,000 as of December 31, 2012 and March 31,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Net Loss per Common Share and Pro Forma Net Loss Per Common Share</w:t>
      </w:r>
    </w:p>
    <w:p>
      <w:pPr>
        <w:spacing w:after="0" w:line="228" w:lineRule="exact"/>
        <w:rPr>
          <w:sz w:val="20"/>
          <w:szCs w:val="20"/>
          <w:color w:val="auto"/>
        </w:rPr>
      </w:pPr>
    </w:p>
    <w:p>
      <w:pPr>
        <w:jc w:val="both"/>
        <w:ind w:firstLine="381"/>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three months ended March 31, 2012 and 2103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7"/>
        </w:trPr>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0" w:type="dxa"/>
            <w:vAlign w:val="bottom"/>
          </w:tcPr>
          <w:p>
            <w:pPr>
              <w:spacing w:after="0"/>
              <w:rPr>
                <w:sz w:val="1"/>
                <w:szCs w:val="1"/>
                <w:color w:val="auto"/>
              </w:rPr>
            </w:pPr>
          </w:p>
        </w:tc>
      </w:tr>
      <w:tr>
        <w:trPr>
          <w:trHeight w:val="26"/>
        </w:trPr>
        <w:tc>
          <w:tcPr>
            <w:tcW w:w="588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2,494,075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3,052,129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820" w:type="dxa"/>
            <w:vAlign w:val="bottom"/>
            <w:gridSpan w:val="5"/>
          </w:tcPr>
          <w:p>
            <w:pPr>
              <w:jc w:val="center"/>
              <w:ind w:right="186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17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20" w:type="dxa"/>
            <w:vAlign w:val="bottom"/>
            <w:gridSpan w:val="5"/>
          </w:tcPr>
          <w:p>
            <w:pPr>
              <w:jc w:val="center"/>
              <w:ind w:right="1860"/>
              <w:spacing w:after="0"/>
              <w:rPr>
                <w:sz w:val="20"/>
                <w:szCs w:val="20"/>
                <w:color w:val="auto"/>
              </w:rPr>
            </w:pPr>
            <w:r>
              <w:rPr>
                <w:rFonts w:ascii="Arial" w:cs="Arial" w:eastAsia="Arial" w:hAnsi="Arial"/>
                <w:sz w:val="13"/>
                <w:szCs w:val="13"/>
                <w:b w:val="1"/>
                <w:bCs w:val="1"/>
                <w:color w:val="auto"/>
                <w:w w:val="93"/>
              </w:rPr>
              <w:t>March 31,</w:t>
            </w:r>
          </w:p>
        </w:tc>
      </w:tr>
      <w:tr>
        <w:trPr>
          <w:trHeight w:val="137"/>
        </w:trPr>
        <w:tc>
          <w:tcPr>
            <w:tcW w:w="17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3"/>
        </w:trPr>
        <w:tc>
          <w:tcPr>
            <w:tcW w:w="17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3660" w:type="dxa"/>
            <w:vAlign w:val="bottom"/>
            <w:gridSpan w:val="2"/>
          </w:tcPr>
          <w:p>
            <w:pPr>
              <w:jc w:val="right"/>
              <w:spacing w:after="0"/>
              <w:rPr>
                <w:sz w:val="20"/>
                <w:szCs w:val="20"/>
                <w:color w:val="auto"/>
              </w:rPr>
            </w:pPr>
            <w:r>
              <w:rPr>
                <w:rFonts w:ascii="Arial" w:cs="Arial" w:eastAsia="Arial" w:hAnsi="Arial"/>
                <w:sz w:val="17"/>
                <w:szCs w:val="17"/>
                <w:color w:val="auto"/>
              </w:rPr>
              <w:t>7,204,101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9,252,658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52,352,100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62,337,165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60" w:type="dxa"/>
            <w:vAlign w:val="bottom"/>
            <w:gridSpan w:val="2"/>
          </w:tcPr>
          <w:p>
            <w:pPr>
              <w:jc w:val="right"/>
              <w:ind w:right="2554"/>
              <w:spacing w:after="0"/>
              <w:rPr>
                <w:sz w:val="20"/>
                <w:szCs w:val="20"/>
                <w:color w:val="auto"/>
              </w:rPr>
            </w:pPr>
            <w:r>
              <w:rPr>
                <w:rFonts w:ascii="Arial" w:cs="Arial" w:eastAsia="Arial" w:hAnsi="Arial"/>
                <w:sz w:val="17"/>
                <w:szCs w:val="17"/>
                <w:color w:val="auto"/>
              </w:rPr>
              <w:t>F-42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Net Loss per Common Share and Pro Forma Net Loss Per Common Share (Continued)</w:t>
      </w:r>
    </w:p>
    <w:p>
      <w:pPr>
        <w:spacing w:after="0" w:line="228" w:lineRule="exact"/>
        <w:rPr>
          <w:sz w:val="20"/>
          <w:szCs w:val="20"/>
          <w:color w:val="auto"/>
        </w:rPr>
      </w:pPr>
    </w:p>
    <w:p>
      <w:pPr>
        <w:ind w:firstLine="347"/>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three months ended March 31,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44"/>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March 31, 2013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(6,895)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3,052,129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56,136,636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8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Subsequent Events</w:t>
      </w:r>
    </w:p>
    <w:p>
      <w:pPr>
        <w:spacing w:after="0" w:line="228" w:lineRule="exact"/>
        <w:rPr>
          <w:sz w:val="20"/>
          <w:szCs w:val="20"/>
          <w:color w:val="auto"/>
        </w:rPr>
      </w:pPr>
    </w:p>
    <w:p>
      <w:pPr>
        <w:jc w:val="both"/>
        <w:ind w:firstLine="385"/>
        <w:spacing w:after="0" w:line="311" w:lineRule="auto"/>
        <w:rPr>
          <w:sz w:val="20"/>
          <w:szCs w:val="20"/>
          <w:color w:val="auto"/>
        </w:rPr>
      </w:pPr>
      <w:r>
        <w:rPr>
          <w:rFonts w:ascii="Arial" w:cs="Arial" w:eastAsia="Arial" w:hAnsi="Arial"/>
          <w:sz w:val="15"/>
          <w:szCs w:val="15"/>
          <w:color w:val="auto"/>
        </w:rPr>
        <w:t>In June 2013, the Company amended its Amended and Restated Certificate of Incorporation to increase the number of authorized shares of Series C convertible preferred stock from 14,000,000 to 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an aggregate of 6,904,761 shares of Series C preferred stock.</w:t>
      </w:r>
    </w:p>
    <w:p>
      <w:pPr>
        <w:spacing w:after="0" w:line="155"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provides for term loans of up to $10.0 million in aggregate. The Company drew down $5.0 million in funds under this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jc w:val="both"/>
        <w:ind w:firstLine="537"/>
        <w:spacing w:after="0" w:line="282" w:lineRule="auto"/>
        <w:rPr>
          <w:sz w:val="20"/>
          <w:szCs w:val="20"/>
          <w:color w:val="auto"/>
        </w:rPr>
      </w:pPr>
      <w:r>
        <w:rPr>
          <w:rFonts w:ascii="Arial" w:cs="Arial" w:eastAsia="Arial" w:hAnsi="Arial"/>
          <w:sz w:val="17"/>
          <w:szCs w:val="17"/>
          <w:color w:val="auto"/>
        </w:rPr>
        <w:t>The Company has evaluated subsequent events through August 12, 2013, the date the unaudited interim financial statements for the three months ended March 31, 2013 were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76936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17087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410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5"/>
        <w:spacing w:after="0"/>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27305</wp:posOffset>
            </wp:positionV>
            <wp:extent cx="382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28" w:lineRule="exact"/>
        <w:rPr>
          <w:sz w:val="20"/>
          <w:szCs w:val="20"/>
          <w:color w:val="auto"/>
        </w:rPr>
      </w:pPr>
    </w:p>
    <w:p>
      <w:pPr>
        <w:ind w:left="440" w:hanging="435"/>
        <w:spacing w:after="0"/>
        <w:tabs>
          <w:tab w:leader="none" w:pos="4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31115</wp:posOffset>
            </wp:positionV>
            <wp:extent cx="382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290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47625</wp:posOffset>
            </wp:positionV>
            <wp:extent cx="3829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040" w:space="720"/>
            <w:col w:w="1660"/>
          </w:cols>
          <w:pgMar w:left="240" w:top="131" w:right="239" w:bottom="1440" w:gutter="0" w:footer="0" w:header="0"/>
          <w:type w:val="continuous"/>
        </w:sectPr>
      </w:pP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June 30, 2013:</w:t>
      </w:r>
    </w:p>
    <w:p>
      <w:pPr>
        <w:spacing w:after="0" w:line="224"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7"/>
          <w:szCs w:val="17"/>
          <w:color w:val="auto"/>
        </w:rPr>
        <w:t>From June 4, 2010 to July 26, 2011, we issued and sold an aggregate of 22,748,000 shares of our Series B convertible preferred stock at $1.25 per share to 10 accredited investors for an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7"/>
          <w:szCs w:val="17"/>
          <w:color w:val="auto"/>
        </w:rPr>
        <w:t>From November 6, 2012 to July 15, 2013, we issued and sold an aggregate of 14,841,269 shares of our Series C convertible preferred stock at $1.89 per share to 11 accredited investors for an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6" w:lineRule="auto"/>
        <w:rPr>
          <w:sz w:val="20"/>
          <w:szCs w:val="20"/>
          <w:color w:val="auto"/>
        </w:rPr>
      </w:pPr>
      <w:r>
        <w:rPr>
          <w:rFonts w:ascii="Arial" w:cs="Arial" w:eastAsia="Arial" w:hAnsi="Arial"/>
          <w:sz w:val="17"/>
          <w:szCs w:val="17"/>
          <w:color w:val="auto"/>
        </w:rPr>
        <w:t>We have granted to our directors, officers and employees options to purchase 9,922,359 shares of common stock under our 2008 Stock Plan, as amended, with per share exercise prices ranging from $0.20 to $1.00, and issued 2,652,297 shares of common stock upon exercise of such options for aggregate consideration of $364,197, at exercise prices ranging from $0.20 to $1.00.</w:t>
      </w:r>
      <w:r>
        <w:rPr>
          <w:rFonts w:ascii="Arial" w:cs="Arial" w:eastAsia="Arial" w:hAnsi="Arial"/>
          <w:sz w:val="28"/>
          <w:szCs w:val="28"/>
          <w:color w:val="auto"/>
          <w:vertAlign w:val="superscript"/>
        </w:rPr>
        <w:t>(2)</w:t>
      </w:r>
    </w:p>
    <w:p>
      <w:pPr>
        <w:spacing w:after="0" w:line="58"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ectPr>
          <w:pgSz w:w="11900" w:h="16838" w:orient="portrait"/>
          <w:cols w:equalWidth="0" w:num="1">
            <w:col w:w="11420"/>
          </w:cols>
          <w:pgMar w:left="240" w:top="131" w:right="239" w:bottom="1440" w:gutter="0" w:footer="0" w:header="0"/>
        </w:sectPr>
      </w:pP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19685</wp:posOffset>
            </wp:positionV>
            <wp:extent cx="5202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140" w:space="720"/>
            <w:col w:w="5560"/>
          </w:cols>
          <w:pgMar w:left="240" w:top="131" w:right="239" w:bottom="1440" w:gutter="0" w:footer="0" w:header="0"/>
          <w:type w:val="continuous"/>
        </w:sectPr>
      </w:pPr>
    </w:p>
    <w:p>
      <w:pPr>
        <w:ind w:left="1560"/>
        <w:spacing w:after="0"/>
        <w:tabs>
          <w:tab w:leader="none" w:pos="2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3.1(a)  Fourth Amended and Restated Certificate of Incorporation of the Registrant, as amended.</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3.1(b)* Form of Restated Certificate of Incorporation of the Registrant, to be in effect upon the completion of this offering.</w:t>
      </w:r>
    </w:p>
    <w:p>
      <w:pPr>
        <w:spacing w:after="0" w:line="3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3.2(a)  Bylaws of the Registrant.</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3.2(b)* Form of Amended and Restated Bylaws of the Registrant, to be in effect upon the completion of this offering.</w:t>
      </w:r>
    </w:p>
    <w:p>
      <w:pPr>
        <w:spacing w:after="0" w:line="26"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Common Stock Certificate.</w:t>
      </w:r>
    </w:p>
    <w:p>
      <w:pPr>
        <w:spacing w:after="0" w:line="14" w:lineRule="exact"/>
        <w:rPr>
          <w:sz w:val="20"/>
          <w:szCs w:val="20"/>
          <w:color w:val="auto"/>
        </w:rPr>
      </w:pPr>
    </w:p>
    <w:p>
      <w:pPr>
        <w:ind w:left="2080" w:right="1560" w:hanging="527"/>
        <w:spacing w:after="0" w:line="257" w:lineRule="auto"/>
        <w:tabs>
          <w:tab w:leader="none" w:pos="20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Second Amended and Restated Investors Rights Agreement, dated November 6, 2012, between the Registrant and certain investors.</w:t>
      </w:r>
    </w:p>
    <w:p>
      <w:pPr>
        <w:spacing w:after="0" w:line="1" w:lineRule="exact"/>
        <w:rPr>
          <w:sz w:val="20"/>
          <w:szCs w:val="20"/>
          <w:color w:val="auto"/>
        </w:rPr>
      </w:pPr>
    </w:p>
    <w:p>
      <w:pPr>
        <w:ind w:left="2080" w:right="1840" w:hanging="527"/>
        <w:spacing w:after="0" w:line="257" w:lineRule="auto"/>
        <w:tabs>
          <w:tab w:leader="none" w:pos="20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Amendment to Second Amended and Restated Investors Rights Agreement, dated June 14, 2013, between the Registrant and certain investors.</w:t>
      </w:r>
    </w:p>
    <w:p>
      <w:pPr>
        <w:spacing w:after="0" w:line="1"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Warrant to Purchase Series C Preferred Stock dated June 26, 2013.</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Opinion of Pillsbury Winthrop Shaw Pittman LLP.</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and its officers and directors.</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2008 Stock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2013 Stock Incentive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Lease Agreement dated as of February 10, 2010 between ARE-San Francisco No 17, LLC and the Registrant.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Exhibit</w:t>
            </w:r>
          </w:p>
        </w:tc>
        <w:tc>
          <w:tcPr>
            <w:tcW w:w="81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Number</w:t>
            </w:r>
          </w:p>
        </w:tc>
        <w:tc>
          <w:tcPr>
            <w:tcW w:w="8180" w:type="dxa"/>
            <w:vAlign w:val="bottom"/>
          </w:tcPr>
          <w:p>
            <w:pPr>
              <w:ind w:left="3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40" w:type="dxa"/>
            <w:vAlign w:val="bottom"/>
          </w:tcPr>
          <w:p>
            <w:pPr>
              <w:spacing w:after="0"/>
              <w:rPr>
                <w:sz w:val="16"/>
                <w:szCs w:val="16"/>
                <w:color w:val="auto"/>
              </w:rPr>
            </w:pPr>
          </w:p>
        </w:tc>
        <w:tc>
          <w:tcPr>
            <w:tcW w:w="620" w:type="dxa"/>
            <w:vAlign w:val="bottom"/>
            <w:tcBorders>
              <w:top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10.5</w:t>
            </w:r>
          </w:p>
        </w:tc>
        <w:tc>
          <w:tcPr>
            <w:tcW w:w="320" w:type="dxa"/>
            <w:vAlign w:val="bottom"/>
          </w:tcPr>
          <w:p>
            <w:pPr>
              <w:spacing w:after="0"/>
              <w:rPr>
                <w:sz w:val="16"/>
                <w:szCs w:val="16"/>
                <w:color w:val="auto"/>
              </w:rPr>
            </w:pPr>
          </w:p>
        </w:tc>
        <w:tc>
          <w:tcPr>
            <w:tcW w:w="81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First Amendment to Lease Agreement entered into as of July 11, 2012 between ARE-San Francisco No 17, LLC and</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10.6</w:t>
            </w:r>
          </w:p>
        </w:tc>
        <w:tc>
          <w:tcPr>
            <w:tcW w:w="8180" w:type="dxa"/>
            <w:vAlign w:val="bottom"/>
          </w:tcPr>
          <w:p>
            <w:pPr>
              <w:spacing w:after="0"/>
              <w:rPr>
                <w:sz w:val="20"/>
                <w:szCs w:val="20"/>
                <w:color w:val="auto"/>
              </w:rPr>
            </w:pPr>
            <w:r>
              <w:rPr>
                <w:rFonts w:ascii="Arial" w:cs="Arial" w:eastAsia="Arial" w:hAnsi="Arial"/>
                <w:sz w:val="17"/>
                <w:szCs w:val="17"/>
                <w:color w:val="auto"/>
                <w:w w:val="91"/>
              </w:rPr>
              <w:t>Lease Agreement between Riata Holdings, L.P., as landlord, and the Registrant, as tenant, dated November 28, 2012.</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10.7*</w:t>
            </w:r>
          </w:p>
        </w:tc>
        <w:tc>
          <w:tcPr>
            <w:tcW w:w="8180" w:type="dxa"/>
            <w:vAlign w:val="bottom"/>
          </w:tcPr>
          <w:p>
            <w:pPr>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10.8*</w:t>
            </w:r>
          </w:p>
        </w:tc>
        <w:tc>
          <w:tcPr>
            <w:tcW w:w="8180" w:type="dxa"/>
            <w:vAlign w:val="bottom"/>
          </w:tcPr>
          <w:p>
            <w:pPr>
              <w:spacing w:after="0"/>
              <w:rPr>
                <w:sz w:val="20"/>
                <w:szCs w:val="20"/>
                <w:color w:val="auto"/>
              </w:rPr>
            </w:pPr>
            <w:r>
              <w:rPr>
                <w:rFonts w:ascii="Arial" w:cs="Arial" w:eastAsia="Arial" w:hAnsi="Arial"/>
                <w:sz w:val="17"/>
                <w:szCs w:val="17"/>
                <w:color w:val="auto"/>
                <w:w w:val="93"/>
              </w:rPr>
              <w:t>Amendment to Co-Promotion Agreement, effective April 9, 2013, between Genzyme Corporation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10.9</w:t>
            </w:r>
          </w:p>
        </w:tc>
        <w:tc>
          <w:tcPr>
            <w:tcW w:w="8180" w:type="dxa"/>
            <w:vAlign w:val="bottom"/>
          </w:tcPr>
          <w:p>
            <w:pPr>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10.10#</w:t>
            </w:r>
          </w:p>
        </w:tc>
        <w:tc>
          <w:tcPr>
            <w:tcW w:w="8180" w:type="dxa"/>
            <w:vAlign w:val="bottom"/>
          </w:tcPr>
          <w:p>
            <w:pPr>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10.11#</w:t>
            </w:r>
          </w:p>
        </w:tc>
        <w:tc>
          <w:tcPr>
            <w:tcW w:w="8180" w:type="dxa"/>
            <w:vAlign w:val="bottom"/>
          </w:tcPr>
          <w:p>
            <w:pPr>
              <w:spacing w:after="0"/>
              <w:rPr>
                <w:sz w:val="20"/>
                <w:szCs w:val="20"/>
                <w:color w:val="auto"/>
              </w:rPr>
            </w:pPr>
            <w:r>
              <w:rPr>
                <w:rFonts w:ascii="Arial" w:cs="Arial" w:eastAsia="Arial" w:hAnsi="Arial"/>
                <w:sz w:val="17"/>
                <w:szCs w:val="17"/>
                <w:color w:val="auto"/>
                <w:w w:val="91"/>
              </w:rPr>
              <w:t>Amendment to Bonnie Anderson Employment Agreement, dated as of December 22, 2008, between Bonnie Anderson</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10.12#</w:t>
            </w:r>
          </w:p>
        </w:tc>
        <w:tc>
          <w:tcPr>
            <w:tcW w:w="8180" w:type="dxa"/>
            <w:vAlign w:val="bottom"/>
          </w:tcPr>
          <w:p>
            <w:pPr>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10.13#</w:t>
            </w:r>
          </w:p>
        </w:tc>
        <w:tc>
          <w:tcPr>
            <w:tcW w:w="8180" w:type="dxa"/>
            <w:vAlign w:val="bottom"/>
          </w:tcPr>
          <w:p>
            <w:pPr>
              <w:spacing w:after="0"/>
              <w:rPr>
                <w:sz w:val="20"/>
                <w:szCs w:val="20"/>
                <w:color w:val="auto"/>
              </w:rPr>
            </w:pPr>
            <w:r>
              <w:rPr>
                <w:rFonts w:ascii="Arial" w:cs="Arial" w:eastAsia="Arial" w:hAnsi="Arial"/>
                <w:sz w:val="17"/>
                <w:szCs w:val="17"/>
                <w:color w:val="auto"/>
                <w:w w:val="95"/>
              </w:rPr>
              <w:t>Change of Control and Severance Agreement, effective as of August 24, 2012, between Bonnie Anderson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10.14#</w:t>
            </w:r>
          </w:p>
        </w:tc>
        <w:tc>
          <w:tcPr>
            <w:tcW w:w="8180" w:type="dxa"/>
            <w:vAlign w:val="bottom"/>
          </w:tcPr>
          <w:p>
            <w:pPr>
              <w:spacing w:after="0"/>
              <w:rPr>
                <w:sz w:val="20"/>
                <w:szCs w:val="20"/>
                <w:color w:val="auto"/>
              </w:rPr>
            </w:pPr>
            <w:r>
              <w:rPr>
                <w:rFonts w:ascii="Arial" w:cs="Arial" w:eastAsia="Arial" w:hAnsi="Arial"/>
                <w:sz w:val="17"/>
                <w:szCs w:val="17"/>
                <w:color w:val="auto"/>
                <w:w w:val="96"/>
              </w:rPr>
              <w:t>Change of Control and Severance Agreement, effective as of August 24, 2012, between Christopher Hall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10.15#</w:t>
            </w:r>
          </w:p>
        </w:tc>
        <w:tc>
          <w:tcPr>
            <w:tcW w:w="8180" w:type="dxa"/>
            <w:vAlign w:val="bottom"/>
          </w:tcPr>
          <w:p>
            <w:pPr>
              <w:spacing w:after="0"/>
              <w:rPr>
                <w:sz w:val="20"/>
                <w:szCs w:val="20"/>
                <w:color w:val="auto"/>
              </w:rPr>
            </w:pPr>
            <w:r>
              <w:rPr>
                <w:rFonts w:ascii="Arial" w:cs="Arial" w:eastAsia="Arial" w:hAnsi="Arial"/>
                <w:sz w:val="17"/>
                <w:szCs w:val="17"/>
                <w:color w:val="auto"/>
                <w:w w:val="92"/>
              </w:rPr>
              <w:t>Change of Control and Severance Agreement, effective as of April 8, 2013, between Shelly Guyer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10.16#</w:t>
            </w:r>
          </w:p>
        </w:tc>
        <w:tc>
          <w:tcPr>
            <w:tcW w:w="8180" w:type="dxa"/>
            <w:vAlign w:val="bottom"/>
          </w:tcPr>
          <w:p>
            <w:pPr>
              <w:spacing w:after="0"/>
              <w:rPr>
                <w:sz w:val="20"/>
                <w:szCs w:val="20"/>
                <w:color w:val="auto"/>
              </w:rPr>
            </w:pPr>
            <w:r>
              <w:rPr>
                <w:rFonts w:ascii="Arial" w:cs="Arial" w:eastAsia="Arial" w:hAnsi="Arial"/>
                <w:sz w:val="17"/>
                <w:szCs w:val="17"/>
                <w:color w:val="auto"/>
              </w:rPr>
              <w:t>Executive Bonus Plan</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23.1*</w:t>
            </w:r>
          </w:p>
        </w:tc>
        <w:tc>
          <w:tcPr>
            <w:tcW w:w="8180" w:type="dxa"/>
            <w:vAlign w:val="bottom"/>
          </w:tcPr>
          <w:p>
            <w:pPr>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23.2*</w:t>
            </w:r>
          </w:p>
        </w:tc>
        <w:tc>
          <w:tcPr>
            <w:tcW w:w="8180" w:type="dxa"/>
            <w:vAlign w:val="bottom"/>
          </w:tcPr>
          <w:p>
            <w:pPr>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1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24.1</w:t>
            </w:r>
          </w:p>
        </w:tc>
        <w:tc>
          <w:tcPr>
            <w:tcW w:w="8180" w:type="dxa"/>
            <w:vAlign w:val="bottom"/>
          </w:tcPr>
          <w:p>
            <w:pPr>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18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2"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color w:val="auto"/>
        </w:rPr>
        <w:t>undersigned, thereunto duly authorized in the City of South San Francisco, State of California, on the</w:t>
      </w:r>
      <w:r>
        <w:rPr>
          <w:sz w:val="20"/>
          <w:szCs w:val="20"/>
          <w:color w:val="auto"/>
        </w:rPr>
        <w:tab/>
      </w:r>
      <w:r>
        <w:rPr>
          <w:rFonts w:ascii="Arial" w:cs="Arial" w:eastAsia="Arial" w:hAnsi="Arial"/>
          <w:sz w:val="15"/>
          <w:szCs w:val="15"/>
          <w:color w:val="auto"/>
        </w:rPr>
        <w:t>day of August, 2013.</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17"/>
          <w:szCs w:val="17"/>
          <w:color w:val="auto"/>
        </w:rPr>
        <w:t>KNOW ALL PERSONS BY THESE PRESENTS that each person whose signatures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7"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218" w:lineRule="exact"/>
        <w:rPr>
          <w:sz w:val="20"/>
          <w:szCs w:val="20"/>
          <w:color w:val="auto"/>
        </w:rPr>
      </w:pPr>
    </w:p>
    <w:tbl>
      <w:tblPr>
        <w:tblLayout w:type="fixed"/>
        <w:tblInd w:w="1220" w:type="dxa"/>
        <w:tblCellMar>
          <w:top w:w="0" w:type="dxa"/>
          <w:left w:w="0" w:type="dxa"/>
          <w:bottom w:w="0" w:type="dxa"/>
          <w:right w:w="0" w:type="dxa"/>
        </w:tblCellMar>
      </w:tblPr>
      <w:tr>
        <w:trPr>
          <w:trHeight w:val="157"/>
        </w:trPr>
        <w:tc>
          <w:tcPr>
            <w:tcW w:w="1600" w:type="dxa"/>
            <w:vAlign w:val="bottom"/>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Name</w:t>
            </w: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Title</w:t>
            </w:r>
          </w:p>
        </w:tc>
        <w:tc>
          <w:tcPr>
            <w:tcW w:w="1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00" w:type="dxa"/>
            <w:vAlign w:val="bottom"/>
            <w:gridSpan w:val="2"/>
          </w:tcPr>
          <w:p>
            <w:pPr>
              <w:ind w:left="180"/>
              <w:spacing w:after="0" w:line="194" w:lineRule="exact"/>
              <w:rPr>
                <w:sz w:val="20"/>
                <w:szCs w:val="20"/>
                <w:color w:val="auto"/>
              </w:rPr>
            </w:pPr>
            <w:r>
              <w:rPr>
                <w:rFonts w:ascii="Arial" w:cs="Arial" w:eastAsia="Arial" w:hAnsi="Arial"/>
                <w:sz w:val="17"/>
                <w:szCs w:val="17"/>
                <w:color w:val="auto"/>
                <w:w w:val="95"/>
              </w:rPr>
              <w:t>President, Chief Executive</w:t>
            </w:r>
          </w:p>
        </w:tc>
        <w:tc>
          <w:tcPr>
            <w:tcW w:w="1700" w:type="dxa"/>
            <w:vAlign w:val="bottom"/>
          </w:tcPr>
          <w:p>
            <w:pPr>
              <w:spacing w:after="0" w:line="194" w:lineRule="exact"/>
              <w:rPr>
                <w:sz w:val="20"/>
                <w:szCs w:val="20"/>
                <w:color w:val="auto"/>
              </w:rPr>
            </w:pPr>
            <w:r>
              <w:rPr>
                <w:rFonts w:ascii="Arial" w:cs="Arial" w:eastAsia="Arial" w:hAnsi="Arial"/>
                <w:sz w:val="17"/>
                <w:szCs w:val="17"/>
                <w:color w:val="auto"/>
              </w:rPr>
              <w:t>Officer (Principal</w:t>
            </w:r>
          </w:p>
        </w:tc>
        <w:tc>
          <w:tcPr>
            <w:tcW w:w="1040" w:type="dxa"/>
            <w:vAlign w:val="bottom"/>
            <w:gridSpan w:val="2"/>
          </w:tcPr>
          <w:p>
            <w:pPr>
              <w:ind w:left="340"/>
              <w:spacing w:after="0" w:line="194" w:lineRule="exact"/>
              <w:rPr>
                <w:sz w:val="20"/>
                <w:szCs w:val="20"/>
                <w:color w:val="auto"/>
              </w:rPr>
            </w:pPr>
            <w:r>
              <w:rPr>
                <w:rFonts w:ascii="Arial" w:cs="Arial" w:eastAsia="Arial" w:hAnsi="Arial"/>
                <w:sz w:val="17"/>
                <w:szCs w:val="17"/>
                <w:color w:val="auto"/>
              </w:rPr>
              <w:t>August</w:t>
            </w:r>
          </w:p>
        </w:tc>
        <w:tc>
          <w:tcPr>
            <w:tcW w:w="42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100"/>
        </w:trPr>
        <w:tc>
          <w:tcPr>
            <w:tcW w:w="1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Executive Officer) and Director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1"/>
              </w:rPr>
              <w:t>Bonnie H. Anderson</w:t>
            </w:r>
          </w:p>
        </w:tc>
        <w:tc>
          <w:tcPr>
            <w:tcW w:w="38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continue"/>
          </w:tcPr>
          <w:p>
            <w:pPr>
              <w:spacing w:after="0"/>
              <w:rPr>
                <w:sz w:val="15"/>
                <w:szCs w:val="15"/>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Chief Financial Officer (Principal Financial and</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Accounting Officer)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Shelly D. Guyer</w:t>
            </w:r>
          </w:p>
        </w:tc>
        <w:tc>
          <w:tcPr>
            <w:tcW w:w="38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continue"/>
          </w:tcPr>
          <w:p>
            <w:pPr>
              <w:spacing w:after="0"/>
              <w:rPr>
                <w:sz w:val="15"/>
                <w:szCs w:val="15"/>
                <w:color w:val="auto"/>
              </w:rPr>
            </w:pP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Chairman of Board of Directors</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5"/>
              </w:rPr>
              <w:t>Brian G. Atwood</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ind w:right="20"/>
              <w:spacing w:after="0"/>
              <w:rPr>
                <w:sz w:val="20"/>
                <w:szCs w:val="20"/>
                <w:color w:val="auto"/>
              </w:rPr>
            </w:pPr>
            <w:r>
              <w:rPr>
                <w:rFonts w:ascii="Arial" w:cs="Arial" w:eastAsia="Arial" w:hAnsi="Arial"/>
                <w:sz w:val="17"/>
                <w:szCs w:val="17"/>
                <w:color w:val="auto"/>
                <w:w w:val="94"/>
              </w:rPr>
              <w:t>Brook H. Byers</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Fred E. Cohen, M.D., D.Phil.</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2"/>
              </w:rPr>
              <w:t>Samuel D. Colella</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91"/>
              </w:rPr>
              <w:t>Karin Eastham</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580" w:type="dxa"/>
            <w:vAlign w:val="bottom"/>
            <w:tcBorders>
              <w:bottom w:val="single" w:sz="8" w:color="auto"/>
            </w:tcBorders>
            <w:gridSpan w:val="3"/>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80" w:type="dxa"/>
            <w:vAlign w:val="bottom"/>
            <w:gridSpan w:val="3"/>
          </w:tcPr>
          <w:p>
            <w:pPr>
              <w:jc w:val="center"/>
              <w:spacing w:after="0"/>
              <w:rPr>
                <w:sz w:val="20"/>
                <w:szCs w:val="20"/>
                <w:color w:val="auto"/>
              </w:rPr>
            </w:pPr>
            <w:r>
              <w:rPr>
                <w:rFonts w:ascii="Arial" w:cs="Arial" w:eastAsia="Arial" w:hAnsi="Arial"/>
                <w:sz w:val="17"/>
                <w:szCs w:val="17"/>
                <w:color w:val="auto"/>
                <w:w w:val="87"/>
              </w:rPr>
              <w:t>Evan Jones</w:t>
            </w:r>
          </w:p>
        </w:tc>
        <w:tc>
          <w:tcPr>
            <w:tcW w:w="380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040" w:type="dxa"/>
            <w:vAlign w:val="bottom"/>
            <w:gridSpan w:val="2"/>
            <w:vMerge w:val="restart"/>
          </w:tcPr>
          <w:p>
            <w:pPr>
              <w:ind w:left="340"/>
              <w:spacing w:after="0"/>
              <w:rPr>
                <w:sz w:val="20"/>
                <w:szCs w:val="20"/>
                <w:color w:val="auto"/>
              </w:rPr>
            </w:pPr>
            <w:r>
              <w:rPr>
                <w:rFonts w:ascii="Arial" w:cs="Arial" w:eastAsia="Arial" w:hAnsi="Arial"/>
                <w:sz w:val="17"/>
                <w:szCs w:val="17"/>
                <w:color w:val="auto"/>
              </w:rPr>
              <w:t>August</w:t>
            </w:r>
          </w:p>
        </w:tc>
        <w:tc>
          <w:tcPr>
            <w:tcW w:w="42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 2013</w:t>
            </w: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59690</wp:posOffset>
            </wp:positionV>
            <wp:extent cx="22726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72665" cy="8255"/>
                    </a:xfrm>
                    <a:prstGeom prst="rect">
                      <a:avLst/>
                    </a:prstGeom>
                    <a:noFill/>
                  </pic:spPr>
                </pic:pic>
              </a:graphicData>
            </a:graphic>
          </wp:anchor>
        </w:drawing>
      </w:r>
    </w:p>
    <w:p>
      <w:pPr>
        <w:spacing w:after="0" w:line="157"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Jesse I. Treu, Ph.D.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tcPr>
          <w:p>
            <w:pPr>
              <w:ind w:left="396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24"/>
                <w:szCs w:val="2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34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5"/>
              </w:rPr>
              <w:t>Amendment to Second Amended and Restated Investors Rights Agreement, dated June 14, 2013,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10.5</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10.6</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10.7*</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10.8*</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10.9</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10.10#</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9"/>
              </w:rPr>
              <w:t>Amendment to Bonnie Anderson Employment Agreement, dated as of December 22,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10.14#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160" w:type="dxa"/>
            <w:vAlign w:val="bottom"/>
          </w:tcPr>
          <w:p>
            <w:pPr>
              <w:spacing w:after="0"/>
              <w:rPr>
                <w:sz w:val="16"/>
                <w:szCs w:val="16"/>
                <w:color w:val="auto"/>
              </w:rPr>
            </w:pPr>
          </w:p>
        </w:tc>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10.16#</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Executive Bonus Plan</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23.2*</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24.1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4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3.1(a)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RESTATED CERTIFICATE OF “VERACYTE, INC.”, FILED IN THIS OFFICE ON THE FIFTH DAY OF NOVEMBER, A.D. 2012, AT 1:36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4198998 8100</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121195479</w:t>
            </w:r>
          </w:p>
        </w:tc>
        <w:tc>
          <w:tcPr>
            <w:tcW w:w="1920" w:type="dxa"/>
            <w:vAlign w:val="bottom"/>
            <w:vMerge w:val="restart"/>
          </w:tcPr>
          <w:p>
            <w:pPr>
              <w:ind w:left="42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rPr>
              <w:t>AUTHENTICATION: 9963281</w:t>
            </w:r>
          </w:p>
        </w:tc>
        <w:tc>
          <w:tcPr>
            <w:tcW w:w="0" w:type="dxa"/>
            <w:vAlign w:val="bottom"/>
          </w:tcPr>
          <w:p>
            <w:pPr>
              <w:spacing w:after="0"/>
              <w:rPr>
                <w:sz w:val="1"/>
                <w:szCs w:val="1"/>
                <w:color w:val="auto"/>
              </w:rPr>
            </w:pPr>
          </w:p>
        </w:tc>
      </w:tr>
      <w:tr>
        <w:trPr>
          <w:trHeight w:val="92"/>
        </w:trPr>
        <w:tc>
          <w:tcPr>
            <w:tcW w:w="31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180" w:type="dxa"/>
            <w:vAlign w:val="bottom"/>
          </w:tcPr>
          <w:p>
            <w:pPr>
              <w:spacing w:after="0"/>
              <w:rPr>
                <w:sz w:val="20"/>
                <w:szCs w:val="20"/>
                <w:color w:val="auto"/>
              </w:rPr>
            </w:pPr>
            <w:r>
              <w:rPr>
                <w:rFonts w:ascii="Arial" w:cs="Arial" w:eastAsia="Arial" w:hAnsi="Arial"/>
                <w:sz w:val="17"/>
                <w:szCs w:val="17"/>
                <w:i w:val="1"/>
                <w:iCs w:val="1"/>
                <w:color w:val="auto"/>
              </w:rPr>
              <w:t>You may verify this certificate online at</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DATE: 11-05-12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i w:val="1"/>
          <w:iCs w:val="1"/>
          <w:color w:val="auto"/>
        </w:rPr>
        <w:t>corp.delaware.gov/authver.shtml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State of Delaware</w:t>
      </w:r>
    </w:p>
    <w:p>
      <w:pPr>
        <w:spacing w:after="0" w:line="26"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Secretary of State</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Division of Corporations</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Delivered 01:42 PM 11/05/2012</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FILED 01:36 PM 11/05/2012</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SRV 121195479 - 4198998 FILE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Veracyte, Inc., a corporation organized and existing under the laws of the State of Delaware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certifies that:</w:t>
      </w:r>
    </w:p>
    <w:p>
      <w:pPr>
        <w:spacing w:after="0" w:line="224" w:lineRule="exact"/>
        <w:rPr>
          <w:sz w:val="20"/>
          <w:szCs w:val="20"/>
          <w:color w:val="auto"/>
        </w:rPr>
      </w:pPr>
    </w:p>
    <w:p>
      <w:pPr>
        <w:ind w:right="60" w:firstLine="634"/>
        <w:spacing w:after="0" w:line="279" w:lineRule="auto"/>
        <w:tabs>
          <w:tab w:leader="none" w:pos="1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name of the Company is Veracyte, Inc. The Company was originally incorporated under the name Calderome, Inc. The date of filing of the original Certificate of Incorporation of the Company with the Secretary of State of the State of Delaware was August 15, 2006. The date of filing of the Amended and Restated Certificate of Incorporation of the Company with the Secretary of State of the State of Delaware was December 1, 2006. The date of filing of the Certificate of Amendment of the Amended and Restated Certificate of Incorporation of the Company with the Secretary of State of the State of Delaware was January 29, 2007. The date of filing of the Second Amended and Restated Certificate of Incorporation of the Company with the Secretary of State of the State of Delaware was February 14, 2008. The date of filing of a Certificate of Amendment of the Second Amended and Restated Certificate of Incorporation of the Company with the Secretary of State of the State of Delaware was March 7, 2008. The date of filing of a Certificate of Amendment of the Second Amended and Restated Certificate of Incorporation of the Company with the Secretary of State of the State of Delaware was August 13, 2009. The date of filing of the Third Amended and Restated Certificate of Incorporation of the Company with the Secretary of State of the State of Delaware was June 3, 2010.</w:t>
      </w:r>
    </w:p>
    <w:p>
      <w:pPr>
        <w:spacing w:after="0" w:line="172" w:lineRule="exact"/>
        <w:rPr>
          <w:rFonts w:ascii="Arial" w:cs="Arial" w:eastAsia="Arial" w:hAnsi="Arial"/>
          <w:sz w:val="16"/>
          <w:szCs w:val="16"/>
          <w:color w:val="auto"/>
        </w:rPr>
      </w:pPr>
    </w:p>
    <w:p>
      <w:pPr>
        <w:ind w:right="60" w:firstLine="634"/>
        <w:spacing w:after="0" w:line="273" w:lineRule="auto"/>
        <w:tabs>
          <w:tab w:leader="none" w:pos="132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This Fourth Amended and Restated Certificate of Incorporation was duly adopted in accordance with Sections 242 and 245 of the General Corporation Law of the State of Delaware, and has been duly approved by the written consent of the stockholders of the Company in accordance with Section 228 of the General Corporation Law of the State of Delaware.</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text of the Third Amended and Restated Certificate of Incorporation is amended and restated to read as set forth in EXHIBIT A attached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hereto.</w:t>
      </w:r>
    </w:p>
    <w:p>
      <w:pPr>
        <w:spacing w:after="0" w:line="21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IN WITNESS WHEREOF, Veracyte, Inc. has caused this Fourth Amended and Restated Certificate of Incorporation to be signed by Bonnie Anderson, a duly authorized officer of the Corporation, on November 5, 2012.</w:t>
      </w:r>
    </w:p>
    <w:p>
      <w:pPr>
        <w:spacing w:after="0" w:line="3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The name of this company is Veracyte,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address, including street, number, city, and county, of the registered office of the Company in the State of Delaware is 160 Greentree Drive,</w:t>
      </w:r>
    </w:p>
    <w:p>
      <w:pPr>
        <w:spacing w:after="0" w:line="2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Suite 101, in the City of Dover, County of Kent, 19904; and the name of the registered agent of the Company in the State of Delaware at such address is National Registered Agents, Inc.</w:t>
      </w:r>
    </w:p>
    <w:p>
      <w:pPr>
        <w:sectPr>
          <w:pgSz w:w="11900" w:h="16838" w:orient="portrait"/>
          <w:cols w:equalWidth="0" w:num="1">
            <w:col w:w="11420"/>
          </w:cols>
          <w:pgMar w:left="240" w:top="357" w:right="239" w:bottom="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7"/>
          <w:szCs w:val="17"/>
          <w:b w:val="1"/>
          <w:bCs w:val="1"/>
          <w:color w:val="auto"/>
        </w:rPr>
        <w:t>III.</w:t>
      </w:r>
    </w:p>
    <w:p>
      <w:pPr>
        <w:spacing w:after="0" w:line="23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The purpose of the Company is to engage in any lawful act or activity for which a corporation may be organized under the Delaware General Corporation Law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DGCL</w:t>
      </w:r>
      <w:r>
        <w:rPr>
          <w:rFonts w:ascii="Arial" w:cs="Arial" w:eastAsia="Arial" w:hAnsi="Arial"/>
          <w:sz w:val="17"/>
          <w:szCs w:val="17"/>
          <w:i w:val="1"/>
          <w:iCs w:val="1"/>
          <w:color w:val="auto"/>
        </w:rPr>
        <w: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IV.</w:t>
      </w:r>
    </w:p>
    <w:p>
      <w:pPr>
        <w:spacing w:after="0" w:line="230" w:lineRule="exact"/>
        <w:rPr>
          <w:sz w:val="20"/>
          <w:szCs w:val="20"/>
          <w:color w:val="auto"/>
        </w:rPr>
      </w:pPr>
    </w:p>
    <w:p>
      <w:pPr>
        <w:ind w:right="120" w:firstLine="1263"/>
        <w:spacing w:after="0" w:line="285" w:lineRule="auto"/>
        <w:tabs>
          <w:tab w:leader="none" w:pos="1953"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Company is authorized to issue two classes of stock to be designated, respectively, “Common Stock” and “Preferred Stock.” The total number of shares which the Company is authorized to issue is one hundred thirty-six million one hundred forty-seven thousand nine hundred ninety- nine (136,147,999) shares, seventy-seven million (77,000,000) shares of which shall be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i w:val="1"/>
          <w:iCs w:val="1"/>
          <w:color w:val="auto"/>
        </w:rPr>
        <w:t>)</w:t>
      </w:r>
      <w:r>
        <w:rPr>
          <w:rFonts w:ascii="Arial" w:cs="Arial" w:eastAsia="Arial" w:hAnsi="Arial"/>
          <w:sz w:val="16"/>
          <w:szCs w:val="16"/>
          <w:color w:val="auto"/>
        </w:rPr>
        <w:t xml:space="preserve"> and fifty-nine million one hundred forty-seven thousand nine hundred ninety-nine (59,147,999) shares of which shall be Preferred Stock. The Preferred Stock shall have a par value of one tenth of one cent ($0.001) per share and the Common Stock shall have a par value of one tenth of one cent ($0.001) per share.</w:t>
      </w:r>
    </w:p>
    <w:p>
      <w:pPr>
        <w:spacing w:after="0" w:line="166" w:lineRule="exact"/>
        <w:rPr>
          <w:rFonts w:ascii="Arial" w:cs="Arial" w:eastAsia="Arial" w:hAnsi="Arial"/>
          <w:sz w:val="16"/>
          <w:szCs w:val="16"/>
          <w:color w:val="auto"/>
        </w:rPr>
      </w:pPr>
    </w:p>
    <w:p>
      <w:pPr>
        <w:ind w:right="200" w:firstLine="1263"/>
        <w:spacing w:after="0" w:line="273" w:lineRule="auto"/>
        <w:tabs>
          <w:tab w:leader="none" w:pos="19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pacing w:after="0" w:line="171" w:lineRule="exact"/>
        <w:rPr>
          <w:rFonts w:ascii="Arial" w:cs="Arial" w:eastAsia="Arial" w:hAnsi="Arial"/>
          <w:sz w:val="17"/>
          <w:szCs w:val="17"/>
          <w:color w:val="auto"/>
        </w:rPr>
      </w:pPr>
    </w:p>
    <w:p>
      <w:pPr>
        <w:ind w:right="140" w:firstLine="1263"/>
        <w:spacing w:after="0" w:line="265" w:lineRule="auto"/>
        <w:tabs>
          <w:tab w:leader="none" w:pos="19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A Preferred</w:t>
      </w:r>
      <w:r>
        <w:rPr>
          <w:rFonts w:ascii="Arial" w:cs="Arial" w:eastAsia="Arial" w:hAnsi="Arial"/>
          <w:sz w:val="17"/>
          <w:szCs w:val="17"/>
          <w:i w:val="1"/>
          <w:iCs w:val="1"/>
          <w:color w:val="auto"/>
        </w:rPr>
        <w:t>”).</w:t>
      </w:r>
      <w:r>
        <w:rPr>
          <w:rFonts w:ascii="Arial" w:cs="Arial" w:eastAsia="Arial" w:hAnsi="Arial"/>
          <w:sz w:val="17"/>
          <w:szCs w:val="17"/>
          <w:color w:val="auto"/>
        </w:rPr>
        <w:t xml:space="preserve"> Twenty-two million seven hundred and forty-eight thousand (22,748,000) of the authorized shares of Preferred Stock are hereby designated </w:t>
      </w:r>
      <w:r>
        <w:rPr>
          <w:rFonts w:ascii="Arial" w:cs="Arial" w:eastAsia="Arial" w:hAnsi="Arial"/>
          <w:sz w:val="17"/>
          <w:szCs w:val="17"/>
          <w:b w:val="1"/>
          <w:bCs w:val="1"/>
          <w:i w:val="1"/>
          <w:iCs w:val="1"/>
          <w:color w:val="auto"/>
        </w:rPr>
        <w:t>“Series B Preferred Stock”</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Preferred</w:t>
      </w:r>
      <w:r>
        <w:rPr>
          <w:rFonts w:ascii="Arial" w:cs="Arial" w:eastAsia="Arial" w:hAnsi="Arial"/>
          <w:sz w:val="17"/>
          <w:szCs w:val="17"/>
          <w:i w:val="1"/>
          <w:iCs w:val="1"/>
          <w:color w:val="auto"/>
        </w:rPr>
        <w:t>”).</w:t>
      </w:r>
      <w:r>
        <w:rPr>
          <w:rFonts w:ascii="Arial" w:cs="Arial" w:eastAsia="Arial" w:hAnsi="Arial"/>
          <w:sz w:val="17"/>
          <w:szCs w:val="17"/>
          <w:color w:val="auto"/>
        </w:rPr>
        <w:t xml:space="preserve"> Fourteen million (14,000,000) of the authorized shares of Preferred Stock are hereby designated “Series C Preferred Stock”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Series C Preferred</w:t>
      </w:r>
      <w:r>
        <w:rPr>
          <w:rFonts w:ascii="Arial" w:cs="Arial" w:eastAsia="Arial" w:hAnsi="Arial"/>
          <w:sz w:val="17"/>
          <w:szCs w:val="17"/>
          <w:b w:val="1"/>
          <w:bCs w:val="1"/>
          <w:color w:val="auto"/>
        </w:rPr>
        <w:t>”</w:t>
      </w:r>
      <w:r>
        <w:rPr>
          <w:rFonts w:ascii="Arial" w:cs="Arial" w:eastAsia="Arial" w:hAnsi="Arial"/>
          <w:sz w:val="17"/>
          <w:szCs w:val="17"/>
          <w:color w:val="auto"/>
        </w:rPr>
        <w:t xml:space="preserve"> and together with the Series A Preferred and Series B Preferred,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w:t>
      </w:r>
    </w:p>
    <w:p>
      <w:pPr>
        <w:spacing w:after="0" w:line="179" w:lineRule="exact"/>
        <w:rPr>
          <w:rFonts w:ascii="Arial" w:cs="Arial" w:eastAsia="Arial" w:hAnsi="Arial"/>
          <w:sz w:val="17"/>
          <w:szCs w:val="17"/>
          <w:color w:val="auto"/>
        </w:rPr>
      </w:pPr>
    </w:p>
    <w:p>
      <w:pPr>
        <w:ind w:left="1960" w:hanging="697"/>
        <w:spacing w:after="0"/>
        <w:tabs>
          <w:tab w:leader="none" w:pos="19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rights, preferences, privileges, restrictions and other matters relating to the Preferred Stock are as follows:</w:t>
      </w:r>
    </w:p>
    <w:p>
      <w:pPr>
        <w:spacing w:after="0" w:line="218" w:lineRule="exact"/>
        <w:rPr>
          <w:rFonts w:ascii="Arial" w:cs="Arial" w:eastAsia="Arial" w:hAnsi="Arial"/>
          <w:sz w:val="17"/>
          <w:szCs w:val="17"/>
          <w:color w:val="auto"/>
        </w:rPr>
      </w:pPr>
    </w:p>
    <w:p>
      <w:pPr>
        <w:ind w:left="2600" w:hanging="707"/>
        <w:spacing w:after="0"/>
        <w:tabs>
          <w:tab w:leader="none" w:pos="2600" w:val="left"/>
        </w:tabs>
        <w:numPr>
          <w:ilvl w:val="1"/>
          <w:numId w:val="89"/>
        </w:numPr>
        <w:rPr>
          <w:rFonts w:ascii="Arial" w:cs="Arial" w:eastAsia="Arial" w:hAnsi="Arial"/>
          <w:sz w:val="17"/>
          <w:szCs w:val="17"/>
          <w:color w:val="auto"/>
        </w:rPr>
      </w:pPr>
      <w:r>
        <w:rPr>
          <w:rFonts w:ascii="Arial" w:cs="Arial" w:eastAsia="Arial" w:hAnsi="Arial"/>
          <w:sz w:val="17"/>
          <w:szCs w:val="17"/>
          <w:b w:val="1"/>
          <w:bCs w:val="1"/>
          <w:color w:val="auto"/>
        </w:rPr>
        <w:t>Dividend Rights.</w:t>
      </w:r>
    </w:p>
    <w:p>
      <w:pPr>
        <w:spacing w:after="0" w:line="230" w:lineRule="exact"/>
        <w:rPr>
          <w:rFonts w:ascii="Arial" w:cs="Arial" w:eastAsia="Arial" w:hAnsi="Arial"/>
          <w:sz w:val="17"/>
          <w:szCs w:val="17"/>
          <w:color w:val="auto"/>
        </w:rPr>
      </w:pPr>
    </w:p>
    <w:p>
      <w:pPr>
        <w:jc w:val="both"/>
        <w:ind w:firstLine="2522"/>
        <w:spacing w:after="0" w:line="360" w:lineRule="auto"/>
        <w:tabs>
          <w:tab w:leader="none" w:pos="3191" w:val="left"/>
        </w:tabs>
        <w:numPr>
          <w:ilvl w:val="2"/>
          <w:numId w:val="89"/>
        </w:numPr>
        <w:rPr>
          <w:rFonts w:ascii="Arial" w:cs="Arial" w:eastAsia="Arial" w:hAnsi="Arial"/>
          <w:sz w:val="15"/>
          <w:szCs w:val="15"/>
          <w:color w:val="auto"/>
        </w:rPr>
      </w:pPr>
      <w:r>
        <w:rPr>
          <w:rFonts w:ascii="Arial" w:cs="Arial" w:eastAsia="Arial" w:hAnsi="Arial"/>
          <w:sz w:val="15"/>
          <w:szCs w:val="15"/>
          <w:color w:val="auto"/>
        </w:rPr>
        <w:t xml:space="preserve">Holders of Preferred Stock, in preference to the holders of Common Stock, shall be entitled to receive on a pari passu basis, when, as and if declared by the Board of Directors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i w:val="1"/>
          <w:iCs w:val="1"/>
          <w:color w:val="auto"/>
        </w:rPr>
        <w:t>”),</w:t>
      </w:r>
      <w:r>
        <w:rPr>
          <w:rFonts w:ascii="Arial" w:cs="Arial" w:eastAsia="Arial" w:hAnsi="Arial"/>
          <w:sz w:val="15"/>
          <w:szCs w:val="15"/>
          <w:color w:val="auto"/>
        </w:rPr>
        <w:t xml:space="preserve"> but only out of funds that are legally available therefor, cash dividends at the rate of eight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percent (8%) of the applicable Original Issue Price (as defined below) per annum on each outstanding share of Preferred Stock. Such dividends shall be payable only when, as and if declared by the Board and shall be non-cumulative. Any partial payment shall be made ratably among the holders of Preferred Stock in proportion to the payment each such holder would receive if the full amount of such dividends were paid.</w:t>
      </w:r>
    </w:p>
    <w:p>
      <w:pPr>
        <w:spacing w:after="0" w:line="172" w:lineRule="exact"/>
        <w:rPr>
          <w:sz w:val="20"/>
          <w:szCs w:val="20"/>
          <w:color w:val="auto"/>
        </w:rPr>
      </w:pPr>
    </w:p>
    <w:p>
      <w:pPr>
        <w:ind w:right="280" w:firstLine="2522"/>
        <w:spacing w:after="0" w:line="265" w:lineRule="auto"/>
        <w:tabs>
          <w:tab w:leader="none" w:pos="3201" w:val="left"/>
        </w:tabs>
        <w:numPr>
          <w:ilvl w:val="1"/>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“Original Issue Price” </w:t>
      </w:r>
      <w:r>
        <w:rPr>
          <w:rFonts w:ascii="Arial" w:cs="Arial" w:eastAsia="Arial" w:hAnsi="Arial"/>
          <w:sz w:val="17"/>
          <w:szCs w:val="17"/>
          <w:color w:val="auto"/>
        </w:rPr>
        <w:t>shall mean (i) one dollar ($1.00) per share for the Series A Preferred (as adjusted for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dividends, combinations, splits, recapitalizations and the like with respect to such shares after the filing date hereof), (ii) one dollar and twenty-five cents ($1.25) per share for the Series B Preferred (as adjusted for any stock dividends, combinations, splits, recapitalizations and the like with respect to such shares after the filing date hereof) and (iii) one dollar and eighty-nine cents ($1.89) per share for the Series C Preferred (as adjusted for any stock dividends, combinations, splits, recapitalizations and the like with respect to such shares after the filing date hereof).</w:t>
      </w:r>
    </w:p>
    <w:p>
      <w:pPr>
        <w:spacing w:after="0" w:line="179" w:lineRule="exact"/>
        <w:rPr>
          <w:rFonts w:ascii="Arial" w:cs="Arial" w:eastAsia="Arial" w:hAnsi="Arial"/>
          <w:sz w:val="17"/>
          <w:szCs w:val="17"/>
          <w:color w:val="auto"/>
        </w:rPr>
      </w:pPr>
    </w:p>
    <w:p>
      <w:pPr>
        <w:ind w:right="380" w:firstLine="2522"/>
        <w:spacing w:after="0" w:line="298" w:lineRule="auto"/>
        <w:tabs>
          <w:tab w:leader="none" w:pos="31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So long as any shares of Preferred Stock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Preferred Stock shall have been paid or declared and set apart, except for:</w:t>
      </w:r>
    </w:p>
    <w:p>
      <w:pPr>
        <w:spacing w:after="0" w:line="153" w:lineRule="exact"/>
        <w:rPr>
          <w:rFonts w:ascii="Arial" w:cs="Arial" w:eastAsia="Arial" w:hAnsi="Arial"/>
          <w:sz w:val="16"/>
          <w:szCs w:val="16"/>
          <w:color w:val="auto"/>
        </w:rPr>
      </w:pPr>
    </w:p>
    <w:p>
      <w:pPr>
        <w:ind w:left="3860" w:hanging="646"/>
        <w:spacing w:after="0"/>
        <w:tabs>
          <w:tab w:leader="none" w:pos="386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acquisitions of Common Stock by the Company pursuant to agreements which permit the Company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repurchase such shares at cost (or the lesser of cost or fair market value) upon termination of services to the Company;</w:t>
      </w:r>
    </w:p>
    <w:p>
      <w:pPr>
        <w:spacing w:after="0" w:line="212" w:lineRule="exact"/>
        <w:rPr>
          <w:rFonts w:ascii="Arial" w:cs="Arial" w:eastAsia="Arial" w:hAnsi="Arial"/>
          <w:sz w:val="16"/>
          <w:szCs w:val="16"/>
          <w:color w:val="auto"/>
        </w:rPr>
      </w:pPr>
    </w:p>
    <w:p>
      <w:pPr>
        <w:ind w:left="3860" w:hanging="646"/>
        <w:spacing w:after="0"/>
        <w:tabs>
          <w:tab w:leader="none" w:pos="3860" w:val="left"/>
        </w:tabs>
        <w:numPr>
          <w:ilvl w:val="2"/>
          <w:numId w:val="90"/>
        </w:numPr>
        <w:rPr>
          <w:rFonts w:ascii="Arial" w:cs="Arial" w:eastAsia="Arial" w:hAnsi="Arial"/>
          <w:sz w:val="15"/>
          <w:szCs w:val="15"/>
          <w:color w:val="auto"/>
        </w:rPr>
      </w:pPr>
      <w:r>
        <w:rPr>
          <w:rFonts w:ascii="Arial" w:cs="Arial" w:eastAsia="Arial" w:hAnsi="Arial"/>
          <w:sz w:val="15"/>
          <w:szCs w:val="15"/>
          <w:color w:val="auto"/>
        </w:rPr>
        <w:t>acquisitions of Common Stock in exercise of the Company’s right of first refusal to repurchase such shares;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left="3880" w:hanging="659"/>
        <w:spacing w:after="0"/>
        <w:tabs>
          <w:tab w:leader="none" w:pos="3880" w:val="left"/>
        </w:tabs>
        <w:numPr>
          <w:ilvl w:val="2"/>
          <w:numId w:val="90"/>
        </w:numPr>
        <w:rPr>
          <w:rFonts w:ascii="Arial" w:cs="Arial" w:eastAsia="Arial" w:hAnsi="Arial"/>
          <w:sz w:val="17"/>
          <w:szCs w:val="17"/>
          <w:color w:val="auto"/>
        </w:rPr>
      </w:pPr>
      <w:r>
        <w:rPr>
          <w:rFonts w:ascii="Arial" w:cs="Arial" w:eastAsia="Arial" w:hAnsi="Arial"/>
          <w:sz w:val="17"/>
          <w:szCs w:val="17"/>
          <w:color w:val="auto"/>
        </w:rPr>
        <w:t>distributions to holders of Common Stock in accordance with Sections 3 and 4.</w:t>
      </w:r>
    </w:p>
    <w:p>
      <w:pPr>
        <w:spacing w:after="0" w:line="224" w:lineRule="exact"/>
        <w:rPr>
          <w:rFonts w:ascii="Arial" w:cs="Arial" w:eastAsia="Arial" w:hAnsi="Arial"/>
          <w:sz w:val="17"/>
          <w:szCs w:val="17"/>
          <w:color w:val="auto"/>
        </w:rPr>
      </w:pPr>
    </w:p>
    <w:p>
      <w:pPr>
        <w:jc w:val="both"/>
        <w:ind w:right="60" w:firstLine="2522"/>
        <w:spacing w:after="0" w:line="273" w:lineRule="auto"/>
        <w:tabs>
          <w:tab w:leader="none" w:pos="3201"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the event dividends are paid on any share of Common Stock, the Company shall pay an additional dividend on all outstanding shares of Preferred Stock in a per share amount equal (on an as-if-converted to Common Stock basis) to the amount paid or set aside for each share of Common Stock.</w:t>
      </w:r>
    </w:p>
    <w:p>
      <w:pPr>
        <w:spacing w:after="0" w:line="171" w:lineRule="exact"/>
        <w:rPr>
          <w:rFonts w:ascii="Arial" w:cs="Arial" w:eastAsia="Arial" w:hAnsi="Arial"/>
          <w:sz w:val="17"/>
          <w:szCs w:val="17"/>
          <w:color w:val="auto"/>
        </w:rPr>
      </w:pPr>
    </w:p>
    <w:p>
      <w:pPr>
        <w:ind w:right="80" w:firstLine="2522"/>
        <w:spacing w:after="0" w:line="322" w:lineRule="auto"/>
        <w:tabs>
          <w:tab w:leader="none" w:pos="31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provisions of Sections 1(c) and 1(d) shall not apply to a dividend payable solely in Common Stock to which the provisions of Section 5(f) hereof are applicable, or any repurchase of any outstanding securities of the Company that is approved by the Board.</w:t>
      </w:r>
    </w:p>
    <w:p>
      <w:pPr>
        <w:spacing w:after="0" w:line="129" w:lineRule="exact"/>
        <w:rPr>
          <w:rFonts w:ascii="Arial" w:cs="Arial" w:eastAsia="Arial" w:hAnsi="Arial"/>
          <w:sz w:val="16"/>
          <w:szCs w:val="16"/>
          <w:color w:val="auto"/>
        </w:rPr>
      </w:pPr>
    </w:p>
    <w:p>
      <w:pPr>
        <w:ind w:left="2600" w:hanging="707"/>
        <w:spacing w:after="0"/>
        <w:tabs>
          <w:tab w:leader="none" w:pos="26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Voting Rights.</w:t>
      </w:r>
    </w:p>
    <w:p>
      <w:pPr>
        <w:spacing w:after="0" w:line="224" w:lineRule="exact"/>
        <w:rPr>
          <w:rFonts w:ascii="Arial" w:cs="Arial" w:eastAsia="Arial" w:hAnsi="Arial"/>
          <w:sz w:val="17"/>
          <w:szCs w:val="17"/>
          <w:color w:val="auto"/>
        </w:rPr>
      </w:pPr>
    </w:p>
    <w:p>
      <w:pPr>
        <w:ind w:firstLine="2522"/>
        <w:spacing w:after="0" w:line="265" w:lineRule="auto"/>
        <w:tabs>
          <w:tab w:leader="none" w:pos="3191" w:val="left"/>
        </w:tabs>
        <w:numPr>
          <w:ilvl w:val="1"/>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General Rights. </w:t>
      </w:r>
      <w:r>
        <w:rPr>
          <w:rFonts w:ascii="Arial" w:cs="Arial" w:eastAsia="Arial" w:hAnsi="Arial"/>
          <w:sz w:val="17"/>
          <w:szCs w:val="17"/>
          <w:color w:val="auto"/>
        </w:rPr>
        <w:t>Each holder of shares of Preferred Stock shall be entitled to a number of votes equal to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into which such shares of Preferred Stock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Preferred Stock shall vote together with the Common Stock at any annual or special meeting of the stockholders and not as a separate class, and may act by written consent in the same manner as the Common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60" w:firstLine="2522"/>
        <w:spacing w:after="0" w:line="368" w:lineRule="auto"/>
        <w:tabs>
          <w:tab w:leader="none" w:pos="3201" w:val="left"/>
        </w:tabs>
        <w:numPr>
          <w:ilvl w:val="0"/>
          <w:numId w:val="92"/>
        </w:numPr>
        <w:rPr>
          <w:rFonts w:ascii="Arial" w:cs="Arial" w:eastAsia="Arial" w:hAnsi="Arial"/>
          <w:sz w:val="15"/>
          <w:szCs w:val="15"/>
          <w:color w:val="auto"/>
        </w:rPr>
      </w:pPr>
      <w:r>
        <w:rPr>
          <w:rFonts w:ascii="Arial" w:cs="Arial" w:eastAsia="Arial" w:hAnsi="Arial"/>
          <w:sz w:val="15"/>
          <w:szCs w:val="15"/>
          <w:b w:val="1"/>
          <w:bCs w:val="1"/>
          <w:color w:val="auto"/>
        </w:rPr>
        <w:t xml:space="preserve">Separate Vote of Preferred Stock. </w:t>
      </w:r>
      <w:r>
        <w:rPr>
          <w:rFonts w:ascii="Arial" w:cs="Arial" w:eastAsia="Arial" w:hAnsi="Arial"/>
          <w:sz w:val="15"/>
          <w:szCs w:val="15"/>
          <w:color w:val="auto"/>
        </w:rPr>
        <w:t>For so long as at least three hundred thousand (300,000) shares of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(subject to adjustment for any stock split, reverse stock split or other similar event affecting the Preferred Stock after the filing date hereof) remain</w:t>
      </w:r>
    </w:p>
    <w:p>
      <w:pPr>
        <w:sectPr>
          <w:pgSz w:w="11900" w:h="16838" w:orient="portrait"/>
          <w:cols w:equalWidth="0" w:num="1">
            <w:col w:w="11400"/>
          </w:cols>
          <w:pgMar w:left="240" w:top="121" w:right="259" w:bottom="0" w:gutter="0" w:footer="0" w:header="0"/>
        </w:sectPr>
      </w:pPr>
    </w:p>
    <w:bookmarkStart w:id="181" w:name="page182"/>
    <w:bookmarkEnd w:id="181"/>
    <w:p>
      <w:pPr>
        <w:ind w:right="680"/>
        <w:spacing w:after="0" w:line="322" w:lineRule="auto"/>
        <w:rPr>
          <w:sz w:val="20"/>
          <w:szCs w:val="20"/>
          <w:color w:val="auto"/>
        </w:rPr>
      </w:pPr>
      <w:r>
        <w:rPr>
          <w:rFonts w:ascii="Arial" w:cs="Arial" w:eastAsia="Arial" w:hAnsi="Arial"/>
          <w:sz w:val="16"/>
          <w:szCs w:val="16"/>
          <w:color w:val="auto"/>
        </w:rPr>
        <w:t>outstanding, in addition to any other vote or consent required herein or by law, the vote or written consent of the holders of at least two-thirds (2/3) of the outstanding Preferred Stock shall be necessary for effecting or validating the following actions (whether by merger, recapitalization or otherwise):</w:t>
      </w:r>
    </w:p>
    <w:p>
      <w:pPr>
        <w:spacing w:after="0" w:line="136" w:lineRule="exact"/>
        <w:rPr>
          <w:sz w:val="20"/>
          <w:szCs w:val="20"/>
          <w:color w:val="auto"/>
        </w:rPr>
      </w:pPr>
    </w:p>
    <w:p>
      <w:pPr>
        <w:ind w:right="20" w:firstLine="3214"/>
        <w:spacing w:after="0" w:line="273" w:lineRule="auto"/>
        <w:tabs>
          <w:tab w:leader="none" w:pos="3855" w:val="left"/>
        </w:tabs>
        <w:numPr>
          <w:ilvl w:val="2"/>
          <w:numId w:val="93"/>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Preferred Stock so as to affect them adversely in a manner different than other classes or series of stock;</w:t>
      </w:r>
    </w:p>
    <w:p>
      <w:pPr>
        <w:spacing w:after="0" w:line="171" w:lineRule="exact"/>
        <w:rPr>
          <w:rFonts w:ascii="Arial" w:cs="Arial" w:eastAsia="Arial" w:hAnsi="Arial"/>
          <w:sz w:val="17"/>
          <w:szCs w:val="17"/>
          <w:color w:val="auto"/>
        </w:rPr>
      </w:pPr>
    </w:p>
    <w:p>
      <w:pPr>
        <w:ind w:left="3860" w:hanging="646"/>
        <w:spacing w:after="0"/>
        <w:tabs>
          <w:tab w:leader="none" w:pos="38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Any increase or decrease in the authorized number of shares of Preferred Stock or any series of Preferred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Stock;</w:t>
      </w:r>
    </w:p>
    <w:p>
      <w:pPr>
        <w:spacing w:after="0" w:line="212" w:lineRule="exact"/>
        <w:rPr>
          <w:rFonts w:ascii="Arial" w:cs="Arial" w:eastAsia="Arial" w:hAnsi="Arial"/>
          <w:sz w:val="16"/>
          <w:szCs w:val="16"/>
          <w:color w:val="auto"/>
        </w:rPr>
      </w:pPr>
    </w:p>
    <w:p>
      <w:pPr>
        <w:ind w:left="3860" w:hanging="646"/>
        <w:spacing w:after="0"/>
        <w:tabs>
          <w:tab w:leader="none" w:pos="38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Any authorization or any designation, whether by classification or otherwise, of any new class or series of</w:t>
      </w:r>
    </w:p>
    <w:p>
      <w:pPr>
        <w:spacing w:after="0" w:line="37" w:lineRule="exact"/>
        <w:rPr>
          <w:rFonts w:ascii="Arial" w:cs="Arial" w:eastAsia="Arial" w:hAnsi="Arial"/>
          <w:sz w:val="16"/>
          <w:szCs w:val="16"/>
          <w:color w:val="auto"/>
        </w:rPr>
      </w:pPr>
    </w:p>
    <w:p>
      <w:pPr>
        <w:ind w:right="360"/>
        <w:spacing w:after="0" w:line="307" w:lineRule="auto"/>
        <w:rPr>
          <w:rFonts w:ascii="Arial" w:cs="Arial" w:eastAsia="Arial" w:hAnsi="Arial"/>
          <w:sz w:val="16"/>
          <w:szCs w:val="16"/>
          <w:color w:val="auto"/>
        </w:rPr>
      </w:pPr>
      <w:r>
        <w:rPr>
          <w:rFonts w:ascii="Arial" w:cs="Arial" w:eastAsia="Arial" w:hAnsi="Arial"/>
          <w:sz w:val="16"/>
          <w:szCs w:val="16"/>
          <w:color w:val="auto"/>
        </w:rPr>
        <w:t>stock or any other securities convertible into equity securities of the Company ranking on a parity with or senior to the Preferred Stock in right of redemption, liquidation preference, voting or dividend rights or any increase in the authorized or designated number of any such new class or series;</w:t>
      </w:r>
    </w:p>
    <w:p>
      <w:pPr>
        <w:spacing w:after="0" w:line="146" w:lineRule="exact"/>
        <w:rPr>
          <w:rFonts w:ascii="Arial" w:cs="Arial" w:eastAsia="Arial" w:hAnsi="Arial"/>
          <w:sz w:val="16"/>
          <w:szCs w:val="16"/>
          <w:color w:val="auto"/>
        </w:rPr>
      </w:pPr>
    </w:p>
    <w:p>
      <w:pPr>
        <w:ind w:left="3820" w:hanging="606"/>
        <w:spacing w:after="0"/>
        <w:tabs>
          <w:tab w:leader="none" w:pos="382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Any agreement by the Company or its stockholders regarding an Asset Transfer or Acquisition (each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defined in Section 4 hereof);</w:t>
      </w:r>
    </w:p>
    <w:p>
      <w:pPr>
        <w:spacing w:after="0" w:line="212" w:lineRule="exact"/>
        <w:rPr>
          <w:rFonts w:ascii="Arial" w:cs="Arial" w:eastAsia="Arial" w:hAnsi="Arial"/>
          <w:sz w:val="16"/>
          <w:szCs w:val="16"/>
          <w:color w:val="auto"/>
        </w:rPr>
      </w:pPr>
    </w:p>
    <w:p>
      <w:pPr>
        <w:ind w:left="3820" w:hanging="606"/>
        <w:spacing w:after="0"/>
        <w:tabs>
          <w:tab w:leader="none" w:pos="3820" w:val="left"/>
        </w:tabs>
        <w:numPr>
          <w:ilvl w:val="2"/>
          <w:numId w:val="93"/>
        </w:numPr>
        <w:rPr>
          <w:rFonts w:ascii="Arial" w:cs="Arial" w:eastAsia="Arial" w:hAnsi="Arial"/>
          <w:sz w:val="17"/>
          <w:szCs w:val="17"/>
          <w:color w:val="auto"/>
        </w:rPr>
      </w:pPr>
      <w:r>
        <w:rPr>
          <w:rFonts w:ascii="Arial" w:cs="Arial" w:eastAsia="Arial" w:hAnsi="Arial"/>
          <w:sz w:val="17"/>
          <w:szCs w:val="17"/>
          <w:color w:val="auto"/>
        </w:rPr>
        <w:t>Any increase or decrease in the authorized number of directors;</w:t>
      </w:r>
    </w:p>
    <w:p>
      <w:pPr>
        <w:spacing w:after="0" w:line="224" w:lineRule="exact"/>
        <w:rPr>
          <w:rFonts w:ascii="Arial" w:cs="Arial" w:eastAsia="Arial" w:hAnsi="Arial"/>
          <w:sz w:val="17"/>
          <w:szCs w:val="17"/>
          <w:color w:val="auto"/>
        </w:rPr>
      </w:pPr>
    </w:p>
    <w:p>
      <w:pPr>
        <w:ind w:left="3820" w:hanging="606"/>
        <w:spacing w:after="0"/>
        <w:tabs>
          <w:tab w:leader="none" w:pos="3820" w:val="left"/>
        </w:tabs>
        <w:numPr>
          <w:ilvl w:val="2"/>
          <w:numId w:val="93"/>
        </w:numPr>
        <w:rPr>
          <w:rFonts w:ascii="Arial" w:cs="Arial" w:eastAsia="Arial" w:hAnsi="Arial"/>
          <w:sz w:val="17"/>
          <w:szCs w:val="17"/>
          <w:color w:val="auto"/>
        </w:rPr>
      </w:pPr>
      <w:r>
        <w:rPr>
          <w:rFonts w:ascii="Arial" w:cs="Arial" w:eastAsia="Arial" w:hAnsi="Arial"/>
          <w:sz w:val="17"/>
          <w:szCs w:val="17"/>
          <w:color w:val="auto"/>
        </w:rPr>
        <w:t>Any Liquidation Event (as defined in Section 3(a) hereof); or</w:t>
      </w:r>
    </w:p>
    <w:p>
      <w:pPr>
        <w:spacing w:after="0" w:line="224" w:lineRule="exact"/>
        <w:rPr>
          <w:rFonts w:ascii="Arial" w:cs="Arial" w:eastAsia="Arial" w:hAnsi="Arial"/>
          <w:sz w:val="17"/>
          <w:szCs w:val="17"/>
          <w:color w:val="auto"/>
        </w:rPr>
      </w:pPr>
    </w:p>
    <w:p>
      <w:pPr>
        <w:ind w:right="100" w:firstLine="3214"/>
        <w:spacing w:after="0" w:line="285" w:lineRule="auto"/>
        <w:tabs>
          <w:tab w:leader="none" w:pos="3816" w:val="left"/>
        </w:tabs>
        <w:numPr>
          <w:ilvl w:val="2"/>
          <w:numId w:val="93"/>
        </w:numPr>
        <w:rPr>
          <w:rFonts w:ascii="Arial" w:cs="Arial" w:eastAsia="Arial" w:hAnsi="Arial"/>
          <w:sz w:val="16"/>
          <w:szCs w:val="16"/>
          <w:color w:val="auto"/>
        </w:rPr>
      </w:pPr>
      <w:r>
        <w:rPr>
          <w:rFonts w:ascii="Arial" w:cs="Arial" w:eastAsia="Arial" w:hAnsi="Arial"/>
          <w:sz w:val="16"/>
          <w:szCs w:val="16"/>
          <w:color w:val="auto"/>
        </w:rPr>
        <w:t xml:space="preserve">Any declaration or payment of any dividend on the Common Stock or Preferred Stock or any redemption, purchase or other acquisition of (or payment into or setting aside of funds for a sinking fund for such purpose) any share or shares of Common Stock or Preferred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through the exercise of any right of first refusal.</w:t>
      </w:r>
    </w:p>
    <w:p>
      <w:pPr>
        <w:spacing w:after="0" w:line="160" w:lineRule="exact"/>
        <w:rPr>
          <w:rFonts w:ascii="Arial" w:cs="Arial" w:eastAsia="Arial" w:hAnsi="Arial"/>
          <w:sz w:val="16"/>
          <w:szCs w:val="16"/>
          <w:color w:val="auto"/>
        </w:rPr>
      </w:pPr>
    </w:p>
    <w:p>
      <w:pPr>
        <w:ind w:left="3200" w:hanging="678"/>
        <w:spacing w:after="0"/>
        <w:tabs>
          <w:tab w:leader="none" w:pos="320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Election of Board of Directors.</w:t>
      </w:r>
    </w:p>
    <w:p>
      <w:pPr>
        <w:spacing w:after="0" w:line="230" w:lineRule="exact"/>
        <w:rPr>
          <w:rFonts w:ascii="Arial" w:cs="Arial" w:eastAsia="Arial" w:hAnsi="Arial"/>
          <w:sz w:val="17"/>
          <w:szCs w:val="17"/>
          <w:color w:val="auto"/>
        </w:rPr>
      </w:pPr>
    </w:p>
    <w:p>
      <w:pPr>
        <w:ind w:right="240" w:firstLine="3151"/>
        <w:spacing w:after="0" w:line="265" w:lineRule="auto"/>
        <w:tabs>
          <w:tab w:leader="none" w:pos="3835"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so long as at least three hundred thousand (300,000) shares of Series A Preferred remain outstanding (subject to adjustment for any stock split, reverse stock split or similar event affecting the Preferred Stock after the filing date hereof), the holders of Series A Preferred, voting as a separate class, shall be entitled to elect four (4)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sz w:val="20"/>
          <w:szCs w:val="20"/>
          <w:color w:val="auto"/>
        </w:rPr>
      </w:pPr>
    </w:p>
    <w:p>
      <w:pPr>
        <w:ind w:firstLine="3277"/>
        <w:spacing w:after="0" w:line="360" w:lineRule="auto"/>
        <w:tabs>
          <w:tab w:leader="none" w:pos="3835" w:val="left"/>
        </w:tabs>
        <w:numPr>
          <w:ilvl w:val="0"/>
          <w:numId w:val="95"/>
        </w:numPr>
        <w:rPr>
          <w:rFonts w:ascii="Arial" w:cs="Arial" w:eastAsia="Arial" w:hAnsi="Arial"/>
          <w:sz w:val="15"/>
          <w:szCs w:val="15"/>
          <w:color w:val="auto"/>
        </w:rPr>
      </w:pPr>
      <w:r>
        <w:rPr>
          <w:rFonts w:ascii="Arial" w:cs="Arial" w:eastAsia="Arial" w:hAnsi="Arial"/>
          <w:sz w:val="15"/>
          <w:szCs w:val="15"/>
          <w:color w:val="auto"/>
        </w:rPr>
        <w:t>For so long as any shares of Series B Preferred remain outstanding (subject to adjustment for any stock split, reverse stock split or similar event affecting the Preferred Stock after the filing date hereof), the holders of Series B Preferred, voting as a separate class, shall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be entitled to elect one (1) member of the Board at each meeting or pursuant to each consent of the Company’s stockholders for the election of directors, and to remove from office such director and to fill any vacancy caused by the resignation, death or removal of such director.</w:t>
      </w:r>
    </w:p>
    <w:p>
      <w:pPr>
        <w:spacing w:after="0" w:line="158" w:lineRule="exact"/>
        <w:rPr>
          <w:sz w:val="20"/>
          <w:szCs w:val="20"/>
          <w:color w:val="auto"/>
        </w:rPr>
      </w:pPr>
    </w:p>
    <w:p>
      <w:pPr>
        <w:jc w:val="both"/>
        <w:ind w:right="60" w:firstLine="3214"/>
        <w:spacing w:after="0" w:line="273" w:lineRule="auto"/>
        <w:tabs>
          <w:tab w:leader="none" w:pos="3864" w:val="left"/>
        </w:tabs>
        <w:numPr>
          <w:ilvl w:val="4"/>
          <w:numId w:val="96"/>
        </w:numPr>
        <w:rPr>
          <w:rFonts w:ascii="Arial" w:cs="Arial" w:eastAsia="Arial" w:hAnsi="Arial"/>
          <w:sz w:val="17"/>
          <w:szCs w:val="17"/>
          <w:color w:val="auto"/>
        </w:rPr>
      </w:pPr>
      <w:r>
        <w:rPr>
          <w:rFonts w:ascii="Arial" w:cs="Arial" w:eastAsia="Arial" w:hAnsi="Arial"/>
          <w:sz w:val="17"/>
          <w:szCs w:val="17"/>
          <w:color w:val="auto"/>
        </w:rPr>
        <w:t>The holders of Common Stock,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1" w:lineRule="exact"/>
        <w:rPr>
          <w:rFonts w:ascii="Arial" w:cs="Arial" w:eastAsia="Arial" w:hAnsi="Arial"/>
          <w:sz w:val="17"/>
          <w:szCs w:val="17"/>
          <w:color w:val="auto"/>
        </w:rPr>
      </w:pPr>
    </w:p>
    <w:p>
      <w:pPr>
        <w:jc w:val="both"/>
        <w:ind w:right="120" w:firstLine="3214"/>
        <w:spacing w:after="0" w:line="298" w:lineRule="auto"/>
        <w:tabs>
          <w:tab w:leader="none" w:pos="3811" w:val="left"/>
        </w:tabs>
        <w:numPr>
          <w:ilvl w:val="4"/>
          <w:numId w:val="96"/>
        </w:numPr>
        <w:rPr>
          <w:rFonts w:ascii="Arial" w:cs="Arial" w:eastAsia="Arial" w:hAnsi="Arial"/>
          <w:sz w:val="16"/>
          <w:szCs w:val="16"/>
          <w:color w:val="auto"/>
        </w:rPr>
      </w:pPr>
      <w:r>
        <w:rPr>
          <w:rFonts w:ascii="Arial" w:cs="Arial" w:eastAsia="Arial" w:hAnsi="Arial"/>
          <w:sz w:val="16"/>
          <w:szCs w:val="16"/>
          <w:color w:val="auto"/>
        </w:rPr>
        <w:t>The holders of Common Stock and Preferred Stock,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47" w:lineRule="exact"/>
        <w:rPr>
          <w:rFonts w:ascii="Arial" w:cs="Arial" w:eastAsia="Arial" w:hAnsi="Arial"/>
          <w:sz w:val="16"/>
          <w:szCs w:val="16"/>
          <w:color w:val="auto"/>
        </w:rPr>
      </w:pPr>
    </w:p>
    <w:p>
      <w:pPr>
        <w:ind w:left="2600" w:hanging="707"/>
        <w:spacing w:after="0"/>
        <w:tabs>
          <w:tab w:leader="none" w:pos="2600"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Liquidation Rights.</w:t>
      </w:r>
    </w:p>
    <w:p>
      <w:pPr>
        <w:spacing w:after="0" w:line="230" w:lineRule="exact"/>
        <w:rPr>
          <w:rFonts w:ascii="Arial" w:cs="Arial" w:eastAsia="Arial" w:hAnsi="Arial"/>
          <w:sz w:val="17"/>
          <w:szCs w:val="17"/>
          <w:color w:val="auto"/>
        </w:rPr>
      </w:pPr>
    </w:p>
    <w:p>
      <w:pPr>
        <w:ind w:right="60" w:firstLine="2522"/>
        <w:spacing w:after="0" w:line="281" w:lineRule="auto"/>
        <w:tabs>
          <w:tab w:leader="none" w:pos="3191" w:val="left"/>
        </w:tabs>
        <w:numPr>
          <w:ilvl w:val="3"/>
          <w:numId w:val="97"/>
        </w:numPr>
        <w:rPr>
          <w:rFonts w:ascii="Arial" w:cs="Arial" w:eastAsia="Arial" w:hAnsi="Arial"/>
          <w:sz w:val="16"/>
          <w:szCs w:val="16"/>
          <w:color w:val="auto"/>
        </w:rPr>
      </w:pPr>
      <w:r>
        <w:rPr>
          <w:rFonts w:ascii="Arial" w:cs="Arial" w:eastAsia="Arial" w:hAnsi="Arial"/>
          <w:sz w:val="16"/>
          <w:szCs w:val="16"/>
          <w:color w:val="auto"/>
        </w:rPr>
        <w:t xml:space="preserve">Upon any liquidation, dissolution, or winding up of the Company, whether voluntary or involuntary (a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Event”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any distribution or payment shall be made to the holders of any Common Stock, the holders of Preferred Stock shall be entitled to be paid out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assets of the Company legally available for distribution for each share of each series of Preferred Stock held by them, an amount per share for such series of Preferred Stock equal to the Original Issue Price for such series of Preferred Stock plus all declared and unpaid dividends on such series of the Preferred Stock. If, upon any such Liquidation Event, the assets of the Company shall be insufficient to make payment in full to all holders of Preferred Stock of the liquidation preference set forth in this Section 3(a), then such assets (or consideration) shall be distributed among the holders of Preferred Stock at the time outstanding, on a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basis and ratably in proportion to the full amounts to which they would otherwise be respectively entitled.</w:t>
      </w:r>
    </w:p>
    <w:p>
      <w:pPr>
        <w:spacing w:after="0" w:line="170" w:lineRule="exact"/>
        <w:rPr>
          <w:rFonts w:ascii="Arial" w:cs="Arial" w:eastAsia="Arial" w:hAnsi="Arial"/>
          <w:sz w:val="16"/>
          <w:szCs w:val="16"/>
          <w:color w:val="auto"/>
        </w:rPr>
      </w:pPr>
    </w:p>
    <w:p>
      <w:pPr>
        <w:ind w:right="380" w:firstLine="2522"/>
        <w:spacing w:after="0" w:line="322" w:lineRule="auto"/>
        <w:tabs>
          <w:tab w:leader="none" w:pos="3201" w:val="left"/>
        </w:tabs>
        <w:numPr>
          <w:ilvl w:val="3"/>
          <w:numId w:val="97"/>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Preferred Stock as set forth in Section 3(a) above, the remaining assets of the Company legally available for distribution, if any, shall be distributed ratably to the holders of the Common Stock.</w:t>
      </w:r>
    </w:p>
    <w:p>
      <w:pPr>
        <w:spacing w:after="0" w:line="129" w:lineRule="exact"/>
        <w:rPr>
          <w:rFonts w:ascii="Arial" w:cs="Arial" w:eastAsia="Arial" w:hAnsi="Arial"/>
          <w:sz w:val="16"/>
          <w:szCs w:val="16"/>
          <w:color w:val="auto"/>
        </w:rPr>
      </w:pPr>
    </w:p>
    <w:p>
      <w:pPr>
        <w:ind w:left="2560" w:hanging="615"/>
        <w:spacing w:after="0"/>
        <w:tabs>
          <w:tab w:leader="none" w:pos="2560" w:val="left"/>
        </w:tabs>
        <w:numPr>
          <w:ilvl w:val="2"/>
          <w:numId w:val="97"/>
        </w:numPr>
        <w:rPr>
          <w:rFonts w:ascii="Arial" w:cs="Arial" w:eastAsia="Arial" w:hAnsi="Arial"/>
          <w:sz w:val="17"/>
          <w:szCs w:val="17"/>
          <w:color w:val="auto"/>
        </w:rPr>
      </w:pPr>
      <w:r>
        <w:rPr>
          <w:rFonts w:ascii="Arial" w:cs="Arial" w:eastAsia="Arial" w:hAnsi="Arial"/>
          <w:sz w:val="17"/>
          <w:szCs w:val="17"/>
          <w:b w:val="1"/>
          <w:bCs w:val="1"/>
          <w:color w:val="auto"/>
        </w:rPr>
        <w:t>Asset Transfer or Acquisition Rights.</w:t>
      </w:r>
    </w:p>
    <w:p>
      <w:pPr>
        <w:spacing w:after="0" w:line="230" w:lineRule="exact"/>
        <w:rPr>
          <w:rFonts w:ascii="Arial" w:cs="Arial" w:eastAsia="Arial" w:hAnsi="Arial"/>
          <w:sz w:val="17"/>
          <w:szCs w:val="17"/>
          <w:color w:val="auto"/>
        </w:rPr>
      </w:pPr>
    </w:p>
    <w:p>
      <w:pPr>
        <w:jc w:val="both"/>
        <w:ind w:firstLine="2522"/>
        <w:spacing w:after="0" w:line="278" w:lineRule="auto"/>
        <w:tabs>
          <w:tab w:leader="none" w:pos="3191" w:val="left"/>
        </w:tabs>
        <w:numPr>
          <w:ilvl w:val="3"/>
          <w:numId w:val="97"/>
        </w:numPr>
        <w:rPr>
          <w:rFonts w:ascii="Arial" w:cs="Arial" w:eastAsia="Arial" w:hAnsi="Arial"/>
          <w:sz w:val="16"/>
          <w:szCs w:val="16"/>
          <w:color w:val="auto"/>
        </w:rPr>
      </w:pPr>
      <w:r>
        <w:rPr>
          <w:rFonts w:ascii="Arial" w:cs="Arial" w:eastAsia="Arial" w:hAnsi="Arial"/>
          <w:sz w:val="16"/>
          <w:szCs w:val="16"/>
          <w:color w:val="auto"/>
        </w:rPr>
        <w:t>In the event that the Company is a party to an Acquisition or Asset Transfer (as hereinafter defined), then each holder of Preferred Stock shall be entitled to receive, for each share of each series of Preferred Stock then held, out of the proceeds of such Acquisition or Asset Transfer, the greater of the amount of cash, securities or other property to which such holder would be entitled to receive in a Liquidation Event pursuant to</w:t>
      </w:r>
    </w:p>
    <w:p>
      <w:pPr>
        <w:spacing w:after="0" w:line="1" w:lineRule="exact"/>
        <w:rPr>
          <w:rFonts w:ascii="Arial" w:cs="Arial" w:eastAsia="Arial" w:hAnsi="Arial"/>
          <w:sz w:val="16"/>
          <w:szCs w:val="16"/>
          <w:color w:val="auto"/>
        </w:rPr>
      </w:pPr>
    </w:p>
    <w:p>
      <w:pPr>
        <w:ind w:right="100" w:firstLine="5"/>
        <w:spacing w:after="0" w:line="261" w:lineRule="auto"/>
        <w:tabs>
          <w:tab w:leader="none" w:pos="209"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Section 3(a) above or (ii) the amount of cash, securities or other property to which such holder would be entitled to receive in a Liquidation Event with respect to such shares if such shares had been converted to Common Stock immediately prior to such Acquisition or Asset Transfer. In applying proceeds upon an Acquisition or Asset Transfer pursuant to Section 3(a) that involves installment or contingent payments, the holders of the Preferred Stock will be entitled to an amount, re-calculated at the time of each installment or contingent payment and applied on a cumulative basis, that is the greater of (i) the amounts specified in Section 3(a) and (ii) the amount to which such holder of Preferred Stock would have been entitled to on as as-if-converted to Common Stock basis, taking into account the cumulative installment or contingent payments.</w:t>
      </w:r>
    </w:p>
    <w:p>
      <w:pPr>
        <w:sectPr>
          <w:pgSz w:w="11900" w:h="16838" w:orient="portrait"/>
          <w:cols w:equalWidth="0" w:num="1">
            <w:col w:w="11400"/>
          </w:cols>
          <w:pgMar w:left="240" w:top="127" w:right="259" w:bottom="0" w:gutter="0" w:footer="0" w:header="0"/>
        </w:sectPr>
      </w:pPr>
    </w:p>
    <w:bookmarkStart w:id="182" w:name="page183"/>
    <w:bookmarkEnd w:id="182"/>
    <w:p>
      <w:pPr>
        <w:ind w:right="300" w:firstLine="2522"/>
        <w:spacing w:after="0" w:line="289" w:lineRule="auto"/>
        <w:tabs>
          <w:tab w:leader="none" w:pos="320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4: </w:t>
      </w:r>
      <w:r>
        <w:rPr>
          <w:rFonts w:ascii="Arial" w:cs="Arial" w:eastAsia="Arial" w:hAnsi="Arial"/>
          <w:sz w:val="17"/>
          <w:szCs w:val="17"/>
          <w:i w:val="1"/>
          <w:iCs w:val="1"/>
          <w:color w:val="auto"/>
        </w:rPr>
        <w:t>(i)</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xml:space="preserve"> shall mean (A) any consolidation or merger of the Company with or into any other corporation or other entity or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xml:space="preserve"> shall mean a sale, lease, exclusive license or other disposition of all or substantially all of the assets of the Company.</w:t>
      </w:r>
    </w:p>
    <w:p>
      <w:pPr>
        <w:spacing w:after="0" w:line="170" w:lineRule="exact"/>
        <w:rPr>
          <w:sz w:val="20"/>
          <w:szCs w:val="20"/>
          <w:color w:val="auto"/>
        </w:rPr>
      </w:pPr>
    </w:p>
    <w:p>
      <w:pPr>
        <w:ind w:right="600" w:firstLine="2522"/>
        <w:spacing w:after="0" w:line="360" w:lineRule="auto"/>
        <w:tabs>
          <w:tab w:leader="none" w:pos="319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05" w:lineRule="exact"/>
        <w:rPr>
          <w:rFonts w:ascii="Arial" w:cs="Arial" w:eastAsia="Arial" w:hAnsi="Arial"/>
          <w:sz w:val="15"/>
          <w:szCs w:val="15"/>
          <w:color w:val="auto"/>
        </w:rPr>
      </w:pPr>
    </w:p>
    <w:p>
      <w:pPr>
        <w:ind w:left="2600" w:hanging="707"/>
        <w:spacing w:after="0"/>
        <w:tabs>
          <w:tab w:leader="none" w:pos="260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Conversion Rights.</w:t>
      </w:r>
    </w:p>
    <w:p>
      <w:pPr>
        <w:spacing w:after="0" w:line="230"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The holders of the Preferred Stock shall have the following rights with respect to the conversion of Preferred Stock into shares of Common Stock (the </w:t>
      </w:r>
      <w:r>
        <w:rPr>
          <w:rFonts w:ascii="Arial" w:cs="Arial" w:eastAsia="Arial" w:hAnsi="Arial"/>
          <w:sz w:val="17"/>
          <w:szCs w:val="17"/>
          <w:b w:val="1"/>
          <w:bCs w:val="1"/>
          <w:i w:val="1"/>
          <w:iCs w:val="1"/>
          <w:color w:val="auto"/>
        </w:rPr>
        <w:t>“Conversion Rights”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52" w:lineRule="exact"/>
        <w:rPr>
          <w:sz w:val="20"/>
          <w:szCs w:val="20"/>
          <w:color w:val="auto"/>
        </w:rPr>
      </w:pPr>
    </w:p>
    <w:p>
      <w:pPr>
        <w:ind w:right="300" w:firstLine="2585"/>
        <w:spacing w:after="0" w:line="267" w:lineRule="auto"/>
        <w:tabs>
          <w:tab w:leader="none" w:pos="3167"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Optional Conversion. </w:t>
      </w:r>
      <w:r>
        <w:rPr>
          <w:rFonts w:ascii="Arial" w:cs="Arial" w:eastAsia="Arial" w:hAnsi="Arial"/>
          <w:sz w:val="17"/>
          <w:szCs w:val="17"/>
          <w:color w:val="auto"/>
        </w:rPr>
        <w:t>Subject to and in compliance with the provisions of this Section 5, any shares of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may, at the option of the holder, be converted at any time into fully-paid and nonassessable shares of Common Stock. The number of shares of Common Stock to which a holder of Preferred Stock shall be entitled upon conversion shall be the product obtained by multiplying the Preferred Stock Conversion Rate then in effect for such series of Preferred Stock (determined as provided in Section 5(b)) by the number of shares of such series of Preferred Stock being converted.</w:t>
      </w:r>
    </w:p>
    <w:p>
      <w:pPr>
        <w:spacing w:after="0" w:line="171" w:lineRule="exact"/>
        <w:rPr>
          <w:rFonts w:ascii="Arial" w:cs="Arial" w:eastAsia="Arial" w:hAnsi="Arial"/>
          <w:sz w:val="17"/>
          <w:szCs w:val="17"/>
          <w:color w:val="auto"/>
        </w:rPr>
      </w:pPr>
    </w:p>
    <w:p>
      <w:pPr>
        <w:jc w:val="both"/>
        <w:ind w:firstLine="2585"/>
        <w:spacing w:after="0" w:line="277" w:lineRule="auto"/>
        <w:tabs>
          <w:tab w:leader="none" w:pos="3177"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Preferred Stock Conversion Rate. </w:t>
      </w:r>
      <w:r>
        <w:rPr>
          <w:rFonts w:ascii="Arial" w:cs="Arial" w:eastAsia="Arial" w:hAnsi="Arial"/>
          <w:sz w:val="17"/>
          <w:szCs w:val="17"/>
          <w:color w:val="auto"/>
        </w:rPr>
        <w:t>The conversion rate in effect at any time for conversion of shares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Preferred Stock (the </w:t>
      </w:r>
      <w:r>
        <w:rPr>
          <w:rFonts w:ascii="Arial" w:cs="Arial" w:eastAsia="Arial" w:hAnsi="Arial"/>
          <w:sz w:val="17"/>
          <w:szCs w:val="17"/>
          <w:b w:val="1"/>
          <w:bCs w:val="1"/>
          <w:i w:val="1"/>
          <w:iCs w:val="1"/>
          <w:color w:val="auto"/>
        </w:rPr>
        <w:t>“Preferred Stock Conversion Rate”</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the quotient obtained by dividing the applicable Original Issue Price for a series of Preferred Stock by the Preferred Stock Conversion Price for such series of Preferred Stock, calculated as provided in Section 5(c).</w:t>
      </w:r>
    </w:p>
    <w:p>
      <w:pPr>
        <w:spacing w:after="0" w:line="162" w:lineRule="exact"/>
        <w:rPr>
          <w:rFonts w:ascii="Arial" w:cs="Arial" w:eastAsia="Arial" w:hAnsi="Arial"/>
          <w:sz w:val="17"/>
          <w:szCs w:val="17"/>
          <w:color w:val="auto"/>
        </w:rPr>
      </w:pPr>
    </w:p>
    <w:p>
      <w:pPr>
        <w:jc w:val="both"/>
        <w:ind w:right="100" w:firstLine="2585"/>
        <w:spacing w:after="0" w:line="270" w:lineRule="auto"/>
        <w:tabs>
          <w:tab w:leader="none" w:pos="3211"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Preferred Stock Conversion Price. </w:t>
      </w:r>
      <w:r>
        <w:rPr>
          <w:rFonts w:ascii="Arial" w:cs="Arial" w:eastAsia="Arial" w:hAnsi="Arial"/>
          <w:sz w:val="17"/>
          <w:szCs w:val="17"/>
          <w:color w:val="auto"/>
        </w:rPr>
        <w:t>The conversion price for each series of Preferred Stock shall initially be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Original Issue Price of such series of Preferred Stock (the </w:t>
      </w:r>
      <w:r>
        <w:rPr>
          <w:rFonts w:ascii="Arial" w:cs="Arial" w:eastAsia="Arial" w:hAnsi="Arial"/>
          <w:sz w:val="17"/>
          <w:szCs w:val="17"/>
          <w:b w:val="1"/>
          <w:bCs w:val="1"/>
          <w:i w:val="1"/>
          <w:iCs w:val="1"/>
          <w:color w:val="auto"/>
        </w:rPr>
        <w:t>“Preferred Stock Conversion Price”</w:t>
      </w:r>
      <w:r>
        <w:rPr>
          <w:rFonts w:ascii="Arial" w:cs="Arial" w:eastAsia="Arial" w:hAnsi="Arial"/>
          <w:sz w:val="17"/>
          <w:szCs w:val="17"/>
          <w:i w:val="1"/>
          <w:iCs w:val="1"/>
          <w:color w:val="auto"/>
        </w:rPr>
        <w:t>).</w:t>
      </w:r>
      <w:r>
        <w:rPr>
          <w:rFonts w:ascii="Arial" w:cs="Arial" w:eastAsia="Arial" w:hAnsi="Arial"/>
          <w:sz w:val="17"/>
          <w:szCs w:val="17"/>
          <w:color w:val="auto"/>
        </w:rPr>
        <w:t xml:space="preserve"> Each such Preferred Stock Conversion Price shall be adjusted from time to time in accordance with this Section 5. All references herein to the Preferred Stock Conversion Price for any series of Preferred Stock shall mean the Preferred Stock Conversion Price for such series of Preferred Stock as so adjusted.</w:t>
      </w:r>
    </w:p>
    <w:p>
      <w:pPr>
        <w:spacing w:after="0" w:line="169" w:lineRule="exact"/>
        <w:rPr>
          <w:rFonts w:ascii="Arial" w:cs="Arial" w:eastAsia="Arial" w:hAnsi="Arial"/>
          <w:sz w:val="17"/>
          <w:szCs w:val="17"/>
          <w:color w:val="auto"/>
        </w:rPr>
      </w:pPr>
    </w:p>
    <w:p>
      <w:pPr>
        <w:ind w:right="140" w:firstLine="2585"/>
        <w:spacing w:after="0" w:line="263" w:lineRule="auto"/>
        <w:tabs>
          <w:tab w:leader="none" w:pos="3177"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Mechanics of Conversion. </w:t>
      </w:r>
      <w:r>
        <w:rPr>
          <w:rFonts w:ascii="Arial" w:cs="Arial" w:eastAsia="Arial" w:hAnsi="Arial"/>
          <w:sz w:val="17"/>
          <w:szCs w:val="17"/>
          <w:color w:val="auto"/>
        </w:rPr>
        <w:t>Each holder of Preferred Stock who desires to convert the same into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pursuant to this Section 5 shall surrender the certificate or certificates therefor, duly endorsed, at the office of the Company or any transfer agent for the Preferred Stock, and shall give written notice to the Company at such office that such holder elects to convert the same. Such notice shall state the number of shares of Preferred Stock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Preferred Stock being converted and (ii) in cash (at the Common Stock’s fair market value determined by the Board as of the date of conversion) the value of any fractional share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Common Stock otherwise issuable to any holder of Preferred Stock.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 purposes as the record holder of such shares of Common Stock on such date.</w:t>
      </w:r>
    </w:p>
    <w:p>
      <w:pPr>
        <w:spacing w:after="0" w:line="148" w:lineRule="exact"/>
        <w:rPr>
          <w:sz w:val="20"/>
          <w:szCs w:val="20"/>
          <w:color w:val="auto"/>
        </w:rPr>
      </w:pPr>
    </w:p>
    <w:p>
      <w:pPr>
        <w:ind w:firstLine="2522"/>
        <w:spacing w:after="0" w:line="264" w:lineRule="auto"/>
        <w:tabs>
          <w:tab w:leader="none" w:pos="3191"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Stock Splits and Combinations. </w:t>
      </w:r>
      <w:r>
        <w:rPr>
          <w:rFonts w:ascii="Arial" w:cs="Arial" w:eastAsia="Arial" w:hAnsi="Arial"/>
          <w:sz w:val="17"/>
          <w:szCs w:val="17"/>
          <w:color w:val="auto"/>
        </w:rPr>
        <w:t>If at any time or from time to time on or after the date of filing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Fourth Amended and Restated Certificate of Incorporation (the </w:t>
      </w:r>
      <w:r>
        <w:rPr>
          <w:rFonts w:ascii="Arial" w:cs="Arial" w:eastAsia="Arial" w:hAnsi="Arial"/>
          <w:sz w:val="17"/>
          <w:szCs w:val="17"/>
          <w:b w:val="1"/>
          <w:bCs w:val="1"/>
          <w:i w:val="1"/>
          <w:iCs w:val="1"/>
          <w:color w:val="auto"/>
        </w:rPr>
        <w:t>“Filing Date”)</w:t>
      </w:r>
      <w:r>
        <w:rPr>
          <w:rFonts w:ascii="Arial" w:cs="Arial" w:eastAsia="Arial" w:hAnsi="Arial"/>
          <w:sz w:val="17"/>
          <w:szCs w:val="17"/>
          <w:color w:val="auto"/>
        </w:rPr>
        <w:t xml:space="preserve"> the Company effects a subdivision of the outstanding Common Stock without a corresponding subdivision of the Preferred Stock, each Preferred Stock Conversion Price in effect immediately before that subdivision shall be proportionately decreased. Conversely, if at any time or from time to time after the Filing Date the Company combines the outstanding shares of Common Stock into a smaller number of shares without a corresponding combination of the Preferred Stock, each Preferred Stock Conversion Price in effect immediately before the combination shall be proportionately increased. Any adjustment under this Section 5(e) shall become effective at the close of business on the date the subdivision or combination becomes effective.</w:t>
      </w:r>
    </w:p>
    <w:p>
      <w:pPr>
        <w:spacing w:after="0" w:line="172" w:lineRule="exact"/>
        <w:rPr>
          <w:rFonts w:ascii="Arial" w:cs="Arial" w:eastAsia="Arial" w:hAnsi="Arial"/>
          <w:sz w:val="17"/>
          <w:szCs w:val="17"/>
          <w:color w:val="auto"/>
        </w:rPr>
      </w:pPr>
    </w:p>
    <w:p>
      <w:pPr>
        <w:ind w:firstLine="2522"/>
        <w:spacing w:after="0" w:line="270" w:lineRule="auto"/>
        <w:tabs>
          <w:tab w:leader="none" w:pos="3216"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Common Stock Dividends and Distributions. </w:t>
      </w:r>
      <w:r>
        <w:rPr>
          <w:rFonts w:ascii="Arial" w:cs="Arial" w:eastAsia="Arial" w:hAnsi="Arial"/>
          <w:sz w:val="17"/>
          <w:szCs w:val="17"/>
          <w:color w:val="auto"/>
        </w:rPr>
        <w:t>If at any time or from time to time on or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Filing Date the Company pays to holders of Common Stock a dividend or other distribution in additional shares of Common Stock without a corresponding dividend or other distribution to holders of Preferred Stock, each Preferred Stock Conversion Price then in effect shall be decreased as of the time of such issuance, as provided below:</w:t>
      </w:r>
    </w:p>
    <w:p>
      <w:pPr>
        <w:spacing w:after="0" w:line="175" w:lineRule="exact"/>
        <w:rPr>
          <w:rFonts w:ascii="Arial" w:cs="Arial" w:eastAsia="Arial" w:hAnsi="Arial"/>
          <w:sz w:val="17"/>
          <w:szCs w:val="17"/>
          <w:color w:val="auto"/>
        </w:rPr>
      </w:pPr>
    </w:p>
    <w:p>
      <w:pPr>
        <w:ind w:left="3840" w:hanging="689"/>
        <w:spacing w:after="0"/>
        <w:tabs>
          <w:tab w:leader="none" w:pos="38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Such Preferred Stock Conversion Price shall be adjusted by multiplying such Preferred Stock Conversion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Price then in effect by a fraction equal to:</w:t>
      </w:r>
    </w:p>
    <w:p>
      <w:pPr>
        <w:spacing w:after="0" w:line="212" w:lineRule="exact"/>
        <w:rPr>
          <w:rFonts w:ascii="Arial" w:cs="Arial" w:eastAsia="Arial" w:hAnsi="Arial"/>
          <w:sz w:val="16"/>
          <w:szCs w:val="16"/>
          <w:color w:val="auto"/>
        </w:rPr>
      </w:pPr>
    </w:p>
    <w:p>
      <w:pPr>
        <w:ind w:left="4480" w:hanging="630"/>
        <w:spacing w:after="0"/>
        <w:tabs>
          <w:tab w:leader="none" w:pos="448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numerator of which is the total number of shares of Common Stock issued and outstanding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immediately prior to the time of such issuance, and</w:t>
      </w:r>
    </w:p>
    <w:p>
      <w:pPr>
        <w:spacing w:after="0" w:line="212" w:lineRule="exact"/>
        <w:rPr>
          <w:rFonts w:ascii="Arial" w:cs="Arial" w:eastAsia="Arial" w:hAnsi="Arial"/>
          <w:sz w:val="16"/>
          <w:szCs w:val="16"/>
          <w:color w:val="auto"/>
        </w:rPr>
      </w:pPr>
    </w:p>
    <w:p>
      <w:pPr>
        <w:ind w:left="4460" w:hanging="617"/>
        <w:spacing w:after="0"/>
        <w:tabs>
          <w:tab w:leader="none" w:pos="446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denominator of which is the total number of shares of Common Stock issued and outstanding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immediately prior to the time of such issuance plus the number of shares of Common Stock issuable in payment of such dividend or distribution;</w:t>
      </w:r>
    </w:p>
    <w:p>
      <w:pPr>
        <w:sectPr>
          <w:pgSz w:w="11900" w:h="16838" w:orient="portrait"/>
          <w:cols w:equalWidth="0" w:num="1">
            <w:col w:w="11420"/>
          </w:cols>
          <w:pgMar w:left="240" w:top="127" w:right="239" w:bottom="77" w:gutter="0" w:footer="0" w:header="0"/>
        </w:sectPr>
      </w:pPr>
    </w:p>
    <w:bookmarkStart w:id="183" w:name="page184"/>
    <w:bookmarkEnd w:id="183"/>
    <w:p>
      <w:pPr>
        <w:ind w:right="120" w:firstLine="3151"/>
        <w:spacing w:after="0" w:line="273" w:lineRule="auto"/>
        <w:tabs>
          <w:tab w:leader="none" w:pos="38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the Company fixes a record date to determine which holders of Common Stock are entitled to receive such dividend or other distribution, each Preferred Stock Conversion Price shall be fixed as of the close of business on such record date and the number of shares of Common Stock shall be calculated immediately prior to the close of business on such record date; and</w:t>
      </w:r>
    </w:p>
    <w:p>
      <w:pPr>
        <w:spacing w:after="0" w:line="171" w:lineRule="exact"/>
        <w:rPr>
          <w:rFonts w:ascii="Arial" w:cs="Arial" w:eastAsia="Arial" w:hAnsi="Arial"/>
          <w:sz w:val="17"/>
          <w:szCs w:val="17"/>
          <w:color w:val="auto"/>
        </w:rPr>
      </w:pPr>
    </w:p>
    <w:p>
      <w:pPr>
        <w:ind w:right="100" w:firstLine="3151"/>
        <w:spacing w:after="0" w:line="298" w:lineRule="auto"/>
        <w:tabs>
          <w:tab w:leader="none" w:pos="38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such record date is fixed and such dividend is not fully paid or if such distribution is not fully made on the date fixed therefor, each Preferred Stock Conversion Price shall be recomputed accordingly as of the close of business on such record date and thereafter each Preferred Stock Conversion Price shall be adjusted pursuant to this Section 5(f) to reflect the actual payment of such dividend or distribution.</w:t>
      </w:r>
    </w:p>
    <w:p>
      <w:pPr>
        <w:spacing w:after="0" w:line="148" w:lineRule="exact"/>
        <w:rPr>
          <w:sz w:val="20"/>
          <w:szCs w:val="20"/>
          <w:color w:val="auto"/>
        </w:rPr>
      </w:pPr>
    </w:p>
    <w:p>
      <w:pPr>
        <w:ind w:firstLine="2522"/>
        <w:spacing w:after="0" w:line="267" w:lineRule="auto"/>
        <w:tabs>
          <w:tab w:leader="none" w:pos="3201"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Reclassification, Exchange, Substitution, Reorganization, Merger or Consolidation. </w:t>
      </w:r>
      <w:r>
        <w:rPr>
          <w:rFonts w:ascii="Arial" w:cs="Arial" w:eastAsia="Arial" w:hAnsi="Arial"/>
          <w:sz w:val="17"/>
          <w:szCs w:val="17"/>
          <w:color w:val="auto"/>
        </w:rPr>
        <w:t>If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from time to time on or after the Filing Date the Common Stock issuable upon the conversion of the Preferred Stock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Preferred Stock shall then have the right to convert such stock into the kind and amount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of stock and other securities and property receivable upon such recapitalization, reclassification, merger, consolidation or other change by holders of the maximum number of shares of Common Stock into which such shares of Preferred Stock could have been converted immediately prior to such recapitalization, reclassification, merger, consolidation or change, all subject to further adjustment an provided herein or with respect to such other securities or property by the terms thereof. In any such case, appropriate adjustment shall be made in the application of the provisions of this Section 5 with respect to the rights of the holders of Preferred Stock after the capital reorganization to the end that the provisions of this Section 5 (including adjustment of the Preferred Stock Conversion Price then in effect and the number of shares issuable upon conversion of the Preferred Stock) shall be applicable after that event and be as nearly equivalent as practicable.</w:t>
      </w:r>
    </w:p>
    <w:p>
      <w:pPr>
        <w:spacing w:after="0" w:line="178" w:lineRule="exact"/>
        <w:rPr>
          <w:sz w:val="20"/>
          <w:szCs w:val="20"/>
          <w:color w:val="auto"/>
        </w:rPr>
      </w:pPr>
    </w:p>
    <w:p>
      <w:pPr>
        <w:ind w:left="3200" w:hanging="678"/>
        <w:spacing w:after="0"/>
        <w:tabs>
          <w:tab w:leader="none" w:pos="320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Sale of Shares Below Preferred Stock Conversion Price.</w:t>
      </w:r>
    </w:p>
    <w:p>
      <w:pPr>
        <w:spacing w:after="0" w:line="230" w:lineRule="exact"/>
        <w:rPr>
          <w:rFonts w:ascii="Arial" w:cs="Arial" w:eastAsia="Arial" w:hAnsi="Arial"/>
          <w:sz w:val="17"/>
          <w:szCs w:val="17"/>
          <w:color w:val="auto"/>
        </w:rPr>
      </w:pPr>
    </w:p>
    <w:p>
      <w:pPr>
        <w:ind w:right="120" w:firstLine="3151"/>
        <w:spacing w:after="0" w:line="263" w:lineRule="auto"/>
        <w:tabs>
          <w:tab w:leader="none" w:pos="383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If at any time or from time to time on or after the Filing Date the Company issues or sells, or is deemed by the express provisions of this Section 5(h) to have issued or sold, Additional Shares of Common Stock (as defined below), other than as provided in Section 5(e), 5(t) or 5(g) above, for an Effective Price (as defined below) less than the then effective Preferred Stock Conversion Price for a series of Preferred Stock (a </w:t>
      </w:r>
      <w:r>
        <w:rPr>
          <w:rFonts w:ascii="Arial" w:cs="Arial" w:eastAsia="Arial" w:hAnsi="Arial"/>
          <w:sz w:val="17"/>
          <w:szCs w:val="17"/>
          <w:b w:val="1"/>
          <w:bCs w:val="1"/>
          <w:i w:val="1"/>
          <w:iCs w:val="1"/>
          <w:color w:val="auto"/>
        </w:rPr>
        <w:t>“Qualifying Dilutive Issuance”</w:t>
      </w:r>
      <w:r>
        <w:rPr>
          <w:rFonts w:ascii="Arial" w:cs="Arial" w:eastAsia="Arial" w:hAnsi="Arial"/>
          <w:sz w:val="17"/>
          <w:szCs w:val="17"/>
          <w:color w:val="auto"/>
        </w:rPr>
        <w:t>), then and in each such case, the then existing Preferred Stock Conversion Price for such series of Preferred Stock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as of the opening of business on the date of such issue or sale, to a price determined by multiplying such Preferred Stock Conversion Price in effect immediately prior to such issuance or sale by a fraction equal to:</w:t>
      </w:r>
    </w:p>
    <w:p>
      <w:pPr>
        <w:spacing w:after="0" w:line="183" w:lineRule="exact"/>
        <w:rPr>
          <w:rFonts w:ascii="Arial" w:cs="Arial" w:eastAsia="Arial" w:hAnsi="Arial"/>
          <w:sz w:val="17"/>
          <w:szCs w:val="17"/>
          <w:color w:val="auto"/>
        </w:rPr>
      </w:pPr>
    </w:p>
    <w:p>
      <w:pPr>
        <w:ind w:left="4460" w:hanging="680"/>
        <w:spacing w:after="0"/>
        <w:tabs>
          <w:tab w:leader="none" w:pos="446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numerator of which shall be (A) the number of shares of Common Stock deemed outstanding</w:t>
      </w:r>
    </w:p>
    <w:p>
      <w:pPr>
        <w:spacing w:after="0" w:line="37" w:lineRule="exact"/>
        <w:rPr>
          <w:rFonts w:ascii="Arial" w:cs="Arial" w:eastAsia="Arial" w:hAnsi="Arial"/>
          <w:sz w:val="16"/>
          <w:szCs w:val="16"/>
          <w:color w:val="auto"/>
        </w:rPr>
      </w:pPr>
    </w:p>
    <w:p>
      <w:pPr>
        <w:ind w:right="100"/>
        <w:spacing w:after="0" w:line="266" w:lineRule="auto"/>
        <w:rPr>
          <w:rFonts w:ascii="Arial" w:cs="Arial" w:eastAsia="Arial" w:hAnsi="Arial"/>
          <w:sz w:val="16"/>
          <w:szCs w:val="16"/>
          <w:color w:val="auto"/>
        </w:rPr>
      </w:pPr>
      <w:r>
        <w:rPr>
          <w:rFonts w:ascii="Arial" w:cs="Arial" w:eastAsia="Arial" w:hAnsi="Arial"/>
          <w:sz w:val="17"/>
          <w:szCs w:val="17"/>
          <w:color w:val="auto"/>
        </w:rPr>
        <w:t>(as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Preferred Stock Conversion Price, and</w:t>
      </w:r>
    </w:p>
    <w:p>
      <w:pPr>
        <w:spacing w:after="0" w:line="177" w:lineRule="exact"/>
        <w:rPr>
          <w:rFonts w:ascii="Arial" w:cs="Arial" w:eastAsia="Arial" w:hAnsi="Arial"/>
          <w:sz w:val="16"/>
          <w:szCs w:val="16"/>
          <w:color w:val="auto"/>
        </w:rPr>
      </w:pPr>
    </w:p>
    <w:p>
      <w:pPr>
        <w:ind w:left="4460" w:hanging="680"/>
        <w:spacing w:after="0"/>
        <w:tabs>
          <w:tab w:leader="none" w:pos="4460" w:val="left"/>
        </w:tabs>
        <w:numPr>
          <w:ilvl w:val="2"/>
          <w:numId w:val="106"/>
        </w:numPr>
        <w:rPr>
          <w:rFonts w:ascii="Arial" w:cs="Arial" w:eastAsia="Arial" w:hAnsi="Arial"/>
          <w:sz w:val="15"/>
          <w:szCs w:val="15"/>
          <w:color w:val="auto"/>
        </w:rPr>
      </w:pPr>
      <w:r>
        <w:rPr>
          <w:rFonts w:ascii="Arial" w:cs="Arial" w:eastAsia="Arial" w:hAnsi="Arial"/>
          <w:sz w:val="15"/>
          <w:szCs w:val="15"/>
          <w:color w:val="auto"/>
        </w:rPr>
        <w:t>the denominator of which shall be the number of shares of Common Stock deemed outstanding (as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determined below) immediately prior to such issue or sale plus the total number of Additional Shares of Common Stock so issued.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38" w:lineRule="exact"/>
        <w:rPr>
          <w:sz w:val="20"/>
          <w:szCs w:val="20"/>
          <w:color w:val="auto"/>
        </w:rPr>
      </w:pPr>
    </w:p>
    <w:p>
      <w:pPr>
        <w:ind w:right="160" w:firstLine="5"/>
        <w:spacing w:after="0" w:line="290" w:lineRule="auto"/>
        <w:tabs>
          <w:tab w:leader="none" w:pos="28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number of shares of Common Stock outstanding, (B) the number of shares of Common Stock into which all of the then outstanding shares of Preferred Stock could be converted if fully convened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60" w:lineRule="exact"/>
        <w:rPr>
          <w:rFonts w:ascii="Arial" w:cs="Arial" w:eastAsia="Arial" w:hAnsi="Arial"/>
          <w:sz w:val="16"/>
          <w:szCs w:val="16"/>
          <w:color w:val="auto"/>
        </w:rPr>
      </w:pPr>
    </w:p>
    <w:p>
      <w:pPr>
        <w:ind w:left="3840" w:hanging="689"/>
        <w:spacing w:after="0"/>
        <w:tabs>
          <w:tab w:leader="none" w:pos="38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No adjustment shall be made to any Preferred Stock Conversion Price in an amount less than one cent per</w:t>
      </w:r>
    </w:p>
    <w:p>
      <w:pPr>
        <w:spacing w:after="0" w:line="37" w:lineRule="exact"/>
        <w:rPr>
          <w:rFonts w:ascii="Arial" w:cs="Arial" w:eastAsia="Arial" w:hAnsi="Arial"/>
          <w:sz w:val="16"/>
          <w:szCs w:val="16"/>
          <w:color w:val="auto"/>
        </w:rPr>
      </w:pPr>
    </w:p>
    <w:p>
      <w:pPr>
        <w:ind w:right="220"/>
        <w:spacing w:after="0" w:line="266" w:lineRule="auto"/>
        <w:rPr>
          <w:rFonts w:ascii="Arial" w:cs="Arial" w:eastAsia="Arial" w:hAnsi="Arial"/>
          <w:sz w:val="16"/>
          <w:szCs w:val="16"/>
          <w:color w:val="auto"/>
        </w:rPr>
      </w:pPr>
      <w:r>
        <w:rPr>
          <w:rFonts w:ascii="Arial" w:cs="Arial" w:eastAsia="Arial" w:hAnsi="Arial"/>
          <w:sz w:val="17"/>
          <w:szCs w:val="17"/>
          <w:color w:val="auto"/>
        </w:rPr>
        <w:t>share. Any adjustment required by this Section 5(h) shall be rounded to the nearest one cent $0.01 per share. Any adjustment otherwise required by this Section 5(h) that is not required to be made due to the preceding two sentences shall be included in any subsequent adjustment to the applicable Preferred Stock Conversion Price.</w:t>
      </w:r>
    </w:p>
    <w:p>
      <w:pPr>
        <w:spacing w:after="0" w:line="177" w:lineRule="exact"/>
        <w:rPr>
          <w:rFonts w:ascii="Arial" w:cs="Arial" w:eastAsia="Arial" w:hAnsi="Arial"/>
          <w:sz w:val="16"/>
          <w:szCs w:val="16"/>
          <w:color w:val="auto"/>
        </w:rPr>
      </w:pPr>
    </w:p>
    <w:p>
      <w:pPr>
        <w:ind w:right="40" w:firstLine="3151"/>
        <w:spacing w:after="0" w:line="265" w:lineRule="auto"/>
        <w:tabs>
          <w:tab w:leader="none" w:pos="3845"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For the purpose of making any adjustment required under this Section 5(b),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than cash, be computed at the fair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to be allocable to such Additional Shares of Common Stock, Convertible Securities or rights or options.</w:t>
      </w:r>
    </w:p>
    <w:p>
      <w:pPr>
        <w:spacing w:after="0" w:line="146" w:lineRule="exact"/>
        <w:rPr>
          <w:sz w:val="20"/>
          <w:szCs w:val="20"/>
          <w:color w:val="auto"/>
        </w:rPr>
      </w:pPr>
    </w:p>
    <w:p>
      <w:pPr>
        <w:ind w:left="3840" w:hanging="689"/>
        <w:spacing w:after="0"/>
        <w:tabs>
          <w:tab w:leader="none" w:pos="38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For the purpose of the adjustment required under this Section 5(h), if the Company issues or sells</w:t>
      </w:r>
    </w:p>
    <w:p>
      <w:pPr>
        <w:spacing w:after="0" w:line="26" w:lineRule="exact"/>
        <w:rPr>
          <w:rFonts w:ascii="Arial" w:cs="Arial" w:eastAsia="Arial" w:hAnsi="Arial"/>
          <w:sz w:val="17"/>
          <w:szCs w:val="17"/>
          <w:color w:val="auto"/>
        </w:rPr>
      </w:pPr>
    </w:p>
    <w:p>
      <w:pPr>
        <w:ind w:right="40" w:firstLine="5"/>
        <w:spacing w:after="0" w:line="280" w:lineRule="auto"/>
        <w:tabs>
          <w:tab w:leader="none" w:pos="2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Preferred Stock or other stock, options, warrants, purchase rights or other securities convertible into, Additional Shares of Common Stock (such convertible stock or securities being herein referred to as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Convertible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or (y) rights or options for the purchase of Additional Shares of Common Stock or Convertible Securities and if the Effective Price of such Additional Shares of Common Stock is less than the Preferred Stock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8" w:lineRule="exact"/>
        <w:rPr>
          <w:rFonts w:ascii="Arial" w:cs="Arial" w:eastAsia="Arial" w:hAnsi="Arial"/>
          <w:sz w:val="16"/>
          <w:szCs w:val="16"/>
          <w:color w:val="auto"/>
        </w:rPr>
      </w:pPr>
    </w:p>
    <w:p>
      <w:pPr>
        <w:ind w:left="4460" w:hanging="680"/>
        <w:spacing w:after="0"/>
        <w:tabs>
          <w:tab w:leader="none" w:pos="446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 the case of such rights or options, the minimum amounts of consideration, if any, payable 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 upon the exercise of such rights or options; and</w:t>
      </w:r>
    </w:p>
    <w:p>
      <w:pPr>
        <w:sectPr>
          <w:pgSz w:w="11900" w:h="16838" w:orient="portrait"/>
          <w:cols w:equalWidth="0" w:num="1">
            <w:col w:w="11400"/>
          </w:cols>
          <w:pgMar w:left="240" w:top="127" w:right="259" w:bottom="0" w:gutter="0" w:footer="0" w:header="0"/>
        </w:sectPr>
      </w:pPr>
    </w:p>
    <w:bookmarkStart w:id="184" w:name="page185"/>
    <w:bookmarkEnd w:id="184"/>
    <w:p>
      <w:pPr>
        <w:ind w:left="4460" w:hanging="680"/>
        <w:spacing w:after="0"/>
        <w:tabs>
          <w:tab w:leader="none" w:pos="4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 the case of Convertible Securities, the minimum amounts of consideration, if any, payable to the</w:t>
      </w:r>
    </w:p>
    <w:p>
      <w:pPr>
        <w:spacing w:after="0" w:line="49" w:lineRule="exact"/>
        <w:rPr>
          <w:rFonts w:ascii="Arial" w:cs="Arial" w:eastAsia="Arial" w:hAnsi="Arial"/>
          <w:sz w:val="15"/>
          <w:szCs w:val="15"/>
          <w:color w:val="auto"/>
        </w:rPr>
      </w:pPr>
    </w:p>
    <w:p>
      <w:pPr>
        <w:ind w:right="260"/>
        <w:spacing w:after="0" w:line="266" w:lineRule="auto"/>
        <w:rPr>
          <w:rFonts w:ascii="Arial" w:cs="Arial" w:eastAsia="Arial" w:hAnsi="Arial"/>
          <w:sz w:val="15"/>
          <w:szCs w:val="15"/>
          <w:color w:val="auto"/>
        </w:rPr>
      </w:pPr>
      <w:r>
        <w:rPr>
          <w:rFonts w:ascii="Arial" w:cs="Arial" w:eastAsia="Arial" w:hAnsi="Arial"/>
          <w:sz w:val="17"/>
          <w:szCs w:val="17"/>
          <w:color w:val="auto"/>
        </w:rPr>
        <w:t xml:space="preserve">Company upon the conversion thereof (other than by cancellation of liabilities or obligations evidenced by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77" w:lineRule="exact"/>
        <w:rPr>
          <w:rFonts w:ascii="Arial" w:cs="Arial" w:eastAsia="Arial" w:hAnsi="Arial"/>
          <w:sz w:val="15"/>
          <w:szCs w:val="15"/>
          <w:color w:val="auto"/>
        </w:rPr>
      </w:pPr>
    </w:p>
    <w:p>
      <w:pPr>
        <w:ind w:left="4460" w:hanging="680"/>
        <w:spacing w:after="0"/>
        <w:tabs>
          <w:tab w:leader="none" w:pos="4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minimum amount of consideration payable to the Company upon the exercise or conversion</w:t>
      </w:r>
    </w:p>
    <w:p>
      <w:pPr>
        <w:spacing w:after="0" w:line="37"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7"/>
          <w:szCs w:val="17"/>
          <w:color w:val="auto"/>
        </w:rPr>
        <w:t xml:space="preserve">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83" w:lineRule="exact"/>
        <w:rPr>
          <w:rFonts w:ascii="Arial" w:cs="Arial" w:eastAsia="Arial" w:hAnsi="Arial"/>
          <w:sz w:val="16"/>
          <w:szCs w:val="16"/>
          <w:color w:val="auto"/>
        </w:rPr>
      </w:pPr>
    </w:p>
    <w:p>
      <w:pPr>
        <w:ind w:right="120" w:firstLine="3780"/>
        <w:spacing w:after="0" w:line="279" w:lineRule="auto"/>
        <w:tabs>
          <w:tab w:leader="none" w:pos="44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further adjustment of any Preferred Stock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each Preferred Stock Conversion Price as adjusted upon the issuance of such rights, options or Convertible Securities shall be readjusted to the Preferred Stock Conversion Price which would have been in effect for such series of Preferred Stock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far issuing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 xml:space="preserve">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readjustment shall not apply to prior conversions of any series of Preferred Stock.</w:t>
      </w:r>
    </w:p>
    <w:p>
      <w:pPr>
        <w:spacing w:after="0" w:line="172" w:lineRule="exact"/>
        <w:rPr>
          <w:sz w:val="20"/>
          <w:szCs w:val="20"/>
          <w:color w:val="auto"/>
        </w:rPr>
      </w:pPr>
    </w:p>
    <w:p>
      <w:pPr>
        <w:jc w:val="both"/>
        <w:ind w:right="380" w:firstLine="3151"/>
        <w:spacing w:after="0" w:line="273" w:lineRule="auto"/>
        <w:tabs>
          <w:tab w:leader="none" w:pos="383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For the purpose of making any adjustment to any Preferred Stock Conversion Price required under this Section 5(h), </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xml:space="preserve"> shall mean all shares of Common Stock issued by the Company or deemed to be issued pursuant to this Section 5(h) (including shares of Common Stock subsequently reacquired or retired by the Company), other than:</w:t>
      </w:r>
    </w:p>
    <w:p>
      <w:pPr>
        <w:spacing w:after="0" w:line="171" w:lineRule="exact"/>
        <w:rPr>
          <w:rFonts w:ascii="Arial" w:cs="Arial" w:eastAsia="Arial" w:hAnsi="Arial"/>
          <w:sz w:val="17"/>
          <w:szCs w:val="17"/>
          <w:color w:val="auto"/>
        </w:rPr>
      </w:pPr>
    </w:p>
    <w:p>
      <w:pPr>
        <w:ind w:left="4460" w:hanging="680"/>
        <w:spacing w:after="0"/>
        <w:tabs>
          <w:tab w:leader="none" w:pos="446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shares of Common Stock issued upon conversion of any series of the Preferred Stock;</w:t>
      </w:r>
    </w:p>
    <w:p>
      <w:pPr>
        <w:spacing w:after="0" w:line="224" w:lineRule="exact"/>
        <w:rPr>
          <w:rFonts w:ascii="Arial" w:cs="Arial" w:eastAsia="Arial" w:hAnsi="Arial"/>
          <w:sz w:val="17"/>
          <w:szCs w:val="17"/>
          <w:color w:val="auto"/>
        </w:rPr>
      </w:pPr>
    </w:p>
    <w:p>
      <w:pPr>
        <w:ind w:left="4460" w:hanging="680"/>
        <w:spacing w:after="0"/>
        <w:tabs>
          <w:tab w:leader="none" w:pos="4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shares of Common Stock or Convertible Securities issued after the Filing Date to employees,</w:t>
      </w:r>
    </w:p>
    <w:p>
      <w:pPr>
        <w:spacing w:after="0" w:line="37" w:lineRule="exact"/>
        <w:rPr>
          <w:rFonts w:ascii="Arial" w:cs="Arial" w:eastAsia="Arial" w:hAnsi="Arial"/>
          <w:sz w:val="16"/>
          <w:szCs w:val="16"/>
          <w:color w:val="auto"/>
        </w:rPr>
      </w:pPr>
    </w:p>
    <w:p>
      <w:pPr>
        <w:spacing w:after="0" w:line="275" w:lineRule="auto"/>
        <w:rPr>
          <w:rFonts w:ascii="Arial" w:cs="Arial" w:eastAsia="Arial" w:hAnsi="Arial"/>
          <w:sz w:val="16"/>
          <w:szCs w:val="16"/>
          <w:color w:val="auto"/>
        </w:rPr>
      </w:pPr>
      <w:r>
        <w:rPr>
          <w:rFonts w:ascii="Arial" w:cs="Arial" w:eastAsia="Arial" w:hAnsi="Arial"/>
          <w:sz w:val="17"/>
          <w:szCs w:val="17"/>
          <w:color w:val="auto"/>
        </w:rPr>
        <w:t>officers or directors of, or consultants or advisors to the Company or any subsidiary pursuant to stock purchase or stock option plans or other arrangements that are approved by the Board;</w:t>
      </w:r>
    </w:p>
    <w:p>
      <w:pPr>
        <w:spacing w:after="0" w:line="169" w:lineRule="exact"/>
        <w:rPr>
          <w:rFonts w:ascii="Arial" w:cs="Arial" w:eastAsia="Arial" w:hAnsi="Arial"/>
          <w:sz w:val="16"/>
          <w:szCs w:val="16"/>
          <w:color w:val="auto"/>
        </w:rPr>
      </w:pPr>
    </w:p>
    <w:p>
      <w:pPr>
        <w:ind w:left="4460" w:hanging="680"/>
        <w:spacing w:after="0"/>
        <w:tabs>
          <w:tab w:leader="none" w:pos="446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shares of Common Stock issued in connection with any stock split, stock dividend or</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recapitalization by the Company that is approved by the Board;</w:t>
      </w:r>
    </w:p>
    <w:p>
      <w:pPr>
        <w:spacing w:after="0" w:line="212" w:lineRule="exact"/>
        <w:rPr>
          <w:rFonts w:ascii="Arial" w:cs="Arial" w:eastAsia="Arial" w:hAnsi="Arial"/>
          <w:sz w:val="17"/>
          <w:szCs w:val="17"/>
          <w:color w:val="auto"/>
        </w:rPr>
      </w:pPr>
    </w:p>
    <w:p>
      <w:pPr>
        <w:ind w:left="4460" w:hanging="680"/>
        <w:spacing w:after="0"/>
        <w:tabs>
          <w:tab w:leader="none" w:pos="4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shares of Common Stock issued pursuant to the exercise of Convertible Securities outstanding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the Filing Date;</w:t>
      </w:r>
    </w:p>
    <w:p>
      <w:pPr>
        <w:spacing w:after="0" w:line="212" w:lineRule="exact"/>
        <w:rPr>
          <w:rFonts w:ascii="Arial" w:cs="Arial" w:eastAsia="Arial" w:hAnsi="Arial"/>
          <w:sz w:val="16"/>
          <w:szCs w:val="16"/>
          <w:color w:val="auto"/>
        </w:rPr>
      </w:pPr>
    </w:p>
    <w:p>
      <w:pPr>
        <w:ind w:left="4480" w:hanging="700"/>
        <w:spacing w:after="0"/>
        <w:tabs>
          <w:tab w:leader="none" w:pos="44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shares of Common Stock or Convertible Securities issued for consideration other than cash</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pursuant to a merger, consolidation, acquisition, strategic alliance or similar business combination approved by the Board;</w:t>
      </w:r>
    </w:p>
    <w:p>
      <w:pPr>
        <w:spacing w:after="0" w:line="212" w:lineRule="exact"/>
        <w:rPr>
          <w:rFonts w:ascii="Arial" w:cs="Arial" w:eastAsia="Arial" w:hAnsi="Arial"/>
          <w:sz w:val="17"/>
          <w:szCs w:val="17"/>
          <w:color w:val="auto"/>
        </w:rPr>
      </w:pPr>
    </w:p>
    <w:p>
      <w:pPr>
        <w:ind w:left="4480" w:hanging="700"/>
        <w:spacing w:after="0"/>
        <w:tabs>
          <w:tab w:leader="none" w:pos="4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shares of Common Stock or Convertible Securities issued pursuant to any equipment loan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leasing arrangement, real property leasing arrangement or debt financing from a bank or similar financial institution approved by the Board; and</w:t>
      </w:r>
    </w:p>
    <w:p>
      <w:pPr>
        <w:spacing w:after="0" w:line="212" w:lineRule="exact"/>
        <w:rPr>
          <w:rFonts w:ascii="Arial" w:cs="Arial" w:eastAsia="Arial" w:hAnsi="Arial"/>
          <w:sz w:val="16"/>
          <w:szCs w:val="16"/>
          <w:color w:val="auto"/>
        </w:rPr>
      </w:pPr>
    </w:p>
    <w:p>
      <w:pPr>
        <w:ind w:left="4460" w:hanging="680"/>
        <w:spacing w:after="0"/>
        <w:tabs>
          <w:tab w:leader="none" w:pos="4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Common Stock or Convertible Securities issued in connection with strategic transactions</w:t>
      </w:r>
    </w:p>
    <w:p>
      <w:pPr>
        <w:spacing w:after="0" w:line="37" w:lineRule="exact"/>
        <w:rPr>
          <w:rFonts w:ascii="Arial" w:cs="Arial" w:eastAsia="Arial" w:hAnsi="Arial"/>
          <w:sz w:val="16"/>
          <w:szCs w:val="16"/>
          <w:color w:val="auto"/>
        </w:rPr>
      </w:pPr>
    </w:p>
    <w:p>
      <w:pPr>
        <w:ind w:right="140"/>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involving the Company and other entities, including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and that such transaction is not substantially for equity financing purposes.</w:t>
      </w:r>
    </w:p>
    <w:p>
      <w:pPr>
        <w:spacing w:after="0" w:line="177"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 issue under this Section 5(b),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84" w:lineRule="exact"/>
        <w:rPr>
          <w:sz w:val="20"/>
          <w:szCs w:val="20"/>
          <w:color w:val="auto"/>
        </w:rPr>
      </w:pPr>
    </w:p>
    <w:p>
      <w:pPr>
        <w:ind w:right="380" w:firstLine="3151"/>
        <w:spacing w:after="0" w:line="289" w:lineRule="auto"/>
        <w:tabs>
          <w:tab w:leader="none" w:pos="383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Dilutive Issuance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then in the event that the Company issues or sells, or is deemed to have issued or sold, Additional Shares of Common Stock in a Qualifying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Dilutive Issuance other than the First Dilutive Issuance as a part of the same transaction or series of related transactions as the First Dilutive Issuance (a</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Subsequent Dilutive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then and in each such case upon a Subsequent Dilutive Issuance each Preferred Stock Conversion Price shall be reduced to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Conversion Price that would have been in effect had the First Dilutive Issuance and each Subsequent Dilutive Issuance all occurred on the closing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 of the First Dilutive Issuance.</w:t>
      </w:r>
    </w:p>
    <w:p>
      <w:pPr>
        <w:sectPr>
          <w:pgSz w:w="11900" w:h="16838" w:orient="portrait"/>
          <w:cols w:equalWidth="0" w:num="1">
            <w:col w:w="11400"/>
          </w:cols>
          <w:pgMar w:left="240" w:top="337" w:right="259" w:bottom="0" w:gutter="0" w:footer="0" w:header="0"/>
        </w:sectPr>
      </w:pPr>
    </w:p>
    <w:bookmarkStart w:id="185" w:name="page186"/>
    <w:bookmarkEnd w:id="185"/>
    <w:p>
      <w:pPr>
        <w:ind w:firstLine="2522"/>
        <w:spacing w:after="0" w:line="261" w:lineRule="auto"/>
        <w:tabs>
          <w:tab w:leader="none" w:pos="3206"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Certificate of Adjustment. </w:t>
      </w:r>
      <w:r>
        <w:rPr>
          <w:rFonts w:ascii="Arial" w:cs="Arial" w:eastAsia="Arial" w:hAnsi="Arial"/>
          <w:sz w:val="17"/>
          <w:szCs w:val="17"/>
          <w:color w:val="auto"/>
        </w:rPr>
        <w:t>In each case of an adjustment or readjustment of any Preferred Stock Conversion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number of shares of Common Stock or other securities issuable upon conversion of any series of Preferred Stock, if such series of Preferred Stock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Preferred Stock so requesting at the holder’s address as shown in the Company’s books. The certificate shall set form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each Preferred Stock Conversion Price at the time in effect, (iii) the number of Additional Shares of Common Stock and (iv) the type and amount, if any, of other property which at the time would be received upon conversion of each series of the Preferred Stock. Failure to request or provide such notice shall have no effect on any such adjustment.</w:t>
      </w:r>
    </w:p>
    <w:p>
      <w:pPr>
        <w:spacing w:after="0" w:line="181" w:lineRule="exact"/>
        <w:rPr>
          <w:rFonts w:ascii="Arial" w:cs="Arial" w:eastAsia="Arial" w:hAnsi="Arial"/>
          <w:sz w:val="17"/>
          <w:szCs w:val="17"/>
          <w:color w:val="auto"/>
        </w:rPr>
      </w:pPr>
    </w:p>
    <w:p>
      <w:pPr>
        <w:ind w:right="20" w:firstLine="2522"/>
        <w:spacing w:after="0" w:line="261" w:lineRule="auto"/>
        <w:tabs>
          <w:tab w:leader="none" w:pos="3206"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Notices of Record Date. </w:t>
      </w:r>
      <w:r>
        <w:rPr>
          <w:rFonts w:ascii="Arial" w:cs="Arial" w:eastAsia="Arial" w:hAnsi="Arial"/>
          <w:sz w:val="17"/>
          <w:szCs w:val="17"/>
          <w:color w:val="auto"/>
        </w:rPr>
        <w:t>Upon (i) any taking by the Company of a record of the holders of any class of securities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Preferred Stock at least ten (10) days prior to (x) the record date, if any, specified therein; or (y) if no record date is specified, the date upon which such action is to take effect (or, in either case, such shorter period approved by the holders of a majority of the outstanding Preferred Stock, voting together as a single class on an as-if-converted basis)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75" w:lineRule="exact"/>
        <w:rPr>
          <w:rFonts w:ascii="Arial" w:cs="Arial" w:eastAsia="Arial" w:hAnsi="Arial"/>
          <w:sz w:val="17"/>
          <w:szCs w:val="17"/>
          <w:color w:val="auto"/>
        </w:rPr>
      </w:pPr>
    </w:p>
    <w:p>
      <w:pPr>
        <w:ind w:left="3200" w:hanging="678"/>
        <w:spacing w:after="0"/>
        <w:tabs>
          <w:tab w:leader="none" w:pos="320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Automatic Conversion.</w:t>
      </w:r>
    </w:p>
    <w:p>
      <w:pPr>
        <w:spacing w:after="0" w:line="230" w:lineRule="exact"/>
        <w:rPr>
          <w:sz w:val="20"/>
          <w:szCs w:val="20"/>
          <w:color w:val="auto"/>
        </w:rPr>
      </w:pPr>
    </w:p>
    <w:p>
      <w:pPr>
        <w:ind w:right="20" w:firstLine="3151"/>
        <w:spacing w:after="0" w:line="263" w:lineRule="auto"/>
        <w:tabs>
          <w:tab w:leader="none" w:pos="38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share of each series of Preferred Stock shall automatically be converted into shares of Common Stock, based on the then-effective applicable Preferred Stock Conversion Price for such series, (A) at any time upon the affirmative election of the holders of at least a majority of the outstanding shares of the Preferred Stock (voting together as a single class on an as-ifconverted basis),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forty million ($40,000,000). Upon such automatic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conversion, any declared and unpaid dividends shall be paid in accordance with the provisions of Section 5(d).</w:t>
      </w:r>
    </w:p>
    <w:p>
      <w:pPr>
        <w:spacing w:after="0" w:line="224" w:lineRule="exact"/>
        <w:rPr>
          <w:sz w:val="20"/>
          <w:szCs w:val="20"/>
          <w:color w:val="auto"/>
        </w:rPr>
      </w:pPr>
    </w:p>
    <w:p>
      <w:pPr>
        <w:ind w:right="20" w:firstLine="3151"/>
        <w:spacing w:after="0" w:line="260" w:lineRule="auto"/>
        <w:tabs>
          <w:tab w:leader="none" w:pos="384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 xml:space="preserve">Upon the occurrence of either of the events specified in Section 5(k)(i) above, the outstanding shares of Preferred Stock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to issue certificates evidencing the shares of Common Stock issuable upon such conversion unless the certificates evidencing such shares of Preferred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Preferred Stock, the holders of Preferred Stock shall surrender the certificates representing such shares at the office of the Company or any transfer agent for the Preferred Stock. Thereupon, there shall be issued and delivered to such holder promptly at such office and in its name as shown on such surrendered certificate or certificates, a certificate or certificates for the number of shares of Common Stock into which the shares of Preferred Stock surrendered were convertible on the date on which such automatic conversion occurred, and any declared and unpaid dividends shall be paid in accordance with the provisions of Section 5(d).</w:t>
      </w:r>
    </w:p>
    <w:p>
      <w:pPr>
        <w:spacing w:after="0" w:line="181" w:lineRule="exact"/>
        <w:rPr>
          <w:rFonts w:ascii="Arial" w:cs="Arial" w:eastAsia="Arial" w:hAnsi="Arial"/>
          <w:sz w:val="17"/>
          <w:szCs w:val="17"/>
          <w:color w:val="auto"/>
        </w:rPr>
      </w:pPr>
    </w:p>
    <w:p>
      <w:pPr>
        <w:ind w:right="100" w:firstLine="2522"/>
        <w:spacing w:after="0" w:line="287" w:lineRule="auto"/>
        <w:tabs>
          <w:tab w:leader="none" w:pos="3206"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of Common Stock shall be issued upon conversion of Preferred Stock. All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58" w:lineRule="exact"/>
        <w:rPr>
          <w:rFonts w:ascii="Arial" w:cs="Arial" w:eastAsia="Arial" w:hAnsi="Arial"/>
          <w:sz w:val="16"/>
          <w:szCs w:val="16"/>
          <w:color w:val="auto"/>
        </w:rPr>
      </w:pPr>
    </w:p>
    <w:p>
      <w:pPr>
        <w:ind w:firstLine="2522"/>
        <w:spacing w:after="0" w:line="265" w:lineRule="auto"/>
        <w:tabs>
          <w:tab w:leader="none" w:pos="3206"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Reservation of Stock Issuable Upon Conversion. </w:t>
      </w:r>
      <w:r>
        <w:rPr>
          <w:rFonts w:ascii="Arial" w:cs="Arial" w:eastAsia="Arial" w:hAnsi="Arial"/>
          <w:sz w:val="17"/>
          <w:szCs w:val="17"/>
          <w:color w:val="auto"/>
        </w:rPr>
        <w:t>The Company shall at all times reserve and keep available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If at any time the number of authorized but unissued shares of Common Stock shall not be sufficient to effect the conversion of all then outstanding shares of the Preferred Stock, the Company will take such corporate action as may be necessary to increase its authorized but unissued shares of Common Stock to such number of shares as shall be sufficient for such purpose.</w:t>
      </w:r>
    </w:p>
    <w:p>
      <w:pPr>
        <w:spacing w:after="0" w:line="173" w:lineRule="exact"/>
        <w:rPr>
          <w:rFonts w:ascii="Arial" w:cs="Arial" w:eastAsia="Arial" w:hAnsi="Arial"/>
          <w:sz w:val="17"/>
          <w:szCs w:val="17"/>
          <w:color w:val="auto"/>
        </w:rPr>
      </w:pPr>
    </w:p>
    <w:p>
      <w:pPr>
        <w:ind w:left="3200" w:hanging="678"/>
        <w:spacing w:after="0"/>
        <w:tabs>
          <w:tab w:leader="none" w:pos="3200"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Section 5 shall be in writing and shall be deemed effectively</w:t>
      </w:r>
    </w:p>
    <w:p>
      <w:pPr>
        <w:spacing w:after="0" w:line="43" w:lineRule="exact"/>
        <w:rPr>
          <w:rFonts w:ascii="Arial" w:cs="Arial" w:eastAsia="Arial" w:hAnsi="Arial"/>
          <w:sz w:val="16"/>
          <w:szCs w:val="16"/>
          <w:color w:val="auto"/>
        </w:rPr>
      </w:pPr>
    </w:p>
    <w:p>
      <w:pPr>
        <w:ind w:right="80"/>
        <w:spacing w:after="0" w:line="291" w:lineRule="auto"/>
        <w:rPr>
          <w:rFonts w:ascii="Arial" w:cs="Arial" w:eastAsia="Arial" w:hAnsi="Arial"/>
          <w:sz w:val="16"/>
          <w:szCs w:val="16"/>
          <w:color w:val="auto"/>
        </w:rPr>
      </w:pPr>
      <w:r>
        <w:rPr>
          <w:rFonts w:ascii="Arial" w:cs="Arial" w:eastAsia="Arial" w:hAnsi="Arial"/>
          <w:sz w:val="15"/>
          <w:szCs w:val="15"/>
          <w:color w:val="auto"/>
        </w:rPr>
        <w:t>given: (i) 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w:t>
      </w:r>
    </w:p>
    <w:p>
      <w:pPr>
        <w:spacing w:after="0" w:line="1" w:lineRule="exact"/>
        <w:rPr>
          <w:rFonts w:ascii="Arial" w:cs="Arial" w:eastAsia="Arial" w:hAnsi="Arial"/>
          <w:sz w:val="16"/>
          <w:szCs w:val="16"/>
          <w:color w:val="auto"/>
        </w:rPr>
      </w:pPr>
    </w:p>
    <w:p>
      <w:pPr>
        <w:ind w:right="700" w:firstLine="5"/>
        <w:spacing w:after="0" w:line="275" w:lineRule="auto"/>
        <w:tabs>
          <w:tab w:leader="none" w:pos="29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63" w:lineRule="exact"/>
        <w:rPr>
          <w:rFonts w:ascii="Arial" w:cs="Arial" w:eastAsia="Arial" w:hAnsi="Arial"/>
          <w:sz w:val="17"/>
          <w:szCs w:val="17"/>
          <w:color w:val="auto"/>
        </w:rPr>
      </w:pPr>
    </w:p>
    <w:p>
      <w:pPr>
        <w:ind w:right="140" w:firstLine="2522"/>
        <w:spacing w:after="0" w:line="270" w:lineRule="auto"/>
        <w:tabs>
          <w:tab w:leader="none" w:pos="3201"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Payment of Taxes. </w:t>
      </w:r>
      <w:r>
        <w:rPr>
          <w:rFonts w:ascii="Arial" w:cs="Arial" w:eastAsia="Arial" w:hAnsi="Arial"/>
          <w:sz w:val="17"/>
          <w:szCs w:val="17"/>
          <w:color w:val="auto"/>
        </w:rPr>
        <w:t>The Company will pay all taxes (other than taxes based upon income) and other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that may be imposed with respect to the issue or delivery of shares of Common Stock upon conversion of shares of Preferred Stock, excluding any tax or other charge imposed in connection with any transfer involved in the issue and delivery of shares of Common Stock in a name other than that in which the shares of Preferred Stock so converted were registered.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0" w:gutter="0" w:footer="0" w:header="0"/>
        </w:sectPr>
      </w:pPr>
    </w:p>
    <w:bookmarkStart w:id="186" w:name="page187"/>
    <w:bookmarkEnd w:id="186"/>
    <w:p>
      <w:pPr>
        <w:ind w:left="2560" w:hanging="604"/>
        <w:spacing w:after="0"/>
        <w:tabs>
          <w:tab w:leader="none" w:pos="25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Redemption. </w:t>
      </w:r>
      <w:r>
        <w:rPr>
          <w:rFonts w:ascii="Arial" w:cs="Arial" w:eastAsia="Arial" w:hAnsi="Arial"/>
          <w:sz w:val="17"/>
          <w:szCs w:val="17"/>
          <w:color w:val="auto"/>
        </w:rPr>
        <w:t>The Preferred Stock shall not be redeemable by the Company.</w:t>
      </w:r>
    </w:p>
    <w:p>
      <w:pPr>
        <w:spacing w:after="0" w:line="224" w:lineRule="exact"/>
        <w:rPr>
          <w:rFonts w:ascii="Arial" w:cs="Arial" w:eastAsia="Arial" w:hAnsi="Arial"/>
          <w:sz w:val="17"/>
          <w:szCs w:val="17"/>
          <w:color w:val="auto"/>
        </w:rPr>
      </w:pPr>
    </w:p>
    <w:p>
      <w:pPr>
        <w:ind w:right="840" w:firstLine="1956"/>
        <w:spacing w:after="0" w:line="297" w:lineRule="auto"/>
        <w:tabs>
          <w:tab w:leader="none" w:pos="2562"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No Reissuance of Preferred Stock. </w:t>
      </w:r>
      <w:r>
        <w:rPr>
          <w:rFonts w:ascii="Arial" w:cs="Arial" w:eastAsia="Arial" w:hAnsi="Arial"/>
          <w:sz w:val="17"/>
          <w:szCs w:val="17"/>
          <w:color w:val="auto"/>
        </w:rPr>
        <w:t>No shares of Preferred Stock acquired by the Company by reason of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or otherwise shall be reissued.</w:t>
      </w:r>
    </w:p>
    <w:p>
      <w:pPr>
        <w:spacing w:after="0" w:line="145" w:lineRule="exact"/>
        <w:rPr>
          <w:rFonts w:ascii="Arial" w:cs="Arial" w:eastAsia="Arial" w:hAnsi="Arial"/>
          <w:sz w:val="17"/>
          <w:szCs w:val="17"/>
          <w:color w:val="auto"/>
        </w:rPr>
      </w:pPr>
    </w:p>
    <w:p>
      <w:pPr>
        <w:ind w:left="2580" w:hanging="618"/>
        <w:spacing w:after="0"/>
        <w:tabs>
          <w:tab w:leader="none" w:pos="258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No Preemptive Rights. </w:t>
      </w:r>
      <w:r>
        <w:rPr>
          <w:rFonts w:ascii="Arial" w:cs="Arial" w:eastAsia="Arial" w:hAnsi="Arial"/>
          <w:sz w:val="16"/>
          <w:szCs w:val="16"/>
          <w:color w:val="auto"/>
        </w:rPr>
        <w:t>Stockholders shall have no preemptive rights except as granted by the Company pursuant to written</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w:t>
      </w:r>
    </w:p>
    <w:p>
      <w:pPr>
        <w:spacing w:after="0" w:line="230"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The liability of the directors for monetary damages shall be eliminated to the fullest extent under applicable law.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72"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Any repeal or modification of this Article V shall be prospective and shall not affect the rights under this Article V in effect at the time of the alleged occurrence of any act or omission to act giving rise to liability or indemnification.</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VI.</w:t>
      </w:r>
    </w:p>
    <w:p>
      <w:pPr>
        <w:spacing w:after="0" w:line="230" w:lineRule="exact"/>
        <w:rPr>
          <w:sz w:val="20"/>
          <w:szCs w:val="20"/>
          <w:color w:val="auto"/>
        </w:rPr>
      </w:pPr>
    </w:p>
    <w:p>
      <w:pPr>
        <w:ind w:right="80" w:firstLine="629"/>
        <w:spacing w:after="0" w:line="279"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§291 of Title 8 of the Delaware Code or on the application of trustees in dissolution or of any receiver or receivers appointed for this corporation under the provisions of §279 of Title 8 of the Delaware Code order a meeting of the creditors or class of creditors, and/or of the stockholders or class of stockholders of this corporation, as the case may be, to be summoned in such a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VII.</w:t>
      </w:r>
    </w:p>
    <w:p>
      <w:pPr>
        <w:spacing w:after="0" w:line="23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58" w:lineRule="exact"/>
        <w:rPr>
          <w:sz w:val="20"/>
          <w:szCs w:val="20"/>
          <w:color w:val="auto"/>
        </w:rPr>
      </w:pPr>
    </w:p>
    <w:p>
      <w:pPr>
        <w:ind w:right="120" w:firstLine="1263"/>
        <w:spacing w:after="0" w:line="273" w:lineRule="auto"/>
        <w:tabs>
          <w:tab w:leader="none" w:pos="195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Fourth Amended and Restated Certificate of Incorporation.</w:t>
      </w:r>
    </w:p>
    <w:p>
      <w:pPr>
        <w:spacing w:after="0" w:line="171" w:lineRule="exact"/>
        <w:rPr>
          <w:rFonts w:ascii="Arial" w:cs="Arial" w:eastAsia="Arial" w:hAnsi="Arial"/>
          <w:sz w:val="17"/>
          <w:szCs w:val="17"/>
          <w:color w:val="auto"/>
        </w:rPr>
      </w:pPr>
    </w:p>
    <w:p>
      <w:pPr>
        <w:jc w:val="both"/>
        <w:ind w:right="260" w:firstLine="1263"/>
        <w:spacing w:after="0" w:line="360" w:lineRule="auto"/>
        <w:tabs>
          <w:tab w:leader="none" w:pos="1943" w:val="left"/>
        </w:tabs>
        <w:numPr>
          <w:ilvl w:val="0"/>
          <w:numId w:val="119"/>
        </w:numPr>
        <w:rPr>
          <w:rFonts w:ascii="Arial" w:cs="Arial" w:eastAsia="Arial" w:hAnsi="Arial"/>
          <w:sz w:val="15"/>
          <w:szCs w:val="15"/>
          <w:color w:val="auto"/>
        </w:rPr>
      </w:pPr>
      <w:r>
        <w:rPr>
          <w:rFonts w:ascii="Arial" w:cs="Arial" w:eastAsia="Arial" w:hAnsi="Arial"/>
          <w:sz w:val="15"/>
          <w:szCs w:val="15"/>
          <w:color w:val="auto"/>
        </w:rPr>
        <w:t xml:space="preserve">Board is expressly empowered to adopt, amend or repeal the Bylaws of the Company. The stockholders shall also have the power to adopt, amend or repeal the Bylaws of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addition to any vote of the holders of any class or series of stock of the Company</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required by law or by this Fourth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requited to adopt, amend or repeal any provision of the Bylaws of the Company.</w:t>
      </w:r>
    </w:p>
    <w:p>
      <w:pPr>
        <w:spacing w:after="0" w:line="172" w:lineRule="exact"/>
        <w:rPr>
          <w:sz w:val="20"/>
          <w:szCs w:val="20"/>
          <w:color w:val="auto"/>
        </w:rPr>
      </w:pPr>
    </w:p>
    <w:p>
      <w:pPr>
        <w:ind w:left="5620" w:right="2700" w:hanging="4357"/>
        <w:spacing w:after="0" w:line="547" w:lineRule="auto"/>
        <w:tabs>
          <w:tab w:leader="none" w:pos="194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directors of the Company need not be elected by written ballot unless the Bylaws so provide.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CERTIFICATE OF AMENDMENT OF “VERACYTE, INC.”, FILED IN THIS OFFICE ON THE FOURTEENTH DAY OF JUNE, A.D. 2013, AT 12:33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4198998 8100</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130777099</w:t>
            </w:r>
          </w:p>
        </w:tc>
        <w:tc>
          <w:tcPr>
            <w:tcW w:w="1920" w:type="dxa"/>
            <w:vAlign w:val="bottom"/>
            <w:vMerge w:val="restart"/>
          </w:tcPr>
          <w:p>
            <w:pPr>
              <w:ind w:left="42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jc w:val="right"/>
              <w:ind w:right="3573"/>
              <w:spacing w:after="0"/>
              <w:rPr>
                <w:sz w:val="20"/>
                <w:szCs w:val="20"/>
                <w:color w:val="auto"/>
              </w:rPr>
            </w:pPr>
            <w:r>
              <w:rPr>
                <w:rFonts w:ascii="Arial" w:cs="Arial" w:eastAsia="Arial" w:hAnsi="Arial"/>
                <w:sz w:val="17"/>
                <w:szCs w:val="17"/>
                <w:b w:val="1"/>
                <w:bCs w:val="1"/>
                <w:i w:val="1"/>
                <w:iCs w:val="1"/>
                <w:color w:val="auto"/>
              </w:rPr>
              <w:t>AUTHENTICATION: 0512962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31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3180" w:type="dxa"/>
            <w:vAlign w:val="bottom"/>
          </w:tcPr>
          <w:p>
            <w:pPr>
              <w:spacing w:after="0"/>
              <w:rPr>
                <w:sz w:val="20"/>
                <w:szCs w:val="20"/>
                <w:color w:val="auto"/>
              </w:rPr>
            </w:pPr>
            <w:r>
              <w:rPr>
                <w:rFonts w:ascii="Arial" w:cs="Arial" w:eastAsia="Arial" w:hAnsi="Arial"/>
                <w:sz w:val="17"/>
                <w:szCs w:val="17"/>
                <w:i w:val="1"/>
                <w:iCs w:val="1"/>
                <w:color w:val="auto"/>
              </w:rPr>
              <w:t>You may verify this certificate online at</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DATE: 06-14-13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7"/>
                <w:szCs w:val="17"/>
                <w:i w:val="1"/>
                <w:iCs w:val="1"/>
                <w:color w:val="auto"/>
              </w:rPr>
              <w:t>corp.delaware.gov/authver.shtml</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20" w:type="dxa"/>
            <w:vAlign w:val="bottom"/>
            <w:gridSpan w:val="2"/>
          </w:tcPr>
          <w:p>
            <w:pPr>
              <w:jc w:val="right"/>
              <w:ind w:right="557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67" w:right="199" w:bottom="111" w:gutter="0" w:footer="0" w:header="0"/>
        </w:sectPr>
      </w:pPr>
    </w:p>
    <w:bookmarkStart w:id="187" w:name="page188"/>
    <w:bookmarkEnd w:id="187"/>
    <w:p>
      <w:pPr>
        <w:jc w:val="center"/>
        <w:ind w:right="8500"/>
        <w:spacing w:after="0"/>
        <w:rPr>
          <w:sz w:val="20"/>
          <w:szCs w:val="20"/>
          <w:color w:val="auto"/>
        </w:rPr>
      </w:pPr>
      <w:r>
        <w:rPr>
          <w:rFonts w:ascii="Arial" w:cs="Arial" w:eastAsia="Arial" w:hAnsi="Arial"/>
          <w:sz w:val="17"/>
          <w:szCs w:val="17"/>
          <w:i w:val="1"/>
          <w:iCs w:val="1"/>
          <w:color w:val="auto"/>
        </w:rPr>
        <w:t>State of Delaware</w:t>
      </w:r>
    </w:p>
    <w:p>
      <w:pPr>
        <w:spacing w:after="0" w:line="26"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Secretary of State</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Division of Corporations</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Delivered 12:36 PM 06/14/2013</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FILED 12:33 PM 06/14/2013</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SRV 130777099 - 4198998 FILE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 CERTIFICATE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 xml:space="preserve">Veracyte,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 corporation organized and existing under the General Corporation Law of the State of Delaware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certifies as follows:</w:t>
      </w:r>
    </w:p>
    <w:p>
      <w:pPr>
        <w:spacing w:after="0" w:line="158" w:lineRule="exact"/>
        <w:rPr>
          <w:sz w:val="20"/>
          <w:szCs w:val="20"/>
          <w:color w:val="auto"/>
        </w:rPr>
      </w:pPr>
    </w:p>
    <w:p>
      <w:pPr>
        <w:ind w:right="460" w:firstLine="634"/>
        <w:spacing w:after="0" w:line="289" w:lineRule="auto"/>
        <w:tabs>
          <w:tab w:leader="none" w:pos="132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name of the Company is Veracyte, Inc. The Company was originally incorporated under the name “Calderome, Inc.” The Company’s original Certificate of Incorporation was filed with the Secretary of State of the State of Delaware on August 15, 2006.</w:t>
      </w:r>
    </w:p>
    <w:p>
      <w:pPr>
        <w:spacing w:after="0" w:line="158" w:lineRule="exact"/>
        <w:rPr>
          <w:rFonts w:ascii="Arial" w:cs="Arial" w:eastAsia="Arial" w:hAnsi="Arial"/>
          <w:sz w:val="17"/>
          <w:szCs w:val="17"/>
          <w:color w:val="auto"/>
        </w:rPr>
      </w:pPr>
    </w:p>
    <w:p>
      <w:pPr>
        <w:jc w:val="both"/>
        <w:ind w:right="80" w:firstLine="634"/>
        <w:spacing w:after="0" w:line="268" w:lineRule="auto"/>
        <w:tabs>
          <w:tab w:leader="none" w:pos="132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This Certificate of Amendment of Fourth Amended and Restated Certificate of Incorporation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Certificate of Amendment</w:t>
      </w:r>
      <w:r>
        <w:rPr>
          <w:rFonts w:ascii="Arial" w:cs="Arial" w:eastAsia="Arial" w:hAnsi="Arial"/>
          <w:sz w:val="17"/>
          <w:szCs w:val="17"/>
          <w:i w:val="1"/>
          <w:iCs w:val="1"/>
          <w:color w:val="auto"/>
        </w:rPr>
        <w:t>”</w:t>
      </w:r>
      <w:r>
        <w:rPr>
          <w:rFonts w:ascii="Arial" w:cs="Arial" w:eastAsia="Arial" w:hAnsi="Arial"/>
          <w:sz w:val="17"/>
          <w:szCs w:val="17"/>
          <w:color w:val="auto"/>
        </w:rPr>
        <w:t>) was duly adopted in accordance with Section 242 of the DGCL and amends the provisions of the Company’s Fourth Amended and Restated Certificate of Incorporation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Certificate</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as set forth in this Certificate of Amendment, the Restated Certificate shall remain in full force and effect, without modification,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or change.</w:t>
      </w:r>
    </w:p>
    <w:p>
      <w:pPr>
        <w:spacing w:after="0" w:line="175" w:lineRule="exact"/>
        <w:rPr>
          <w:rFonts w:ascii="Arial" w:cs="Arial" w:eastAsia="Arial" w:hAnsi="Arial"/>
          <w:sz w:val="17"/>
          <w:szCs w:val="17"/>
          <w:color w:val="auto"/>
        </w:rPr>
      </w:pPr>
    </w:p>
    <w:p>
      <w:pPr>
        <w:ind w:right="320" w:firstLine="634"/>
        <w:spacing w:after="0" w:line="289" w:lineRule="auto"/>
        <w:tabs>
          <w:tab w:leader="none" w:pos="132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terms and provisions of this Certificate of Amendment have been duly approved by written consent of the required number of shares of outstanding stock of the Company pursuant to Section 228 of the DGCL.</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Article IV.A is hereby amended and restated in its entirety as follows:</w:t>
      </w:r>
    </w:p>
    <w:p>
      <w:pPr>
        <w:spacing w:after="0" w:line="224" w:lineRule="exact"/>
        <w:rPr>
          <w:sz w:val="20"/>
          <w:szCs w:val="20"/>
          <w:color w:val="auto"/>
        </w:rPr>
      </w:pPr>
    </w:p>
    <w:p>
      <w:pPr>
        <w:ind w:left="1260" w:right="120" w:firstLine="629"/>
        <w:spacing w:after="0" w:line="265" w:lineRule="auto"/>
        <w:rPr>
          <w:sz w:val="20"/>
          <w:szCs w:val="20"/>
          <w:color w:val="auto"/>
        </w:rPr>
      </w:pPr>
      <w:r>
        <w:rPr>
          <w:rFonts w:ascii="Arial" w:cs="Arial" w:eastAsia="Arial" w:hAnsi="Arial"/>
          <w:sz w:val="17"/>
          <w:szCs w:val="17"/>
          <w:color w:val="auto"/>
        </w:rPr>
        <w:t xml:space="preserve">“The Company is authorized to issue two classes of stock to be designated, respectively, “Common Stock” and “Preferred Stock.” The total number of shares which the Company is authorized to issue is one hundred thirty-seven million (137,000,000) shares, seventy-seven million (77,000,000) shares of which shall be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i w:val="1"/>
          <w:iCs w:val="1"/>
          <w:color w:val="auto"/>
        </w:rPr>
        <w:t>”</w:t>
      </w:r>
      <w:r>
        <w:rPr>
          <w:rFonts w:ascii="Arial" w:cs="Arial" w:eastAsia="Arial" w:hAnsi="Arial"/>
          <w:sz w:val="17"/>
          <w:szCs w:val="17"/>
          <w:color w:val="auto"/>
        </w:rPr>
        <w:t>) and sixty million (60,000,000) shares of which shall be Preferred Stock. The Preferred Stock shall have a par value of one tenth of one cent ($0.001) per share and the Common Stock shall have a par value of one tenth of one cent ($0.001) per share.”</w:t>
      </w:r>
    </w:p>
    <w:p>
      <w:pPr>
        <w:spacing w:after="0" w:line="179" w:lineRule="exact"/>
        <w:rPr>
          <w:sz w:val="20"/>
          <w:szCs w:val="20"/>
          <w:color w:val="auto"/>
        </w:rPr>
      </w:pPr>
    </w:p>
    <w:p>
      <w:pPr>
        <w:ind w:left="1340" w:hanging="706"/>
        <w:spacing w:after="0"/>
        <w:tabs>
          <w:tab w:leader="none" w:pos="1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Article IV.C is hereby amended and restated in its entirety as follows:</w:t>
      </w:r>
    </w:p>
    <w:p>
      <w:pPr>
        <w:spacing w:after="0" w:line="224" w:lineRule="exact"/>
        <w:rPr>
          <w:sz w:val="20"/>
          <w:szCs w:val="20"/>
          <w:color w:val="auto"/>
        </w:rPr>
      </w:pPr>
    </w:p>
    <w:p>
      <w:pPr>
        <w:ind w:left="1260" w:right="60" w:firstLine="629"/>
        <w:spacing w:after="0" w:line="285" w:lineRule="auto"/>
        <w:rPr>
          <w:sz w:val="20"/>
          <w:szCs w:val="20"/>
          <w:color w:val="auto"/>
        </w:rPr>
      </w:pPr>
      <w:r>
        <w:rPr>
          <w:rFonts w:ascii="Arial" w:cs="Arial" w:eastAsia="Arial" w:hAnsi="Arial"/>
          <w:sz w:val="16"/>
          <w:szCs w:val="16"/>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A Preferred</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Twenty-two million seven hundred forty-eight thousand (22,748,000) of the authorized shares of Preferred Stock are hereby designated “Series B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B Preferred</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Fourteen million eight hundred fifty-two thousand one (14,852,001) of the authorized shares of Preferred Stock are hereby designated “Series C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C Preferred</w:t>
      </w:r>
      <w:r>
        <w:rPr>
          <w:rFonts w:ascii="Arial" w:cs="Arial" w:eastAsia="Arial" w:hAnsi="Arial"/>
          <w:sz w:val="16"/>
          <w:szCs w:val="16"/>
          <w:i w:val="1"/>
          <w:iCs w:val="1"/>
          <w:color w:val="auto"/>
        </w:rPr>
        <w:t>”</w:t>
      </w:r>
      <w:r>
        <w:rPr>
          <w:rFonts w:ascii="Arial" w:cs="Arial" w:eastAsia="Arial" w:hAnsi="Arial"/>
          <w:sz w:val="16"/>
          <w:szCs w:val="16"/>
          <w:color w:val="auto"/>
        </w:rPr>
        <w:t xml:space="preserve"> and together with the Series A Preferred and Series B Preferred,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Preferred Stock</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IN WITNESS WHEREOF, the Company has caused this Certificate of Amendment of Fourth Amended and Restated Certificate of Incorporation to be signed its duly authorized Chief Executive Officer, as of June 14, 2013.</w:t>
      </w: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191"/>
        </w:trPr>
        <w:tc>
          <w:tcPr>
            <w:tcW w:w="76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CERTIFICATE OF AMENDMENT OF “VERACYTE, INC.”, FILED IN THIS OFFICE ON THE TWENTY-FOURTH DAY OF JUNE, A.D. 2013, AT 1:41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7"/>
                <w:szCs w:val="17"/>
                <w:b w:val="1"/>
                <w:bCs w:val="1"/>
                <w:i w:val="1"/>
                <w:iCs w:val="1"/>
                <w:color w:val="auto"/>
              </w:rPr>
              <w:t>4198998 8100</w:t>
            </w:r>
          </w:p>
        </w:tc>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7"/>
                <w:szCs w:val="17"/>
                <w:b w:val="1"/>
                <w:bCs w:val="1"/>
                <w:i w:val="1"/>
                <w:iCs w:val="1"/>
                <w:color w:val="auto"/>
              </w:rPr>
              <w:t>130807856</w:t>
            </w:r>
          </w:p>
        </w:tc>
        <w:tc>
          <w:tcPr>
            <w:tcW w:w="2640" w:type="dxa"/>
            <w:vAlign w:val="bottom"/>
            <w:vMerge w:val="restart"/>
          </w:tcPr>
          <w:p>
            <w:pPr>
              <w:ind w:left="114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rPr>
              <w:t>AUTHENTICATION: 0535373</w:t>
            </w:r>
          </w:p>
        </w:tc>
        <w:tc>
          <w:tcPr>
            <w:tcW w:w="0" w:type="dxa"/>
            <w:vAlign w:val="bottom"/>
          </w:tcPr>
          <w:p>
            <w:pPr>
              <w:spacing w:after="0"/>
              <w:rPr>
                <w:sz w:val="1"/>
                <w:szCs w:val="1"/>
                <w:color w:val="auto"/>
              </w:rPr>
            </w:pPr>
          </w:p>
        </w:tc>
      </w:tr>
      <w:tr>
        <w:trPr>
          <w:trHeight w:val="92"/>
        </w:trPr>
        <w:tc>
          <w:tcPr>
            <w:tcW w:w="214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tabs>
          <w:tab w:leader="none" w:pos="7840" w:val="left"/>
        </w:tabs>
        <w:rPr>
          <w:sz w:val="20"/>
          <w:szCs w:val="20"/>
          <w:color w:val="auto"/>
        </w:rPr>
      </w:pPr>
      <w:r>
        <w:rPr>
          <w:rFonts w:ascii="Arial" w:cs="Arial" w:eastAsia="Arial" w:hAnsi="Arial"/>
          <w:sz w:val="17"/>
          <w:szCs w:val="17"/>
          <w:i w:val="1"/>
          <w:iCs w:val="1"/>
          <w:color w:val="auto"/>
        </w:rPr>
        <w:t>You may verify this certificate online at</w:t>
      </w:r>
      <w:r>
        <w:rPr>
          <w:sz w:val="20"/>
          <w:szCs w:val="20"/>
          <w:color w:val="auto"/>
        </w:rPr>
        <w:tab/>
      </w:r>
      <w:r>
        <w:rPr>
          <w:rFonts w:ascii="Arial" w:cs="Arial" w:eastAsia="Arial" w:hAnsi="Arial"/>
          <w:sz w:val="16"/>
          <w:szCs w:val="16"/>
          <w:b w:val="1"/>
          <w:bCs w:val="1"/>
          <w:i w:val="1"/>
          <w:iCs w:val="1"/>
          <w:color w:val="auto"/>
        </w:rPr>
        <w:t>DATE: 06-24-13</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corp.delaware.gov/authver.shtml</w:t>
      </w:r>
    </w:p>
    <w:p>
      <w:pPr>
        <w:sectPr>
          <w:pgSz w:w="11900" w:h="16838" w:orient="portrait"/>
          <w:cols w:equalWidth="0" w:num="1">
            <w:col w:w="11420"/>
          </w:cols>
          <w:pgMar w:left="240" w:top="127" w:right="239" w:bottom="0" w:gutter="0" w:footer="0" w:header="0"/>
          <w:type w:val="continuous"/>
        </w:sectPr>
      </w:pPr>
    </w:p>
    <w:bookmarkStart w:id="188" w:name="page189"/>
    <w:bookmarkEnd w:id="188"/>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State of Delaware</w:t>
      </w:r>
    </w:p>
    <w:p>
      <w:pPr>
        <w:spacing w:after="0" w:line="26"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Secretary of State</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Division of Corporations</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Delivered 01:48 PM 06/24/2013</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FILED 01:41 PM 06/24/2013</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SRV 130807856 - 4198998 FILE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CERTIFICATE OF AMENDMENT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FOURTH AMENDED AND RESTATED CERTIFICATE OF INCORPORATION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 corporation organized and existing under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certifies as follows:</w:t>
      </w:r>
    </w:p>
    <w:p>
      <w:pPr>
        <w:spacing w:after="0" w:line="158" w:lineRule="exact"/>
        <w:rPr>
          <w:sz w:val="20"/>
          <w:szCs w:val="20"/>
          <w:color w:val="auto"/>
        </w:rPr>
      </w:pPr>
    </w:p>
    <w:p>
      <w:pPr>
        <w:ind w:right="500" w:firstLine="634"/>
        <w:spacing w:after="0" w:line="289" w:lineRule="auto"/>
        <w:tabs>
          <w:tab w:leader="none" w:pos="13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name of the Company is Veracyte, Inc. The Company was originally incorporated under the name “Calderome, Inc.” The Company’s original Certificate of Incorporation was filed with the Secretary of State of the State of Delaware on August 15, 2006.</w:t>
      </w:r>
    </w:p>
    <w:p>
      <w:pPr>
        <w:spacing w:after="0" w:line="158" w:lineRule="exact"/>
        <w:rPr>
          <w:rFonts w:ascii="Arial" w:cs="Arial" w:eastAsia="Arial" w:hAnsi="Arial"/>
          <w:sz w:val="17"/>
          <w:szCs w:val="17"/>
          <w:color w:val="auto"/>
        </w:rPr>
      </w:pPr>
    </w:p>
    <w:p>
      <w:pPr>
        <w:jc w:val="both"/>
        <w:ind w:right="140" w:firstLine="634"/>
        <w:spacing w:after="0" w:line="268" w:lineRule="auto"/>
        <w:tabs>
          <w:tab w:leader="none" w:pos="13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This Certificate of Amendment of Fourth Amended and Restated Certificate of Incorporation (</w:t>
      </w:r>
      <w:r>
        <w:rPr>
          <w:rFonts w:ascii="Arial" w:cs="Arial" w:eastAsia="Arial" w:hAnsi="Arial"/>
          <w:sz w:val="17"/>
          <w:szCs w:val="17"/>
          <w:b w:val="1"/>
          <w:bCs w:val="1"/>
          <w:i w:val="1"/>
          <w:iCs w:val="1"/>
          <w:color w:val="auto"/>
        </w:rPr>
        <w:t>“Certificate of Amendment”</w:t>
      </w:r>
      <w:r>
        <w:rPr>
          <w:rFonts w:ascii="Arial" w:cs="Arial" w:eastAsia="Arial" w:hAnsi="Arial"/>
          <w:sz w:val="17"/>
          <w:szCs w:val="17"/>
          <w:color w:val="auto"/>
        </w:rPr>
        <w:t>) was duly adopted in accordance with Section 242 of the DGCL and amends the provisions of the Company’s Fourth Amended and Restated Certificate of Incorporation (</w:t>
      </w:r>
      <w:r>
        <w:rPr>
          <w:rFonts w:ascii="Arial" w:cs="Arial" w:eastAsia="Arial" w:hAnsi="Arial"/>
          <w:sz w:val="17"/>
          <w:szCs w:val="17"/>
          <w:b w:val="1"/>
          <w:bCs w:val="1"/>
          <w:i w:val="1"/>
          <w:iCs w:val="1"/>
          <w:color w:val="auto"/>
        </w:rPr>
        <w:t>“Restated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as set forth in this Certificate of Amendment, the Restated Certificate shall remain in full force and effect, without modification,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or change.</w:t>
      </w:r>
    </w:p>
    <w:p>
      <w:pPr>
        <w:spacing w:after="0" w:line="175" w:lineRule="exact"/>
        <w:rPr>
          <w:rFonts w:ascii="Arial" w:cs="Arial" w:eastAsia="Arial" w:hAnsi="Arial"/>
          <w:sz w:val="17"/>
          <w:szCs w:val="17"/>
          <w:color w:val="auto"/>
        </w:rPr>
      </w:pPr>
    </w:p>
    <w:p>
      <w:pPr>
        <w:ind w:right="360" w:firstLine="634"/>
        <w:spacing w:after="0" w:line="289" w:lineRule="auto"/>
        <w:tabs>
          <w:tab w:leader="none" w:pos="13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terms and provisions of this Certificate of Amendment have been duly approved by written consent of the required number of shares of outstanding stock of the Company pursuant to Section 228 of the DGCL.</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Article IV.A is hereby amended and restated in its entirety as follows:</w:t>
      </w:r>
    </w:p>
    <w:p>
      <w:pPr>
        <w:spacing w:after="0" w:line="224" w:lineRule="exact"/>
        <w:rPr>
          <w:sz w:val="20"/>
          <w:szCs w:val="20"/>
          <w:color w:val="auto"/>
        </w:rPr>
      </w:pPr>
    </w:p>
    <w:p>
      <w:pPr>
        <w:ind w:left="1260" w:right="160" w:firstLine="629"/>
        <w:spacing w:after="0" w:line="263" w:lineRule="auto"/>
        <w:rPr>
          <w:sz w:val="20"/>
          <w:szCs w:val="20"/>
          <w:color w:val="auto"/>
        </w:rPr>
      </w:pPr>
      <w:r>
        <w:rPr>
          <w:rFonts w:ascii="Arial" w:cs="Arial" w:eastAsia="Arial" w:hAnsi="Arial"/>
          <w:sz w:val="17"/>
          <w:szCs w:val="17"/>
          <w:color w:val="auto"/>
        </w:rPr>
        <w:t xml:space="preserve">“The Company is authorized to issue two classes of stock to be designated, respectively, “Common Stock” and “Preferred Stock.” The total number of shares which the Company is authorized to issue is one hundred thirty-seven million one hundred eighty-seven thousand seven hundred (137,187,700) shares, seventy-seven million (77,000,000) shares of which shall be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b w:val="1"/>
          <w:bCs w:val="1"/>
          <w:color w:val="auto"/>
        </w:rPr>
        <w:t>”</w:t>
      </w:r>
      <w:r>
        <w:rPr>
          <w:rFonts w:ascii="Arial" w:cs="Arial" w:eastAsia="Arial" w:hAnsi="Arial"/>
          <w:sz w:val="17"/>
          <w:szCs w:val="17"/>
          <w:color w:val="auto"/>
        </w:rPr>
        <w:t>) and sixty million one hundred eighty- seven thousand seven hundred (60,187,700) shares of which shall be Preferred Stock. The Preferred Stock shall have a par value of one tenth of one cent ($0.001) per share and the Common Stock shall have a par value of one tenth of one cent ($0.001) per share.”</w:t>
      </w:r>
    </w:p>
    <w:p>
      <w:pPr>
        <w:spacing w:after="0" w:line="183" w:lineRule="exact"/>
        <w:rPr>
          <w:sz w:val="20"/>
          <w:szCs w:val="20"/>
          <w:color w:val="auto"/>
        </w:rPr>
      </w:pPr>
    </w:p>
    <w:p>
      <w:pPr>
        <w:ind w:left="1300" w:hanging="603"/>
        <w:spacing w:after="0"/>
        <w:tabs>
          <w:tab w:leader="none" w:pos="13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Article IV.C is hereby amended and restated in its entirety as follows:</w:t>
      </w:r>
    </w:p>
    <w:p>
      <w:pPr>
        <w:spacing w:after="0" w:line="224" w:lineRule="exact"/>
        <w:rPr>
          <w:sz w:val="20"/>
          <w:szCs w:val="20"/>
          <w:color w:val="auto"/>
        </w:rPr>
      </w:pPr>
    </w:p>
    <w:p>
      <w:pPr>
        <w:ind w:left="1260" w:right="240" w:firstLine="629"/>
        <w:spacing w:after="0" w:line="308" w:lineRule="auto"/>
        <w:rPr>
          <w:sz w:val="20"/>
          <w:szCs w:val="20"/>
          <w:color w:val="auto"/>
        </w:rPr>
      </w:pPr>
      <w:r>
        <w:rPr>
          <w:rFonts w:ascii="Arial" w:cs="Arial" w:eastAsia="Arial" w:hAnsi="Arial"/>
          <w:sz w:val="15"/>
          <w:szCs w:val="15"/>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5"/>
          <w:szCs w:val="15"/>
          <w:b w:val="1"/>
          <w:bCs w:val="1"/>
          <w:i w:val="1"/>
          <w:iCs w:val="1"/>
          <w:color w:val="auto"/>
        </w:rPr>
        <w:t>“Series A Preferred”).</w:t>
      </w:r>
      <w:r>
        <w:rPr>
          <w:rFonts w:ascii="Arial" w:cs="Arial" w:eastAsia="Arial" w:hAnsi="Arial"/>
          <w:sz w:val="15"/>
          <w:szCs w:val="15"/>
          <w:color w:val="auto"/>
        </w:rPr>
        <w:t xml:space="preserve"> Twenty-two million seven hundred forty-eight thousand (22,748,000) of the authorized shares of Preferred Stock are hereby designated “Series B Preferred Stock” (the </w:t>
      </w:r>
      <w:r>
        <w:rPr>
          <w:rFonts w:ascii="Arial" w:cs="Arial" w:eastAsia="Arial" w:hAnsi="Arial"/>
          <w:sz w:val="15"/>
          <w:szCs w:val="15"/>
          <w:b w:val="1"/>
          <w:bCs w:val="1"/>
          <w:i w:val="1"/>
          <w:iCs w:val="1"/>
          <w:color w:val="auto"/>
        </w:rPr>
        <w:t>“Series B Preferred”</w:t>
      </w:r>
      <w:r>
        <w:rPr>
          <w:rFonts w:ascii="Arial" w:cs="Arial" w:eastAsia="Arial" w:hAnsi="Arial"/>
          <w:sz w:val="15"/>
          <w:szCs w:val="15"/>
          <w:color w:val="auto"/>
        </w:rPr>
        <w:t>)</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Fifteen million thirty-nine thousand seven hundred one (15,039,701) of the authorized shares of Preferred Stock are hereby designated “Series C Preferred Stock” (the </w:t>
      </w:r>
      <w:r>
        <w:rPr>
          <w:rFonts w:ascii="Arial" w:cs="Arial" w:eastAsia="Arial" w:hAnsi="Arial"/>
          <w:sz w:val="15"/>
          <w:szCs w:val="15"/>
          <w:b w:val="1"/>
          <w:bCs w:val="1"/>
          <w:i w:val="1"/>
          <w:iCs w:val="1"/>
          <w:color w:val="auto"/>
        </w:rPr>
        <w:t>“Series C Preferred”</w:t>
      </w:r>
      <w:r>
        <w:rPr>
          <w:rFonts w:ascii="Arial" w:cs="Arial" w:eastAsia="Arial" w:hAnsi="Arial"/>
          <w:sz w:val="15"/>
          <w:szCs w:val="15"/>
          <w:color w:val="auto"/>
        </w:rPr>
        <w:t xml:space="preserve"> and together with the Series A Preferred and Series B Preferred,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IN WITNESS WHEREOF, the Company has caused this Certificate of Amendment of Fourth Amended and Restated Certificate of Incorporation to be signed its duly authorized Chief Executive Officer, as of June 24, 2013.</w:t>
      </w: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ind w:left="57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 xml:space="preserve">/s/ </w:t>
            </w:r>
            <w:r>
              <w:rPr>
                <w:rFonts w:ascii="Arial" w:cs="Arial" w:eastAsia="Arial" w:hAnsi="Arial"/>
                <w:sz w:val="17"/>
                <w:szCs w:val="17"/>
                <w:color w:val="auto"/>
              </w:rPr>
              <w:t>Bonnie Anderson</w:t>
            </w:r>
          </w:p>
        </w:tc>
        <w:tc>
          <w:tcPr>
            <w:tcW w:w="40" w:type="dxa"/>
            <w:vAlign w:val="bottom"/>
          </w:tcPr>
          <w:p>
            <w:pPr>
              <w:spacing w:after="0"/>
              <w:rPr>
                <w:sz w:val="19"/>
                <w:szCs w:val="19"/>
                <w:color w:val="auto"/>
              </w:rPr>
            </w:pPr>
          </w:p>
        </w:tc>
      </w:tr>
      <w:tr>
        <w:trPr>
          <w:trHeight w:val="191"/>
        </w:trPr>
        <w:tc>
          <w:tcPr>
            <w:tcW w:w="6600" w:type="dxa"/>
            <w:vAlign w:val="bottom"/>
          </w:tcPr>
          <w:p>
            <w:pPr>
              <w:ind w:left="5720"/>
              <w:spacing w:after="0" w:line="191" w:lineRule="exact"/>
              <w:rPr>
                <w:sz w:val="20"/>
                <w:szCs w:val="20"/>
                <w:color w:val="auto"/>
              </w:rPr>
            </w:pPr>
            <w:r>
              <w:rPr>
                <w:rFonts w:ascii="Arial" w:cs="Arial" w:eastAsia="Arial" w:hAnsi="Arial"/>
                <w:sz w:val="17"/>
                <w:szCs w:val="17"/>
                <w:color w:val="auto"/>
              </w:rPr>
              <w:t>Name:</w:t>
            </w:r>
          </w:p>
        </w:tc>
        <w:tc>
          <w:tcPr>
            <w:tcW w:w="482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c>
          <w:tcPr>
            <w:tcW w:w="40" w:type="dxa"/>
            <w:vAlign w:val="bottom"/>
          </w:tcPr>
          <w:p>
            <w:pPr>
              <w:spacing w:after="0"/>
              <w:rPr>
                <w:sz w:val="16"/>
                <w:szCs w:val="16"/>
                <w:color w:val="auto"/>
              </w:rPr>
            </w:pPr>
          </w:p>
        </w:tc>
      </w:tr>
      <w:tr>
        <w:trPr>
          <w:trHeight w:val="222"/>
        </w:trPr>
        <w:tc>
          <w:tcPr>
            <w:tcW w:w="6600" w:type="dxa"/>
            <w:vAlign w:val="bottom"/>
          </w:tcPr>
          <w:p>
            <w:pPr>
              <w:ind w:left="5720"/>
              <w:spacing w:after="0"/>
              <w:rPr>
                <w:sz w:val="20"/>
                <w:szCs w:val="20"/>
                <w:color w:val="auto"/>
              </w:rPr>
            </w:pPr>
            <w:r>
              <w:rPr>
                <w:rFonts w:ascii="Arial" w:cs="Arial" w:eastAsia="Arial" w:hAnsi="Arial"/>
                <w:sz w:val="17"/>
                <w:szCs w:val="17"/>
                <w:color w:val="auto"/>
              </w:rPr>
              <w:t>Title:</w:t>
            </w:r>
          </w:p>
        </w:tc>
        <w:tc>
          <w:tcPr>
            <w:tcW w:w="482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338"/>
        </w:trPr>
        <w:tc>
          <w:tcPr>
            <w:tcW w:w="660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89" w:name="page190"/>
    <w:bookmarkEnd w:id="189"/>
    <w:p>
      <w:pPr>
        <w:ind w:left="10400"/>
        <w:spacing w:after="0"/>
        <w:rPr>
          <w:sz w:val="20"/>
          <w:szCs w:val="20"/>
          <w:color w:val="auto"/>
        </w:rPr>
      </w:pPr>
      <w:r>
        <w:rPr>
          <w:rFonts w:ascii="Arial" w:cs="Arial" w:eastAsia="Arial" w:hAnsi="Arial"/>
          <w:sz w:val="17"/>
          <w:szCs w:val="17"/>
          <w:b w:val="1"/>
          <w:bCs w:val="1"/>
          <w:color w:val="auto"/>
        </w:rPr>
        <w:t>Exhibit 3.2(a)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BYLAWS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860" w:type="dxa"/>
            <w:vAlign w:val="bottom"/>
          </w:tcPr>
          <w:p>
            <w:pPr>
              <w:spacing w:after="0"/>
              <w:rPr>
                <w:sz w:val="24"/>
                <w:szCs w:val="24"/>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OF</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1860" w:type="dxa"/>
            <w:vAlign w:val="bottom"/>
          </w:tcPr>
          <w:p>
            <w:pPr>
              <w:spacing w:after="0"/>
              <w:rPr>
                <w:sz w:val="24"/>
                <w:szCs w:val="24"/>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CALDEROME INC.</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60" w:type="dxa"/>
            <w:vAlign w:val="bottom"/>
          </w:tcPr>
          <w:p>
            <w:pPr>
              <w:spacing w:after="0"/>
              <w:rPr>
                <w:sz w:val="19"/>
                <w:szCs w:val="19"/>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(A DELAWARE CORPORATION)</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860" w:type="dxa"/>
            <w:vAlign w:val="bottom"/>
            <w:tcBorders>
              <w:bottom w:val="single" w:sz="8" w:color="010101"/>
            </w:tcBorders>
          </w:tcPr>
          <w:p>
            <w:pPr>
              <w:spacing w:after="0"/>
              <w:rPr>
                <w:sz w:val="24"/>
                <w:szCs w:val="24"/>
                <w:color w:val="auto"/>
              </w:rPr>
            </w:pPr>
          </w:p>
        </w:tc>
        <w:tc>
          <w:tcPr>
            <w:tcW w:w="89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8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60" w:type="dxa"/>
            <w:vAlign w:val="bottom"/>
          </w:tcPr>
          <w:p>
            <w:pPr>
              <w:spacing w:after="0"/>
              <w:rPr>
                <w:sz w:val="20"/>
                <w:szCs w:val="20"/>
                <w:color w:val="auto"/>
              </w:rPr>
            </w:pPr>
            <w:r>
              <w:rPr>
                <w:rFonts w:ascii="Arial" w:cs="Arial" w:eastAsia="Arial" w:hAnsi="Arial"/>
                <w:sz w:val="17"/>
                <w:szCs w:val="17"/>
                <w:color w:val="auto"/>
              </w:rPr>
              <w:t>ARTICLE I OFFICES</w:t>
            </w:r>
          </w:p>
        </w:tc>
        <w:tc>
          <w:tcPr>
            <w:tcW w:w="89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860" w:type="dxa"/>
            <w:vAlign w:val="bottom"/>
          </w:tcPr>
          <w:p>
            <w:pPr>
              <w:ind w:left="520"/>
              <w:spacing w:after="0"/>
              <w:rPr>
                <w:sz w:val="20"/>
                <w:szCs w:val="20"/>
                <w:color w:val="auto"/>
              </w:rPr>
            </w:pPr>
            <w:r>
              <w:rPr>
                <w:rFonts w:ascii="Arial" w:cs="Arial" w:eastAsia="Arial" w:hAnsi="Arial"/>
                <w:sz w:val="17"/>
                <w:szCs w:val="17"/>
                <w:color w:val="auto"/>
              </w:rPr>
              <w:t>Section 1.</w:t>
            </w:r>
          </w:p>
        </w:tc>
        <w:tc>
          <w:tcPr>
            <w:tcW w:w="8900" w:type="dxa"/>
            <w:vAlign w:val="bottom"/>
          </w:tcPr>
          <w:p>
            <w:pPr>
              <w:ind w:left="80"/>
              <w:spacing w:after="0"/>
              <w:rPr>
                <w:sz w:val="20"/>
                <w:szCs w:val="20"/>
                <w:color w:val="auto"/>
              </w:rPr>
            </w:pPr>
            <w:r>
              <w:rPr>
                <w:rFonts w:ascii="Arial" w:cs="Arial" w:eastAsia="Arial" w:hAnsi="Arial"/>
                <w:sz w:val="17"/>
                <w:szCs w:val="17"/>
                <w:color w:val="auto"/>
              </w:rPr>
              <w:t>Other Offices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II CORPORATE SEAL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860" w:type="dxa"/>
            <w:vAlign w:val="bottom"/>
          </w:tcPr>
          <w:p>
            <w:pPr>
              <w:ind w:left="520"/>
              <w:spacing w:after="0"/>
              <w:rPr>
                <w:sz w:val="20"/>
                <w:szCs w:val="20"/>
                <w:color w:val="auto"/>
              </w:rPr>
            </w:pPr>
            <w:r>
              <w:rPr>
                <w:rFonts w:ascii="Arial" w:cs="Arial" w:eastAsia="Arial" w:hAnsi="Arial"/>
                <w:sz w:val="17"/>
                <w:szCs w:val="17"/>
                <w:color w:val="auto"/>
              </w:rPr>
              <w:t>Section 2.</w:t>
            </w:r>
          </w:p>
        </w:tc>
        <w:tc>
          <w:tcPr>
            <w:tcW w:w="8900" w:type="dxa"/>
            <w:vAlign w:val="bottom"/>
          </w:tcPr>
          <w:p>
            <w:pPr>
              <w:ind w:left="80"/>
              <w:spacing w:after="0"/>
              <w:rPr>
                <w:sz w:val="20"/>
                <w:szCs w:val="20"/>
                <w:color w:val="auto"/>
              </w:rPr>
            </w:pPr>
            <w:r>
              <w:rPr>
                <w:rFonts w:ascii="Arial" w:cs="Arial" w:eastAsia="Arial" w:hAnsi="Arial"/>
                <w:sz w:val="17"/>
                <w:szCs w:val="17"/>
                <w:color w:val="auto"/>
              </w:rPr>
              <w:t>Corporate Seal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III STOCKHOLDERS’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3.</w:t>
            </w:r>
          </w:p>
        </w:tc>
        <w:tc>
          <w:tcPr>
            <w:tcW w:w="8900" w:type="dxa"/>
            <w:vAlign w:val="bottom"/>
          </w:tcPr>
          <w:p>
            <w:pPr>
              <w:ind w:left="80"/>
              <w:spacing w:after="0"/>
              <w:rPr>
                <w:sz w:val="20"/>
                <w:szCs w:val="20"/>
                <w:color w:val="auto"/>
              </w:rPr>
            </w:pPr>
            <w:r>
              <w:rPr>
                <w:rFonts w:ascii="Arial" w:cs="Arial" w:eastAsia="Arial" w:hAnsi="Arial"/>
                <w:sz w:val="17"/>
                <w:szCs w:val="17"/>
                <w:color w:val="auto"/>
              </w:rPr>
              <w:t>Place of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4.</w:t>
            </w:r>
          </w:p>
        </w:tc>
        <w:tc>
          <w:tcPr>
            <w:tcW w:w="8900" w:type="dxa"/>
            <w:vAlign w:val="bottom"/>
          </w:tcPr>
          <w:p>
            <w:pPr>
              <w:ind w:left="80"/>
              <w:spacing w:after="0"/>
              <w:rPr>
                <w:sz w:val="20"/>
                <w:szCs w:val="20"/>
                <w:color w:val="auto"/>
              </w:rPr>
            </w:pPr>
            <w:r>
              <w:rPr>
                <w:rFonts w:ascii="Arial" w:cs="Arial" w:eastAsia="Arial" w:hAnsi="Arial"/>
                <w:sz w:val="17"/>
                <w:szCs w:val="17"/>
                <w:color w:val="auto"/>
              </w:rPr>
              <w:t>Annual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5.</w:t>
            </w:r>
          </w:p>
        </w:tc>
        <w:tc>
          <w:tcPr>
            <w:tcW w:w="8900" w:type="dxa"/>
            <w:vAlign w:val="bottom"/>
          </w:tcPr>
          <w:p>
            <w:pPr>
              <w:ind w:left="80"/>
              <w:spacing w:after="0"/>
              <w:rPr>
                <w:sz w:val="20"/>
                <w:szCs w:val="20"/>
                <w:color w:val="auto"/>
              </w:rPr>
            </w:pPr>
            <w:r>
              <w:rPr>
                <w:rFonts w:ascii="Arial" w:cs="Arial" w:eastAsia="Arial" w:hAnsi="Arial"/>
                <w:sz w:val="17"/>
                <w:szCs w:val="17"/>
                <w:color w:val="auto"/>
              </w:rPr>
              <w:t>Special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6.</w:t>
            </w:r>
          </w:p>
        </w:tc>
        <w:tc>
          <w:tcPr>
            <w:tcW w:w="8900" w:type="dxa"/>
            <w:vAlign w:val="bottom"/>
          </w:tcPr>
          <w:p>
            <w:pPr>
              <w:ind w:left="80"/>
              <w:spacing w:after="0"/>
              <w:rPr>
                <w:sz w:val="20"/>
                <w:szCs w:val="20"/>
                <w:color w:val="auto"/>
              </w:rPr>
            </w:pPr>
            <w:r>
              <w:rPr>
                <w:rFonts w:ascii="Arial" w:cs="Arial" w:eastAsia="Arial" w:hAnsi="Arial"/>
                <w:sz w:val="17"/>
                <w:szCs w:val="17"/>
                <w:color w:val="auto"/>
              </w:rPr>
              <w:t>Notice of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7.</w:t>
            </w:r>
          </w:p>
        </w:tc>
        <w:tc>
          <w:tcPr>
            <w:tcW w:w="8900" w:type="dxa"/>
            <w:vAlign w:val="bottom"/>
          </w:tcPr>
          <w:p>
            <w:pPr>
              <w:ind w:left="80"/>
              <w:spacing w:after="0"/>
              <w:rPr>
                <w:sz w:val="20"/>
                <w:szCs w:val="20"/>
                <w:color w:val="auto"/>
              </w:rPr>
            </w:pPr>
            <w:r>
              <w:rPr>
                <w:rFonts w:ascii="Arial" w:cs="Arial" w:eastAsia="Arial" w:hAnsi="Arial"/>
                <w:sz w:val="17"/>
                <w:szCs w:val="17"/>
                <w:color w:val="auto"/>
              </w:rPr>
              <w:t>Quorum</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8.</w:t>
            </w:r>
          </w:p>
        </w:tc>
        <w:tc>
          <w:tcPr>
            <w:tcW w:w="8900" w:type="dxa"/>
            <w:vAlign w:val="bottom"/>
          </w:tcPr>
          <w:p>
            <w:pPr>
              <w:ind w:left="80"/>
              <w:spacing w:after="0"/>
              <w:rPr>
                <w:sz w:val="20"/>
                <w:szCs w:val="20"/>
                <w:color w:val="auto"/>
              </w:rPr>
            </w:pPr>
            <w:r>
              <w:rPr>
                <w:rFonts w:ascii="Arial" w:cs="Arial" w:eastAsia="Arial" w:hAnsi="Arial"/>
                <w:sz w:val="17"/>
                <w:szCs w:val="17"/>
                <w:color w:val="auto"/>
              </w:rPr>
              <w:t>Adjournment and Notice of Adjourned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9.</w:t>
            </w:r>
          </w:p>
        </w:tc>
        <w:tc>
          <w:tcPr>
            <w:tcW w:w="8900" w:type="dxa"/>
            <w:vAlign w:val="bottom"/>
          </w:tcPr>
          <w:p>
            <w:pPr>
              <w:ind w:left="80"/>
              <w:spacing w:after="0"/>
              <w:rPr>
                <w:sz w:val="20"/>
                <w:szCs w:val="20"/>
                <w:color w:val="auto"/>
              </w:rPr>
            </w:pPr>
            <w:r>
              <w:rPr>
                <w:rFonts w:ascii="Arial" w:cs="Arial" w:eastAsia="Arial" w:hAnsi="Arial"/>
                <w:sz w:val="17"/>
                <w:szCs w:val="17"/>
                <w:color w:val="auto"/>
              </w:rPr>
              <w:t>Voting Rights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10.</w:t>
            </w:r>
          </w:p>
        </w:tc>
        <w:tc>
          <w:tcPr>
            <w:tcW w:w="8900" w:type="dxa"/>
            <w:vAlign w:val="bottom"/>
          </w:tcPr>
          <w:p>
            <w:pPr>
              <w:ind w:left="80"/>
              <w:spacing w:after="0"/>
              <w:rPr>
                <w:sz w:val="20"/>
                <w:szCs w:val="20"/>
                <w:color w:val="auto"/>
              </w:rPr>
            </w:pPr>
            <w:r>
              <w:rPr>
                <w:rFonts w:ascii="Arial" w:cs="Arial" w:eastAsia="Arial" w:hAnsi="Arial"/>
                <w:sz w:val="17"/>
                <w:szCs w:val="17"/>
                <w:color w:val="auto"/>
              </w:rPr>
              <w:t>Joint Owners of Stock</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11.</w:t>
            </w:r>
          </w:p>
        </w:tc>
        <w:tc>
          <w:tcPr>
            <w:tcW w:w="8900" w:type="dxa"/>
            <w:vAlign w:val="bottom"/>
          </w:tcPr>
          <w:p>
            <w:pPr>
              <w:ind w:left="80"/>
              <w:spacing w:after="0"/>
              <w:rPr>
                <w:sz w:val="20"/>
                <w:szCs w:val="20"/>
                <w:color w:val="auto"/>
              </w:rPr>
            </w:pPr>
            <w:r>
              <w:rPr>
                <w:rFonts w:ascii="Arial" w:cs="Arial" w:eastAsia="Arial" w:hAnsi="Arial"/>
                <w:sz w:val="17"/>
                <w:szCs w:val="17"/>
                <w:color w:val="auto"/>
              </w:rPr>
              <w:t>List of Stockholders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12.</w:t>
            </w:r>
          </w:p>
        </w:tc>
        <w:tc>
          <w:tcPr>
            <w:tcW w:w="8900" w:type="dxa"/>
            <w:vAlign w:val="bottom"/>
          </w:tcPr>
          <w:p>
            <w:pPr>
              <w:ind w:left="80"/>
              <w:spacing w:after="0"/>
              <w:rPr>
                <w:sz w:val="20"/>
                <w:szCs w:val="20"/>
                <w:color w:val="auto"/>
              </w:rPr>
            </w:pPr>
            <w:r>
              <w:rPr>
                <w:rFonts w:ascii="Arial" w:cs="Arial" w:eastAsia="Arial" w:hAnsi="Arial"/>
                <w:sz w:val="17"/>
                <w:szCs w:val="17"/>
                <w:color w:val="auto"/>
              </w:rPr>
              <w:t>Action Without Meeting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13.</w:t>
            </w:r>
          </w:p>
        </w:tc>
        <w:tc>
          <w:tcPr>
            <w:tcW w:w="8900" w:type="dxa"/>
            <w:vAlign w:val="bottom"/>
          </w:tcPr>
          <w:p>
            <w:pPr>
              <w:ind w:left="80"/>
              <w:spacing w:after="0"/>
              <w:rPr>
                <w:sz w:val="20"/>
                <w:szCs w:val="20"/>
                <w:color w:val="auto"/>
              </w:rPr>
            </w:pPr>
            <w:r>
              <w:rPr>
                <w:rFonts w:ascii="Arial" w:cs="Arial" w:eastAsia="Arial" w:hAnsi="Arial"/>
                <w:sz w:val="17"/>
                <w:szCs w:val="17"/>
                <w:color w:val="auto"/>
              </w:rPr>
              <w:t>Organization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IV DIRECTORS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14.</w:t>
            </w:r>
          </w:p>
        </w:tc>
        <w:tc>
          <w:tcPr>
            <w:tcW w:w="8900" w:type="dxa"/>
            <w:vAlign w:val="bottom"/>
          </w:tcPr>
          <w:p>
            <w:pPr>
              <w:ind w:left="80"/>
              <w:spacing w:after="0"/>
              <w:rPr>
                <w:sz w:val="20"/>
                <w:szCs w:val="20"/>
                <w:color w:val="auto"/>
              </w:rPr>
            </w:pPr>
            <w:r>
              <w:rPr>
                <w:rFonts w:ascii="Arial" w:cs="Arial" w:eastAsia="Arial" w:hAnsi="Arial"/>
                <w:sz w:val="17"/>
                <w:szCs w:val="17"/>
                <w:color w:val="auto"/>
              </w:rPr>
              <w:t>Number and Term of Office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15.</w:t>
            </w:r>
          </w:p>
        </w:tc>
        <w:tc>
          <w:tcPr>
            <w:tcW w:w="8900" w:type="dxa"/>
            <w:vAlign w:val="bottom"/>
          </w:tcPr>
          <w:p>
            <w:pPr>
              <w:ind w:left="80"/>
              <w:spacing w:after="0"/>
              <w:rPr>
                <w:sz w:val="20"/>
                <w:szCs w:val="20"/>
                <w:color w:val="auto"/>
              </w:rPr>
            </w:pPr>
            <w:r>
              <w:rPr>
                <w:rFonts w:ascii="Arial" w:cs="Arial" w:eastAsia="Arial" w:hAnsi="Arial"/>
                <w:sz w:val="17"/>
                <w:szCs w:val="17"/>
                <w:color w:val="auto"/>
              </w:rPr>
              <w:t>Powers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16.</w:t>
            </w:r>
          </w:p>
        </w:tc>
        <w:tc>
          <w:tcPr>
            <w:tcW w:w="8900" w:type="dxa"/>
            <w:vAlign w:val="bottom"/>
          </w:tcPr>
          <w:p>
            <w:pPr>
              <w:ind w:left="80"/>
              <w:spacing w:after="0"/>
              <w:rPr>
                <w:sz w:val="20"/>
                <w:szCs w:val="20"/>
                <w:color w:val="auto"/>
              </w:rPr>
            </w:pPr>
            <w:r>
              <w:rPr>
                <w:rFonts w:ascii="Arial" w:cs="Arial" w:eastAsia="Arial" w:hAnsi="Arial"/>
                <w:sz w:val="17"/>
                <w:szCs w:val="17"/>
                <w:color w:val="auto"/>
              </w:rPr>
              <w:t>Term of Directors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17.</w:t>
            </w:r>
          </w:p>
        </w:tc>
        <w:tc>
          <w:tcPr>
            <w:tcW w:w="8900" w:type="dxa"/>
            <w:vAlign w:val="bottom"/>
          </w:tcPr>
          <w:p>
            <w:pPr>
              <w:ind w:left="80"/>
              <w:spacing w:after="0"/>
              <w:rPr>
                <w:sz w:val="20"/>
                <w:szCs w:val="20"/>
                <w:color w:val="auto"/>
              </w:rPr>
            </w:pPr>
            <w:r>
              <w:rPr>
                <w:rFonts w:ascii="Arial" w:cs="Arial" w:eastAsia="Arial" w:hAnsi="Arial"/>
                <w:sz w:val="17"/>
                <w:szCs w:val="17"/>
                <w:color w:val="auto"/>
              </w:rPr>
              <w:t>Vacancies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18.</w:t>
            </w:r>
          </w:p>
        </w:tc>
        <w:tc>
          <w:tcPr>
            <w:tcW w:w="8900" w:type="dxa"/>
            <w:vAlign w:val="bottom"/>
          </w:tcPr>
          <w:p>
            <w:pPr>
              <w:ind w:left="80"/>
              <w:spacing w:after="0"/>
              <w:rPr>
                <w:sz w:val="20"/>
                <w:szCs w:val="20"/>
                <w:color w:val="auto"/>
              </w:rPr>
            </w:pPr>
            <w:r>
              <w:rPr>
                <w:rFonts w:ascii="Arial" w:cs="Arial" w:eastAsia="Arial" w:hAnsi="Arial"/>
                <w:sz w:val="17"/>
                <w:szCs w:val="17"/>
                <w:color w:val="auto"/>
              </w:rPr>
              <w:t>Resignation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19.</w:t>
            </w:r>
          </w:p>
        </w:tc>
        <w:tc>
          <w:tcPr>
            <w:tcW w:w="8900" w:type="dxa"/>
            <w:vAlign w:val="bottom"/>
          </w:tcPr>
          <w:p>
            <w:pPr>
              <w:ind w:left="80"/>
              <w:spacing w:after="0"/>
              <w:rPr>
                <w:sz w:val="20"/>
                <w:szCs w:val="20"/>
                <w:color w:val="auto"/>
              </w:rPr>
            </w:pPr>
            <w:r>
              <w:rPr>
                <w:rFonts w:ascii="Arial" w:cs="Arial" w:eastAsia="Arial" w:hAnsi="Arial"/>
                <w:sz w:val="17"/>
                <w:szCs w:val="17"/>
                <w:color w:val="auto"/>
              </w:rPr>
              <w:t>Removal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20.</w:t>
            </w:r>
          </w:p>
        </w:tc>
        <w:tc>
          <w:tcPr>
            <w:tcW w:w="8900" w:type="dxa"/>
            <w:vAlign w:val="bottom"/>
          </w:tcPr>
          <w:p>
            <w:pPr>
              <w:ind w:left="80"/>
              <w:spacing w:after="0"/>
              <w:rPr>
                <w:sz w:val="20"/>
                <w:szCs w:val="20"/>
                <w:color w:val="auto"/>
              </w:rPr>
            </w:pPr>
            <w:r>
              <w:rPr>
                <w:rFonts w:ascii="Arial" w:cs="Arial" w:eastAsia="Arial" w:hAnsi="Arial"/>
                <w:sz w:val="17"/>
                <w:szCs w:val="17"/>
                <w:color w:val="auto"/>
              </w:rPr>
              <w:t>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21.</w:t>
            </w:r>
          </w:p>
        </w:tc>
        <w:tc>
          <w:tcPr>
            <w:tcW w:w="8900" w:type="dxa"/>
            <w:vAlign w:val="bottom"/>
          </w:tcPr>
          <w:p>
            <w:pPr>
              <w:ind w:left="80"/>
              <w:spacing w:after="0"/>
              <w:rPr>
                <w:sz w:val="20"/>
                <w:szCs w:val="20"/>
                <w:color w:val="auto"/>
              </w:rPr>
            </w:pPr>
            <w:r>
              <w:rPr>
                <w:rFonts w:ascii="Arial" w:cs="Arial" w:eastAsia="Arial" w:hAnsi="Arial"/>
                <w:sz w:val="17"/>
                <w:szCs w:val="17"/>
                <w:color w:val="auto"/>
              </w:rPr>
              <w:t>Quorum and Voting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22.</w:t>
            </w:r>
          </w:p>
        </w:tc>
        <w:tc>
          <w:tcPr>
            <w:tcW w:w="8900" w:type="dxa"/>
            <w:vAlign w:val="bottom"/>
          </w:tcPr>
          <w:p>
            <w:pPr>
              <w:ind w:left="80"/>
              <w:spacing w:after="0"/>
              <w:rPr>
                <w:sz w:val="20"/>
                <w:szCs w:val="20"/>
                <w:color w:val="auto"/>
              </w:rPr>
            </w:pPr>
            <w:r>
              <w:rPr>
                <w:rFonts w:ascii="Arial" w:cs="Arial" w:eastAsia="Arial" w:hAnsi="Arial"/>
                <w:sz w:val="17"/>
                <w:szCs w:val="17"/>
                <w:color w:val="auto"/>
              </w:rPr>
              <w:t>Action Without Meeting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23.</w:t>
            </w:r>
          </w:p>
        </w:tc>
        <w:tc>
          <w:tcPr>
            <w:tcW w:w="8900" w:type="dxa"/>
            <w:vAlign w:val="bottom"/>
          </w:tcPr>
          <w:p>
            <w:pPr>
              <w:ind w:left="80"/>
              <w:spacing w:after="0"/>
              <w:rPr>
                <w:sz w:val="20"/>
                <w:szCs w:val="20"/>
                <w:color w:val="auto"/>
              </w:rPr>
            </w:pPr>
            <w:r>
              <w:rPr>
                <w:rFonts w:ascii="Arial" w:cs="Arial" w:eastAsia="Arial" w:hAnsi="Arial"/>
                <w:sz w:val="17"/>
                <w:szCs w:val="17"/>
                <w:color w:val="auto"/>
              </w:rPr>
              <w:t>Fees and Compensation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24.</w:t>
            </w:r>
          </w:p>
        </w:tc>
        <w:tc>
          <w:tcPr>
            <w:tcW w:w="8900" w:type="dxa"/>
            <w:vAlign w:val="bottom"/>
          </w:tcPr>
          <w:p>
            <w:pPr>
              <w:ind w:left="80"/>
              <w:spacing w:after="0"/>
              <w:rPr>
                <w:sz w:val="20"/>
                <w:szCs w:val="20"/>
                <w:color w:val="auto"/>
              </w:rPr>
            </w:pPr>
            <w:r>
              <w:rPr>
                <w:rFonts w:ascii="Arial" w:cs="Arial" w:eastAsia="Arial" w:hAnsi="Arial"/>
                <w:sz w:val="17"/>
                <w:szCs w:val="17"/>
                <w:color w:val="auto"/>
              </w:rPr>
              <w:t>Committees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color w:val="auto"/>
              </w:rPr>
              <w:t>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60" w:type="dxa"/>
            <w:vAlign w:val="bottom"/>
            <w:tcBorders>
              <w:bottom w:val="single" w:sz="8" w:color="010101"/>
            </w:tcBorders>
          </w:tcPr>
          <w:p>
            <w:pPr>
              <w:spacing w:after="0"/>
              <w:rPr>
                <w:sz w:val="11"/>
                <w:szCs w:val="11"/>
                <w:color w:val="auto"/>
              </w:rPr>
            </w:pPr>
          </w:p>
        </w:tc>
        <w:tc>
          <w:tcPr>
            <w:tcW w:w="89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60" w:type="dxa"/>
            <w:vAlign w:val="bottom"/>
          </w:tcPr>
          <w:p>
            <w:pPr>
              <w:spacing w:after="0"/>
              <w:rPr>
                <w:sz w:val="19"/>
                <w:szCs w:val="19"/>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w w:val="94"/>
              </w:rPr>
              <w:t>(Continued)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8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60" w:type="dxa"/>
            <w:vAlign w:val="bottom"/>
          </w:tcPr>
          <w:p>
            <w:pPr>
              <w:ind w:left="520"/>
              <w:spacing w:after="0"/>
              <w:rPr>
                <w:sz w:val="20"/>
                <w:szCs w:val="20"/>
                <w:color w:val="auto"/>
              </w:rPr>
            </w:pPr>
            <w:r>
              <w:rPr>
                <w:rFonts w:ascii="Arial" w:cs="Arial" w:eastAsia="Arial" w:hAnsi="Arial"/>
                <w:sz w:val="17"/>
                <w:szCs w:val="17"/>
                <w:color w:val="auto"/>
              </w:rPr>
              <w:t>Section 25.</w:t>
            </w:r>
          </w:p>
        </w:tc>
        <w:tc>
          <w:tcPr>
            <w:tcW w:w="8900" w:type="dxa"/>
            <w:vAlign w:val="bottom"/>
          </w:tcPr>
          <w:p>
            <w:pPr>
              <w:ind w:left="80"/>
              <w:spacing w:after="0"/>
              <w:rPr>
                <w:sz w:val="20"/>
                <w:szCs w:val="20"/>
                <w:color w:val="auto"/>
              </w:rPr>
            </w:pPr>
            <w:r>
              <w:rPr>
                <w:rFonts w:ascii="Arial" w:cs="Arial" w:eastAsia="Arial" w:hAnsi="Arial"/>
                <w:sz w:val="17"/>
                <w:szCs w:val="17"/>
                <w:color w:val="auto"/>
              </w:rPr>
              <w:t>Organization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1860" w:type="dxa"/>
            <w:vAlign w:val="bottom"/>
          </w:tcPr>
          <w:p>
            <w:pPr>
              <w:spacing w:after="0"/>
              <w:rPr>
                <w:sz w:val="20"/>
                <w:szCs w:val="20"/>
                <w:color w:val="auto"/>
              </w:rPr>
            </w:pPr>
            <w:r>
              <w:rPr>
                <w:rFonts w:ascii="Arial" w:cs="Arial" w:eastAsia="Arial" w:hAnsi="Arial"/>
                <w:sz w:val="17"/>
                <w:szCs w:val="17"/>
                <w:color w:val="auto"/>
              </w:rPr>
              <w:t>ARTICLE V OFFICERS</w:t>
            </w:r>
          </w:p>
        </w:tc>
        <w:tc>
          <w:tcPr>
            <w:tcW w:w="89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26.</w:t>
            </w:r>
          </w:p>
        </w:tc>
        <w:tc>
          <w:tcPr>
            <w:tcW w:w="8900" w:type="dxa"/>
            <w:vAlign w:val="bottom"/>
          </w:tcPr>
          <w:p>
            <w:pPr>
              <w:ind w:left="80"/>
              <w:spacing w:after="0"/>
              <w:rPr>
                <w:sz w:val="20"/>
                <w:szCs w:val="20"/>
                <w:color w:val="auto"/>
              </w:rPr>
            </w:pPr>
            <w:r>
              <w:rPr>
                <w:rFonts w:ascii="Arial" w:cs="Arial" w:eastAsia="Arial" w:hAnsi="Arial"/>
                <w:sz w:val="17"/>
                <w:szCs w:val="17"/>
                <w:color w:val="auto"/>
              </w:rPr>
              <w:t>Officers Designated</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27.</w:t>
            </w:r>
          </w:p>
        </w:tc>
        <w:tc>
          <w:tcPr>
            <w:tcW w:w="8900" w:type="dxa"/>
            <w:vAlign w:val="bottom"/>
          </w:tcPr>
          <w:p>
            <w:pPr>
              <w:ind w:left="80"/>
              <w:spacing w:after="0"/>
              <w:rPr>
                <w:sz w:val="20"/>
                <w:szCs w:val="20"/>
                <w:color w:val="auto"/>
              </w:rPr>
            </w:pPr>
            <w:r>
              <w:rPr>
                <w:rFonts w:ascii="Arial" w:cs="Arial" w:eastAsia="Arial" w:hAnsi="Arial"/>
                <w:sz w:val="17"/>
                <w:szCs w:val="17"/>
                <w:color w:val="auto"/>
              </w:rPr>
              <w:t>Tenure and Duties of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28.</w:t>
            </w:r>
          </w:p>
        </w:tc>
        <w:tc>
          <w:tcPr>
            <w:tcW w:w="8900" w:type="dxa"/>
            <w:vAlign w:val="bottom"/>
          </w:tcPr>
          <w:p>
            <w:pPr>
              <w:ind w:left="80"/>
              <w:spacing w:after="0"/>
              <w:rPr>
                <w:sz w:val="20"/>
                <w:szCs w:val="20"/>
                <w:color w:val="auto"/>
              </w:rPr>
            </w:pPr>
            <w:r>
              <w:rPr>
                <w:rFonts w:ascii="Arial" w:cs="Arial" w:eastAsia="Arial" w:hAnsi="Arial"/>
                <w:sz w:val="17"/>
                <w:szCs w:val="17"/>
                <w:color w:val="auto"/>
              </w:rPr>
              <w:t>Delegation of Authority</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29.</w:t>
            </w:r>
          </w:p>
        </w:tc>
        <w:tc>
          <w:tcPr>
            <w:tcW w:w="8900" w:type="dxa"/>
            <w:vAlign w:val="bottom"/>
          </w:tcPr>
          <w:p>
            <w:pPr>
              <w:ind w:left="80"/>
              <w:spacing w:after="0"/>
              <w:rPr>
                <w:sz w:val="20"/>
                <w:szCs w:val="20"/>
                <w:color w:val="auto"/>
              </w:rPr>
            </w:pPr>
            <w:r>
              <w:rPr>
                <w:rFonts w:ascii="Arial" w:cs="Arial" w:eastAsia="Arial" w:hAnsi="Arial"/>
                <w:sz w:val="17"/>
                <w:szCs w:val="17"/>
                <w:color w:val="auto"/>
              </w:rPr>
              <w:t>Resignations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30.</w:t>
            </w:r>
          </w:p>
        </w:tc>
        <w:tc>
          <w:tcPr>
            <w:tcW w:w="8900" w:type="dxa"/>
            <w:vAlign w:val="bottom"/>
          </w:tcPr>
          <w:p>
            <w:pPr>
              <w:ind w:left="80"/>
              <w:spacing w:after="0"/>
              <w:rPr>
                <w:sz w:val="20"/>
                <w:szCs w:val="20"/>
                <w:color w:val="auto"/>
              </w:rPr>
            </w:pPr>
            <w:r>
              <w:rPr>
                <w:rFonts w:ascii="Arial" w:cs="Arial" w:eastAsia="Arial" w:hAnsi="Arial"/>
                <w:sz w:val="17"/>
                <w:szCs w:val="17"/>
                <w:color w:val="auto"/>
              </w:rPr>
              <w:t>Removal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 EXECUTION OF CORPORATE INSTRUMENTS AND VOTING OF SECURITIES OWNED BY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31.</w:t>
            </w:r>
          </w:p>
        </w:tc>
        <w:tc>
          <w:tcPr>
            <w:tcW w:w="8900" w:type="dxa"/>
            <w:vAlign w:val="bottom"/>
          </w:tcPr>
          <w:p>
            <w:pPr>
              <w:ind w:left="80"/>
              <w:spacing w:after="0"/>
              <w:rPr>
                <w:sz w:val="20"/>
                <w:szCs w:val="20"/>
                <w:color w:val="auto"/>
              </w:rPr>
            </w:pPr>
            <w:r>
              <w:rPr>
                <w:rFonts w:ascii="Arial" w:cs="Arial" w:eastAsia="Arial" w:hAnsi="Arial"/>
                <w:sz w:val="17"/>
                <w:szCs w:val="17"/>
                <w:color w:val="auto"/>
              </w:rPr>
              <w:t>Execution of Corporate Instruments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32.</w:t>
            </w:r>
          </w:p>
        </w:tc>
        <w:tc>
          <w:tcPr>
            <w:tcW w:w="8900" w:type="dxa"/>
            <w:vAlign w:val="bottom"/>
          </w:tcPr>
          <w:p>
            <w:pPr>
              <w:ind w:left="80"/>
              <w:spacing w:after="0"/>
              <w:rPr>
                <w:sz w:val="20"/>
                <w:szCs w:val="20"/>
                <w:color w:val="auto"/>
              </w:rPr>
            </w:pPr>
            <w:r>
              <w:rPr>
                <w:rFonts w:ascii="Arial" w:cs="Arial" w:eastAsia="Arial" w:hAnsi="Arial"/>
                <w:sz w:val="17"/>
                <w:szCs w:val="17"/>
                <w:color w:val="auto"/>
              </w:rPr>
              <w:t>Voting of Securities Owned by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VII SHARES OF STOCK</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-9008110</wp:posOffset>
            </wp:positionV>
            <wp:extent cx="12700"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-9008110</wp:posOffset>
            </wp:positionV>
            <wp:extent cx="12700"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-3139440</wp:posOffset>
            </wp:positionV>
            <wp:extent cx="12700"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-3139440</wp:posOffset>
            </wp:positionV>
            <wp:extent cx="12700"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33.</w:t>
            </w:r>
          </w:p>
        </w:tc>
        <w:tc>
          <w:tcPr>
            <w:tcW w:w="8880" w:type="dxa"/>
            <w:vAlign w:val="bottom"/>
          </w:tcPr>
          <w:p>
            <w:pPr>
              <w:ind w:left="60"/>
              <w:spacing w:after="0"/>
              <w:rPr>
                <w:sz w:val="20"/>
                <w:szCs w:val="20"/>
                <w:color w:val="auto"/>
              </w:rPr>
            </w:pPr>
            <w:r>
              <w:rPr>
                <w:rFonts w:ascii="Arial" w:cs="Arial" w:eastAsia="Arial" w:hAnsi="Arial"/>
                <w:sz w:val="17"/>
                <w:szCs w:val="17"/>
                <w:color w:val="auto"/>
              </w:rPr>
              <w:t>Form and Execution of Certificates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34.</w:t>
            </w:r>
          </w:p>
        </w:tc>
        <w:tc>
          <w:tcPr>
            <w:tcW w:w="8880" w:type="dxa"/>
            <w:vAlign w:val="bottom"/>
          </w:tcPr>
          <w:p>
            <w:pPr>
              <w:ind w:left="60"/>
              <w:spacing w:after="0"/>
              <w:rPr>
                <w:sz w:val="20"/>
                <w:szCs w:val="20"/>
                <w:color w:val="auto"/>
              </w:rPr>
            </w:pPr>
            <w:r>
              <w:rPr>
                <w:rFonts w:ascii="Arial" w:cs="Arial" w:eastAsia="Arial" w:hAnsi="Arial"/>
                <w:sz w:val="17"/>
                <w:szCs w:val="17"/>
                <w:color w:val="auto"/>
              </w:rPr>
              <w:t>Lost Certificates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35.</w:t>
            </w:r>
          </w:p>
        </w:tc>
        <w:tc>
          <w:tcPr>
            <w:tcW w:w="8880" w:type="dxa"/>
            <w:vAlign w:val="bottom"/>
          </w:tcPr>
          <w:p>
            <w:pPr>
              <w:ind w:left="60"/>
              <w:spacing w:after="0"/>
              <w:rPr>
                <w:sz w:val="20"/>
                <w:szCs w:val="20"/>
                <w:color w:val="auto"/>
              </w:rPr>
            </w:pPr>
            <w:r>
              <w:rPr>
                <w:rFonts w:ascii="Arial" w:cs="Arial" w:eastAsia="Arial" w:hAnsi="Arial"/>
                <w:sz w:val="17"/>
                <w:szCs w:val="17"/>
                <w:color w:val="auto"/>
              </w:rPr>
              <w:t>Transfers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36.</w:t>
            </w:r>
          </w:p>
        </w:tc>
        <w:tc>
          <w:tcPr>
            <w:tcW w:w="8880" w:type="dxa"/>
            <w:vAlign w:val="bottom"/>
          </w:tcPr>
          <w:p>
            <w:pPr>
              <w:ind w:left="60"/>
              <w:spacing w:after="0"/>
              <w:rPr>
                <w:sz w:val="20"/>
                <w:szCs w:val="20"/>
                <w:color w:val="auto"/>
              </w:rPr>
            </w:pPr>
            <w:r>
              <w:rPr>
                <w:rFonts w:ascii="Arial" w:cs="Arial" w:eastAsia="Arial" w:hAnsi="Arial"/>
                <w:sz w:val="17"/>
                <w:szCs w:val="17"/>
                <w:color w:val="auto"/>
              </w:rPr>
              <w:t>Fixing Record Dates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22"/>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37.</w:t>
            </w:r>
          </w:p>
        </w:tc>
        <w:tc>
          <w:tcPr>
            <w:tcW w:w="8880" w:type="dxa"/>
            <w:vAlign w:val="bottom"/>
          </w:tcPr>
          <w:p>
            <w:pPr>
              <w:ind w:left="60"/>
              <w:spacing w:after="0"/>
              <w:rPr>
                <w:sz w:val="20"/>
                <w:szCs w:val="20"/>
                <w:color w:val="auto"/>
              </w:rPr>
            </w:pPr>
            <w:r>
              <w:rPr>
                <w:rFonts w:ascii="Arial" w:cs="Arial" w:eastAsia="Arial" w:hAnsi="Arial"/>
                <w:sz w:val="17"/>
                <w:szCs w:val="17"/>
                <w:color w:val="auto"/>
              </w:rPr>
              <w:t>Registered Stockholders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VIII OTHER SECURITIES OF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38.</w:t>
            </w:r>
          </w:p>
        </w:tc>
        <w:tc>
          <w:tcPr>
            <w:tcW w:w="8880" w:type="dxa"/>
            <w:vAlign w:val="bottom"/>
          </w:tcPr>
          <w:p>
            <w:pPr>
              <w:ind w:left="60"/>
              <w:spacing w:after="0"/>
              <w:rPr>
                <w:sz w:val="20"/>
                <w:szCs w:val="20"/>
                <w:color w:val="auto"/>
              </w:rPr>
            </w:pPr>
            <w:r>
              <w:rPr>
                <w:rFonts w:ascii="Arial" w:cs="Arial" w:eastAsia="Arial" w:hAnsi="Arial"/>
                <w:sz w:val="17"/>
                <w:szCs w:val="17"/>
                <w:color w:val="auto"/>
              </w:rPr>
              <w:t>Execution of Other Securities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IX DIVIDENDS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08"/>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39.</w:t>
            </w:r>
          </w:p>
        </w:tc>
        <w:tc>
          <w:tcPr>
            <w:tcW w:w="8880" w:type="dxa"/>
            <w:vAlign w:val="bottom"/>
          </w:tcPr>
          <w:p>
            <w:pPr>
              <w:ind w:left="60"/>
              <w:spacing w:after="0"/>
              <w:rPr>
                <w:sz w:val="20"/>
                <w:szCs w:val="20"/>
                <w:color w:val="auto"/>
              </w:rPr>
            </w:pPr>
            <w:r>
              <w:rPr>
                <w:rFonts w:ascii="Arial" w:cs="Arial" w:eastAsia="Arial" w:hAnsi="Arial"/>
                <w:sz w:val="17"/>
                <w:szCs w:val="17"/>
                <w:color w:val="auto"/>
              </w:rPr>
              <w:t>Declaration of Dividends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22"/>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40.</w:t>
            </w:r>
          </w:p>
        </w:tc>
        <w:tc>
          <w:tcPr>
            <w:tcW w:w="8880" w:type="dxa"/>
            <w:vAlign w:val="bottom"/>
          </w:tcPr>
          <w:p>
            <w:pPr>
              <w:ind w:left="60"/>
              <w:spacing w:after="0"/>
              <w:rPr>
                <w:sz w:val="20"/>
                <w:szCs w:val="20"/>
                <w:color w:val="auto"/>
              </w:rPr>
            </w:pPr>
            <w:r>
              <w:rPr>
                <w:rFonts w:ascii="Arial" w:cs="Arial" w:eastAsia="Arial" w:hAnsi="Arial"/>
                <w:sz w:val="17"/>
                <w:szCs w:val="17"/>
                <w:color w:val="auto"/>
              </w:rPr>
              <w:t>Dividend Reserve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 FISCAL YEAR</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41.</w:t>
            </w:r>
          </w:p>
        </w:tc>
        <w:tc>
          <w:tcPr>
            <w:tcW w:w="8880" w:type="dxa"/>
            <w:vAlign w:val="bottom"/>
          </w:tcPr>
          <w:p>
            <w:pPr>
              <w:ind w:left="60"/>
              <w:spacing w:after="0"/>
              <w:rPr>
                <w:sz w:val="20"/>
                <w:szCs w:val="20"/>
                <w:color w:val="auto"/>
              </w:rPr>
            </w:pPr>
            <w:r>
              <w:rPr>
                <w:rFonts w:ascii="Arial" w:cs="Arial" w:eastAsia="Arial" w:hAnsi="Arial"/>
                <w:sz w:val="17"/>
                <w:szCs w:val="17"/>
                <w:color w:val="auto"/>
              </w:rPr>
              <w:t>Fiscal Year</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 INDEMNIFICATION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42.</w:t>
            </w:r>
          </w:p>
        </w:tc>
        <w:tc>
          <w:tcPr>
            <w:tcW w:w="8880" w:type="dxa"/>
            <w:vAlign w:val="bottom"/>
          </w:tcPr>
          <w:p>
            <w:pPr>
              <w:ind w:left="60"/>
              <w:spacing w:after="0"/>
              <w:rPr>
                <w:sz w:val="20"/>
                <w:szCs w:val="20"/>
                <w:color w:val="auto"/>
              </w:rPr>
            </w:pPr>
            <w:r>
              <w:rPr>
                <w:rFonts w:ascii="Arial" w:cs="Arial" w:eastAsia="Arial" w:hAnsi="Arial"/>
                <w:sz w:val="17"/>
                <w:szCs w:val="17"/>
                <w:color w:val="auto"/>
              </w:rPr>
              <w:t>Indemnification of Directors, Executive Officers, Other Officers, Employees and Other Agents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rPr>
              <w:t>ARTICLE XII NOTICES</w:t>
            </w:r>
          </w:p>
        </w:tc>
        <w:tc>
          <w:tcPr>
            <w:tcW w:w="88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43.</w:t>
            </w:r>
          </w:p>
        </w:tc>
        <w:tc>
          <w:tcPr>
            <w:tcW w:w="8880" w:type="dxa"/>
            <w:vAlign w:val="bottom"/>
          </w:tcPr>
          <w:p>
            <w:pPr>
              <w:ind w:left="60"/>
              <w:spacing w:after="0"/>
              <w:rPr>
                <w:sz w:val="20"/>
                <w:szCs w:val="20"/>
                <w:color w:val="auto"/>
              </w:rPr>
            </w:pPr>
            <w:r>
              <w:rPr>
                <w:rFonts w:ascii="Arial" w:cs="Arial" w:eastAsia="Arial" w:hAnsi="Arial"/>
                <w:sz w:val="17"/>
                <w:szCs w:val="17"/>
                <w:color w:val="auto"/>
              </w:rPr>
              <w:t>Notices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color w:val="auto"/>
              </w:rPr>
              <w:t>ii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8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80" w:type="dxa"/>
            <w:vAlign w:val="bottom"/>
          </w:tcPr>
          <w:p>
            <w:pPr>
              <w:spacing w:after="0"/>
              <w:rPr>
                <w:sz w:val="19"/>
                <w:szCs w:val="19"/>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b w:val="1"/>
                <w:bCs w:val="1"/>
                <w:color w:val="auto"/>
                <w:w w:val="94"/>
              </w:rPr>
              <w:t>(Continued)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8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XIII AMENDMENTS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44.</w:t>
            </w:r>
          </w:p>
        </w:tc>
        <w:tc>
          <w:tcPr>
            <w:tcW w:w="8880" w:type="dxa"/>
            <w:vAlign w:val="bottom"/>
          </w:tcPr>
          <w:p>
            <w:pPr>
              <w:ind w:left="60"/>
              <w:spacing w:after="0"/>
              <w:rPr>
                <w:sz w:val="20"/>
                <w:szCs w:val="20"/>
                <w:color w:val="auto"/>
              </w:rPr>
            </w:pPr>
            <w:r>
              <w:rPr>
                <w:rFonts w:ascii="Arial" w:cs="Arial" w:eastAsia="Arial" w:hAnsi="Arial"/>
                <w:sz w:val="17"/>
                <w:szCs w:val="17"/>
                <w:color w:val="auto"/>
              </w:rPr>
              <w:t>Amendments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XIV RIGHT OF FIRST REFUSAL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45.</w:t>
            </w:r>
          </w:p>
        </w:tc>
        <w:tc>
          <w:tcPr>
            <w:tcW w:w="8880" w:type="dxa"/>
            <w:vAlign w:val="bottom"/>
          </w:tcPr>
          <w:p>
            <w:pPr>
              <w:ind w:left="60"/>
              <w:spacing w:after="0"/>
              <w:rPr>
                <w:sz w:val="20"/>
                <w:szCs w:val="20"/>
                <w:color w:val="auto"/>
              </w:rPr>
            </w:pPr>
            <w:r>
              <w:rPr>
                <w:rFonts w:ascii="Arial" w:cs="Arial" w:eastAsia="Arial" w:hAnsi="Arial"/>
                <w:sz w:val="17"/>
                <w:szCs w:val="17"/>
                <w:color w:val="auto"/>
              </w:rPr>
              <w:t>Right of First Refusal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XV LOANS TO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46.</w:t>
            </w:r>
          </w:p>
        </w:tc>
        <w:tc>
          <w:tcPr>
            <w:tcW w:w="8880" w:type="dxa"/>
            <w:vAlign w:val="bottom"/>
          </w:tcPr>
          <w:p>
            <w:pPr>
              <w:ind w:left="60"/>
              <w:spacing w:after="0"/>
              <w:rPr>
                <w:sz w:val="20"/>
                <w:szCs w:val="20"/>
                <w:color w:val="auto"/>
              </w:rPr>
            </w:pPr>
            <w:r>
              <w:rPr>
                <w:rFonts w:ascii="Arial" w:cs="Arial" w:eastAsia="Arial" w:hAnsi="Arial"/>
                <w:sz w:val="17"/>
                <w:szCs w:val="17"/>
                <w:color w:val="auto"/>
              </w:rPr>
              <w:t>Loans to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XVI MISCELLANEOUS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47.</w:t>
            </w:r>
          </w:p>
        </w:tc>
        <w:tc>
          <w:tcPr>
            <w:tcW w:w="8880" w:type="dxa"/>
            <w:vAlign w:val="bottom"/>
          </w:tcPr>
          <w:p>
            <w:pPr>
              <w:ind w:left="60"/>
              <w:spacing w:after="0"/>
              <w:rPr>
                <w:sz w:val="20"/>
                <w:szCs w:val="20"/>
                <w:color w:val="auto"/>
              </w:rPr>
            </w:pPr>
            <w:r>
              <w:rPr>
                <w:rFonts w:ascii="Arial" w:cs="Arial" w:eastAsia="Arial" w:hAnsi="Arial"/>
                <w:sz w:val="17"/>
                <w:szCs w:val="17"/>
                <w:color w:val="auto"/>
              </w:rPr>
              <w:t>Annual Report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color w:val="auto"/>
              </w:rPr>
              <w:t>iii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8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-3366770</wp:posOffset>
            </wp:positionV>
            <wp:extent cx="12700"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-3366770</wp:posOffset>
            </wp:positionV>
            <wp:extent cx="12700"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CALDEROME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 DELAWARE CORPORATION)</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OFFICES</w:t>
      </w:r>
    </w:p>
    <w:p>
      <w:pPr>
        <w:spacing w:after="0" w:line="224"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Section 1. Other Offices. </w:t>
      </w:r>
      <w:r>
        <w:rPr>
          <w:rFonts w:ascii="Arial" w:cs="Arial" w:eastAsia="Arial" w:hAnsi="Arial"/>
          <w:sz w:val="17"/>
          <w:szCs w:val="17"/>
          <w:color w:val="auto"/>
        </w:rPr>
        <w:t>The corporation shall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and may also have offices at such other places, both within and without the State of Delaware, as the Board of Directors may from time to time determine or the business of the corporation may require. (Del. Code Ann., tit. 8, § 122(8))</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CORPORATE SEAL</w:t>
      </w:r>
    </w:p>
    <w:p>
      <w:pPr>
        <w:spacing w:after="0" w:line="224" w:lineRule="exact"/>
        <w:rPr>
          <w:sz w:val="20"/>
          <w:szCs w:val="20"/>
          <w:color w:val="auto"/>
        </w:rPr>
      </w:pPr>
    </w:p>
    <w:p>
      <w:pPr>
        <w:jc w:val="both"/>
        <w:ind w:right="200" w:firstLine="629"/>
        <w:spacing w:after="0" w:line="277" w:lineRule="auto"/>
        <w:rPr>
          <w:sz w:val="20"/>
          <w:szCs w:val="20"/>
          <w:color w:val="auto"/>
        </w:rPr>
      </w:pPr>
      <w:r>
        <w:rPr>
          <w:rFonts w:ascii="Arial" w:cs="Arial" w:eastAsia="Arial" w:hAnsi="Arial"/>
          <w:sz w:val="17"/>
          <w:szCs w:val="17"/>
          <w:b w:val="1"/>
          <w:bCs w:val="1"/>
          <w:color w:val="auto"/>
        </w:rPr>
        <w:t xml:space="preserve">Section 2. Corporate Seal. </w:t>
      </w:r>
      <w:r>
        <w:rPr>
          <w:rFonts w:ascii="Arial" w:cs="Arial" w:eastAsia="Arial" w:hAnsi="Arial"/>
          <w:sz w:val="17"/>
          <w:szCs w:val="17"/>
          <w:color w:val="auto"/>
        </w:rPr>
        <w:t>The Board of Directors may in its discretion adopt a corporate seal. The corporate seal shall consist of a die bearing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of the corporation and the inscription, “Corporate Seal-Delaware.” Said seal may be used by causing it or a facsimile thereof to be impressed or affixed or reproduced or otherwise. (Del. Code Ann., tit. 8, § 122(3))</w:t>
      </w:r>
    </w:p>
    <w:p>
      <w:pPr>
        <w:sectPr>
          <w:pgSz w:w="11900" w:h="16838" w:orient="portrait"/>
          <w:cols w:equalWidth="0" w:num="1">
            <w:col w:w="11460"/>
          </w:cols>
          <w:pgMar w:left="240" w:top="337" w:right="199" w:bottom="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MEETINGS</w:t>
      </w:r>
    </w:p>
    <w:p>
      <w:pPr>
        <w:spacing w:after="0" w:line="224"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b w:val="1"/>
          <w:bCs w:val="1"/>
          <w:color w:val="auto"/>
        </w:rPr>
        <w:t xml:space="preserve">Section 3. Place of Meetings. </w:t>
      </w:r>
      <w:r>
        <w:rPr>
          <w:rFonts w:ascii="Arial" w:cs="Arial" w:eastAsia="Arial" w:hAnsi="Arial"/>
          <w:sz w:val="17"/>
          <w:szCs w:val="17"/>
          <w:color w:val="auto"/>
        </w:rPr>
        <w:t>Meetings of the stockholders of the corporation may be held at such place, either within or without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may be determined from time to time by the Board of Directors, or, if not so designated, then at the office of the corporation required to be maintained pursuant to Section 1 of these Bylaws. The Board of Directors may, in its sole discretion, determine that the meeting shall not be held at any place, but may instead be held solely by means of remote communication as provided under the Delaware General Corporation Law (“DGCL”). (Del. Code Ann., tit. 8, § 211(a))</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Annual Meetings.</w:t>
      </w:r>
    </w:p>
    <w:p>
      <w:pPr>
        <w:spacing w:after="0" w:line="230" w:lineRule="exact"/>
        <w:rPr>
          <w:sz w:val="20"/>
          <w:szCs w:val="20"/>
          <w:color w:val="auto"/>
        </w:rPr>
      </w:pPr>
    </w:p>
    <w:p>
      <w:pPr>
        <w:ind w:right="200" w:firstLine="1263"/>
        <w:spacing w:after="0" w:line="322" w:lineRule="auto"/>
        <w:tabs>
          <w:tab w:leader="none" w:pos="1895"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w:t>
      </w:r>
    </w:p>
    <w:p>
      <w:pPr>
        <w:spacing w:after="0" w:line="1" w:lineRule="exact"/>
        <w:rPr>
          <w:sz w:val="20"/>
          <w:szCs w:val="20"/>
          <w:color w:val="auto"/>
        </w:rPr>
      </w:pPr>
    </w:p>
    <w:p>
      <w:pPr>
        <w:ind w:right="740" w:firstLine="5"/>
        <w:spacing w:after="0" w:line="307" w:lineRule="auto"/>
        <w:tabs>
          <w:tab w:leader="none" w:pos="30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any stockholder of the corporation who was a stockholder of record at the time of giving of the stockholder’s notice provided for in the following paragraph, who is entitled to vote at the meeting and who complied with the notice procedures set forth in Section 4. (Del. Code Ann., tit. 8, § 211(b)).</w:t>
      </w:r>
    </w:p>
    <w:p>
      <w:pPr>
        <w:spacing w:after="0" w:line="146" w:lineRule="exact"/>
        <w:rPr>
          <w:rFonts w:ascii="Arial" w:cs="Arial" w:eastAsia="Arial" w:hAnsi="Arial"/>
          <w:sz w:val="16"/>
          <w:szCs w:val="16"/>
          <w:color w:val="auto"/>
        </w:rPr>
      </w:pPr>
    </w:p>
    <w:p>
      <w:pPr>
        <w:ind w:firstLine="1263"/>
        <w:spacing w:after="0" w:line="295" w:lineRule="auto"/>
        <w:tabs>
          <w:tab w:leader="none" w:pos="1905" w:val="left"/>
        </w:tabs>
        <w:numPr>
          <w:ilvl w:val="1"/>
          <w:numId w:val="126"/>
        </w:numPr>
        <w:rPr>
          <w:rFonts w:ascii="Arial" w:cs="Arial" w:eastAsia="Arial" w:hAnsi="Arial"/>
          <w:sz w:val="15"/>
          <w:szCs w:val="15"/>
          <w:b w:val="1"/>
          <w:bCs w:val="1"/>
          <w:color w:val="auto"/>
        </w:rPr>
      </w:pPr>
      <w:r>
        <w:rPr>
          <w:rFonts w:ascii="Arial" w:cs="Arial" w:eastAsia="Arial" w:hAnsi="Arial"/>
          <w:sz w:val="15"/>
          <w:szCs w:val="15"/>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4(a)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4(b)),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4.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l4A under the Securities Exchange Act of 1934, as amended (the “1934 Act”) and Rule l4a-4(d)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70" w:lineRule="exact"/>
        <w:rPr>
          <w:sz w:val="20"/>
          <w:szCs w:val="20"/>
          <w:color w:val="auto"/>
        </w:rPr>
      </w:pPr>
    </w:p>
    <w:p>
      <w:pPr>
        <w:ind w:right="60" w:firstLine="1263"/>
        <w:spacing w:after="0" w:line="263" w:lineRule="auto"/>
        <w:tabs>
          <w:tab w:leader="none" w:pos="1898"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third sentence of Section 4(b)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4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3" w:lineRule="exact"/>
        <w:rPr>
          <w:rFonts w:ascii="Arial" w:cs="Arial" w:eastAsia="Arial" w:hAnsi="Arial"/>
          <w:sz w:val="17"/>
          <w:szCs w:val="17"/>
          <w:b w:val="1"/>
          <w:bCs w:val="1"/>
          <w:color w:val="auto"/>
        </w:rPr>
      </w:pPr>
    </w:p>
    <w:p>
      <w:pPr>
        <w:ind w:firstLine="1263"/>
        <w:spacing w:after="0" w:line="283" w:lineRule="auto"/>
        <w:tabs>
          <w:tab w:leader="none" w:pos="1905"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Only such persons who are nominated in accordance with the provisions of Section 16 and the procedures set forth in this Section 4 shall be eligible to serve as directors and only such business shall be conducted at a meeting of stockholders as shall have been brought before the meeting in accordance with the procedures set forth in this Section 4.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66" w:lineRule="exact"/>
        <w:rPr>
          <w:rFonts w:ascii="Arial" w:cs="Arial" w:eastAsia="Arial" w:hAnsi="Arial"/>
          <w:sz w:val="16"/>
          <w:szCs w:val="16"/>
          <w:b w:val="1"/>
          <w:bCs w:val="1"/>
          <w:color w:val="auto"/>
        </w:rPr>
      </w:pPr>
    </w:p>
    <w:p>
      <w:pPr>
        <w:ind w:right="40" w:firstLine="1263"/>
        <w:spacing w:after="0" w:line="268" w:lineRule="auto"/>
        <w:tabs>
          <w:tab w:leader="none" w:pos="1898"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provisions of this Section 4,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l4a-8 under the 1934 Act.</w:t>
      </w:r>
    </w:p>
    <w:p>
      <w:pPr>
        <w:sectPr>
          <w:pgSz w:w="11900" w:h="16838" w:orient="portrait"/>
          <w:cols w:equalWidth="0" w:num="1">
            <w:col w:w="11420"/>
          </w:cols>
          <w:pgMar w:left="240" w:top="331" w:right="239" w:bottom="0" w:gutter="0" w:footer="0" w:header="0"/>
        </w:sectPr>
      </w:pPr>
    </w:p>
    <w:bookmarkStart w:id="192" w:name="page193"/>
    <w:bookmarkEnd w:id="192"/>
    <w:p>
      <w:pPr>
        <w:ind w:right="560" w:firstLine="1263"/>
        <w:spacing w:after="0" w:line="289" w:lineRule="auto"/>
        <w:tabs>
          <w:tab w:leader="none" w:pos="1892"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For purposes of this Section 4, “public announcement” shall mean disclosure in a press release reported by the Dow Jones News Service, Associated Press or comparable national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news service or in a document publicly filed by the corporation with the Securities and Exchange Commission pursuant to Section 13, 14 or 15(d) of the 1934 Act.</w:t>
      </w:r>
    </w:p>
    <w:p>
      <w:pPr>
        <w:spacing w:after="0" w:line="2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30" w:lineRule="exact"/>
        <w:rPr>
          <w:sz w:val="20"/>
          <w:szCs w:val="20"/>
          <w:color w:val="auto"/>
        </w:rPr>
      </w:pPr>
    </w:p>
    <w:p>
      <w:pPr>
        <w:jc w:val="both"/>
        <w:ind w:right="40" w:firstLine="1263"/>
        <w:spacing w:after="0" w:line="265" w:lineRule="auto"/>
        <w:tabs>
          <w:tab w:leader="none" w:pos="1895"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w:t>
      </w:r>
    </w:p>
    <w:p>
      <w:pPr>
        <w:spacing w:after="0" w:line="17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At any time or times that the corporation is subject to Section 2115(b) of the California General Corporation Law (“CGCL”), stockholders holding five percent (5%) or more of the outstanding shares shall have the right to call a special meeting of stockholders only as set forth in these Bylaws.</w:t>
      </w:r>
    </w:p>
    <w:p>
      <w:pPr>
        <w:spacing w:after="0" w:line="158" w:lineRule="exact"/>
        <w:rPr>
          <w:sz w:val="20"/>
          <w:szCs w:val="20"/>
          <w:color w:val="auto"/>
        </w:rPr>
      </w:pPr>
    </w:p>
    <w:p>
      <w:pPr>
        <w:ind w:right="140" w:firstLine="1263"/>
        <w:spacing w:after="0" w:line="262" w:lineRule="auto"/>
        <w:tabs>
          <w:tab w:leader="none" w:pos="1905"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6 of these Bylaws. Nothing contained in this paragraph (b) shall be construed as limiting, fixing, or affecting the time when a meeting of stockholders called by action of the Board of Directors may be held.</w:t>
      </w:r>
    </w:p>
    <w:p>
      <w:pPr>
        <w:spacing w:after="0" w:line="175"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b w:val="1"/>
          <w:bCs w:val="1"/>
          <w:color w:val="auto"/>
        </w:rPr>
        <w:t xml:space="preserve">Section 6.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stockholder so waiving notice of such meeting shall be bound by the proceedings of any such meeting in all respects as if due notice thereof had been given. (Del. Code Ann., tit. 8, §§ 222, 229, 232)</w:t>
      </w:r>
    </w:p>
    <w:p>
      <w:pPr>
        <w:spacing w:after="0" w:line="15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b w:val="1"/>
          <w:bCs w:val="1"/>
          <w:color w:val="auto"/>
        </w:rPr>
        <w:t xml:space="preserve">Section 7. Quorum. </w:t>
      </w:r>
      <w:r>
        <w:rPr>
          <w:rFonts w:ascii="Arial" w:cs="Arial" w:eastAsia="Arial" w:hAnsi="Arial"/>
          <w:sz w:val="16"/>
          <w:szCs w:val="16"/>
          <w:color w:val="auto"/>
        </w:rPr>
        <w:t>At all meetings of stockholders, except where otherwise provided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mailers other than the election of directors, the affirmative vote of a majority of shares present in person, by remote communication, if applicable, or represented by proxy duly authorized at the meeting and entitled to vote generally on the subject mailer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mailer.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(Del. Code Ann., tit. 8, § 216)</w:t>
      </w:r>
    </w:p>
    <w:p>
      <w:pPr>
        <w:spacing w:after="0" w:line="168"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b w:val="1"/>
          <w:bCs w:val="1"/>
          <w:color w:val="auto"/>
        </w:rPr>
        <w:t xml:space="preserve">Section 8.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(Del. Code Ann., tit. 8, § 222(c))</w:t>
      </w:r>
    </w:p>
    <w:p>
      <w:pPr>
        <w:spacing w:after="0" w:line="157" w:lineRule="exact"/>
        <w:rPr>
          <w:sz w:val="20"/>
          <w:szCs w:val="20"/>
          <w:color w:val="auto"/>
        </w:rPr>
      </w:pPr>
    </w:p>
    <w:p>
      <w:pPr>
        <w:ind w:right="620" w:firstLine="629"/>
        <w:spacing w:after="0" w:line="330" w:lineRule="auto"/>
        <w:rPr>
          <w:sz w:val="20"/>
          <w:szCs w:val="20"/>
          <w:color w:val="auto"/>
        </w:rPr>
      </w:pPr>
      <w:r>
        <w:rPr>
          <w:rFonts w:ascii="Arial" w:cs="Arial" w:eastAsia="Arial" w:hAnsi="Arial"/>
          <w:sz w:val="16"/>
          <w:szCs w:val="16"/>
          <w:b w:val="1"/>
          <w:bCs w:val="1"/>
          <w:color w:val="auto"/>
        </w:rPr>
        <w:t xml:space="preserve">Section 9.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08" w:gutter="0" w:footer="0" w:header="0"/>
        </w:sectPr>
      </w:pPr>
    </w:p>
    <w:bookmarkStart w:id="193" w:name="page194"/>
    <w:bookmarkEnd w:id="193"/>
    <w:p>
      <w:pPr>
        <w:ind w:right="120"/>
        <w:spacing w:after="0" w:line="268" w:lineRule="auto"/>
        <w:rPr>
          <w:sz w:val="20"/>
          <w:szCs w:val="20"/>
          <w:color w:val="auto"/>
        </w:rPr>
      </w:pPr>
      <w:r>
        <w:rPr>
          <w:rFonts w:ascii="Arial" w:cs="Arial" w:eastAsia="Arial" w:hAnsi="Arial"/>
          <w:sz w:val="17"/>
          <w:szCs w:val="17"/>
          <w:color w:val="auto"/>
        </w:rPr>
        <w:t>Section 11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(Del. Code Ann., tit. 8, §§ 211(e), 212(b))</w:t>
      </w:r>
    </w:p>
    <w:p>
      <w:pPr>
        <w:spacing w:after="0" w:line="17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color w:val="auto"/>
        </w:rPr>
        <w:t xml:space="preserve">Section 10.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(Del. Code Ann., tit. 8, § 217(b))</w:t>
      </w:r>
    </w:p>
    <w:p>
      <w:pPr>
        <w:spacing w:after="0" w:line="164"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b w:val="1"/>
          <w:bCs w:val="1"/>
          <w:color w:val="auto"/>
        </w:rPr>
        <w:t xml:space="preserve">Section 11. List of Stockholders. </w:t>
      </w:r>
      <w:r>
        <w:rPr>
          <w:rFonts w:ascii="Arial" w:cs="Arial" w:eastAsia="Arial" w:hAnsi="Arial"/>
          <w:sz w:val="16"/>
          <w:szCs w:val="16"/>
          <w:color w:val="auto"/>
        </w:rPr>
        <w:t>The Secretary shall prepare and make, at least ten (10) days before every meeting of stockholders, a complete list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 (Del. Code Ann., tit. 8, § 219)</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12.</w:t>
      </w:r>
      <w:r>
        <w:rPr>
          <w:sz w:val="20"/>
          <w:szCs w:val="20"/>
          <w:color w:val="auto"/>
        </w:rPr>
        <w:tab/>
      </w:r>
      <w:r>
        <w:rPr>
          <w:rFonts w:ascii="Arial" w:cs="Arial" w:eastAsia="Arial" w:hAnsi="Arial"/>
          <w:sz w:val="16"/>
          <w:szCs w:val="16"/>
          <w:b w:val="1"/>
          <w:bCs w:val="1"/>
          <w:color w:val="auto"/>
        </w:rPr>
        <w:t>Action Without Meeting.</w:t>
      </w:r>
    </w:p>
    <w:p>
      <w:pPr>
        <w:spacing w:after="0" w:line="230" w:lineRule="exact"/>
        <w:rPr>
          <w:sz w:val="20"/>
          <w:szCs w:val="20"/>
          <w:color w:val="auto"/>
        </w:rPr>
      </w:pPr>
    </w:p>
    <w:p>
      <w:pPr>
        <w:ind w:right="20" w:firstLine="1263"/>
        <w:spacing w:after="0" w:line="265" w:lineRule="auto"/>
        <w:tabs>
          <w:tab w:leader="none" w:pos="1895"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(Del. Code Ann., tit. 8, § 228)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1263"/>
        <w:spacing w:after="0" w:line="263" w:lineRule="auto"/>
        <w:tabs>
          <w:tab w:leader="none" w:pos="1905"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(Del. Code Ann., tit. 8, § 228)</w:t>
      </w:r>
    </w:p>
    <w:p>
      <w:pPr>
        <w:spacing w:after="0" w:line="183" w:lineRule="exact"/>
        <w:rPr>
          <w:rFonts w:ascii="Arial" w:cs="Arial" w:eastAsia="Arial" w:hAnsi="Arial"/>
          <w:sz w:val="17"/>
          <w:szCs w:val="17"/>
          <w:b w:val="1"/>
          <w:bCs w:val="1"/>
          <w:color w:val="auto"/>
        </w:rPr>
      </w:pPr>
    </w:p>
    <w:p>
      <w:pPr>
        <w:ind w:firstLine="1263"/>
        <w:spacing w:after="0" w:line="262" w:lineRule="auto"/>
        <w:tabs>
          <w:tab w:leader="none" w:pos="1898"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4" w:lineRule="exact"/>
        <w:rPr>
          <w:rFonts w:ascii="Arial" w:cs="Arial" w:eastAsia="Arial" w:hAnsi="Arial"/>
          <w:sz w:val="17"/>
          <w:szCs w:val="17"/>
          <w:b w:val="1"/>
          <w:bCs w:val="1"/>
          <w:color w:val="auto"/>
        </w:rPr>
      </w:pPr>
    </w:p>
    <w:p>
      <w:pPr>
        <w:ind w:right="100" w:firstLine="1263"/>
        <w:spacing w:after="0" w:line="277" w:lineRule="auto"/>
        <w:tabs>
          <w:tab w:leader="none" w:pos="1905"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other reproduction shall be a complete reproduction of the entire original writing. (Del. Code Ann., tit. 8 § 228(d))</w:t>
      </w:r>
    </w:p>
    <w:p>
      <w:pPr>
        <w:spacing w:after="0" w:line="224" w:lineRule="exact"/>
        <w:rPr>
          <w:sz w:val="20"/>
          <w:szCs w:val="20"/>
          <w:color w:val="auto"/>
        </w:rPr>
      </w:pPr>
    </w:p>
    <w:p>
      <w:pPr>
        <w:ind w:right="40" w:firstLine="1263"/>
        <w:spacing w:after="0" w:line="273" w:lineRule="auto"/>
        <w:tabs>
          <w:tab w:leader="none" w:pos="1898"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no such action by written consent or by electronic transmission may be taken following the closing of the initial public offering pursuant to an effective registration statement under the Securities Act of 1933, as amended (the “1933 Act”), covering the offer and sale of Common Stock of the corporation to the public (the “Initial Public Offering”).</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13.</w:t>
      </w:r>
      <w:r>
        <w:rPr>
          <w:sz w:val="20"/>
          <w:szCs w:val="20"/>
          <w:color w:val="auto"/>
        </w:rPr>
        <w:tab/>
      </w:r>
      <w:r>
        <w:rPr>
          <w:rFonts w:ascii="Arial" w:cs="Arial" w:eastAsia="Arial" w:hAnsi="Arial"/>
          <w:sz w:val="16"/>
          <w:szCs w:val="16"/>
          <w:b w:val="1"/>
          <w:bCs w:val="1"/>
          <w:color w:val="auto"/>
        </w:rPr>
        <w:t>Organization.</w:t>
      </w:r>
    </w:p>
    <w:p>
      <w:pPr>
        <w:spacing w:after="0" w:line="230" w:lineRule="exact"/>
        <w:rPr>
          <w:sz w:val="20"/>
          <w:szCs w:val="20"/>
          <w:color w:val="auto"/>
        </w:rPr>
      </w:pPr>
    </w:p>
    <w:p>
      <w:pPr>
        <w:ind w:right="40" w:firstLine="1263"/>
        <w:spacing w:after="0" w:line="322" w:lineRule="auto"/>
        <w:tabs>
          <w:tab w:leader="none" w:pos="1895"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w:t>
      </w:r>
    </w:p>
    <w:p>
      <w:pPr>
        <w:sectPr>
          <w:pgSz w:w="11900" w:h="16838" w:orient="portrait"/>
          <w:cols w:equalWidth="0" w:num="1">
            <w:col w:w="11420"/>
          </w:cols>
          <w:pgMar w:left="240" w:top="127" w:right="239" w:bottom="0" w:gutter="0" w:footer="0" w:header="0"/>
        </w:sectPr>
      </w:pPr>
    </w:p>
    <w:bookmarkStart w:id="194" w:name="page195"/>
    <w:bookmarkEnd w:id="194"/>
    <w:p>
      <w:pPr>
        <w:spacing w:after="0" w:line="3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present in person or by proxy, shall act as chairman. The Secretary, or, in his absence, an Assistant Secretary directed to do so by the Chief Executive Officer, shall act as secretary of the meeting.</w:t>
      </w:r>
    </w:p>
    <w:p>
      <w:pPr>
        <w:spacing w:after="0" w:line="158" w:lineRule="exact"/>
        <w:rPr>
          <w:sz w:val="20"/>
          <w:szCs w:val="20"/>
          <w:color w:val="auto"/>
        </w:rPr>
      </w:pPr>
    </w:p>
    <w:p>
      <w:pPr>
        <w:ind w:firstLine="1263"/>
        <w:spacing w:after="0" w:line="279" w:lineRule="auto"/>
        <w:tabs>
          <w:tab w:leader="none" w:pos="1905"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14.</w:t>
      </w:r>
      <w:r>
        <w:rPr>
          <w:sz w:val="20"/>
          <w:szCs w:val="20"/>
          <w:color w:val="auto"/>
        </w:rPr>
        <w:tab/>
      </w:r>
      <w:r>
        <w:rPr>
          <w:rFonts w:ascii="Arial" w:cs="Arial" w:eastAsia="Arial" w:hAnsi="Arial"/>
          <w:sz w:val="16"/>
          <w:szCs w:val="16"/>
          <w:b w:val="1"/>
          <w:bCs w:val="1"/>
          <w:color w:val="auto"/>
        </w:rPr>
        <w:t>Number and Term of Office.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authorized number of directors of the corporation shall be fixed by the Board of Directors from time to time.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Directors need not be stockholders unless so required by the Certificate of Incorporation. If for any cause, the directors shall not have been elected at an annual meeting, they may be elected as soon thereafter as convenient. (Del. Code Ann., tit. 8, §§ 141(b), 211(b), (c))</w:t>
      </w:r>
    </w:p>
    <w:p>
      <w:pPr>
        <w:spacing w:after="0" w:line="152"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 xml:space="preserve">Section 15. Powers. </w:t>
      </w:r>
      <w:r>
        <w:rPr>
          <w:rFonts w:ascii="Arial" w:cs="Arial" w:eastAsia="Arial" w:hAnsi="Arial"/>
          <w:sz w:val="17"/>
          <w:szCs w:val="17"/>
          <w:color w:val="auto"/>
        </w:rPr>
        <w:t>The powers of the corporation shall be exercised, its business conducted and its property controlled by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otherwise provided by statute or by the Certificate of Incorporation. (Del. Code Ann., tit. 8, § 141(a))</w:t>
      </w:r>
    </w:p>
    <w:p>
      <w:pPr>
        <w:spacing w:after="0" w:line="14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16.</w:t>
      </w:r>
      <w:r>
        <w:rPr>
          <w:sz w:val="20"/>
          <w:szCs w:val="20"/>
          <w:color w:val="auto"/>
        </w:rPr>
        <w:tab/>
      </w:r>
      <w:r>
        <w:rPr>
          <w:rFonts w:ascii="Arial" w:cs="Arial" w:eastAsia="Arial" w:hAnsi="Arial"/>
          <w:sz w:val="16"/>
          <w:szCs w:val="16"/>
          <w:b w:val="1"/>
          <w:bCs w:val="1"/>
          <w:color w:val="auto"/>
        </w:rPr>
        <w:t>Term of Directors.</w:t>
      </w:r>
    </w:p>
    <w:p>
      <w:pPr>
        <w:spacing w:after="0" w:line="230" w:lineRule="exact"/>
        <w:rPr>
          <w:sz w:val="20"/>
          <w:szCs w:val="20"/>
          <w:color w:val="auto"/>
        </w:rPr>
      </w:pPr>
    </w:p>
    <w:p>
      <w:pPr>
        <w:jc w:val="both"/>
        <w:ind w:right="60" w:firstLine="1263"/>
        <w:spacing w:after="0" w:line="326" w:lineRule="auto"/>
        <w:tabs>
          <w:tab w:leader="none" w:pos="1895" w:val="left"/>
        </w:tabs>
        <w:numPr>
          <w:ilvl w:val="1"/>
          <w:numId w:val="136"/>
        </w:numPr>
        <w:rPr>
          <w:rFonts w:ascii="Arial" w:cs="Arial" w:eastAsia="Arial" w:hAnsi="Arial"/>
          <w:sz w:val="15"/>
          <w:szCs w:val="15"/>
          <w:b w:val="1"/>
          <w:bCs w:val="1"/>
          <w:color w:val="auto"/>
        </w:rPr>
      </w:pPr>
      <w:r>
        <w:rPr>
          <w:rFonts w:ascii="Arial" w:cs="Arial" w:eastAsia="Arial" w:hAnsi="Arial"/>
          <w:sz w:val="15"/>
          <w:szCs w:val="15"/>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36" w:lineRule="exact"/>
        <w:rPr>
          <w:rFonts w:ascii="Arial" w:cs="Arial" w:eastAsia="Arial" w:hAnsi="Arial"/>
          <w:sz w:val="15"/>
          <w:szCs w:val="15"/>
          <w:b w:val="1"/>
          <w:bCs w:val="1"/>
          <w:color w:val="auto"/>
        </w:rPr>
      </w:pPr>
    </w:p>
    <w:p>
      <w:pPr>
        <w:ind w:right="20" w:firstLine="1263"/>
        <w:spacing w:after="0" w:line="295" w:lineRule="auto"/>
        <w:tabs>
          <w:tab w:leader="none" w:pos="1905" w:val="left"/>
        </w:tabs>
        <w:numPr>
          <w:ilvl w:val="1"/>
          <w:numId w:val="136"/>
        </w:numPr>
        <w:rPr>
          <w:rFonts w:ascii="Arial" w:cs="Arial" w:eastAsia="Arial" w:hAnsi="Arial"/>
          <w:sz w:val="15"/>
          <w:szCs w:val="15"/>
          <w:b w:val="1"/>
          <w:bCs w:val="1"/>
          <w:color w:val="auto"/>
        </w:rPr>
      </w:pPr>
      <w:r>
        <w:rPr>
          <w:rFonts w:ascii="Arial" w:cs="Arial" w:eastAsia="Arial" w:hAnsi="Arial"/>
          <w:sz w:val="15"/>
          <w:szCs w:val="15"/>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w:t>
      </w:r>
    </w:p>
    <w:p>
      <w:pPr>
        <w:ind w:left="220" w:hanging="215"/>
        <w:spacing w:after="0"/>
        <w:tabs>
          <w:tab w:leader="none" w:pos="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names of such candidate or candidates have been placed in nomination prior to the voting and (ii) the stockholder has given notice at the meeting, prior to</w:t>
      </w:r>
    </w:p>
    <w:p>
      <w:pPr>
        <w:spacing w:after="0" w:line="25"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17.</w:t>
      </w:r>
      <w:r>
        <w:rPr>
          <w:sz w:val="20"/>
          <w:szCs w:val="20"/>
          <w:color w:val="auto"/>
        </w:rPr>
        <w:tab/>
      </w:r>
      <w:r>
        <w:rPr>
          <w:rFonts w:ascii="Arial" w:cs="Arial" w:eastAsia="Arial" w:hAnsi="Arial"/>
          <w:sz w:val="15"/>
          <w:szCs w:val="15"/>
          <w:b w:val="1"/>
          <w:bCs w:val="1"/>
          <w:color w:val="auto"/>
        </w:rPr>
        <w:t>Vacancies.</w:t>
      </w:r>
    </w:p>
    <w:p>
      <w:pPr>
        <w:spacing w:after="0" w:line="230" w:lineRule="exact"/>
        <w:rPr>
          <w:sz w:val="20"/>
          <w:szCs w:val="20"/>
          <w:color w:val="auto"/>
        </w:rPr>
      </w:pPr>
    </w:p>
    <w:p>
      <w:pPr>
        <w:ind w:right="100" w:firstLine="1263"/>
        <w:spacing w:after="0" w:line="262" w:lineRule="auto"/>
        <w:tabs>
          <w:tab w:leader="none" w:pos="1895"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Bylaw in the case of the death, removal or resignation of any director. (Del. Code Ann., tit. 8, § 223(a), (b))</w:t>
      </w:r>
    </w:p>
    <w:p>
      <w:pPr>
        <w:spacing w:after="0" w:line="224" w:lineRule="exact"/>
        <w:rPr>
          <w:sz w:val="20"/>
          <w:szCs w:val="20"/>
          <w:color w:val="auto"/>
        </w:rPr>
      </w:pPr>
    </w:p>
    <w:p>
      <w:pPr>
        <w:ind w:right="260" w:firstLine="1263"/>
        <w:spacing w:after="0" w:line="289" w:lineRule="auto"/>
        <w:tabs>
          <w:tab w:leader="none" w:pos="1905"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58" w:lineRule="exact"/>
        <w:rPr>
          <w:rFonts w:ascii="Arial" w:cs="Arial" w:eastAsia="Arial" w:hAnsi="Arial"/>
          <w:sz w:val="17"/>
          <w:szCs w:val="17"/>
          <w:b w:val="1"/>
          <w:bCs w:val="1"/>
          <w:color w:val="auto"/>
        </w:rPr>
      </w:pPr>
    </w:p>
    <w:p>
      <w:pPr>
        <w:ind w:right="780" w:firstLine="2627"/>
        <w:spacing w:after="0" w:line="289" w:lineRule="auto"/>
        <w:tabs>
          <w:tab w:leader="none" w:pos="3154"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any holder or holders of an aggregate of five percent (5%) or more of the total number of shares at the time outstanding having the right to vote for those directors may call a special meeting of stockholders; or</w:t>
      </w:r>
    </w:p>
    <w:p>
      <w:pPr>
        <w:spacing w:after="0" w:line="158" w:lineRule="exact"/>
        <w:rPr>
          <w:rFonts w:ascii="Arial" w:cs="Arial" w:eastAsia="Arial" w:hAnsi="Arial"/>
          <w:sz w:val="17"/>
          <w:szCs w:val="17"/>
          <w:b w:val="1"/>
          <w:bCs w:val="1"/>
          <w:color w:val="auto"/>
        </w:rPr>
      </w:pPr>
    </w:p>
    <w:p>
      <w:pPr>
        <w:ind w:right="100" w:firstLine="2585"/>
        <w:spacing w:after="0" w:line="273" w:lineRule="auto"/>
        <w:tabs>
          <w:tab w:leader="none" w:pos="3147"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 (CGCL §305(c))</w:t>
      </w:r>
    </w:p>
    <w:p>
      <w:pPr>
        <w:spacing w:after="0" w:line="166" w:lineRule="exact"/>
        <w:rPr>
          <w:sz w:val="20"/>
          <w:szCs w:val="20"/>
          <w:color w:val="auto"/>
        </w:rPr>
      </w:pPr>
    </w:p>
    <w:p>
      <w:pPr>
        <w:ind w:right="140" w:firstLine="629"/>
        <w:spacing w:after="0" w:line="292" w:lineRule="auto"/>
        <w:rPr>
          <w:sz w:val="20"/>
          <w:szCs w:val="20"/>
          <w:color w:val="auto"/>
        </w:rPr>
      </w:pPr>
      <w:r>
        <w:rPr>
          <w:rFonts w:ascii="Arial" w:cs="Arial" w:eastAsia="Arial" w:hAnsi="Arial"/>
          <w:sz w:val="16"/>
          <w:szCs w:val="16"/>
          <w:b w:val="1"/>
          <w:bCs w:val="1"/>
          <w:color w:val="auto"/>
        </w:rPr>
        <w:t xml:space="preserve">Section 18. Resignation. </w:t>
      </w:r>
      <w:r>
        <w:rPr>
          <w:rFonts w:ascii="Arial" w:cs="Arial" w:eastAsia="Arial" w:hAnsi="Arial"/>
          <w:sz w:val="16"/>
          <w:szCs w:val="16"/>
          <w:color w:val="auto"/>
        </w:rPr>
        <w:t>Any director may resign at any time by delivering his or her notice in writing or by electronic transmission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w:t>
      </w:r>
    </w:p>
    <w:p>
      <w:pPr>
        <w:sectPr>
          <w:pgSz w:w="11900" w:h="16870" w:orient="portrait"/>
          <w:cols w:equalWidth="0" w:num="1">
            <w:col w:w="11420"/>
          </w:cols>
          <w:pgMar w:left="240" w:top="127" w:right="239" w:bottom="0" w:gutter="0" w:footer="0" w:header="0"/>
        </w:sectPr>
      </w:pPr>
    </w:p>
    <w:bookmarkStart w:id="195" w:name="page196"/>
    <w:bookmarkEnd w:id="195"/>
    <w:p>
      <w:pPr>
        <w:ind w:right="120"/>
        <w:spacing w:after="0" w:line="273" w:lineRule="auto"/>
        <w:rPr>
          <w:sz w:val="20"/>
          <w:szCs w:val="20"/>
          <w:color w:val="auto"/>
        </w:rPr>
      </w:pPr>
      <w:r>
        <w:rPr>
          <w:rFonts w:ascii="Arial" w:cs="Arial" w:eastAsia="Arial" w:hAnsi="Arial"/>
          <w:sz w:val="17"/>
          <w:szCs w:val="17"/>
          <w:color w:val="auto"/>
        </w:rPr>
        <w:t>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 (Del. Code Ann., tit. 8, §§ 141(b), 223(d))</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19.</w:t>
      </w:r>
      <w:r>
        <w:rPr>
          <w:sz w:val="20"/>
          <w:szCs w:val="20"/>
          <w:color w:val="auto"/>
        </w:rPr>
        <w:tab/>
      </w:r>
      <w:r>
        <w:rPr>
          <w:rFonts w:ascii="Arial" w:cs="Arial" w:eastAsia="Arial" w:hAnsi="Arial"/>
          <w:sz w:val="15"/>
          <w:szCs w:val="15"/>
          <w:b w:val="1"/>
          <w:bCs w:val="1"/>
          <w:color w:val="auto"/>
        </w:rPr>
        <w:t>Removal.</w:t>
      </w:r>
    </w:p>
    <w:p>
      <w:pPr>
        <w:spacing w:after="0" w:line="230" w:lineRule="exact"/>
        <w:rPr>
          <w:sz w:val="20"/>
          <w:szCs w:val="20"/>
          <w:color w:val="auto"/>
        </w:rPr>
      </w:pPr>
    </w:p>
    <w:p>
      <w:pPr>
        <w:ind w:right="60" w:firstLine="1263"/>
        <w:spacing w:after="0" w:line="265" w:lineRule="auto"/>
        <w:tabs>
          <w:tab w:leader="none" w:pos="1895"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sixty-six and two- thirds percent (66-2/3%) of the voting power of all then-outstanding shares of capital stock of the corporation, entitled to vote generally at an election of directors.</w:t>
      </w:r>
    </w:p>
    <w:p>
      <w:pPr>
        <w:spacing w:after="0" w:line="179" w:lineRule="exact"/>
        <w:rPr>
          <w:rFonts w:ascii="Arial" w:cs="Arial" w:eastAsia="Arial" w:hAnsi="Arial"/>
          <w:sz w:val="17"/>
          <w:szCs w:val="17"/>
          <w:b w:val="1"/>
          <w:bCs w:val="1"/>
          <w:color w:val="auto"/>
        </w:rPr>
      </w:pPr>
    </w:p>
    <w:p>
      <w:pPr>
        <w:ind w:firstLine="1263"/>
        <w:spacing w:after="0" w:line="265" w:lineRule="auto"/>
        <w:tabs>
          <w:tab w:leader="none" w:pos="1905"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consent, all shares entitled to vote were voted) and the entire number of directors authorized at the time of such director’s most recent election were then being elected.</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20.</w:t>
      </w:r>
      <w:r>
        <w:rPr>
          <w:sz w:val="20"/>
          <w:szCs w:val="20"/>
          <w:color w:val="auto"/>
        </w:rPr>
        <w:tab/>
      </w:r>
      <w:r>
        <w:rPr>
          <w:rFonts w:ascii="Arial" w:cs="Arial" w:eastAsia="Arial" w:hAnsi="Arial"/>
          <w:sz w:val="15"/>
          <w:szCs w:val="15"/>
          <w:b w:val="1"/>
          <w:bCs w:val="1"/>
          <w:color w:val="auto"/>
        </w:rPr>
        <w:t>Meetings.</w:t>
      </w:r>
    </w:p>
    <w:p>
      <w:pPr>
        <w:spacing w:after="0" w:line="224" w:lineRule="exact"/>
        <w:rPr>
          <w:sz w:val="20"/>
          <w:szCs w:val="20"/>
          <w:color w:val="auto"/>
        </w:rPr>
      </w:pPr>
    </w:p>
    <w:p>
      <w:pPr>
        <w:ind w:right="80" w:firstLine="1263"/>
        <w:spacing w:after="0" w:line="267" w:lineRule="auto"/>
        <w:tabs>
          <w:tab w:leader="none" w:pos="1895"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Regular Meetings</w:t>
      </w:r>
      <w:r>
        <w:rPr>
          <w:rFonts w:ascii="Arial" w:cs="Arial" w:eastAsia="Arial" w:hAnsi="Arial"/>
          <w:sz w:val="17"/>
          <w:szCs w:val="17"/>
          <w:color w:val="auto"/>
        </w:rPr>
        <w:t>. Unless otherwise restricted by the Certificate of Incorporation, regular meetings of the Board of Directors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 (Del. Code Ann., tit. 8, § 141(g))</w:t>
      </w:r>
    </w:p>
    <w:p>
      <w:pPr>
        <w:spacing w:after="0" w:line="171" w:lineRule="exact"/>
        <w:rPr>
          <w:rFonts w:ascii="Arial" w:cs="Arial" w:eastAsia="Arial" w:hAnsi="Arial"/>
          <w:sz w:val="17"/>
          <w:szCs w:val="17"/>
          <w:b w:val="1"/>
          <w:bCs w:val="1"/>
          <w:color w:val="auto"/>
        </w:rPr>
      </w:pPr>
    </w:p>
    <w:p>
      <w:pPr>
        <w:ind w:right="20" w:firstLine="1263"/>
        <w:spacing w:after="0" w:line="277" w:lineRule="auto"/>
        <w:tabs>
          <w:tab w:leader="none" w:pos="1905"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Special Meetings</w:t>
      </w:r>
      <w:r>
        <w:rPr>
          <w:rFonts w:ascii="Arial" w:cs="Arial" w:eastAsia="Arial" w:hAnsi="Arial"/>
          <w:sz w:val="17"/>
          <w:szCs w:val="17"/>
          <w:color w:val="auto"/>
        </w:rPr>
        <w:t>. Unless otherwise restricted by the Certificate of Incorporation, special meetings of the Board of Directors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at any time and place within or without the State of Delaware whenever called by the Chairman of the Board, the Chief Executive Officer, or a majority of the authorized directors. (Del. Code Ann., tit. 8, § 141(g))</w:t>
      </w:r>
    </w:p>
    <w:p>
      <w:pPr>
        <w:spacing w:after="0" w:line="162" w:lineRule="exact"/>
        <w:rPr>
          <w:rFonts w:ascii="Arial" w:cs="Arial" w:eastAsia="Arial" w:hAnsi="Arial"/>
          <w:sz w:val="17"/>
          <w:szCs w:val="17"/>
          <w:b w:val="1"/>
          <w:bCs w:val="1"/>
          <w:color w:val="auto"/>
        </w:rPr>
      </w:pPr>
    </w:p>
    <w:p>
      <w:pPr>
        <w:ind w:firstLine="1263"/>
        <w:spacing w:after="0" w:line="302" w:lineRule="auto"/>
        <w:tabs>
          <w:tab w:leader="none" w:pos="1898"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 (Del. Code Ann., tit. 8, § 141(i)),</w:t>
      </w:r>
    </w:p>
    <w:p>
      <w:pPr>
        <w:spacing w:after="0" w:line="144" w:lineRule="exact"/>
        <w:rPr>
          <w:rFonts w:ascii="Arial" w:cs="Arial" w:eastAsia="Arial" w:hAnsi="Arial"/>
          <w:sz w:val="16"/>
          <w:szCs w:val="16"/>
          <w:b w:val="1"/>
          <w:bCs w:val="1"/>
          <w:color w:val="auto"/>
        </w:rPr>
      </w:pPr>
    </w:p>
    <w:p>
      <w:pPr>
        <w:ind w:right="40" w:firstLine="1263"/>
        <w:spacing w:after="0" w:line="264" w:lineRule="auto"/>
        <w:tabs>
          <w:tab w:leader="none" w:pos="1905"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(Del. Code Ann., tit. 8, § 229)</w:t>
      </w:r>
    </w:p>
    <w:p>
      <w:pPr>
        <w:spacing w:after="0" w:line="172" w:lineRule="exact"/>
        <w:rPr>
          <w:rFonts w:ascii="Arial" w:cs="Arial" w:eastAsia="Arial" w:hAnsi="Arial"/>
          <w:sz w:val="17"/>
          <w:szCs w:val="17"/>
          <w:b w:val="1"/>
          <w:bCs w:val="1"/>
          <w:color w:val="auto"/>
        </w:rPr>
      </w:pPr>
    </w:p>
    <w:p>
      <w:pPr>
        <w:ind w:right="20" w:firstLine="1263"/>
        <w:spacing w:after="0" w:line="292" w:lineRule="auto"/>
        <w:tabs>
          <w:tab w:leader="none" w:pos="1898"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(Del. Code Ann., tit. 8, § 229)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b w:val="1"/>
          <w:bCs w:val="1"/>
          <w:color w:val="auto"/>
        </w:rPr>
        <w:t>Section 21.</w:t>
      </w:r>
      <w:r>
        <w:rPr>
          <w:sz w:val="20"/>
          <w:szCs w:val="20"/>
          <w:color w:val="auto"/>
        </w:rPr>
        <w:tab/>
      </w:r>
      <w:r>
        <w:rPr>
          <w:rFonts w:ascii="Arial" w:cs="Arial" w:eastAsia="Arial" w:hAnsi="Arial"/>
          <w:sz w:val="16"/>
          <w:szCs w:val="16"/>
          <w:b w:val="1"/>
          <w:bCs w:val="1"/>
          <w:color w:val="auto"/>
        </w:rPr>
        <w:t>Quorum and Voting.</w:t>
      </w:r>
    </w:p>
    <w:p>
      <w:pPr>
        <w:spacing w:after="0" w:line="230" w:lineRule="exact"/>
        <w:rPr>
          <w:sz w:val="20"/>
          <w:szCs w:val="20"/>
          <w:color w:val="auto"/>
        </w:rPr>
      </w:pPr>
    </w:p>
    <w:p>
      <w:pPr>
        <w:ind w:right="140" w:firstLine="1263"/>
        <w:spacing w:after="0" w:line="290" w:lineRule="auto"/>
        <w:tabs>
          <w:tab w:leader="none" w:pos="1895"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at any meeting, whether a quorum be present or otherwise, a majority of the directors present may adjourn from time to time until the time fixed for the next regular meeting of the Board of Directors, without notice other than by announcement at the meeting. (Del. Code Ann., tit. 8, § 141(b))</w:t>
      </w:r>
    </w:p>
    <w:p>
      <w:pPr>
        <w:spacing w:after="0" w:line="159" w:lineRule="exact"/>
        <w:rPr>
          <w:rFonts w:ascii="Arial" w:cs="Arial" w:eastAsia="Arial" w:hAnsi="Arial"/>
          <w:sz w:val="16"/>
          <w:szCs w:val="16"/>
          <w:b w:val="1"/>
          <w:bCs w:val="1"/>
          <w:color w:val="auto"/>
        </w:rPr>
      </w:pPr>
    </w:p>
    <w:p>
      <w:pPr>
        <w:ind w:right="60" w:firstLine="1263"/>
        <w:spacing w:after="0" w:line="273" w:lineRule="auto"/>
        <w:tabs>
          <w:tab w:leader="none" w:pos="1905"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 (Del. Code Ann., tit. 8, § 141(b))</w:t>
      </w:r>
    </w:p>
    <w:p>
      <w:pPr>
        <w:spacing w:after="0" w:line="16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color w:val="auto"/>
        </w:rPr>
        <w:t xml:space="preserve">Section 22.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(Del. Code Ann., tit. 8, § 141(f))</w:t>
      </w:r>
    </w:p>
    <w:p>
      <w:pPr>
        <w:spacing w:after="0" w:line="171" w:lineRule="exact"/>
        <w:rPr>
          <w:sz w:val="20"/>
          <w:szCs w:val="20"/>
          <w:color w:val="auto"/>
        </w:rPr>
      </w:pPr>
    </w:p>
    <w:p>
      <w:pPr>
        <w:ind w:right="280" w:firstLine="629"/>
        <w:spacing w:after="0" w:line="330" w:lineRule="auto"/>
        <w:rPr>
          <w:sz w:val="20"/>
          <w:szCs w:val="20"/>
          <w:color w:val="auto"/>
        </w:rPr>
      </w:pPr>
      <w:r>
        <w:rPr>
          <w:rFonts w:ascii="Arial" w:cs="Arial" w:eastAsia="Arial" w:hAnsi="Arial"/>
          <w:sz w:val="15"/>
          <w:szCs w:val="15"/>
          <w:b w:val="1"/>
          <w:bCs w:val="1"/>
          <w:color w:val="auto"/>
        </w:rPr>
        <w:t xml:space="preserve">Section 23. Fees and Compensation. </w:t>
      </w:r>
      <w:r>
        <w:rPr>
          <w:rFonts w:ascii="Arial" w:cs="Arial" w:eastAsia="Arial" w:hAnsi="Arial"/>
          <w:sz w:val="15"/>
          <w:szCs w:val="15"/>
          <w:color w:val="auto"/>
        </w:rPr>
        <w:t>Directors shall be entitled to such compensation for their services as may be approved by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w:t>
      </w:r>
    </w:p>
    <w:p>
      <w:pPr>
        <w:sectPr>
          <w:pgSz w:w="11900" w:h="16838" w:orient="portrait"/>
          <w:cols w:equalWidth="0" w:num="1">
            <w:col w:w="11420"/>
          </w:cols>
          <w:pgMar w:left="240" w:top="127" w:right="239" w:bottom="0" w:gutter="0" w:footer="0" w:header="0"/>
        </w:sectPr>
      </w:pPr>
    </w:p>
    <w:bookmarkStart w:id="196" w:name="page197"/>
    <w:bookmarkEnd w:id="196"/>
    <w:p>
      <w:pPr>
        <w:ind w:right="60"/>
        <w:spacing w:after="0" w:line="289" w:lineRule="auto"/>
        <w:rPr>
          <w:sz w:val="20"/>
          <w:szCs w:val="20"/>
          <w:color w:val="auto"/>
        </w:rPr>
      </w:pPr>
      <w:r>
        <w:rPr>
          <w:rFonts w:ascii="Arial" w:cs="Arial" w:eastAsia="Arial" w:hAnsi="Arial"/>
          <w:sz w:val="17"/>
          <w:szCs w:val="17"/>
          <w:color w:val="auto"/>
        </w:rPr>
        <w:t>any director from serving the corporation in any other capacity as an officer, agent, employee, or otherwise and receiving compensation therefor. (Del. Code Ann., tit. 8, § 141(h))</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24.</w:t>
      </w:r>
      <w:r>
        <w:rPr>
          <w:sz w:val="20"/>
          <w:szCs w:val="20"/>
          <w:color w:val="auto"/>
        </w:rPr>
        <w:tab/>
      </w:r>
      <w:r>
        <w:rPr>
          <w:rFonts w:ascii="Arial" w:cs="Arial" w:eastAsia="Arial" w:hAnsi="Arial"/>
          <w:sz w:val="15"/>
          <w:szCs w:val="15"/>
          <w:b w:val="1"/>
          <w:bCs w:val="1"/>
          <w:color w:val="auto"/>
        </w:rPr>
        <w:t>Committees.</w:t>
      </w:r>
    </w:p>
    <w:p>
      <w:pPr>
        <w:spacing w:after="0" w:line="224" w:lineRule="exact"/>
        <w:rPr>
          <w:sz w:val="20"/>
          <w:szCs w:val="20"/>
          <w:color w:val="auto"/>
        </w:rPr>
      </w:pPr>
    </w:p>
    <w:p>
      <w:pPr>
        <w:ind w:right="60" w:firstLine="1263"/>
        <w:spacing w:after="0" w:line="265" w:lineRule="auto"/>
        <w:tabs>
          <w:tab w:leader="none" w:pos="1895"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Executive Committee</w:t>
      </w:r>
      <w:r>
        <w:rPr>
          <w:rFonts w:ascii="Arial" w:cs="Arial" w:eastAsia="Arial" w:hAnsi="Arial"/>
          <w:sz w:val="17"/>
          <w:szCs w:val="17"/>
          <w:color w:val="auto"/>
        </w:rPr>
        <w:t>. The Board of Directors may appoint an Executive Committee to consist of one (1) or more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 (Del. Code Ann., tit. 8, § 141(c))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1263"/>
        <w:spacing w:after="0" w:line="270" w:lineRule="auto"/>
        <w:tabs>
          <w:tab w:leader="none" w:pos="1905"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Other Committees</w:t>
      </w:r>
      <w:r>
        <w:rPr>
          <w:rFonts w:ascii="Arial" w:cs="Arial" w:eastAsia="Arial" w:hAnsi="Arial"/>
          <w:sz w:val="17"/>
          <w:szCs w:val="17"/>
          <w:color w:val="auto"/>
        </w:rPr>
        <w:t>. The Board of Directors may, from time to time, appoint such other committees as may be permitted by law.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(Del. Code Ann., tit. 8, § 141(c))</w:t>
      </w:r>
    </w:p>
    <w:p>
      <w:pPr>
        <w:spacing w:after="0" w:line="169" w:lineRule="exact"/>
        <w:rPr>
          <w:rFonts w:ascii="Arial" w:cs="Arial" w:eastAsia="Arial" w:hAnsi="Arial"/>
          <w:sz w:val="17"/>
          <w:szCs w:val="17"/>
          <w:b w:val="1"/>
          <w:bCs w:val="1"/>
          <w:color w:val="auto"/>
        </w:rPr>
      </w:pPr>
    </w:p>
    <w:p>
      <w:pPr>
        <w:ind w:right="40" w:firstLine="1263"/>
        <w:spacing w:after="0" w:line="262" w:lineRule="auto"/>
        <w:tabs>
          <w:tab w:leader="none" w:pos="1898"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(Del. Code Ann., tit. 8, § 141(c))</w:t>
      </w:r>
    </w:p>
    <w:p>
      <w:pPr>
        <w:spacing w:after="0" w:line="176" w:lineRule="exact"/>
        <w:rPr>
          <w:rFonts w:ascii="Arial" w:cs="Arial" w:eastAsia="Arial" w:hAnsi="Arial"/>
          <w:sz w:val="17"/>
          <w:szCs w:val="17"/>
          <w:b w:val="1"/>
          <w:bCs w:val="1"/>
          <w:color w:val="auto"/>
        </w:rPr>
      </w:pPr>
    </w:p>
    <w:p>
      <w:pPr>
        <w:ind w:right="20" w:firstLine="1263"/>
        <w:spacing w:after="0" w:line="279" w:lineRule="auto"/>
        <w:tabs>
          <w:tab w:leader="none" w:pos="1905"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24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(Del. Code Ann., tit. 8, §§ 141(c), 229)</w:t>
      </w:r>
    </w:p>
    <w:p>
      <w:pPr>
        <w:spacing w:after="0" w:line="16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 xml:space="preserve">Section 25. Organization. </w:t>
      </w:r>
      <w:r>
        <w:rPr>
          <w:rFonts w:ascii="Arial" w:cs="Arial" w:eastAsia="Arial" w:hAnsi="Arial"/>
          <w:sz w:val="17"/>
          <w:szCs w:val="17"/>
          <w:color w:val="auto"/>
        </w:rPr>
        <w:t>At every meeting of the directors, the Chairman of the Board of Directors, or, if a Chairman has not been appointed or is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the Chief Executive Officer (if a director), or, if the Chief Executive Officer has not been appointed or is absent, the President (if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color w:val="auto"/>
        </w:rPr>
        <w:t>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or other officer or director directed to do so by the Chief Executive Officer, or, if the Chief Executive Officer has not been appointed or is absent, the President, shall act as secretary of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OFFICERS</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color w:val="auto"/>
        </w:rPr>
        <w:t xml:space="preserve">Section 26. Officers Designated. </w:t>
      </w:r>
      <w:r>
        <w:rPr>
          <w:rFonts w:ascii="Arial" w:cs="Arial" w:eastAsia="Arial" w:hAnsi="Arial"/>
          <w:sz w:val="17"/>
          <w:szCs w:val="17"/>
          <w:color w:val="auto"/>
        </w:rPr>
        <w:t>The officers of the corporation shall include, if and when designated by the Board of Directors, the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the Treasurer and the Controller.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(Del. Code Ann., tit. 8, §§ 122(5), 142(a), (b))</w:t>
      </w:r>
    </w:p>
    <w:p>
      <w:pPr>
        <w:spacing w:after="0" w:line="17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27.</w:t>
      </w:r>
      <w:r>
        <w:rPr>
          <w:sz w:val="20"/>
          <w:szCs w:val="20"/>
          <w:color w:val="auto"/>
        </w:rPr>
        <w:tab/>
      </w:r>
      <w:r>
        <w:rPr>
          <w:rFonts w:ascii="Arial" w:cs="Arial" w:eastAsia="Arial" w:hAnsi="Arial"/>
          <w:sz w:val="15"/>
          <w:szCs w:val="15"/>
          <w:b w:val="1"/>
          <w:bCs w:val="1"/>
          <w:color w:val="auto"/>
        </w:rPr>
        <w:t>Tenure and Duties of Officers.</w:t>
      </w:r>
    </w:p>
    <w:p>
      <w:pPr>
        <w:spacing w:after="0" w:line="224" w:lineRule="exact"/>
        <w:rPr>
          <w:sz w:val="20"/>
          <w:szCs w:val="20"/>
          <w:color w:val="auto"/>
        </w:rPr>
      </w:pPr>
    </w:p>
    <w:p>
      <w:pPr>
        <w:ind w:right="180" w:firstLine="1263"/>
        <w:spacing w:after="0" w:line="302" w:lineRule="auto"/>
        <w:tabs>
          <w:tab w:leader="none" w:pos="1895"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All officers shall hold office at the pleasure of the Board of Directors and until their successors shall have been duly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(Del. Code Ann., tit. 8, § 141(b), (e))</w:t>
      </w:r>
    </w:p>
    <w:p>
      <w:pPr>
        <w:spacing w:after="0" w:line="144" w:lineRule="exact"/>
        <w:rPr>
          <w:rFonts w:ascii="Arial" w:cs="Arial" w:eastAsia="Arial" w:hAnsi="Arial"/>
          <w:sz w:val="16"/>
          <w:szCs w:val="16"/>
          <w:b w:val="1"/>
          <w:bCs w:val="1"/>
          <w:color w:val="auto"/>
        </w:rPr>
      </w:pPr>
    </w:p>
    <w:p>
      <w:pPr>
        <w:ind w:firstLine="1263"/>
        <w:spacing w:after="0" w:line="302" w:lineRule="auto"/>
        <w:tabs>
          <w:tab w:leader="none" w:pos="1905"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Chairman of the Board of Directors</w:t>
      </w:r>
      <w:r>
        <w:rPr>
          <w:rFonts w:ascii="Arial" w:cs="Arial" w:eastAsia="Arial" w:hAnsi="Arial"/>
          <w:sz w:val="16"/>
          <w:szCs w:val="16"/>
          <w:color w:val="auto"/>
        </w:rPr>
        <w:t>. The Chairman of the Board of Directors, when present, shall preside at all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and the Board of Directors. The Chairman of the Board of Directors shall perform other duties commonly incident to the office and shall also perform such other duties and have such other powers as the Board of Directors shall designate from time to time. (Del. Code Ann., tit. 8, § 142(a))</w:t>
      </w:r>
    </w:p>
    <w:p>
      <w:pPr>
        <w:sectPr>
          <w:pgSz w:w="11900" w:h="16838" w:orient="portrait"/>
          <w:cols w:equalWidth="0" w:num="1">
            <w:col w:w="11420"/>
          </w:cols>
          <w:pgMar w:left="240" w:top="127" w:right="239" w:bottom="15" w:gutter="0" w:footer="0" w:header="0"/>
        </w:sectPr>
      </w:pPr>
    </w:p>
    <w:bookmarkStart w:id="197" w:name="page198"/>
    <w:bookmarkEnd w:id="197"/>
    <w:p>
      <w:pPr>
        <w:ind w:right="60" w:firstLine="1263"/>
        <w:spacing w:after="0" w:line="270" w:lineRule="auto"/>
        <w:tabs>
          <w:tab w:leader="none" w:pos="1898"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unless the Chairman of the Board of Directors has been appointed and is present. Unless some 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extent that a Chief Executive Officer has been appointed, all references in these Bylaws to the President (other than those in Sections 27(c), 27(d), 27(e), 25 and</w:t>
      </w:r>
    </w:p>
    <w:p>
      <w:pPr>
        <w:spacing w:after="0" w:line="38" w:lineRule="exact"/>
        <w:rPr>
          <w:sz w:val="20"/>
          <w:szCs w:val="20"/>
          <w:color w:val="auto"/>
        </w:rPr>
      </w:pPr>
    </w:p>
    <w:p>
      <w:pPr>
        <w:ind w:right="240" w:firstLine="5"/>
        <w:spacing w:after="0" w:line="275" w:lineRule="auto"/>
        <w:tabs>
          <w:tab w:leader="none" w:pos="27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63" w:lineRule="exact"/>
        <w:rPr>
          <w:rFonts w:ascii="Arial" w:cs="Arial" w:eastAsia="Arial" w:hAnsi="Arial"/>
          <w:sz w:val="17"/>
          <w:szCs w:val="17"/>
          <w:color w:val="auto"/>
        </w:rPr>
      </w:pPr>
    </w:p>
    <w:p>
      <w:pPr>
        <w:ind w:firstLine="1263"/>
        <w:spacing w:after="0" w:line="265" w:lineRule="auto"/>
        <w:tabs>
          <w:tab w:leader="none" w:pos="1905"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President</w:t>
      </w:r>
      <w:r>
        <w:rPr>
          <w:rFonts w:ascii="Arial" w:cs="Arial" w:eastAsia="Arial" w:hAnsi="Arial"/>
          <w:sz w:val="17"/>
          <w:szCs w:val="17"/>
          <w:color w:val="auto"/>
        </w:rPr>
        <w:t>. The President shall preside at all meetings of the stockholders and at all meetings of the Board of Directors,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of the Board of Directors or the Chief Executive Officer has been appointed and is present. Unless some 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 (Del. Code Ann., tit. 8, § 142(a))</w:t>
      </w:r>
    </w:p>
    <w:p>
      <w:pPr>
        <w:spacing w:after="0" w:line="173" w:lineRule="exact"/>
        <w:rPr>
          <w:rFonts w:ascii="Arial" w:cs="Arial" w:eastAsia="Arial" w:hAnsi="Arial"/>
          <w:sz w:val="17"/>
          <w:szCs w:val="17"/>
          <w:b w:val="1"/>
          <w:bCs w:val="1"/>
          <w:color w:val="auto"/>
        </w:rPr>
      </w:pPr>
    </w:p>
    <w:p>
      <w:pPr>
        <w:ind w:right="60" w:firstLine="1263"/>
        <w:spacing w:after="0" w:line="270" w:lineRule="auto"/>
        <w:tabs>
          <w:tab w:leader="none" w:pos="1898"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Vice Presidents</w:t>
      </w:r>
      <w:r>
        <w:rPr>
          <w:rFonts w:ascii="Arial" w:cs="Arial" w:eastAsia="Arial" w:hAnsi="Arial"/>
          <w:sz w:val="17"/>
          <w:szCs w:val="17"/>
          <w:color w:val="auto"/>
        </w:rPr>
        <w:t>. The Vice Presidents may assume and perform the duties of the President in the absence or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 (Del. Code Ann., tit. 8, § 142(a))</w:t>
      </w:r>
    </w:p>
    <w:p>
      <w:pPr>
        <w:spacing w:after="0" w:line="169" w:lineRule="exact"/>
        <w:rPr>
          <w:rFonts w:ascii="Arial" w:cs="Arial" w:eastAsia="Arial" w:hAnsi="Arial"/>
          <w:sz w:val="17"/>
          <w:szCs w:val="17"/>
          <w:b w:val="1"/>
          <w:bCs w:val="1"/>
          <w:color w:val="auto"/>
        </w:rPr>
      </w:pPr>
    </w:p>
    <w:p>
      <w:pPr>
        <w:ind w:right="20" w:firstLine="1263"/>
        <w:spacing w:after="0" w:line="283" w:lineRule="auto"/>
        <w:tabs>
          <w:tab w:leader="none" w:pos="1892"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or director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 (Del. Code Ann., tit. 8, § 142(a))</w:t>
      </w:r>
    </w:p>
    <w:p>
      <w:pPr>
        <w:spacing w:after="0" w:line="159" w:lineRule="exact"/>
        <w:rPr>
          <w:rFonts w:ascii="Arial" w:cs="Arial" w:eastAsia="Arial" w:hAnsi="Arial"/>
          <w:sz w:val="16"/>
          <w:szCs w:val="16"/>
          <w:b w:val="1"/>
          <w:bCs w:val="1"/>
          <w:color w:val="auto"/>
        </w:rPr>
      </w:pPr>
    </w:p>
    <w:p>
      <w:pPr>
        <w:ind w:right="160" w:firstLine="1263"/>
        <w:spacing w:after="0" w:line="311" w:lineRule="auto"/>
        <w:tabs>
          <w:tab w:leader="none" w:pos="1895" w:val="left"/>
        </w:tabs>
        <w:numPr>
          <w:ilvl w:val="1"/>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Duties of Chief Financial Officer</w:t>
      </w:r>
      <w:r>
        <w:rPr>
          <w:rFonts w:ascii="Arial" w:cs="Arial" w:eastAsia="Arial" w:hAnsi="Arial"/>
          <w:sz w:val="15"/>
          <w:szCs w:val="15"/>
          <w:color w:val="auto"/>
        </w:rPr>
        <w:t>. The Chief Financial Officer shall keep or cause to be kept the books of account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Vice President of Finance, Treasurer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any Assistant Treasurer, or the Controller or any Assistant Controller to assume and perform the duties of the Chief Financial Officer in the absence or disability of the Chief Financial Officer, and each of the Vice President of Finance,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 (Del. Code Ann,, tit. 8, § 142(a))</w:t>
      </w:r>
    </w:p>
    <w:p>
      <w:pPr>
        <w:spacing w:after="0" w:line="170"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b w:val="1"/>
          <w:bCs w:val="1"/>
          <w:color w:val="auto"/>
        </w:rPr>
        <w:t xml:space="preserve">Section 28. Delegation of Authority. </w:t>
      </w:r>
      <w:r>
        <w:rPr>
          <w:rFonts w:ascii="Arial" w:cs="Arial" w:eastAsia="Arial" w:hAnsi="Arial"/>
          <w:sz w:val="17"/>
          <w:szCs w:val="17"/>
          <w:color w:val="auto"/>
        </w:rPr>
        <w:t>The Board of Directors may from time to time delegate the powers or duties of any officer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agent, notwithstanding any provision hereof.</w:t>
      </w:r>
    </w:p>
    <w:p>
      <w:pPr>
        <w:spacing w:after="0" w:line="145"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b w:val="1"/>
          <w:bCs w:val="1"/>
          <w:color w:val="auto"/>
        </w:rPr>
        <w:t xml:space="preserve">Section 29. Resignations. </w:t>
      </w:r>
      <w:r>
        <w:rPr>
          <w:rFonts w:ascii="Arial" w:cs="Arial" w:eastAsia="Arial" w:hAnsi="Arial"/>
          <w:sz w:val="17"/>
          <w:szCs w:val="17"/>
          <w:color w:val="auto"/>
        </w:rPr>
        <w:t>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(Del. Code Ann., tit. 8, § 142(b))</w:t>
      </w:r>
    </w:p>
    <w:p>
      <w:pPr>
        <w:spacing w:after="0" w:line="171"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b w:val="1"/>
          <w:bCs w:val="1"/>
          <w:color w:val="auto"/>
        </w:rPr>
        <w:t xml:space="preserve">Section 30. Removal. </w:t>
      </w:r>
      <w:r>
        <w:rPr>
          <w:rFonts w:ascii="Arial" w:cs="Arial" w:eastAsia="Arial" w:hAnsi="Arial"/>
          <w:sz w:val="17"/>
          <w:szCs w:val="17"/>
          <w:color w:val="auto"/>
        </w:rPr>
        <w:t>Any officer may be removed from office at any time, either with or without cause, by the affirmative vote of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 office at the time, or by the unanimous written consent of the directors in office at the time, or by the Chief Executive Officer or President, or by any committee or other superior officers upon whom such power of removal may have been conferred by the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EXECUTION OF CORPORATE INSTRUMENTS AND VOTING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SECURITIES OWNED BY THE CORPORATION</w:t>
      </w:r>
    </w:p>
    <w:p>
      <w:pPr>
        <w:spacing w:after="0" w:line="206"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b w:val="1"/>
          <w:bCs w:val="1"/>
          <w:color w:val="auto"/>
        </w:rPr>
        <w:t xml:space="preserve">Section 31. Execution of Corporate Instruments. </w:t>
      </w:r>
      <w:r>
        <w:rPr>
          <w:rFonts w:ascii="Arial" w:cs="Arial" w:eastAsia="Arial" w:hAnsi="Arial"/>
          <w:sz w:val="17"/>
          <w:szCs w:val="17"/>
          <w:color w:val="auto"/>
        </w:rPr>
        <w:t>The Board of Directors may, in its discretion, determine the method and designate the signatory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(Del. Code Ann., tit. 8, §§ 103(a), 142(a), 158)</w:t>
      </w:r>
    </w:p>
    <w:p>
      <w:pPr>
        <w:spacing w:after="0" w:line="175"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58"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w:t>
      </w:r>
    </w:p>
    <w:p>
      <w:pPr>
        <w:sectPr>
          <w:pgSz w:w="11900" w:h="16838" w:orient="portrait"/>
          <w:cols w:equalWidth="0" w:num="1">
            <w:col w:w="11420"/>
          </w:cols>
          <w:pgMar w:left="240" w:top="121"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any contract or engagement or to pledge its credit or to render it liable for any purpose or for any amount. (Del. Code Ann., tit. 8, §§ 103(a), 142(a), 158).</w:t>
      </w:r>
    </w:p>
    <w:p>
      <w:pPr>
        <w:spacing w:after="0" w:line="230"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Section 32. Voting of Securities Owned by the Corporation. </w:t>
      </w:r>
      <w:r>
        <w:rPr>
          <w:rFonts w:ascii="Arial" w:cs="Arial" w:eastAsia="Arial" w:hAnsi="Arial"/>
          <w:sz w:val="17"/>
          <w:szCs w:val="17"/>
          <w:color w:val="auto"/>
        </w:rPr>
        <w:t>All stock and other securities of other corporations owned or held by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 (Del. Code Ann., tit. 8, § 123)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OF STOCK</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5"/>
          <w:szCs w:val="15"/>
          <w:b w:val="1"/>
          <w:bCs w:val="1"/>
          <w:color w:val="auto"/>
        </w:rPr>
        <w:t xml:space="preserve">Section 33. Form and Execution of Certificates. </w:t>
      </w:r>
      <w:r>
        <w:rPr>
          <w:rFonts w:ascii="Arial" w:cs="Arial" w:eastAsia="Arial" w:hAnsi="Arial"/>
          <w:sz w:val="15"/>
          <w:szCs w:val="15"/>
          <w:color w:val="auto"/>
        </w:rPr>
        <w:t>Certificates for the shares of stock of the corporation shall be in such form as is consistent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Certificate of Incorporation and applicable law. Every holder of stock in the corporation shall be entitled to have a certificate signed by or in the name of the corporation by the Chairman of the Board of Directors,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(Del. Code Ann., tit. 8, § 158)</w:t>
      </w:r>
    </w:p>
    <w:p>
      <w:pPr>
        <w:spacing w:after="0" w:line="158" w:lineRule="exact"/>
        <w:rPr>
          <w:sz w:val="20"/>
          <w:szCs w:val="20"/>
          <w:color w:val="auto"/>
        </w:rPr>
      </w:pPr>
    </w:p>
    <w:p>
      <w:pPr>
        <w:jc w:val="both"/>
        <w:ind w:right="300" w:firstLine="629"/>
        <w:spacing w:after="0" w:line="292" w:lineRule="auto"/>
        <w:rPr>
          <w:sz w:val="20"/>
          <w:szCs w:val="20"/>
          <w:color w:val="auto"/>
        </w:rPr>
      </w:pPr>
      <w:r>
        <w:rPr>
          <w:rFonts w:ascii="Arial" w:cs="Arial" w:eastAsia="Arial" w:hAnsi="Arial"/>
          <w:sz w:val="16"/>
          <w:szCs w:val="16"/>
          <w:b w:val="1"/>
          <w:bCs w:val="1"/>
          <w:color w:val="auto"/>
        </w:rPr>
        <w:t xml:space="preserve">Section 34. Lost Certificates. </w:t>
      </w:r>
      <w:r>
        <w:rPr>
          <w:rFonts w:ascii="Arial" w:cs="Arial" w:eastAsia="Arial" w:hAnsi="Arial"/>
          <w:sz w:val="16"/>
          <w:szCs w:val="16"/>
          <w:color w:val="auto"/>
        </w:rPr>
        <w:t>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as it shall require or to give the corporation a surety bond in such form and amount as it may direct as indemnity against any claim that may be made against the corporation with respect to the certificate alleged to have been Lost, stolen, or destroyed. (Del. Code Ann., tit. 8, § 167)</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35.</w:t>
      </w:r>
      <w:r>
        <w:rPr>
          <w:sz w:val="20"/>
          <w:szCs w:val="20"/>
          <w:color w:val="auto"/>
        </w:rPr>
        <w:tab/>
      </w:r>
      <w:r>
        <w:rPr>
          <w:rFonts w:ascii="Arial" w:cs="Arial" w:eastAsia="Arial" w:hAnsi="Arial"/>
          <w:sz w:val="15"/>
          <w:szCs w:val="15"/>
          <w:b w:val="1"/>
          <w:bCs w:val="1"/>
          <w:color w:val="auto"/>
        </w:rPr>
        <w:t>Transfers.</w:t>
      </w:r>
    </w:p>
    <w:p>
      <w:pPr>
        <w:spacing w:after="0" w:line="230" w:lineRule="exact"/>
        <w:rPr>
          <w:sz w:val="20"/>
          <w:szCs w:val="20"/>
          <w:color w:val="auto"/>
        </w:rPr>
      </w:pPr>
    </w:p>
    <w:p>
      <w:pPr>
        <w:ind w:firstLine="1263"/>
        <w:spacing w:after="0" w:line="273" w:lineRule="auto"/>
        <w:tabs>
          <w:tab w:leader="none" w:pos="1895"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 (Del. Code Ann., tit. 8, § 201, tit. 6, § 8-401(1))</w:t>
      </w:r>
    </w:p>
    <w:p>
      <w:pPr>
        <w:spacing w:after="0" w:line="171" w:lineRule="exact"/>
        <w:rPr>
          <w:rFonts w:ascii="Arial" w:cs="Arial" w:eastAsia="Arial" w:hAnsi="Arial"/>
          <w:sz w:val="17"/>
          <w:szCs w:val="17"/>
          <w:b w:val="1"/>
          <w:bCs w:val="1"/>
          <w:color w:val="auto"/>
        </w:rPr>
      </w:pPr>
    </w:p>
    <w:p>
      <w:pPr>
        <w:ind w:right="40" w:firstLine="1263"/>
        <w:spacing w:after="0" w:line="273" w:lineRule="auto"/>
        <w:tabs>
          <w:tab w:leader="none" w:pos="1905"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(Del. Code Ann., tit. 8, § 160 (a))</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36.</w:t>
      </w:r>
      <w:r>
        <w:rPr>
          <w:sz w:val="20"/>
          <w:szCs w:val="20"/>
          <w:color w:val="auto"/>
        </w:rPr>
        <w:tab/>
      </w:r>
      <w:r>
        <w:rPr>
          <w:rFonts w:ascii="Arial" w:cs="Arial" w:eastAsia="Arial" w:hAnsi="Arial"/>
          <w:sz w:val="15"/>
          <w:szCs w:val="15"/>
          <w:b w:val="1"/>
          <w:bCs w:val="1"/>
          <w:color w:val="auto"/>
        </w:rPr>
        <w:t>Fixing Record Dates.</w:t>
      </w:r>
    </w:p>
    <w:p>
      <w:pPr>
        <w:spacing w:after="0" w:line="230" w:lineRule="exact"/>
        <w:rPr>
          <w:sz w:val="20"/>
          <w:szCs w:val="20"/>
          <w:color w:val="auto"/>
        </w:rPr>
      </w:pPr>
    </w:p>
    <w:p>
      <w:pPr>
        <w:ind w:right="80" w:firstLine="1263"/>
        <w:spacing w:after="0" w:line="303" w:lineRule="auto"/>
        <w:tabs>
          <w:tab w:leader="none" w:pos="1895" w:val="left"/>
        </w:tabs>
        <w:numPr>
          <w:ilvl w:val="1"/>
          <w:numId w:val="149"/>
        </w:numPr>
        <w:rPr>
          <w:rFonts w:ascii="Arial" w:cs="Arial" w:eastAsia="Arial" w:hAnsi="Arial"/>
          <w:sz w:val="15"/>
          <w:szCs w:val="15"/>
          <w:b w:val="1"/>
          <w:bCs w:val="1"/>
          <w:color w:val="auto"/>
        </w:rPr>
      </w:pPr>
      <w:r>
        <w:rPr>
          <w:rFonts w:ascii="Arial" w:cs="Arial" w:eastAsia="Arial" w:hAnsi="Arial"/>
          <w:sz w:val="15"/>
          <w:szCs w:val="15"/>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Board of Directors may fix a new record date for the adjourned meeting.</w:t>
      </w:r>
    </w:p>
    <w:p>
      <w:pPr>
        <w:spacing w:after="0" w:line="153" w:lineRule="exact"/>
        <w:rPr>
          <w:rFonts w:ascii="Arial" w:cs="Arial" w:eastAsia="Arial" w:hAnsi="Arial"/>
          <w:sz w:val="15"/>
          <w:szCs w:val="15"/>
          <w:b w:val="1"/>
          <w:bCs w:val="1"/>
          <w:color w:val="auto"/>
        </w:rPr>
      </w:pPr>
    </w:p>
    <w:p>
      <w:pPr>
        <w:ind w:firstLine="1263"/>
        <w:spacing w:after="0" w:line="276" w:lineRule="auto"/>
        <w:tabs>
          <w:tab w:leader="none" w:pos="1905"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Prior to the Initial Public Offering,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w:t>
      </w:r>
    </w:p>
    <w:p>
      <w:pPr>
        <w:ind w:right="140" w:firstLine="5"/>
        <w:spacing w:after="0" w:line="307" w:lineRule="auto"/>
        <w:tabs>
          <w:tab w:leader="none" w:pos="3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selling forth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auto"/>
        </w:rPr>
        <w:t>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w:t>
      </w:r>
    </w:p>
    <w:p>
      <w:pPr>
        <w:sectPr>
          <w:pgSz w:w="11900" w:h="16838" w:orient="portrait"/>
          <w:cols w:equalWidth="0" w:num="1">
            <w:col w:w="11400"/>
          </w:cols>
          <w:pgMar w:left="240" w:top="717" w:right="259" w:bottom="0" w:gutter="0" w:footer="0" w:header="0"/>
        </w:sectPr>
      </w:pPr>
    </w:p>
    <w:bookmarkStart w:id="199" w:name="page200"/>
    <w:bookmarkEnd w:id="199"/>
    <w:p>
      <w:pPr>
        <w:ind w:right="580"/>
        <w:spacing w:after="0" w:line="289" w:lineRule="auto"/>
        <w:rPr>
          <w:sz w:val="20"/>
          <w:szCs w:val="20"/>
          <w:color w:val="auto"/>
        </w:rPr>
      </w:pPr>
      <w:r>
        <w:rPr>
          <w:rFonts w:ascii="Arial" w:cs="Arial" w:eastAsia="Arial" w:hAnsi="Arial"/>
          <w:sz w:val="17"/>
          <w:szCs w:val="17"/>
          <w:color w:val="auto"/>
        </w:rPr>
        <w:t>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58" w:lineRule="exact"/>
        <w:rPr>
          <w:sz w:val="20"/>
          <w:szCs w:val="20"/>
          <w:color w:val="auto"/>
        </w:rPr>
      </w:pPr>
    </w:p>
    <w:p>
      <w:pPr>
        <w:ind w:right="40" w:firstLine="1263"/>
        <w:spacing w:after="0" w:line="263" w:lineRule="auto"/>
        <w:tabs>
          <w:tab w:leader="none" w:pos="1898"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(Del. Code Ann., tit. 8, § 213)</w:t>
      </w:r>
    </w:p>
    <w:p>
      <w:pPr>
        <w:spacing w:after="0" w:line="177" w:lineRule="exact"/>
        <w:rPr>
          <w:sz w:val="20"/>
          <w:szCs w:val="20"/>
          <w:color w:val="auto"/>
        </w:rPr>
      </w:pPr>
    </w:p>
    <w:p>
      <w:pPr>
        <w:jc w:val="both"/>
        <w:ind w:right="240" w:firstLine="629"/>
        <w:spacing w:after="0" w:line="300" w:lineRule="auto"/>
        <w:rPr>
          <w:sz w:val="20"/>
          <w:szCs w:val="20"/>
          <w:color w:val="auto"/>
        </w:rPr>
      </w:pPr>
      <w:r>
        <w:rPr>
          <w:rFonts w:ascii="Arial" w:cs="Arial" w:eastAsia="Arial" w:hAnsi="Arial"/>
          <w:sz w:val="15"/>
          <w:szCs w:val="15"/>
          <w:b w:val="1"/>
          <w:bCs w:val="1"/>
          <w:color w:val="auto"/>
        </w:rPr>
        <w:t xml:space="preserve">Section 37. Registered Stockholders. </w:t>
      </w:r>
      <w:r>
        <w:rPr>
          <w:rFonts w:ascii="Arial" w:cs="Arial" w:eastAsia="Arial" w:hAnsi="Arial"/>
          <w:sz w:val="15"/>
          <w:szCs w:val="15"/>
          <w:color w:val="auto"/>
        </w:rPr>
        <w:t>The corporation shall be entitled to recognize the exclusive right of a person registered on its books as the</w:t>
      </w:r>
      <w:r>
        <w:rPr>
          <w:rFonts w:ascii="Arial" w:cs="Arial" w:eastAsia="Arial" w:hAnsi="Arial"/>
          <w:sz w:val="15"/>
          <w:szCs w:val="15"/>
          <w:b w:val="1"/>
          <w:bCs w:val="1"/>
          <w:color w:val="auto"/>
        </w:rPr>
        <w:t xml:space="preserve"> </w:t>
      </w:r>
      <w:r>
        <w:rPr>
          <w:rFonts w:ascii="Arial" w:cs="Arial" w:eastAsia="Arial" w:hAnsi="Arial"/>
          <w:sz w:val="15"/>
          <w:szCs w:val="15"/>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(Del.</w:t>
      </w:r>
    </w:p>
    <w:p>
      <w:pPr>
        <w:spacing w:after="0"/>
        <w:rPr>
          <w:sz w:val="20"/>
          <w:szCs w:val="20"/>
          <w:color w:val="auto"/>
        </w:rPr>
      </w:pPr>
      <w:r>
        <w:rPr>
          <w:rFonts w:ascii="Arial" w:cs="Arial" w:eastAsia="Arial" w:hAnsi="Arial"/>
          <w:sz w:val="17"/>
          <w:szCs w:val="17"/>
          <w:color w:val="auto"/>
        </w:rPr>
        <w:t>Code Ann., tit. 8, §§ 213(a), 219)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SECURITIES OF THE CORPORATION</w:t>
      </w:r>
    </w:p>
    <w:p>
      <w:pPr>
        <w:spacing w:after="0" w:line="224" w:lineRule="exact"/>
        <w:rPr>
          <w:sz w:val="20"/>
          <w:szCs w:val="20"/>
          <w:color w:val="auto"/>
        </w:rPr>
      </w:pPr>
    </w:p>
    <w:p>
      <w:pPr>
        <w:ind w:right="80" w:firstLine="629"/>
        <w:spacing w:after="0" w:line="302" w:lineRule="auto"/>
        <w:rPr>
          <w:sz w:val="20"/>
          <w:szCs w:val="20"/>
          <w:color w:val="auto"/>
        </w:rPr>
      </w:pPr>
      <w:r>
        <w:rPr>
          <w:rFonts w:ascii="Arial" w:cs="Arial" w:eastAsia="Arial" w:hAnsi="Arial"/>
          <w:sz w:val="15"/>
          <w:szCs w:val="15"/>
          <w:b w:val="1"/>
          <w:bCs w:val="1"/>
          <w:color w:val="auto"/>
        </w:rPr>
        <w:t xml:space="preserve">Section 38. Execution of Other Securities. </w:t>
      </w:r>
      <w:r>
        <w:rPr>
          <w:rFonts w:ascii="Arial" w:cs="Arial" w:eastAsia="Arial" w:hAnsi="Arial"/>
          <w:sz w:val="15"/>
          <w:szCs w:val="15"/>
          <w:color w:val="auto"/>
        </w:rPr>
        <w:t>All bonds, debentures and other corporate securities of the corporation, other than stock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(covered in Section 33),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5"/>
          <w:szCs w:val="15"/>
          <w:i w:val="1"/>
          <w:iCs w:val="1"/>
          <w:color w:val="auto"/>
        </w:rPr>
        <w:t>provided, however</w:t>
      </w:r>
      <w:r>
        <w:rPr>
          <w:rFonts w:ascii="Arial" w:cs="Arial" w:eastAsia="Arial" w:hAnsi="Arial"/>
          <w:sz w:val="15"/>
          <w:szCs w:val="15"/>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b w:val="1"/>
          <w:bCs w:val="1"/>
          <w:color w:val="auto"/>
        </w:rPr>
        <w:t xml:space="preserve">Section 39.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 (Del. Code Ann., tit. 8, §§ 170, 173)</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color w:val="auto"/>
        </w:rPr>
        <w:t xml:space="preserve">Section 40. Dividend Reserve. </w:t>
      </w:r>
      <w:r>
        <w:rPr>
          <w:rFonts w:ascii="Arial" w:cs="Arial" w:eastAsia="Arial" w:hAnsi="Arial"/>
          <w:sz w:val="17"/>
          <w:szCs w:val="17"/>
          <w:color w:val="auto"/>
        </w:rPr>
        <w:t>Before payment of any dividend, there may be set aside out of any funds of the corporation available for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(Del. Code Ann., tit. 8, § 171)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FISCAL YEAR</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41.</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42.</w:t>
      </w:r>
      <w:r>
        <w:rPr>
          <w:sz w:val="20"/>
          <w:szCs w:val="20"/>
          <w:color w:val="auto"/>
        </w:rPr>
        <w:tab/>
      </w:r>
      <w:r>
        <w:rPr>
          <w:rFonts w:ascii="Arial" w:cs="Arial" w:eastAsia="Arial" w:hAnsi="Arial"/>
          <w:sz w:val="15"/>
          <w:szCs w:val="15"/>
          <w:b w:val="1"/>
          <w:bCs w:val="1"/>
          <w:color w:val="auto"/>
        </w:rPr>
        <w:t>Indemnification of Directors, Executive Officers, Other Officers, Employees and Other Agents.</w:t>
      </w:r>
    </w:p>
    <w:p>
      <w:pPr>
        <w:spacing w:after="0" w:line="224" w:lineRule="exact"/>
        <w:rPr>
          <w:sz w:val="20"/>
          <w:szCs w:val="20"/>
          <w:color w:val="auto"/>
        </w:rPr>
      </w:pPr>
    </w:p>
    <w:p>
      <w:pPr>
        <w:ind w:right="180" w:firstLine="1263"/>
        <w:spacing w:after="0" w:line="297" w:lineRule="auto"/>
        <w:tabs>
          <w:tab w:leader="none" w:pos="1895"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Officers</w:t>
      </w:r>
      <w:r>
        <w:rPr>
          <w:rFonts w:ascii="Arial" w:cs="Arial" w:eastAsia="Arial" w:hAnsi="Arial"/>
          <w:sz w:val="17"/>
          <w:szCs w:val="17"/>
          <w:color w:val="auto"/>
        </w:rPr>
        <w:t>. The corporation shall indemnify its directors and officers to the fullest extent not prohibited by the DGCL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corporation may modify the extent of such indemnification by individual contracts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its directors and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corporation shall not be required to indemnify any director or officer:</w:t>
      </w:r>
    </w:p>
    <w:p>
      <w:pPr>
        <w:spacing w:after="0" w:line="224" w:lineRule="exact"/>
        <w:rPr>
          <w:sz w:val="20"/>
          <w:szCs w:val="20"/>
          <w:color w:val="auto"/>
        </w:rPr>
      </w:pPr>
    </w:p>
    <w:p>
      <w:pPr>
        <w:ind w:right="340" w:firstLine="1893"/>
        <w:spacing w:after="0" w:line="268" w:lineRule="auto"/>
        <w:tabs>
          <w:tab w:leader="none" w:pos="2524"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ectPr>
          <w:pgSz w:w="11900" w:h="16838" w:orient="portrait"/>
          <w:cols w:equalWidth="0" w:num="1">
            <w:col w:w="11420"/>
          </w:cols>
          <w:pgMar w:left="240" w:top="127" w:right="239" w:bottom="0" w:gutter="0" w:footer="0" w:header="0"/>
        </w:sectPr>
      </w:pPr>
    </w:p>
    <w:bookmarkStart w:id="200" w:name="page201"/>
    <w:bookmarkEnd w:id="200"/>
    <w:p>
      <w:pPr>
        <w:ind w:right="280" w:firstLine="1893"/>
        <w:spacing w:after="0" w:line="273" w:lineRule="auto"/>
        <w:tabs>
          <w:tab w:leader="none" w:pos="2524"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for expenses, judgments, fines or amounts paid in settlement for which payment is actually made to such director or officer under a valid and collectible insurance policy or under a valid and enforceable indemnity clause, bylaw or agreement, except in respect of any excess beyond payment under such insurance, clause, bylaw or agreement; or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if indemnification is not lawful.</w:t>
      </w:r>
    </w:p>
    <w:p>
      <w:pPr>
        <w:spacing w:after="0" w:line="218" w:lineRule="exact"/>
        <w:rPr>
          <w:rFonts w:ascii="Arial" w:cs="Arial" w:eastAsia="Arial" w:hAnsi="Arial"/>
          <w:sz w:val="17"/>
          <w:szCs w:val="17"/>
          <w:b w:val="1"/>
          <w:bCs w:val="1"/>
          <w:color w:val="auto"/>
        </w:rPr>
      </w:pPr>
    </w:p>
    <w:p>
      <w:pPr>
        <w:ind w:right="40" w:firstLine="1263"/>
        <w:spacing w:after="0" w:line="277" w:lineRule="auto"/>
        <w:tabs>
          <w:tab w:leader="none" w:pos="1905"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Other Employees and Other Agents</w:t>
      </w:r>
      <w:r>
        <w:rPr>
          <w:rFonts w:ascii="Arial" w:cs="Arial" w:eastAsia="Arial" w:hAnsi="Arial"/>
          <w:sz w:val="17"/>
          <w:szCs w:val="17"/>
          <w:color w:val="auto"/>
        </w:rPr>
        <w:t>. The corporation shall have power to indemnify its other employees and other agents as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DGCL or any other applicable law. The Board of Directors shall have the power to delegate the determination of whether indemnification shall be given to any such person except officers to such officers or other persons as the Board of Directors shall determine.</w:t>
      </w:r>
    </w:p>
    <w:p>
      <w:pPr>
        <w:spacing w:after="0" w:line="162" w:lineRule="exact"/>
        <w:rPr>
          <w:rFonts w:ascii="Arial" w:cs="Arial" w:eastAsia="Arial" w:hAnsi="Arial"/>
          <w:sz w:val="17"/>
          <w:szCs w:val="17"/>
          <w:b w:val="1"/>
          <w:bCs w:val="1"/>
          <w:color w:val="auto"/>
        </w:rPr>
      </w:pPr>
    </w:p>
    <w:p>
      <w:pPr>
        <w:ind w:right="20" w:firstLine="1263"/>
        <w:spacing w:after="0" w:line="262" w:lineRule="auto"/>
        <w:tabs>
          <w:tab w:leader="none" w:pos="1898"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42 or otherwise.</w:t>
      </w:r>
    </w:p>
    <w:p>
      <w:pPr>
        <w:spacing w:after="0" w:line="183" w:lineRule="exact"/>
        <w:rPr>
          <w:sz w:val="20"/>
          <w:szCs w:val="20"/>
          <w:color w:val="auto"/>
        </w:rPr>
      </w:pPr>
    </w:p>
    <w:p>
      <w:pPr>
        <w:jc w:val="both"/>
        <w:ind w:right="20" w:firstLine="629"/>
        <w:spacing w:after="0" w:line="268" w:lineRule="auto"/>
        <w:rPr>
          <w:sz w:val="20"/>
          <w:szCs w:val="20"/>
          <w:color w:val="auto"/>
        </w:rPr>
      </w:pPr>
      <w:r>
        <w:rPr>
          <w:rFonts w:ascii="Arial" w:cs="Arial" w:eastAsia="Arial" w:hAnsi="Arial"/>
          <w:sz w:val="17"/>
          <w:szCs w:val="17"/>
          <w:color w:val="auto"/>
        </w:rPr>
        <w:t>Notwithstanding the foregoing, unless otherwise determined pursuant to paragraph (e) of this Section 42,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0" w:lineRule="exact"/>
        <w:rPr>
          <w:sz w:val="20"/>
          <w:szCs w:val="20"/>
          <w:color w:val="auto"/>
        </w:rPr>
      </w:pPr>
    </w:p>
    <w:p>
      <w:pPr>
        <w:ind w:right="280" w:firstLine="1263"/>
        <w:spacing w:after="0" w:line="298" w:lineRule="auto"/>
        <w:tabs>
          <w:tab w:leader="none" w:pos="1905" w:val="left"/>
        </w:tabs>
        <w:numPr>
          <w:ilvl w:val="1"/>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Enforcement</w:t>
      </w:r>
      <w:r>
        <w:rPr>
          <w:rFonts w:ascii="Arial" w:cs="Arial" w:eastAsia="Arial" w:hAnsi="Arial"/>
          <w:sz w:val="15"/>
          <w:szCs w:val="15"/>
          <w:color w:val="auto"/>
        </w:rPr>
        <w:t>. Without the necessity of entering into an express contract, all rights to indemnification and advances to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under this Section 42 shall be deemed to be contractual rights and be effective to the same extent and as if provided for in a contract between the corporation and the director or officer. Any right to indemnification or advances granted by this Section 42 to a director or officer shall be enforceable by or on behalf of the person holding such right in any court of competent jurisdiction if (i) the claim for indemnification or advances is denied, in whole or in part, or</w:t>
      </w:r>
    </w:p>
    <w:p>
      <w:pPr>
        <w:ind w:left="260" w:hanging="255"/>
        <w:spacing w:after="0"/>
        <w:tabs>
          <w:tab w:leader="none" w:pos="2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disposition of such claim is made within ninety (90) days of request therefor. The claimant in such enforcement action, if successful in whole or in part,</w:t>
      </w:r>
    </w:p>
    <w:p>
      <w:pPr>
        <w:spacing w:after="0" w:line="25" w:lineRule="exact"/>
        <w:rPr>
          <w:rFonts w:ascii="Arial" w:cs="Arial" w:eastAsia="Arial" w:hAnsi="Arial"/>
          <w:sz w:val="16"/>
          <w:szCs w:val="16"/>
          <w:color w:val="auto"/>
        </w:rPr>
      </w:pPr>
    </w:p>
    <w:p>
      <w:pPr>
        <w:spacing w:after="0" w:line="276" w:lineRule="auto"/>
        <w:rPr>
          <w:rFonts w:ascii="Arial" w:cs="Arial" w:eastAsia="Arial" w:hAnsi="Arial"/>
          <w:sz w:val="16"/>
          <w:szCs w:val="16"/>
          <w:color w:val="auto"/>
        </w:rPr>
      </w:pPr>
      <w:r>
        <w:rPr>
          <w:rFonts w:ascii="Arial" w:cs="Arial" w:eastAsia="Arial" w:hAnsi="Arial"/>
          <w:sz w:val="16"/>
          <w:szCs w:val="16"/>
          <w:color w:val="auto"/>
        </w:rPr>
        <w:t>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71" w:lineRule="exact"/>
        <w:rPr>
          <w:rFonts w:ascii="Arial" w:cs="Arial" w:eastAsia="Arial" w:hAnsi="Arial"/>
          <w:sz w:val="16"/>
          <w:szCs w:val="16"/>
          <w:color w:val="auto"/>
        </w:rPr>
      </w:pPr>
    </w:p>
    <w:p>
      <w:pPr>
        <w:ind w:right="100" w:firstLine="1263"/>
        <w:spacing w:after="0" w:line="267" w:lineRule="auto"/>
        <w:tabs>
          <w:tab w:leader="none" w:pos="1898" w:val="left"/>
        </w:tabs>
        <w:numPr>
          <w:ilvl w:val="1"/>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42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63"/>
        <w:spacing w:after="0" w:line="297" w:lineRule="auto"/>
        <w:tabs>
          <w:tab w:leader="none" w:pos="1892"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Survival of Rights</w:t>
      </w:r>
      <w:r>
        <w:rPr>
          <w:rFonts w:ascii="Arial" w:cs="Arial" w:eastAsia="Arial" w:hAnsi="Arial"/>
          <w:sz w:val="17"/>
          <w:szCs w:val="17"/>
          <w:color w:val="auto"/>
        </w:rPr>
        <w:t>. The rights conferred on any person by this Section 42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or officer and shall inure to the benefit of the heirs, executors and administrators of such a person.</w:t>
      </w:r>
    </w:p>
    <w:p>
      <w:pPr>
        <w:spacing w:after="0" w:line="145" w:lineRule="exact"/>
        <w:rPr>
          <w:rFonts w:ascii="Arial" w:cs="Arial" w:eastAsia="Arial" w:hAnsi="Arial"/>
          <w:sz w:val="17"/>
          <w:szCs w:val="17"/>
          <w:b w:val="1"/>
          <w:bCs w:val="1"/>
          <w:color w:val="auto"/>
        </w:rPr>
      </w:pPr>
    </w:p>
    <w:p>
      <w:pPr>
        <w:ind w:right="220" w:firstLine="1263"/>
        <w:spacing w:after="0" w:line="297" w:lineRule="auto"/>
        <w:tabs>
          <w:tab w:leader="none" w:pos="1895"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 42.</w:t>
      </w:r>
    </w:p>
    <w:p>
      <w:pPr>
        <w:spacing w:after="0" w:line="145" w:lineRule="exact"/>
        <w:rPr>
          <w:rFonts w:ascii="Arial" w:cs="Arial" w:eastAsia="Arial" w:hAnsi="Arial"/>
          <w:sz w:val="17"/>
          <w:szCs w:val="17"/>
          <w:b w:val="1"/>
          <w:bCs w:val="1"/>
          <w:color w:val="auto"/>
        </w:rPr>
      </w:pPr>
    </w:p>
    <w:p>
      <w:pPr>
        <w:ind w:right="140" w:firstLine="1263"/>
        <w:spacing w:after="0" w:line="368" w:lineRule="auto"/>
        <w:tabs>
          <w:tab w:leader="none" w:pos="1905"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Amendments</w:t>
      </w:r>
      <w:r>
        <w:rPr>
          <w:rFonts w:ascii="Arial" w:cs="Arial" w:eastAsia="Arial" w:hAnsi="Arial"/>
          <w:sz w:val="15"/>
          <w:szCs w:val="15"/>
          <w:color w:val="auto"/>
        </w:rPr>
        <w:t>. Any repeal or modification of this Section 42 shall only be prospective and shall not affect the rights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42 in effect at the time of the alleged occurrence of any action or omission to act that is the cause of any proceeding against any agent of the corporation.</w:t>
      </w:r>
    </w:p>
    <w:p>
      <w:pPr>
        <w:spacing w:after="0" w:line="100" w:lineRule="exact"/>
        <w:rPr>
          <w:rFonts w:ascii="Arial" w:cs="Arial" w:eastAsia="Arial" w:hAnsi="Arial"/>
          <w:sz w:val="15"/>
          <w:szCs w:val="15"/>
          <w:b w:val="1"/>
          <w:bCs w:val="1"/>
          <w:color w:val="auto"/>
        </w:rPr>
      </w:pPr>
    </w:p>
    <w:p>
      <w:pPr>
        <w:ind w:right="80" w:firstLine="1263"/>
        <w:spacing w:after="0" w:line="270" w:lineRule="auto"/>
        <w:tabs>
          <w:tab w:leader="none" w:pos="1895"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Section 42 or any portion hereof shall be invalidated on any ground by any court of competent jurisdiction,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nevertheless indemnify each director and officer to the full extent not prohibited by any applicable portion of this Section 42 that shall not have been invalidated, or by any other applicable law. If this Section 42 shall be invalid due to the application of the indemnification provisions of another jurisdiction, then the corporation shall indemnify each director and officer to the full extent under applicable law.</w:t>
      </w:r>
    </w:p>
    <w:p>
      <w:pPr>
        <w:spacing w:after="0" w:line="169"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Certain Definitions</w:t>
      </w:r>
      <w:r>
        <w:rPr>
          <w:rFonts w:ascii="Arial" w:cs="Arial" w:eastAsia="Arial" w:hAnsi="Arial"/>
          <w:sz w:val="17"/>
          <w:szCs w:val="17"/>
          <w:color w:val="auto"/>
        </w:rPr>
        <w:t>. For the purposes of this Section 42, the following definitions shall apply:</w:t>
      </w:r>
    </w:p>
    <w:p>
      <w:pPr>
        <w:sectPr>
          <w:pgSz w:w="11900" w:h="16838" w:orient="portrait"/>
          <w:cols w:equalWidth="0" w:num="1">
            <w:col w:w="11400"/>
          </w:cols>
          <w:pgMar w:left="240" w:top="127" w:right="259" w:bottom="94" w:gutter="0" w:footer="0" w:header="0"/>
        </w:sectPr>
      </w:pPr>
    </w:p>
    <w:bookmarkStart w:id="201" w:name="page202"/>
    <w:bookmarkEnd w:id="201"/>
    <w:p>
      <w:pPr>
        <w:jc w:val="both"/>
        <w:ind w:right="600" w:firstLine="1893"/>
        <w:spacing w:after="0" w:line="273" w:lineRule="auto"/>
        <w:tabs>
          <w:tab w:leader="none" w:pos="2524"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1" w:lineRule="exact"/>
        <w:rPr>
          <w:rFonts w:ascii="Arial" w:cs="Arial" w:eastAsia="Arial" w:hAnsi="Arial"/>
          <w:sz w:val="17"/>
          <w:szCs w:val="17"/>
          <w:b w:val="1"/>
          <w:bCs w:val="1"/>
          <w:color w:val="auto"/>
        </w:rPr>
      </w:pPr>
    </w:p>
    <w:p>
      <w:pPr>
        <w:ind w:right="40" w:firstLine="1893"/>
        <w:spacing w:after="0" w:line="322" w:lineRule="auto"/>
        <w:tabs>
          <w:tab w:leader="none" w:pos="2524"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35" w:lineRule="exact"/>
        <w:rPr>
          <w:rFonts w:ascii="Arial" w:cs="Arial" w:eastAsia="Arial" w:hAnsi="Arial"/>
          <w:sz w:val="16"/>
          <w:szCs w:val="16"/>
          <w:b w:val="1"/>
          <w:bCs w:val="1"/>
          <w:color w:val="auto"/>
        </w:rPr>
      </w:pPr>
    </w:p>
    <w:p>
      <w:pPr>
        <w:ind w:firstLine="1893"/>
        <w:spacing w:after="0" w:line="263" w:lineRule="auto"/>
        <w:tabs>
          <w:tab w:leader="none" w:pos="2524"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42 with respect to the resulting or surviving corporation as he would have with respect to such constituent corporation if its separate existence had continued.</w:t>
      </w:r>
    </w:p>
    <w:p>
      <w:pPr>
        <w:spacing w:after="0" w:line="183" w:lineRule="exact"/>
        <w:rPr>
          <w:rFonts w:ascii="Arial" w:cs="Arial" w:eastAsia="Arial" w:hAnsi="Arial"/>
          <w:sz w:val="17"/>
          <w:szCs w:val="17"/>
          <w:b w:val="1"/>
          <w:bCs w:val="1"/>
          <w:color w:val="auto"/>
        </w:rPr>
      </w:pPr>
    </w:p>
    <w:p>
      <w:pPr>
        <w:ind w:right="400" w:firstLine="1893"/>
        <w:spacing w:after="0" w:line="289" w:lineRule="auto"/>
        <w:tabs>
          <w:tab w:leader="none" w:pos="2524"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References to a “director,” “executive officer,” “officer,” “employee,” or “agent” of the corporation shall include, without limitation, situations where such person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serving at the request of the corporation as, respectively, a director, executive officer, officer, employee, trustee or agent of another corporation, partnership, joint venture, trust or other enterprise.</w:t>
      </w:r>
    </w:p>
    <w:p>
      <w:pPr>
        <w:spacing w:after="0" w:line="158" w:lineRule="exact"/>
        <w:rPr>
          <w:sz w:val="20"/>
          <w:szCs w:val="20"/>
          <w:color w:val="auto"/>
        </w:rPr>
      </w:pPr>
    </w:p>
    <w:p>
      <w:pPr>
        <w:ind w:right="120" w:firstLine="1893"/>
        <w:spacing w:after="0" w:line="263" w:lineRule="auto"/>
        <w:tabs>
          <w:tab w:leader="none" w:pos="2524"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42.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43.</w:t>
      </w:r>
      <w:r>
        <w:rPr>
          <w:sz w:val="20"/>
          <w:szCs w:val="20"/>
          <w:color w:val="auto"/>
        </w:rPr>
        <w:tab/>
      </w:r>
      <w:r>
        <w:rPr>
          <w:rFonts w:ascii="Arial" w:cs="Arial" w:eastAsia="Arial" w:hAnsi="Arial"/>
          <w:sz w:val="14"/>
          <w:szCs w:val="14"/>
          <w:b w:val="1"/>
          <w:bCs w:val="1"/>
          <w:color w:val="auto"/>
        </w:rPr>
        <w:t>Notices.</w:t>
      </w:r>
    </w:p>
    <w:p>
      <w:pPr>
        <w:spacing w:after="0" w:line="224" w:lineRule="exact"/>
        <w:rPr>
          <w:sz w:val="20"/>
          <w:szCs w:val="20"/>
          <w:color w:val="auto"/>
        </w:rPr>
      </w:pPr>
    </w:p>
    <w:p>
      <w:pPr>
        <w:ind w:right="40" w:firstLine="1263"/>
        <w:spacing w:after="0" w:line="292" w:lineRule="auto"/>
        <w:tabs>
          <w:tab w:leader="none" w:pos="189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6 herein.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 (Del. Code Ann., tit. 8, §§ 222, 232)</w:t>
      </w:r>
    </w:p>
    <w:p>
      <w:pPr>
        <w:spacing w:after="0" w:line="153" w:lineRule="exact"/>
        <w:rPr>
          <w:rFonts w:ascii="Arial" w:cs="Arial" w:eastAsia="Arial" w:hAnsi="Arial"/>
          <w:sz w:val="16"/>
          <w:szCs w:val="16"/>
          <w:b w:val="1"/>
          <w:bCs w:val="1"/>
          <w:color w:val="auto"/>
        </w:rPr>
      </w:pPr>
    </w:p>
    <w:p>
      <w:pPr>
        <w:ind w:right="200" w:firstLine="1263"/>
        <w:spacing w:after="0" w:line="277" w:lineRule="auto"/>
        <w:tabs>
          <w:tab w:leader="none" w:pos="190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62" w:lineRule="exact"/>
        <w:rPr>
          <w:rFonts w:ascii="Arial" w:cs="Arial" w:eastAsia="Arial" w:hAnsi="Arial"/>
          <w:sz w:val="17"/>
          <w:szCs w:val="17"/>
          <w:b w:val="1"/>
          <w:bCs w:val="1"/>
          <w:color w:val="auto"/>
        </w:rPr>
      </w:pPr>
    </w:p>
    <w:p>
      <w:pPr>
        <w:ind w:right="80" w:firstLine="1263"/>
        <w:spacing w:after="0" w:line="270" w:lineRule="auto"/>
        <w:tabs>
          <w:tab w:leader="none" w:pos="1898"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Affidavit of Mailing</w:t>
      </w:r>
      <w:r>
        <w:rPr>
          <w:rFonts w:ascii="Arial" w:cs="Arial" w:eastAsia="Arial" w:hAnsi="Arial"/>
          <w:sz w:val="17"/>
          <w:szCs w:val="17"/>
          <w:color w:val="auto"/>
        </w:rPr>
        <w:t>. An affidavit of mailing, executed by a duly authorized and competent employee of the corporation or its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(Del. Code Ann., tit. 8, § 222)</w:t>
      </w:r>
    </w:p>
    <w:p>
      <w:pPr>
        <w:spacing w:after="0" w:line="169" w:lineRule="exact"/>
        <w:rPr>
          <w:rFonts w:ascii="Arial" w:cs="Arial" w:eastAsia="Arial" w:hAnsi="Arial"/>
          <w:sz w:val="17"/>
          <w:szCs w:val="17"/>
          <w:b w:val="1"/>
          <w:bCs w:val="1"/>
          <w:color w:val="auto"/>
        </w:rPr>
      </w:pPr>
    </w:p>
    <w:p>
      <w:pPr>
        <w:ind w:right="200" w:firstLine="1263"/>
        <w:spacing w:after="0" w:line="277" w:lineRule="auto"/>
        <w:tabs>
          <w:tab w:leader="none" w:pos="190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Methods of Notice</w:t>
      </w:r>
      <w:r>
        <w:rPr>
          <w:rFonts w:ascii="Arial" w:cs="Arial" w:eastAsia="Arial" w:hAnsi="Arial"/>
          <w:sz w:val="17"/>
          <w:szCs w:val="17"/>
          <w:color w:val="auto"/>
        </w:rPr>
        <w:t>. It shall not be necessary that the same method of giving notice be employed in respect of all recipients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but one permissible method may be employed in respect of any one or more, and any other permissible method or methods may be employed in respect of any other or others.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63"/>
        <w:spacing w:after="0" w:line="264" w:lineRule="auto"/>
        <w:tabs>
          <w:tab w:leader="none" w:pos="1898"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2" w:lineRule="exact"/>
        <w:rPr>
          <w:rFonts w:ascii="Arial" w:cs="Arial" w:eastAsia="Arial" w:hAnsi="Arial"/>
          <w:sz w:val="17"/>
          <w:szCs w:val="17"/>
          <w:b w:val="1"/>
          <w:bCs w:val="1"/>
          <w:color w:val="auto"/>
        </w:rPr>
      </w:pPr>
    </w:p>
    <w:p>
      <w:pPr>
        <w:ind w:right="100" w:firstLine="1263"/>
        <w:spacing w:after="0" w:line="267" w:lineRule="auto"/>
        <w:tabs>
          <w:tab w:leader="none" w:pos="1892"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ectPr>
          <w:pgSz w:w="11900" w:h="16838" w:orient="portrait"/>
          <w:cols w:equalWidth="0" w:num="1">
            <w:col w:w="11420"/>
          </w:cols>
          <w:pgMar w:left="240" w:top="127" w:right="239" w:bottom="94" w:gutter="0" w:footer="0" w:header="0"/>
        </w:sectPr>
      </w:pPr>
    </w:p>
    <w:bookmarkStart w:id="202" w:name="page203"/>
    <w:bookmarkEnd w:id="202"/>
    <w:p>
      <w:pPr>
        <w:ind w:right="60" w:firstLine="629"/>
        <w:spacing w:after="0" w:line="285" w:lineRule="auto"/>
        <w:rPr>
          <w:sz w:val="20"/>
          <w:szCs w:val="20"/>
          <w:color w:val="auto"/>
        </w:rPr>
      </w:pPr>
      <w:r>
        <w:rPr>
          <w:rFonts w:ascii="Arial" w:cs="Arial" w:eastAsia="Arial" w:hAnsi="Arial"/>
          <w:sz w:val="16"/>
          <w:szCs w:val="16"/>
          <w:b w:val="1"/>
          <w:bCs w:val="1"/>
          <w:color w:val="auto"/>
        </w:rPr>
        <w:t xml:space="preserve">Section 44. Amendments. </w:t>
      </w:r>
      <w:r>
        <w:rPr>
          <w:rFonts w:ascii="Arial" w:cs="Arial" w:eastAsia="Arial" w:hAnsi="Arial"/>
          <w:sz w:val="16"/>
          <w:szCs w:val="16"/>
          <w:color w:val="auto"/>
        </w:rPr>
        <w:t>Subject to the limitation set forth in Section 42(h) of these Bylaws or the provisions of the Certificate of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is expressly empowered to adopt, amend or repeal the Bylaws of the corporation without a vote of the stockholders. In addition, the stockholders shall also have power to adopt, amend or repeal the Bylaws of the corporation; provided, however, that, in addition to any vote of the holders of any class or series of stock of the corporation required by law or by the Certificate of Incorporation,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ARTICLE XIV</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RIGHT OF FIRST REFUSAL</w:t>
      </w:r>
    </w:p>
    <w:p>
      <w:pPr>
        <w:spacing w:after="0" w:line="224" w:lineRule="exact"/>
        <w:rPr>
          <w:sz w:val="20"/>
          <w:szCs w:val="20"/>
          <w:color w:val="auto"/>
        </w:rPr>
      </w:pPr>
    </w:p>
    <w:p>
      <w:pPr>
        <w:jc w:val="both"/>
        <w:ind w:right="100" w:firstLine="629"/>
        <w:spacing w:after="0" w:line="277" w:lineRule="auto"/>
        <w:rPr>
          <w:sz w:val="20"/>
          <w:szCs w:val="20"/>
          <w:color w:val="auto"/>
        </w:rPr>
      </w:pPr>
      <w:r>
        <w:rPr>
          <w:rFonts w:ascii="Arial" w:cs="Arial" w:eastAsia="Arial" w:hAnsi="Arial"/>
          <w:sz w:val="17"/>
          <w:szCs w:val="17"/>
          <w:b w:val="1"/>
          <w:bCs w:val="1"/>
          <w:color w:val="auto"/>
        </w:rPr>
        <w:t xml:space="preserve">Section 45. Right of First Refusal. </w:t>
      </w:r>
      <w:r>
        <w:rPr>
          <w:rFonts w:ascii="Arial" w:cs="Arial" w:eastAsia="Arial" w:hAnsi="Arial"/>
          <w:sz w:val="17"/>
          <w:szCs w:val="17"/>
          <w:color w:val="auto"/>
        </w:rPr>
        <w:t>No stockholder shall sell, assign, pledge, or in any manner transfer any of the shares of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any right or interest therein, whether voluntarily or by operation of law, or by gift or otherwise, except by a transfer which meets the requirements hereinafter set forth in this bylaw:</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firstLine="1263"/>
        <w:spacing w:after="0" w:line="273" w:lineRule="auto"/>
        <w:tabs>
          <w:tab w:leader="none" w:pos="1895"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71" w:lineRule="exact"/>
        <w:rPr>
          <w:rFonts w:ascii="Arial" w:cs="Arial" w:eastAsia="Arial" w:hAnsi="Arial"/>
          <w:sz w:val="17"/>
          <w:szCs w:val="17"/>
          <w:b w:val="1"/>
          <w:bCs w:val="1"/>
          <w:color w:val="auto"/>
        </w:rPr>
      </w:pPr>
    </w:p>
    <w:p>
      <w:pPr>
        <w:ind w:right="20" w:firstLine="1263"/>
        <w:spacing w:after="0" w:line="281" w:lineRule="auto"/>
        <w:tabs>
          <w:tab w:leader="none" w:pos="1905"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45,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70" w:lineRule="exact"/>
        <w:rPr>
          <w:rFonts w:ascii="Arial" w:cs="Arial" w:eastAsia="Arial" w:hAnsi="Arial"/>
          <w:sz w:val="16"/>
          <w:szCs w:val="16"/>
          <w:b w:val="1"/>
          <w:bCs w:val="1"/>
          <w:color w:val="auto"/>
        </w:rPr>
      </w:pPr>
    </w:p>
    <w:p>
      <w:pPr>
        <w:ind w:left="1900" w:hanging="637"/>
        <w:spacing w:after="0"/>
        <w:tabs>
          <w:tab w:leader="none" w:pos="190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The corporation may assign its rights hereunder.</w:t>
      </w:r>
    </w:p>
    <w:p>
      <w:pPr>
        <w:spacing w:after="0" w:line="224" w:lineRule="exact"/>
        <w:rPr>
          <w:rFonts w:ascii="Arial" w:cs="Arial" w:eastAsia="Arial" w:hAnsi="Arial"/>
          <w:sz w:val="17"/>
          <w:szCs w:val="17"/>
          <w:b w:val="1"/>
          <w:bCs w:val="1"/>
          <w:color w:val="auto"/>
        </w:rPr>
      </w:pPr>
    </w:p>
    <w:p>
      <w:pPr>
        <w:ind w:right="120" w:firstLine="1263"/>
        <w:spacing w:after="0" w:line="265" w:lineRule="auto"/>
        <w:tabs>
          <w:tab w:leader="none" w:pos="1905"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79" w:lineRule="exact"/>
        <w:rPr>
          <w:rFonts w:ascii="Arial" w:cs="Arial" w:eastAsia="Arial" w:hAnsi="Arial"/>
          <w:sz w:val="17"/>
          <w:szCs w:val="17"/>
          <w:b w:val="1"/>
          <w:bCs w:val="1"/>
          <w:color w:val="auto"/>
        </w:rPr>
      </w:pPr>
    </w:p>
    <w:p>
      <w:pPr>
        <w:ind w:right="20" w:firstLine="1263"/>
        <w:spacing w:after="0" w:line="265" w:lineRule="auto"/>
        <w:tabs>
          <w:tab w:leader="none" w:pos="1898"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79"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Anything to the contrary contained herein notwithstanding, the following transactions shall be exempt from the provisions of this</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bylaw:</w:t>
      </w:r>
    </w:p>
    <w:p>
      <w:pPr>
        <w:spacing w:after="0" w:line="212" w:lineRule="exact"/>
        <w:rPr>
          <w:rFonts w:ascii="Arial" w:cs="Arial" w:eastAsia="Arial" w:hAnsi="Arial"/>
          <w:sz w:val="16"/>
          <w:szCs w:val="16"/>
          <w:b w:val="1"/>
          <w:bCs w:val="1"/>
          <w:color w:val="auto"/>
        </w:rPr>
      </w:pPr>
    </w:p>
    <w:p>
      <w:pPr>
        <w:jc w:val="both"/>
        <w:ind w:right="140" w:firstLine="1893"/>
        <w:spacing w:after="0" w:line="268" w:lineRule="auto"/>
        <w:tabs>
          <w:tab w:leader="none" w:pos="2524" w:val="left"/>
        </w:tabs>
        <w:numPr>
          <w:ilvl w:val="1"/>
          <w:numId w:val="163"/>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be the general of limited partner(s) of such partnership. “Immediate family” as used herein shall mean spouse, lineal descendant, father, mother, brother, or sister of the stockholder making such transfer.</w:t>
      </w:r>
    </w:p>
    <w:p>
      <w:pPr>
        <w:spacing w:after="0" w:line="158" w:lineRule="exact"/>
        <w:rPr>
          <w:sz w:val="20"/>
          <w:szCs w:val="20"/>
          <w:color w:val="auto"/>
        </w:rPr>
      </w:pPr>
    </w:p>
    <w:p>
      <w:pPr>
        <w:ind w:right="660" w:firstLine="1893"/>
        <w:spacing w:after="0" w:line="289" w:lineRule="auto"/>
        <w:tabs>
          <w:tab w:leader="none" w:pos="2524"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58"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2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corporation.</w:t>
      </w:r>
    </w:p>
    <w:p>
      <w:pPr>
        <w:spacing w:after="0" w:line="212"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4"/>
        </w:numPr>
        <w:rPr>
          <w:rFonts w:ascii="Arial" w:cs="Arial" w:eastAsia="Arial" w:hAnsi="Arial"/>
          <w:sz w:val="15"/>
          <w:szCs w:val="15"/>
          <w:b w:val="1"/>
          <w:bCs w:val="1"/>
          <w:color w:val="auto"/>
        </w:rPr>
      </w:pPr>
      <w:r>
        <w:rPr>
          <w:rFonts w:ascii="Arial" w:cs="Arial" w:eastAsia="Arial" w:hAnsi="Arial"/>
          <w:sz w:val="15"/>
          <w:szCs w:val="15"/>
          <w:color w:val="auto"/>
        </w:rPr>
        <w:t>A stockholder’s transfer of any or all of such stockholder’s shares to a person who, at the time of such transfer, is an officer or</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director of the corporation.</w:t>
      </w:r>
    </w:p>
    <w:p>
      <w:pPr>
        <w:spacing w:after="0" w:line="212" w:lineRule="exact"/>
        <w:rPr>
          <w:rFonts w:ascii="Arial" w:cs="Arial" w:eastAsia="Arial" w:hAnsi="Arial"/>
          <w:sz w:val="15"/>
          <w:szCs w:val="15"/>
          <w:b w:val="1"/>
          <w:bCs w:val="1"/>
          <w:color w:val="auto"/>
        </w:rPr>
      </w:pPr>
    </w:p>
    <w:p>
      <w:pPr>
        <w:ind w:right="100" w:firstLine="1893"/>
        <w:spacing w:after="0" w:line="273" w:lineRule="auto"/>
        <w:tabs>
          <w:tab w:leader="none" w:pos="2524"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 corporate stockholder’s transfer of any or all of its shares to any or all of its stockholders.</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 transfer by a stockholder which is a limited or general partnership to any or all of its partners or former partners.</w:t>
      </w:r>
    </w:p>
    <w:p>
      <w:pPr>
        <w:sectPr>
          <w:pgSz w:w="11900" w:h="16838" w:orient="portrait"/>
          <w:cols w:equalWidth="0" w:num="1">
            <w:col w:w="11340"/>
          </w:cols>
          <w:pgMar w:left="240" w:top="121" w:right="319" w:bottom="88" w:gutter="0" w:footer="0" w:header="0"/>
        </w:sectPr>
      </w:pPr>
    </w:p>
    <w:bookmarkStart w:id="203" w:name="page204"/>
    <w:bookmarkEnd w:id="203"/>
    <w:p>
      <w:pPr>
        <w:ind w:right="60" w:firstLine="629"/>
        <w:spacing w:after="0" w:line="289" w:lineRule="auto"/>
        <w:rPr>
          <w:sz w:val="20"/>
          <w:szCs w:val="20"/>
          <w:color w:val="auto"/>
        </w:rPr>
      </w:pPr>
      <w:r>
        <w:rPr>
          <w:rFonts w:ascii="Arial" w:cs="Arial" w:eastAsia="Arial" w:hAnsi="Arial"/>
          <w:sz w:val="17"/>
          <w:szCs w:val="17"/>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58" w:lineRule="exact"/>
        <w:rPr>
          <w:sz w:val="20"/>
          <w:szCs w:val="20"/>
          <w:color w:val="auto"/>
        </w:rPr>
      </w:pPr>
    </w:p>
    <w:p>
      <w:pPr>
        <w:ind w:right="140" w:firstLine="1263"/>
        <w:spacing w:after="0" w:line="290" w:lineRule="auto"/>
        <w:tabs>
          <w:tab w:leader="none" w:pos="1895"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59" w:lineRule="exact"/>
        <w:rPr>
          <w:rFonts w:ascii="Arial" w:cs="Arial" w:eastAsia="Arial" w:hAnsi="Arial"/>
          <w:sz w:val="16"/>
          <w:szCs w:val="16"/>
          <w:b w:val="1"/>
          <w:bCs w:val="1"/>
          <w:color w:val="auto"/>
        </w:rPr>
      </w:pPr>
    </w:p>
    <w:p>
      <w:pPr>
        <w:ind w:firstLine="1263"/>
        <w:spacing w:after="0" w:line="289" w:lineRule="auto"/>
        <w:tabs>
          <w:tab w:leader="none" w:pos="1905"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Any sale or transfer, or purported sale or transfer, of securities of the corporation shall be null and void unless the terms, conditions, and provisions of this bylaw are strictly observed and followed.</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The foregoing right of first refusal shall terminate on either of the following dates, whichever shall first occur:</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1"/>
          <w:numId w:val="165"/>
        </w:numPr>
        <w:rPr>
          <w:rFonts w:ascii="Arial" w:cs="Arial" w:eastAsia="Arial" w:hAnsi="Arial"/>
          <w:sz w:val="17"/>
          <w:szCs w:val="17"/>
          <w:b w:val="1"/>
          <w:bCs w:val="1"/>
          <w:color w:val="auto"/>
        </w:rPr>
      </w:pPr>
      <w:r>
        <w:rPr>
          <w:rFonts w:ascii="Arial" w:cs="Arial" w:eastAsia="Arial" w:hAnsi="Arial"/>
          <w:sz w:val="17"/>
          <w:szCs w:val="17"/>
          <w:color w:val="auto"/>
        </w:rPr>
        <w:t>On August 14, 2016;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1893"/>
        <w:spacing w:after="0" w:line="289" w:lineRule="auto"/>
        <w:tabs>
          <w:tab w:leader="none" w:pos="2524" w:val="left"/>
        </w:tabs>
        <w:numPr>
          <w:ilvl w:val="1"/>
          <w:numId w:val="166"/>
        </w:numPr>
        <w:rPr>
          <w:rFonts w:ascii="Arial" w:cs="Arial" w:eastAsia="Arial" w:hAnsi="Arial"/>
          <w:sz w:val="17"/>
          <w:szCs w:val="17"/>
          <w:b w:val="1"/>
          <w:bCs w:val="1"/>
          <w:color w:val="auto"/>
        </w:rPr>
      </w:pPr>
      <w:r>
        <w:rPr>
          <w:rFonts w:ascii="Arial" w:cs="Arial" w:eastAsia="Arial" w:hAnsi="Arial"/>
          <w:sz w:val="17"/>
          <w:szCs w:val="17"/>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58" w:lineRule="exact"/>
        <w:rPr>
          <w:rFonts w:ascii="Arial" w:cs="Arial" w:eastAsia="Arial" w:hAnsi="Arial"/>
          <w:sz w:val="17"/>
          <w:szCs w:val="17"/>
          <w:b w:val="1"/>
          <w:bCs w:val="1"/>
          <w:color w:val="auto"/>
        </w:rPr>
      </w:pPr>
    </w:p>
    <w:p>
      <w:pPr>
        <w:ind w:right="360" w:firstLine="1263"/>
        <w:spacing w:after="0" w:line="289" w:lineRule="auto"/>
        <w:tabs>
          <w:tab w:leader="none" w:pos="1905"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The certificates representing shares of common stock of the corporation shall bear on their face the following legend so long as the foregoing right of first refusal remains in effect:</w:t>
      </w:r>
    </w:p>
    <w:p>
      <w:pPr>
        <w:spacing w:after="0" w:line="158" w:lineRule="exact"/>
        <w:rPr>
          <w:sz w:val="20"/>
          <w:szCs w:val="20"/>
          <w:color w:val="auto"/>
        </w:rPr>
      </w:pPr>
    </w:p>
    <w:p>
      <w:pPr>
        <w:ind w:left="1260" w:right="340"/>
        <w:spacing w:after="0" w:line="289" w:lineRule="auto"/>
        <w:rPr>
          <w:sz w:val="20"/>
          <w:szCs w:val="20"/>
          <w:color w:val="auto"/>
        </w:rPr>
      </w:pPr>
      <w:r>
        <w:rPr>
          <w:rFonts w:ascii="Arial" w:cs="Arial" w:eastAsia="Arial" w:hAnsi="Arial"/>
          <w:sz w:val="17"/>
          <w:szCs w:val="17"/>
          <w:color w:val="auto"/>
        </w:rPr>
        <w:t>“THE SHARES REPRESENTED BY THIS CERTIFICATE ARE SUBJECT TO A RIGHT OF FIRST REFUSAL OPTION IN FAVOR OF THE CORPORATION AND/OR ITS ASSIGNEE(S), AS PROVIDED IN THE BYLAWS OF THE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LOANS TO OFFICERS</w:t>
      </w:r>
    </w:p>
    <w:p>
      <w:pPr>
        <w:spacing w:after="0" w:line="224"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b w:val="1"/>
          <w:bCs w:val="1"/>
          <w:color w:val="auto"/>
        </w:rPr>
        <w:t xml:space="preserve">Section 46. Loans to Officers. </w:t>
      </w:r>
      <w:r>
        <w:rPr>
          <w:rFonts w:ascii="Arial" w:cs="Arial" w:eastAsia="Arial" w:hAnsi="Arial"/>
          <w:sz w:val="16"/>
          <w:szCs w:val="16"/>
          <w:color w:val="auto"/>
        </w:rPr>
        <w:t>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(Del. Code Ann., tit. 8, § 143)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47.</w:t>
      </w:r>
      <w:r>
        <w:rPr>
          <w:sz w:val="20"/>
          <w:szCs w:val="20"/>
          <w:color w:val="auto"/>
        </w:rPr>
        <w:tab/>
      </w:r>
      <w:r>
        <w:rPr>
          <w:rFonts w:ascii="Arial" w:cs="Arial" w:eastAsia="Arial" w:hAnsi="Arial"/>
          <w:sz w:val="16"/>
          <w:szCs w:val="16"/>
          <w:b w:val="1"/>
          <w:bCs w:val="1"/>
          <w:color w:val="auto"/>
        </w:rPr>
        <w:t>Annual Report.</w:t>
      </w:r>
    </w:p>
    <w:p>
      <w:pPr>
        <w:spacing w:after="0" w:line="230" w:lineRule="exact"/>
        <w:rPr>
          <w:sz w:val="20"/>
          <w:szCs w:val="20"/>
          <w:color w:val="auto"/>
        </w:rPr>
      </w:pPr>
    </w:p>
    <w:p>
      <w:pPr>
        <w:ind w:firstLine="1263"/>
        <w:spacing w:after="0" w:line="281" w:lineRule="auto"/>
        <w:tabs>
          <w:tab w:leader="none" w:pos="1895"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Section 47,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stockholders at least fifteen (15) days prior to the next annual meeting of stockholders after the end of the fiscal year to which it relates.</w:t>
      </w:r>
    </w:p>
    <w:p>
      <w:pPr>
        <w:spacing w:after="0" w:line="224" w:lineRule="exact"/>
        <w:rPr>
          <w:sz w:val="20"/>
          <w:szCs w:val="20"/>
          <w:color w:val="auto"/>
        </w:rPr>
      </w:pPr>
    </w:p>
    <w:p>
      <w:pPr>
        <w:ind w:right="160" w:firstLine="1263"/>
        <w:spacing w:after="0" w:line="289" w:lineRule="auto"/>
        <w:tabs>
          <w:tab w:leader="none" w:pos="1905"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If and so long as there are fewer than 100 holders of record of the corporation’s shares, the requirement of sending of an annual report to the stockholders of the corporation is hereby expressly waived.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4" w:name="page205"/>
    <w:bookmarkEnd w:id="204"/>
    <w:p>
      <w:pPr>
        <w:ind w:left="10600"/>
        <w:spacing w:after="0"/>
        <w:rPr>
          <w:sz w:val="20"/>
          <w:szCs w:val="20"/>
          <w:color w:val="auto"/>
        </w:rPr>
      </w:pPr>
      <w:r>
        <w:rPr>
          <w:rFonts w:ascii="Arial" w:cs="Arial" w:eastAsia="Arial" w:hAnsi="Arial"/>
          <w:sz w:val="17"/>
          <w:szCs w:val="17"/>
          <w:b w:val="1"/>
          <w:bCs w:val="1"/>
          <w:color w:val="auto"/>
        </w:rPr>
        <w:t>Exhibit 4.2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SECOND AMENDED AND RESTATED INVESTORS’ RIGHTS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November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7"/>
                <w:szCs w:val="17"/>
                <w:color w:val="auto"/>
              </w:rPr>
              <w:t>SECTION 1.</w:t>
            </w:r>
          </w:p>
        </w:tc>
        <w:tc>
          <w:tcPr>
            <w:tcW w:w="9560" w:type="dxa"/>
            <w:vAlign w:val="bottom"/>
          </w:tcPr>
          <w:p>
            <w:pPr>
              <w:ind w:left="240"/>
              <w:spacing w:after="0"/>
              <w:rPr>
                <w:sz w:val="20"/>
                <w:szCs w:val="20"/>
                <w:color w:val="auto"/>
              </w:rPr>
            </w:pPr>
            <w:r>
              <w:rPr>
                <w:rFonts w:ascii="Arial" w:cs="Arial" w:eastAsia="Arial" w:hAnsi="Arial"/>
                <w:sz w:val="17"/>
                <w:szCs w:val="17"/>
                <w:color w:val="auto"/>
              </w:rPr>
              <w:t>GENERAL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160" w:type="dxa"/>
            <w:vAlign w:val="bottom"/>
          </w:tcPr>
          <w:p>
            <w:pPr>
              <w:ind w:left="520"/>
              <w:spacing w:after="0"/>
              <w:rPr>
                <w:sz w:val="20"/>
                <w:szCs w:val="20"/>
                <w:color w:val="auto"/>
              </w:rPr>
            </w:pPr>
            <w:r>
              <w:rPr>
                <w:rFonts w:ascii="Arial" w:cs="Arial" w:eastAsia="Arial" w:hAnsi="Arial"/>
                <w:sz w:val="17"/>
                <w:szCs w:val="17"/>
                <w:color w:val="auto"/>
              </w:rPr>
              <w:t>1.1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Definitions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2.</w:t>
            </w:r>
          </w:p>
        </w:tc>
        <w:tc>
          <w:tcPr>
            <w:tcW w:w="9560" w:type="dxa"/>
            <w:vAlign w:val="bottom"/>
          </w:tcPr>
          <w:p>
            <w:pPr>
              <w:ind w:left="240"/>
              <w:spacing w:after="0"/>
              <w:rPr>
                <w:sz w:val="20"/>
                <w:szCs w:val="20"/>
                <w:color w:val="auto"/>
              </w:rPr>
            </w:pPr>
            <w:r>
              <w:rPr>
                <w:rFonts w:ascii="Arial" w:cs="Arial" w:eastAsia="Arial" w:hAnsi="Arial"/>
                <w:sz w:val="17"/>
                <w:szCs w:val="17"/>
                <w:color w:val="auto"/>
              </w:rPr>
              <w:t>REGISTRATION; RESTRICTIONS ON TRANSFER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2.1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Restrictions on Transfer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Demand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Piggyback Registrations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Form S-3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Expenses of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Obligations of the Company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Delay of Registration; Furnishing Information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Indemnification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Assignment of Registration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2.10</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Limitation on Subsequent Registration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“Market Stand-Off”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Agreement to Furnish Information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2.13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Rule 144 Reporting</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3.</w:t>
            </w:r>
          </w:p>
        </w:tc>
        <w:tc>
          <w:tcPr>
            <w:tcW w:w="9560" w:type="dxa"/>
            <w:vAlign w:val="bottom"/>
          </w:tcPr>
          <w:p>
            <w:pPr>
              <w:ind w:left="240"/>
              <w:spacing w:after="0"/>
              <w:rPr>
                <w:sz w:val="20"/>
                <w:szCs w:val="20"/>
                <w:color w:val="auto"/>
              </w:rPr>
            </w:pPr>
            <w:r>
              <w:rPr>
                <w:rFonts w:ascii="Arial" w:cs="Arial" w:eastAsia="Arial" w:hAnsi="Arial"/>
                <w:sz w:val="17"/>
                <w:szCs w:val="17"/>
                <w:color w:val="auto"/>
              </w:rPr>
              <w:t>COVENANTS OF THE COMPANY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3.1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Basic Financial Information and Reporting</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Inspection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Confidentiality of Records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Reservation of Common Stock</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Proprietary Information and Inventions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Directors’ Liability and Indemnification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Director and Officer Insurance</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Qualified Small Business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3.9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Termination of Covenants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4.</w:t>
            </w:r>
          </w:p>
        </w:tc>
        <w:tc>
          <w:tcPr>
            <w:tcW w:w="9560" w:type="dxa"/>
            <w:vAlign w:val="bottom"/>
          </w:tcPr>
          <w:p>
            <w:pPr>
              <w:ind w:left="240"/>
              <w:spacing w:after="0"/>
              <w:rPr>
                <w:sz w:val="20"/>
                <w:szCs w:val="20"/>
                <w:color w:val="auto"/>
              </w:rPr>
            </w:pPr>
            <w:r>
              <w:rPr>
                <w:rFonts w:ascii="Arial" w:cs="Arial" w:eastAsia="Arial" w:hAnsi="Arial"/>
                <w:sz w:val="17"/>
                <w:szCs w:val="17"/>
                <w:color w:val="auto"/>
              </w:rPr>
              <w:t>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4.1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Subsequent Offerings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Exercise of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Issuance of Equity Securities to Other Persons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Termination and Waiver of 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Assignment of 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4.6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Excluded Securities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5.</w:t>
            </w:r>
          </w:p>
        </w:tc>
        <w:tc>
          <w:tcPr>
            <w:tcW w:w="9560" w:type="dxa"/>
            <w:vAlign w:val="bottom"/>
          </w:tcPr>
          <w:p>
            <w:pPr>
              <w:ind w:left="240"/>
              <w:spacing w:after="0"/>
              <w:rPr>
                <w:sz w:val="20"/>
                <w:szCs w:val="20"/>
                <w:color w:val="auto"/>
              </w:rPr>
            </w:pPr>
            <w:r>
              <w:rPr>
                <w:rFonts w:ascii="Arial" w:cs="Arial" w:eastAsia="Arial" w:hAnsi="Arial"/>
                <w:sz w:val="17"/>
                <w:szCs w:val="17"/>
                <w:color w:val="auto"/>
              </w:rPr>
              <w:t>MISCELLANEOUS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5.1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Governing Law</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Successors and Assigns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Entire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Severability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5.5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Amendment and Waiver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160" w:type="dxa"/>
            <w:vAlign w:val="bottom"/>
          </w:tcPr>
          <w:p>
            <w:pPr>
              <w:spacing w:after="0"/>
              <w:rPr>
                <w:sz w:val="24"/>
                <w:szCs w:val="24"/>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color w:val="auto"/>
              </w:rPr>
              <w:t>i</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9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160" w:type="dxa"/>
            <w:vAlign w:val="bottom"/>
          </w:tcPr>
          <w:p>
            <w:pPr>
              <w:spacing w:after="0"/>
              <w:rPr>
                <w:sz w:val="24"/>
                <w:szCs w:val="24"/>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b w:val="1"/>
                <w:bCs w:val="1"/>
                <w:color w:val="auto"/>
              </w:rPr>
              <w:t>TABLE OF CONTENTS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b w:val="1"/>
                <w:bCs w:val="1"/>
                <w:color w:val="auto"/>
                <w:w w:val="94"/>
              </w:rPr>
              <w:t>(Continued)</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16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94"/>
        </w:trPr>
        <w:tc>
          <w:tcPr>
            <w:tcW w:w="1160" w:type="dxa"/>
            <w:vAlign w:val="bottom"/>
          </w:tcPr>
          <w:p>
            <w:pPr>
              <w:ind w:left="520"/>
              <w:spacing w:after="0"/>
              <w:rPr>
                <w:sz w:val="20"/>
                <w:szCs w:val="20"/>
                <w:color w:val="auto"/>
              </w:rPr>
            </w:pPr>
            <w:r>
              <w:rPr>
                <w:rFonts w:ascii="Arial" w:cs="Arial" w:eastAsia="Arial" w:hAnsi="Arial"/>
                <w:sz w:val="17"/>
                <w:szCs w:val="17"/>
                <w:b w:val="1"/>
                <w:bCs w:val="1"/>
                <w:color w:val="auto"/>
              </w:rPr>
              <w:t>5.6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Amendment of Prior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b w:val="1"/>
                <w:bCs w:val="1"/>
                <w:color w:val="auto"/>
              </w:rPr>
              <w:t>5.7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Waiver of Preemptive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Delays or Omissions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5.9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Notices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-1541145</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-1541145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05" w:name="page206"/>
    <w:bookmarkEnd w:id="205"/>
    <w:p>
      <w:pPr>
        <w:spacing w:after="0" w:line="12"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5.10</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Attorneys’ Fees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213"/>
              <w:spacing w:after="0"/>
              <w:rPr>
                <w:sz w:val="20"/>
                <w:szCs w:val="20"/>
                <w:color w:val="auto"/>
              </w:rPr>
            </w:pPr>
            <w:r>
              <w:rPr>
                <w:rFonts w:ascii="Arial" w:cs="Arial" w:eastAsia="Arial" w:hAnsi="Arial"/>
                <w:sz w:val="17"/>
                <w:szCs w:val="17"/>
                <w:color w:val="auto"/>
                <w:w w:val="84"/>
              </w:rPr>
              <w:t>5.11</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Titles and Subtitles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5.12</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Additional Investors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5.13</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Counterparts</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5.14</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Aggregation of Stock</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5.15</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Pronouns</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8"/>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5.16</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Termination</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INVESTORS’ RIGHTS AGREEMENT</w:t>
      </w:r>
    </w:p>
    <w:p>
      <w:pPr>
        <w:spacing w:after="0" w:line="230" w:lineRule="exact"/>
        <w:rPr>
          <w:sz w:val="20"/>
          <w:szCs w:val="20"/>
          <w:color w:val="auto"/>
        </w:rPr>
      </w:pPr>
    </w:p>
    <w:p>
      <w:pPr>
        <w:ind w:right="820" w:firstLine="629"/>
        <w:spacing w:after="0" w:line="273" w:lineRule="auto"/>
        <w:rPr>
          <w:sz w:val="20"/>
          <w:szCs w:val="20"/>
          <w:color w:val="auto"/>
        </w:rPr>
      </w:pPr>
      <w:r>
        <w:rPr>
          <w:rFonts w:ascii="Arial" w:cs="Arial" w:eastAsia="Arial" w:hAnsi="Arial"/>
          <w:sz w:val="17"/>
          <w:szCs w:val="17"/>
          <w:color w:val="auto"/>
        </w:rPr>
        <w:t>This Second Amended and Restated Investors’ Rights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November 6, 2012, by and among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the investors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referred to hereinafter as the “</w:t>
      </w:r>
      <w:r>
        <w:rPr>
          <w:rFonts w:ascii="Arial" w:cs="Arial" w:eastAsia="Arial" w:hAnsi="Arial"/>
          <w:sz w:val="17"/>
          <w:szCs w:val="17"/>
          <w:b w:val="1"/>
          <w:bCs w:val="1"/>
          <w:i w:val="1"/>
          <w:iCs w:val="1"/>
          <w:color w:val="auto"/>
        </w:rPr>
        <w:t>Investors</w:t>
      </w:r>
      <w:r>
        <w:rPr>
          <w:rFonts w:ascii="Arial" w:cs="Arial" w:eastAsia="Arial" w:hAnsi="Arial"/>
          <w:sz w:val="17"/>
          <w:szCs w:val="17"/>
          <w:color w:val="auto"/>
        </w:rPr>
        <w:t>” and each individually as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parties to an Amended and Restated Investors’ Rights Agreement dated June 4, 2010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Prior Agreement</w:t>
      </w:r>
      <w:r>
        <w:rPr>
          <w:rFonts w:ascii="Arial" w:cs="Arial" w:eastAsia="Arial" w:hAnsi="Arial"/>
          <w:sz w:val="17"/>
          <w:szCs w:val="17"/>
          <w:color w:val="auto"/>
        </w:rPr>
        <w:t>”);</w:t>
      </w:r>
    </w:p>
    <w:p>
      <w:pPr>
        <w:spacing w:after="0" w:line="145"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Investors are purchasing shares of the Company’s Series C Preferred Stock pursuant to that certain Series C Preferred Stock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of even date herewith (the “</w:t>
      </w:r>
      <w:r>
        <w:rPr>
          <w:rFonts w:ascii="Arial" w:cs="Arial" w:eastAsia="Arial" w:hAnsi="Arial"/>
          <w:sz w:val="17"/>
          <w:szCs w:val="17"/>
          <w:b w:val="1"/>
          <w:bCs w:val="1"/>
          <w:i w:val="1"/>
          <w:iCs w:val="1"/>
          <w:color w:val="auto"/>
        </w:rPr>
        <w:t>Financing</w:t>
      </w:r>
      <w:r>
        <w:rPr>
          <w:rFonts w:ascii="Arial" w:cs="Arial" w:eastAsia="Arial" w:hAnsi="Arial"/>
          <w:sz w:val="17"/>
          <w:szCs w:val="17"/>
          <w:color w:val="auto"/>
        </w:rPr>
        <w:t>”);</w:t>
      </w:r>
    </w:p>
    <w:p>
      <w:pPr>
        <w:spacing w:after="0" w:line="145"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a condition precedent to entering into the Purchase Agreement, the Investors desire that the parties thereto amend and restate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set forth herein;</w:t>
      </w:r>
    </w:p>
    <w:p>
      <w:pPr>
        <w:spacing w:after="0" w:line="145"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parties holding not less than the minimum number of shares required to amend the Prior Agreement desire that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supersede and replace the Prior Agreement in its entirety; and</w:t>
      </w:r>
    </w:p>
    <w:p>
      <w:pPr>
        <w:spacing w:after="0" w:line="145" w:lineRule="exact"/>
        <w:rPr>
          <w:sz w:val="20"/>
          <w:szCs w:val="20"/>
          <w:color w:val="auto"/>
        </w:rPr>
      </w:pPr>
    </w:p>
    <w:p>
      <w:pPr>
        <w:ind w:right="6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consummation of the Financing, the parties desire to enter into this Agreement in order to grant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rights and other rights to the Investors as set forth below.</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these premises and for other good and valuable consideration, the receipt and sufficiency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parties hereto agree as follows:</w:t>
      </w:r>
    </w:p>
    <w:p>
      <w:pPr>
        <w:spacing w:after="0" w:line="14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GENERAL</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following respective meanings:</w:t>
      </w:r>
    </w:p>
    <w:p>
      <w:pPr>
        <w:spacing w:after="0" w:line="230" w:lineRule="exact"/>
        <w:rPr>
          <w:sz w:val="20"/>
          <w:szCs w:val="20"/>
          <w:color w:val="auto"/>
        </w:rPr>
      </w:pPr>
    </w:p>
    <w:p>
      <w:pPr>
        <w:ind w:left="2560" w:hanging="667"/>
        <w:spacing w:after="0"/>
        <w:tabs>
          <w:tab w:leader="none" w:pos="25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right="160" w:firstLine="1893"/>
        <w:spacing w:after="0" w:line="273" w:lineRule="auto"/>
        <w:tabs>
          <w:tab w:leader="none" w:pos="257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71" w:lineRule="exact"/>
        <w:rPr>
          <w:rFonts w:ascii="Arial" w:cs="Arial" w:eastAsia="Arial" w:hAnsi="Arial"/>
          <w:sz w:val="17"/>
          <w:szCs w:val="17"/>
          <w:color w:val="auto"/>
        </w:rPr>
      </w:pPr>
    </w:p>
    <w:p>
      <w:pPr>
        <w:ind w:right="200" w:firstLine="1893"/>
        <w:spacing w:after="0" w:line="289" w:lineRule="auto"/>
        <w:tabs>
          <w:tab w:leader="none" w:pos="256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means any person owning of record Registrable Securities that have not been sold to the public or any assignee of record of such Registrable Securities in accordance with Section 2.9 hereof.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2580" w:hanging="687"/>
        <w:spacing w:after="0"/>
        <w:tabs>
          <w:tab w:leader="none" w:pos="25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Common Stock registered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under the Securities Act.</w:t>
      </w:r>
    </w:p>
    <w:p>
      <w:pPr>
        <w:spacing w:after="0" w:line="212" w:lineRule="exact"/>
        <w:rPr>
          <w:rFonts w:ascii="Arial" w:cs="Arial" w:eastAsia="Arial" w:hAnsi="Arial"/>
          <w:sz w:val="16"/>
          <w:szCs w:val="16"/>
          <w:color w:val="auto"/>
        </w:rPr>
      </w:pPr>
    </w:p>
    <w:p>
      <w:pPr>
        <w:ind w:right="160" w:firstLine="1893"/>
        <w:spacing w:after="0" w:line="289" w:lineRule="auto"/>
        <w:tabs>
          <w:tab w:leader="none" w:pos="256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w:t>
      </w:r>
      <w:r>
        <w:rPr>
          <w:rFonts w:ascii="Arial" w:cs="Arial" w:eastAsia="Arial" w:hAnsi="Arial"/>
          <w:sz w:val="17"/>
          <w:szCs w:val="17"/>
          <w:color w:val="auto"/>
        </w:rPr>
        <w:t>,” and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refer to a registration effected by preparing and filing a registration statement in compliance with the Securities Act, and the declaration or ordering of effectiveness of such registration statement or document.</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 Common Stock of the Company issuable or issued upon conversion of the Shares and</w:t>
      </w:r>
    </w:p>
    <w:p>
      <w:pPr>
        <w:spacing w:after="0" w:line="37" w:lineRule="exact"/>
        <w:rPr>
          <w:rFonts w:ascii="Arial" w:cs="Arial" w:eastAsia="Arial" w:hAnsi="Arial"/>
          <w:sz w:val="16"/>
          <w:szCs w:val="16"/>
          <w:color w:val="auto"/>
        </w:rPr>
      </w:pPr>
    </w:p>
    <w:p>
      <w:pPr>
        <w:ind w:right="20" w:firstLine="5"/>
        <w:spacing w:after="0" w:line="261" w:lineRule="auto"/>
        <w:tabs>
          <w:tab w:leader="none" w:pos="24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(ii) sold in a private transaction in which the transferor’s rights under Section 2 of this Agreement are not assigned or (iii) held by a Holder (together with its affiliates) if the Company has completed its Initial Offering and all shares of Common Stock of the Company issuable or issued upon conversion of the Shares held by and issuable to such Holder (and its affiliates) may be sold pursuant to Rule 144 during any ninety (90) day period.</w:t>
      </w:r>
    </w:p>
    <w:p>
      <w:pPr>
        <w:spacing w:after="0" w:line="180" w:lineRule="exact"/>
        <w:rPr>
          <w:rFonts w:ascii="Arial" w:cs="Arial" w:eastAsia="Arial" w:hAnsi="Arial"/>
          <w:sz w:val="17"/>
          <w:szCs w:val="17"/>
          <w:color w:val="auto"/>
        </w:rPr>
      </w:pPr>
    </w:p>
    <w:p>
      <w:pPr>
        <w:ind w:right="780" w:firstLine="1893"/>
        <w:spacing w:after="0" w:line="322" w:lineRule="auto"/>
        <w:tabs>
          <w:tab w:leader="none" w:pos="257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shall be the number of shares of the Company’s Common Stock that are Registrable Securities and either (a) are then issued and outstanding or (b) are issuable pursuant to then exercisable or convertible securities.</w:t>
      </w:r>
    </w:p>
    <w:p>
      <w:pPr>
        <w:spacing w:after="0" w:line="135" w:lineRule="exact"/>
        <w:rPr>
          <w:rFonts w:ascii="Arial" w:cs="Arial" w:eastAsia="Arial" w:hAnsi="Arial"/>
          <w:sz w:val="16"/>
          <w:szCs w:val="16"/>
          <w:color w:val="auto"/>
        </w:rPr>
      </w:pPr>
    </w:p>
    <w:p>
      <w:pPr>
        <w:ind w:right="80" w:firstLine="1893"/>
        <w:spacing w:after="0" w:line="265" w:lineRule="auto"/>
        <w:tabs>
          <w:tab w:leader="none" w:pos="2572"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twenty-five thousand dollars ($25,000)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-3317875</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50" w:orient="portrait"/>
          <w:cols w:equalWidth="0" w:num="1">
            <w:col w:w="11420"/>
          </w:cols>
          <w:pgMar w:left="240" w:top="121" w:right="239" w:bottom="0" w:gutter="0" w:footer="0" w:header="0"/>
        </w:sectPr>
      </w:pPr>
    </w:p>
    <w:bookmarkStart w:id="206" w:name="page207"/>
    <w:bookmarkEnd w:id="206"/>
    <w:p>
      <w:pPr>
        <w:spacing w:after="0" w:line="54" w:lineRule="exact"/>
        <w:rPr>
          <w:sz w:val="20"/>
          <w:szCs w:val="20"/>
          <w:color w:val="auto"/>
        </w:rPr>
      </w:pPr>
    </w:p>
    <w:p>
      <w:pPr>
        <w:ind w:left="2580" w:hanging="687"/>
        <w:spacing w:after="0"/>
        <w:tabs>
          <w:tab w:leader="none" w:pos="25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Securities and Exchange Commission.</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Selling Expenses</w:t>
      </w:r>
      <w:r>
        <w:rPr>
          <w:rFonts w:ascii="Arial" w:cs="Arial" w:eastAsia="Arial" w:hAnsi="Arial"/>
          <w:sz w:val="17"/>
          <w:szCs w:val="17"/>
          <w:color w:val="auto"/>
        </w:rPr>
        <w:t>” shall mean all underwriting discounts and selling commissions applicable to the sale.</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the Company’s Series A Preferred Stock, Series B Preferred Stock and Series C Preferred Stock.</w:t>
      </w:r>
    </w:p>
    <w:p>
      <w:pPr>
        <w:spacing w:after="0" w:line="235" w:lineRule="exact"/>
        <w:rPr>
          <w:rFonts w:ascii="Arial" w:cs="Arial" w:eastAsia="Arial" w:hAnsi="Arial"/>
          <w:sz w:val="16"/>
          <w:szCs w:val="16"/>
          <w:color w:val="auto"/>
        </w:rPr>
      </w:pPr>
    </w:p>
    <w:p>
      <w:pPr>
        <w:ind w:firstLine="1893"/>
        <w:spacing w:after="0" w:line="273" w:lineRule="auto"/>
        <w:tabs>
          <w:tab w:leader="none" w:pos="257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Registration Statement</w:t>
      </w:r>
      <w:r>
        <w:rPr>
          <w:rFonts w:ascii="Arial" w:cs="Arial" w:eastAsia="Arial" w:hAnsi="Arial"/>
          <w:sz w:val="17"/>
          <w:szCs w:val="17"/>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REGISTRATION; RESTRICTIONS ON TRANSFER</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Restrictions on Transfer</w:t>
      </w:r>
      <w:r>
        <w:rPr>
          <w:rFonts w:ascii="Arial" w:cs="Arial" w:eastAsia="Arial" w:hAnsi="Arial"/>
          <w:sz w:val="15"/>
          <w:szCs w:val="15"/>
          <w:color w:val="auto"/>
        </w:rPr>
        <w:t>.</w:t>
      </w:r>
    </w:p>
    <w:p>
      <w:pPr>
        <w:spacing w:after="0" w:line="230" w:lineRule="exact"/>
        <w:rPr>
          <w:sz w:val="20"/>
          <w:szCs w:val="20"/>
          <w:color w:val="auto"/>
        </w:rPr>
      </w:pPr>
    </w:p>
    <w:p>
      <w:pPr>
        <w:ind w:left="2560" w:hanging="667"/>
        <w:spacing w:after="0"/>
        <w:tabs>
          <w:tab w:leader="none" w:pos="25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Each Holder agrees not to make any disposition of all or any portion of the Shares or Registrable Securities unless and until:</w:t>
      </w:r>
    </w:p>
    <w:p>
      <w:pPr>
        <w:spacing w:after="0" w:line="235" w:lineRule="exact"/>
        <w:rPr>
          <w:rFonts w:ascii="Arial" w:cs="Arial" w:eastAsia="Arial" w:hAnsi="Arial"/>
          <w:sz w:val="16"/>
          <w:szCs w:val="16"/>
          <w:color w:val="auto"/>
        </w:rPr>
      </w:pPr>
    </w:p>
    <w:p>
      <w:pPr>
        <w:ind w:right="180" w:firstLine="2836"/>
        <w:spacing w:after="0" w:line="289" w:lineRule="auto"/>
        <w:tabs>
          <w:tab w:leader="none" w:pos="317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there is then in effect a registration statement under the Securities Act covering such proposed disposition and such disposition is made in accordance with such registration statement; or</w:t>
      </w:r>
    </w:p>
    <w:p>
      <w:pPr>
        <w:spacing w:after="0" w:line="158" w:lineRule="exact"/>
        <w:rPr>
          <w:rFonts w:ascii="Arial" w:cs="Arial" w:eastAsia="Arial" w:hAnsi="Arial"/>
          <w:sz w:val="17"/>
          <w:szCs w:val="17"/>
          <w:color w:val="auto"/>
        </w:rPr>
      </w:pPr>
    </w:p>
    <w:p>
      <w:pPr>
        <w:ind w:right="20" w:firstLine="2836"/>
        <w:spacing w:after="0" w:line="262" w:lineRule="auto"/>
        <w:tabs>
          <w:tab w:leader="none" w:pos="317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84" w:lineRule="exact"/>
        <w:rPr>
          <w:rFonts w:ascii="Arial" w:cs="Arial" w:eastAsia="Arial" w:hAnsi="Arial"/>
          <w:sz w:val="17"/>
          <w:szCs w:val="17"/>
          <w:color w:val="auto"/>
        </w:rPr>
      </w:pPr>
    </w:p>
    <w:p>
      <w:pPr>
        <w:ind w:firstLine="1893"/>
        <w:spacing w:after="0" w:line="263" w:lineRule="auto"/>
        <w:tabs>
          <w:tab w:leader="none" w:pos="257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subsection (a) above, no such restriction shall apply to a transfer by a Holder that is (A) a partnership transferring to its partners or former partners in accordance with partnership interests, (B) a corporation transferring to a wholly- owned subsidiary or a parent corporation that owns all of the capital stock of the Holder, (C) a limited liability company transferring to its members or former members in accordance with their interest in the limited liability company, or (D) an individual transferring to the Holder’s family member or trust for the benefit of an individual Holder;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each case the transferee will agree in writing to be subject to the terms of this Agreement to the same extent as if he were an original Holder</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w:t>
      </w:r>
    </w:p>
    <w:p>
      <w:pPr>
        <w:spacing w:after="0" w:line="183" w:lineRule="exact"/>
        <w:rPr>
          <w:rFonts w:ascii="Arial" w:cs="Arial" w:eastAsia="Arial" w:hAnsi="Arial"/>
          <w:sz w:val="17"/>
          <w:szCs w:val="17"/>
          <w:color w:val="auto"/>
        </w:rPr>
      </w:pPr>
    </w:p>
    <w:p>
      <w:pPr>
        <w:ind w:right="780" w:firstLine="1893"/>
        <w:spacing w:after="0" w:line="289" w:lineRule="auto"/>
        <w:tabs>
          <w:tab w:leader="none" w:pos="256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158" w:lineRule="exact"/>
        <w:rPr>
          <w:sz w:val="20"/>
          <w:szCs w:val="20"/>
          <w:color w:val="auto"/>
        </w:rPr>
      </w:pPr>
    </w:p>
    <w:p>
      <w:pPr>
        <w:ind w:left="1900" w:right="40"/>
        <w:spacing w:after="0" w:line="265"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179" w:lineRule="exact"/>
        <w:rPr>
          <w:sz w:val="20"/>
          <w:szCs w:val="20"/>
          <w:color w:val="auto"/>
        </w:rPr>
      </w:pPr>
    </w:p>
    <w:p>
      <w:pPr>
        <w:ind w:left="1900" w:right="60"/>
        <w:spacing w:after="0" w:line="268" w:lineRule="auto"/>
        <w:rPr>
          <w:sz w:val="20"/>
          <w:szCs w:val="20"/>
          <w:color w:val="auto"/>
        </w:rPr>
      </w:pPr>
      <w:r>
        <w:rPr>
          <w:rFonts w:ascii="Arial" w:cs="Arial" w:eastAsia="Arial" w:hAnsi="Arial"/>
          <w:sz w:val="17"/>
          <w:szCs w:val="17"/>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176" w:lineRule="exact"/>
        <w:rPr>
          <w:sz w:val="20"/>
          <w:szCs w:val="20"/>
          <w:color w:val="auto"/>
        </w:rPr>
      </w:pPr>
    </w:p>
    <w:p>
      <w:pPr>
        <w:ind w:right="560" w:firstLine="1893"/>
        <w:spacing w:after="0" w:line="289" w:lineRule="auto"/>
        <w:tabs>
          <w:tab w:leader="none" w:pos="257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shall be obligated to reissue promptly unlegended certificates at the request of any Holder thereof if the Company has completed its Initial Offering and the Holder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 xml:space="preserve">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second legend listed above shall be removed only at such time as the Holder of such certificate is no longer subject to any restrictions hereunder.</w:t>
      </w:r>
    </w:p>
    <w:p>
      <w:pPr>
        <w:spacing w:after="0" w:line="172" w:lineRule="exact"/>
        <w:rPr>
          <w:sz w:val="20"/>
          <w:szCs w:val="20"/>
          <w:color w:val="auto"/>
        </w:rPr>
      </w:pPr>
    </w:p>
    <w:p>
      <w:pPr>
        <w:ind w:right="420" w:firstLine="1893"/>
        <w:spacing w:after="0" w:line="322" w:lineRule="auto"/>
        <w:tabs>
          <w:tab w:leader="none" w:pos="256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30" w:lineRule="exact"/>
        <w:rPr>
          <w:sz w:val="20"/>
          <w:szCs w:val="20"/>
          <w:color w:val="auto"/>
        </w:rPr>
      </w:pPr>
    </w:p>
    <w:p>
      <w:pPr>
        <w:ind w:right="20" w:firstLine="1259"/>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Demand Registration.</w:t>
      </w:r>
      <w:r>
        <w:rPr>
          <w:rFonts w:ascii="Arial" w:cs="Arial" w:eastAsia="Arial" w:hAnsi="Arial"/>
          <w:sz w:val="17"/>
          <w:szCs w:val="17"/>
          <w:color w:val="auto"/>
        </w:rPr>
        <w:t xml:space="preserve"> Subject to the conditions of this Section 2.2, if the Company shall receive a written request from the Holders of at least a majority of the Registrable Securities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registration statement under the Securities Act covering the registration of at least a majority of the Registrable Securities then outstanding,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177" w:lineRule="exact"/>
        <w:rPr>
          <w:sz w:val="20"/>
          <w:szCs w:val="20"/>
          <w:color w:val="auto"/>
        </w:rPr>
      </w:pPr>
    </w:p>
    <w:p>
      <w:pPr>
        <w:ind w:right="40" w:firstLine="1893"/>
        <w:spacing w:after="0" w:line="326" w:lineRule="auto"/>
        <w:tabs>
          <w:tab w:leader="none" w:pos="257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w:t>
      </w:r>
    </w:p>
    <w:p>
      <w:pPr>
        <w:sectPr>
          <w:pgSz w:w="11900" w:h="16893" w:orient="portrait"/>
          <w:cols w:equalWidth="0" w:num="1">
            <w:col w:w="11400"/>
          </w:cols>
          <w:pgMar w:left="240" w:top="337" w:right="259" w:bottom="0" w:gutter="0" w:footer="0" w:header="0"/>
        </w:sectPr>
      </w:pPr>
    </w:p>
    <w:bookmarkStart w:id="207" w:name="page208"/>
    <w:bookmarkEnd w:id="207"/>
    <w:p>
      <w:pPr>
        <w:spacing w:after="0" w:line="261" w:lineRule="auto"/>
        <w:rPr>
          <w:sz w:val="20"/>
          <w:szCs w:val="20"/>
          <w:color w:val="auto"/>
        </w:rPr>
      </w:pPr>
      <w:r>
        <w:rPr>
          <w:rFonts w:ascii="Arial" w:cs="Arial" w:eastAsia="Arial" w:hAnsi="Arial"/>
          <w:sz w:val="17"/>
          <w:szCs w:val="17"/>
          <w:color w:val="auto"/>
        </w:rPr>
        <w:t xml:space="preserve">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Any Registrable Securities excluded or withdrawn from such underwriting shall be withdrawn from the registration.</w:t>
      </w:r>
    </w:p>
    <w:p>
      <w:pPr>
        <w:spacing w:after="0" w:line="184" w:lineRule="exact"/>
        <w:rPr>
          <w:sz w:val="20"/>
          <w:szCs w:val="20"/>
          <w:color w:val="auto"/>
        </w:rPr>
      </w:pPr>
    </w:p>
    <w:p>
      <w:pPr>
        <w:ind w:left="2560" w:hanging="667"/>
        <w:spacing w:after="0"/>
        <w:tabs>
          <w:tab w:leader="none" w:pos="25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shall not be required to effect a registration pursuant to this Section 2.2:</w:t>
      </w:r>
    </w:p>
    <w:p>
      <w:pPr>
        <w:spacing w:after="0" w:line="224" w:lineRule="exact"/>
        <w:rPr>
          <w:rFonts w:ascii="Arial" w:cs="Arial" w:eastAsia="Arial" w:hAnsi="Arial"/>
          <w:sz w:val="17"/>
          <w:szCs w:val="17"/>
          <w:color w:val="auto"/>
        </w:rPr>
      </w:pPr>
    </w:p>
    <w:p>
      <w:pPr>
        <w:ind w:right="700" w:firstLine="2836"/>
        <w:spacing w:after="0" w:line="230" w:lineRule="auto"/>
        <w:tabs>
          <w:tab w:leader="none" w:pos="317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prior to the earlier of (A)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date of this Agreement or (B) the expiration of the restrictions on transfer set forth in Section 2.11 following the Initial Offering;</w:t>
      </w:r>
    </w:p>
    <w:p>
      <w:pPr>
        <w:spacing w:after="0" w:line="199" w:lineRule="exact"/>
        <w:rPr>
          <w:rFonts w:ascii="Arial" w:cs="Arial" w:eastAsia="Arial" w:hAnsi="Arial"/>
          <w:sz w:val="17"/>
          <w:szCs w:val="17"/>
          <w:color w:val="auto"/>
        </w:rPr>
      </w:pPr>
    </w:p>
    <w:p>
      <w:pPr>
        <w:ind w:left="3180" w:hanging="344"/>
        <w:spacing w:after="0"/>
        <w:tabs>
          <w:tab w:leader="none" w:pos="31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after the Company has effected two (2) registrations pursuant to this Section 2.2, and such registrations have been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declared or ordered effective;</w:t>
      </w:r>
    </w:p>
    <w:p>
      <w:pPr>
        <w:spacing w:after="0" w:line="212" w:lineRule="exact"/>
        <w:rPr>
          <w:rFonts w:ascii="Arial" w:cs="Arial" w:eastAsia="Arial" w:hAnsi="Arial"/>
          <w:sz w:val="16"/>
          <w:szCs w:val="16"/>
          <w:color w:val="auto"/>
        </w:rPr>
      </w:pPr>
    </w:p>
    <w:p>
      <w:pPr>
        <w:ind w:right="140" w:firstLine="2836"/>
        <w:spacing w:after="0" w:line="273" w:lineRule="auto"/>
        <w:tabs>
          <w:tab w:leader="none" w:pos="318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during the period starting with the date of filing of,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makes reasonable good faith efforts to cause such registration statement to become effective;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0" w:firstLine="2836"/>
        <w:spacing w:after="0" w:line="322" w:lineRule="auto"/>
        <w:tabs>
          <w:tab w:leader="none" w:pos="317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within thirty (30) days of receipt of a written request from Initiating Holders pursuant to Section 2.2(a), the Company gives notice to the Holders of the Company’s intention to file a registration statement for its Initial Offering within ninety (90) days;</w:t>
      </w:r>
    </w:p>
    <w:p>
      <w:pPr>
        <w:spacing w:after="0" w:line="135" w:lineRule="exact"/>
        <w:rPr>
          <w:rFonts w:ascii="Arial" w:cs="Arial" w:eastAsia="Arial" w:hAnsi="Arial"/>
          <w:sz w:val="16"/>
          <w:szCs w:val="16"/>
          <w:color w:val="auto"/>
        </w:rPr>
      </w:pPr>
    </w:p>
    <w:p>
      <w:pPr>
        <w:ind w:right="40" w:firstLine="2836"/>
        <w:spacing w:after="0" w:line="265" w:lineRule="auto"/>
        <w:tabs>
          <w:tab w:leader="none" w:pos="316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2.2 a certificate signed by the Chairman of the Board stating that in the good faith judgment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to delay a request shall be exercised by the Company not more than once in any twelve (12) month period;</w:t>
      </w:r>
    </w:p>
    <w:p>
      <w:pPr>
        <w:spacing w:after="0" w:line="179" w:lineRule="exact"/>
        <w:rPr>
          <w:rFonts w:ascii="Arial" w:cs="Arial" w:eastAsia="Arial" w:hAnsi="Arial"/>
          <w:sz w:val="17"/>
          <w:szCs w:val="17"/>
          <w:color w:val="auto"/>
        </w:rPr>
      </w:pPr>
    </w:p>
    <w:p>
      <w:pPr>
        <w:ind w:right="100" w:firstLine="2836"/>
        <w:spacing w:after="0" w:line="289" w:lineRule="auto"/>
        <w:tabs>
          <w:tab w:leader="none" w:pos="317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Initiating Holders propose to dispose of shares of Registrable Securities that may be immediately registered on Form S-3 pursuant to a request made pursuant to Section 2.4 below; or</w:t>
      </w:r>
    </w:p>
    <w:p>
      <w:pPr>
        <w:spacing w:after="0" w:line="158" w:lineRule="exact"/>
        <w:rPr>
          <w:rFonts w:ascii="Arial" w:cs="Arial" w:eastAsia="Arial" w:hAnsi="Arial"/>
          <w:sz w:val="17"/>
          <w:szCs w:val="17"/>
          <w:color w:val="auto"/>
        </w:rPr>
      </w:pPr>
    </w:p>
    <w:p>
      <w:pPr>
        <w:ind w:right="480" w:firstLine="2836"/>
        <w:spacing w:after="0" w:line="289" w:lineRule="auto"/>
        <w:tabs>
          <w:tab w:leader="none" w:pos="317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any particular jurisdiction in which the Company would be required to qualify to do business or to execute a general consent to service of process in effecting such registration, qualification or compliance.</w:t>
      </w:r>
    </w:p>
    <w:p>
      <w:pPr>
        <w:spacing w:after="0" w:line="152" w:lineRule="exact"/>
        <w:rPr>
          <w:sz w:val="20"/>
          <w:szCs w:val="20"/>
          <w:color w:val="auto"/>
        </w:rPr>
      </w:pPr>
    </w:p>
    <w:p>
      <w:pPr>
        <w:ind w:right="160" w:firstLine="1259"/>
        <w:spacing w:after="0" w:line="2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Piggyback Registrations.</w:t>
      </w:r>
      <w:r>
        <w:rPr>
          <w:rFonts w:ascii="Arial" w:cs="Arial" w:eastAsia="Arial" w:hAnsi="Arial"/>
          <w:sz w:val="16"/>
          <w:szCs w:val="16"/>
          <w:color w:val="auto"/>
        </w:rPr>
        <w:t xml:space="preserve"> The Company shall notify all Holders of Registrable Securities in writing at least fifteen (15) days prior to the filing of any 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66" w:lineRule="exact"/>
        <w:rPr>
          <w:sz w:val="20"/>
          <w:szCs w:val="20"/>
          <w:color w:val="auto"/>
        </w:rPr>
      </w:pPr>
    </w:p>
    <w:p>
      <w:pPr>
        <w:ind w:right="60" w:firstLine="1893"/>
        <w:spacing w:after="0" w:line="300" w:lineRule="auto"/>
        <w:tabs>
          <w:tab w:leader="none" w:pos="2562" w:val="left"/>
        </w:tabs>
        <w:numPr>
          <w:ilvl w:val="0"/>
          <w:numId w:val="179"/>
        </w:numPr>
        <w:rPr>
          <w:rFonts w:ascii="Arial" w:cs="Arial" w:eastAsia="Arial" w:hAnsi="Arial"/>
          <w:sz w:val="15"/>
          <w:szCs w:val="15"/>
          <w:color w:val="auto"/>
        </w:rPr>
      </w:pPr>
      <w:r>
        <w:rPr>
          <w:rFonts w:ascii="Arial" w:cs="Arial" w:eastAsia="Arial" w:hAnsi="Arial"/>
          <w:sz w:val="15"/>
          <w:szCs w:val="15"/>
          <w:b w:val="1"/>
          <w:bCs w:val="1"/>
          <w:color w:val="auto"/>
        </w:rPr>
        <w:t>Underwriting</w:t>
      </w:r>
      <w:r>
        <w:rPr>
          <w:rFonts w:ascii="Arial" w:cs="Arial" w:eastAsia="Arial" w:hAnsi="Arial"/>
          <w:sz w:val="15"/>
          <w:szCs w:val="15"/>
          <w:color w:val="auto"/>
        </w:rPr>
        <w:t>. If the registration statement of which the Company gives notice under this Section 2.3 is for an underwritten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offering, the 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based on the total number of Registrable Securities held by the Holders; and third, to any stockholder of the Company (other than a Holder)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no such reduction shall reduce the amount of securities of the selling Holders included in the registration below twenty-five percent (25%)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total amount of securities included in such registration, unless such offering is the Initial Offering and such registration does not include shares of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other selling stockholders, in which event any or all of the Registrable Securities of the Holders may be excluded in accordance with the immediately preceding clause.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75" w:lineRule="exact"/>
        <w:rPr>
          <w:sz w:val="20"/>
          <w:szCs w:val="20"/>
          <w:color w:val="auto"/>
        </w:rPr>
      </w:pPr>
    </w:p>
    <w:p>
      <w:pPr>
        <w:ind w:right="60" w:firstLine="1893"/>
        <w:spacing w:after="0" w:line="277" w:lineRule="auto"/>
        <w:tabs>
          <w:tab w:leader="none" w:pos="2572"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Right to Terminate Registration</w:t>
      </w:r>
      <w:r>
        <w:rPr>
          <w:rFonts w:ascii="Arial" w:cs="Arial" w:eastAsia="Arial" w:hAnsi="Arial"/>
          <w:sz w:val="17"/>
          <w:szCs w:val="17"/>
          <w:color w:val="auto"/>
        </w:rPr>
        <w:t>. The Company shall have the right to terminate or withdraw any registration initiated by it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Section 2.3 whether or not any Holder has elected to include securities in such registration. The Registration Expenses of such withdrawn registration shall be borne by the Company in accordance with Section 2.5 hereof.</w:t>
      </w:r>
    </w:p>
    <w:p>
      <w:pPr>
        <w:sectPr>
          <w:pgSz w:w="11900" w:h="16838" w:orient="portrait"/>
          <w:cols w:equalWidth="0" w:num="1">
            <w:col w:w="11420"/>
          </w:cols>
          <w:pgMar w:left="240" w:top="127" w:right="239" w:bottom="0" w:gutter="0" w:footer="0" w:header="0"/>
        </w:sectPr>
      </w:pPr>
    </w:p>
    <w:bookmarkStart w:id="208" w:name="page209"/>
    <w:bookmarkEnd w:id="208"/>
    <w:p>
      <w:pPr>
        <w:spacing w:after="0" w:line="37" w:lineRule="exact"/>
        <w:rPr>
          <w:sz w:val="20"/>
          <w:szCs w:val="20"/>
          <w:color w:val="auto"/>
        </w:rPr>
      </w:pPr>
    </w:p>
    <w:p>
      <w:pPr>
        <w:ind w:right="140" w:firstLine="1259"/>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Form S-3 Registration.</w:t>
      </w:r>
      <w:r>
        <w:rPr>
          <w:rFonts w:ascii="Arial" w:cs="Arial" w:eastAsia="Arial" w:hAnsi="Arial"/>
          <w:sz w:val="16"/>
          <w:szCs w:val="16"/>
          <w:color w:val="auto"/>
        </w:rPr>
        <w:t xml:space="preserve"> In case the Company shall receive from any Holder or Holders of Registrable 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50" w:lineRule="exact"/>
        <w:rPr>
          <w:sz w:val="20"/>
          <w:szCs w:val="20"/>
          <w:color w:val="auto"/>
        </w:rPr>
      </w:pPr>
    </w:p>
    <w:p>
      <w:pPr>
        <w:ind w:left="2560" w:hanging="667"/>
        <w:spacing w:after="0"/>
        <w:tabs>
          <w:tab w:leader="none" w:pos="25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Registrable Securities; and</w:t>
      </w:r>
    </w:p>
    <w:p>
      <w:pPr>
        <w:spacing w:after="0" w:line="212" w:lineRule="exact"/>
        <w:rPr>
          <w:sz w:val="20"/>
          <w:szCs w:val="20"/>
          <w:color w:val="auto"/>
        </w:rPr>
      </w:pPr>
    </w:p>
    <w:p>
      <w:pPr>
        <w:ind w:right="360" w:firstLine="1893"/>
        <w:spacing w:after="0" w:line="265" w:lineRule="auto"/>
        <w:tabs>
          <w:tab w:leader="none" w:pos="257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effect any such registration, qualification or compliance pursuant to this Section 2.4:</w:t>
      </w:r>
    </w:p>
    <w:p>
      <w:pPr>
        <w:spacing w:after="0" w:line="179" w:lineRule="exact"/>
        <w:rPr>
          <w:rFonts w:ascii="Arial" w:cs="Arial" w:eastAsia="Arial" w:hAnsi="Arial"/>
          <w:sz w:val="17"/>
          <w:szCs w:val="17"/>
          <w:color w:val="auto"/>
        </w:rPr>
      </w:pPr>
    </w:p>
    <w:p>
      <w:pPr>
        <w:ind w:left="3180" w:hanging="344"/>
        <w:spacing w:after="0"/>
        <w:tabs>
          <w:tab w:leader="none" w:pos="318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Form S-3 is not available for such offering by the Holders;</w:t>
      </w:r>
    </w:p>
    <w:p>
      <w:pPr>
        <w:spacing w:after="0" w:line="224" w:lineRule="exact"/>
        <w:rPr>
          <w:rFonts w:ascii="Arial" w:cs="Arial" w:eastAsia="Arial" w:hAnsi="Arial"/>
          <w:sz w:val="17"/>
          <w:szCs w:val="17"/>
          <w:color w:val="auto"/>
        </w:rPr>
      </w:pPr>
    </w:p>
    <w:p>
      <w:pPr>
        <w:ind w:right="560" w:firstLine="2836"/>
        <w:spacing w:after="0" w:line="273" w:lineRule="auto"/>
        <w:tabs>
          <w:tab w:leader="none" w:pos="317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the Holders, together with the holders of any other securities of the Company entitled to inclusion in such registration, propose to sell Registrable Securities and such other securities (if any) at an aggregate price to the public of less than one million five hundred thousand dollars ($1,500,000);</w:t>
      </w:r>
    </w:p>
    <w:p>
      <w:pPr>
        <w:spacing w:after="0" w:line="171" w:lineRule="exact"/>
        <w:rPr>
          <w:rFonts w:ascii="Arial" w:cs="Arial" w:eastAsia="Arial" w:hAnsi="Arial"/>
          <w:sz w:val="17"/>
          <w:szCs w:val="17"/>
          <w:color w:val="auto"/>
        </w:rPr>
      </w:pPr>
    </w:p>
    <w:p>
      <w:pPr>
        <w:ind w:right="140" w:firstLine="2836"/>
        <w:spacing w:after="0" w:line="273" w:lineRule="auto"/>
        <w:tabs>
          <w:tab w:leader="none" w:pos="3181"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w:t>
      </w:r>
    </w:p>
    <w:p>
      <w:pPr>
        <w:spacing w:after="0" w:line="171" w:lineRule="exact"/>
        <w:rPr>
          <w:rFonts w:ascii="Arial" w:cs="Arial" w:eastAsia="Arial" w:hAnsi="Arial"/>
          <w:sz w:val="17"/>
          <w:szCs w:val="17"/>
          <w:color w:val="auto"/>
        </w:rPr>
      </w:pPr>
    </w:p>
    <w:p>
      <w:pPr>
        <w:ind w:right="60" w:firstLine="2836"/>
        <w:spacing w:after="0" w:line="360" w:lineRule="auto"/>
        <w:tabs>
          <w:tab w:leader="none" w:pos="3171" w:val="left"/>
        </w:tabs>
        <w:numPr>
          <w:ilvl w:val="1"/>
          <w:numId w:val="182"/>
        </w:numPr>
        <w:rPr>
          <w:rFonts w:ascii="Arial" w:cs="Arial" w:eastAsia="Arial" w:hAnsi="Arial"/>
          <w:sz w:val="15"/>
          <w:szCs w:val="15"/>
          <w:color w:val="auto"/>
        </w:rPr>
      </w:pPr>
      <w:r>
        <w:rPr>
          <w:rFonts w:ascii="Arial" w:cs="Arial" w:eastAsia="Arial" w:hAnsi="Arial"/>
          <w:sz w:val="15"/>
          <w:szCs w:val="15"/>
          <w:color w:val="auto"/>
        </w:rPr>
        <w:t>if the Company shall furnish to the Holders a certificate signed by the Chairman of the Board stating that in the good faith judgment of the Board, it would be seriously detrimental to the Company and its stockholders for such Form S-3 registration to be effected at such time,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which event the Company shall have the right to defer the filing of the Form S-3 registration statement for a period of not more than one hundred twenty (120) days after receipt of the request of the Holder or Holders under this Section 2.4; </w:t>
      </w:r>
      <w:r>
        <w:rPr>
          <w:rFonts w:ascii="Arial" w:cs="Arial" w:eastAsia="Arial" w:hAnsi="Arial"/>
          <w:sz w:val="17"/>
          <w:szCs w:val="17"/>
          <w:i w:val="1"/>
          <w:iCs w:val="1"/>
          <w:color w:val="auto"/>
        </w:rPr>
        <w:t>provided</w:t>
      </w:r>
      <w:r>
        <w:rPr>
          <w:rFonts w:ascii="Arial" w:cs="Arial" w:eastAsia="Arial" w:hAnsi="Arial"/>
          <w:sz w:val="17"/>
          <w:szCs w:val="17"/>
          <w:color w:val="auto"/>
        </w:rPr>
        <w:t>, that such right to delay a request shall be exercised by the Company not more than once in any twelve (12) month period;</w:t>
      </w:r>
    </w:p>
    <w:p>
      <w:pPr>
        <w:spacing w:after="0" w:line="172" w:lineRule="exact"/>
        <w:rPr>
          <w:sz w:val="20"/>
          <w:szCs w:val="20"/>
          <w:color w:val="auto"/>
        </w:rPr>
      </w:pPr>
    </w:p>
    <w:p>
      <w:pPr>
        <w:ind w:left="3180" w:hanging="344"/>
        <w:spacing w:after="0"/>
        <w:tabs>
          <w:tab w:leader="none" w:pos="318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if the Company has already effected two (2) registrations on Form S-3 for the Holders pursuant to this Section 2.4; or</w:t>
      </w:r>
    </w:p>
    <w:p>
      <w:pPr>
        <w:spacing w:after="0" w:line="247" w:lineRule="exact"/>
        <w:rPr>
          <w:rFonts w:ascii="Arial" w:cs="Arial" w:eastAsia="Arial" w:hAnsi="Arial"/>
          <w:sz w:val="15"/>
          <w:szCs w:val="15"/>
          <w:color w:val="auto"/>
        </w:rPr>
      </w:pPr>
    </w:p>
    <w:p>
      <w:pPr>
        <w:ind w:right="480" w:firstLine="2836"/>
        <w:spacing w:after="0" w:line="289" w:lineRule="auto"/>
        <w:tabs>
          <w:tab w:leader="none" w:pos="3171"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in any particular jurisdiction in which the Company would be required to qualify to do business or to execute a general consent to service of process in effecting such registration, qualification or compliance.</w:t>
      </w:r>
    </w:p>
    <w:p>
      <w:pPr>
        <w:spacing w:after="0" w:line="158" w:lineRule="exact"/>
        <w:rPr>
          <w:rFonts w:ascii="Arial" w:cs="Arial" w:eastAsia="Arial" w:hAnsi="Arial"/>
          <w:sz w:val="17"/>
          <w:szCs w:val="17"/>
          <w:color w:val="auto"/>
        </w:rPr>
      </w:pPr>
    </w:p>
    <w:p>
      <w:pPr>
        <w:ind w:right="140" w:firstLine="1893"/>
        <w:spacing w:after="0" w:line="273" w:lineRule="auto"/>
        <w:tabs>
          <w:tab w:leader="none" w:pos="256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66"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Expenses of Registration.</w:t>
      </w:r>
      <w:r>
        <w:rPr>
          <w:rFonts w:ascii="Arial" w:cs="Arial" w:eastAsia="Arial" w:hAnsi="Arial"/>
          <w:sz w:val="16"/>
          <w:szCs w:val="16"/>
          <w:color w:val="auto"/>
        </w:rPr>
        <w:t xml:space="preserve"> Except as specifically provided herein, all Registration Expenses incurred in connection with any registration, 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2.2(c)(ii) or 2.4(b)(v),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(ii) or 2.4(b)(v), as applicable, to undertake any subsequent registration.</w:t>
      </w:r>
    </w:p>
    <w:p>
      <w:pPr>
        <w:spacing w:after="0" w:line="169" w:lineRule="exact"/>
        <w:rPr>
          <w:sz w:val="20"/>
          <w:szCs w:val="20"/>
          <w:color w:val="auto"/>
        </w:rPr>
      </w:pPr>
    </w:p>
    <w:p>
      <w:pPr>
        <w:ind w:right="460" w:firstLine="1259"/>
        <w:spacing w:after="0" w:line="297"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Obligations of the Company.</w:t>
      </w:r>
      <w:r>
        <w:rPr>
          <w:rFonts w:ascii="Arial" w:cs="Arial" w:eastAsia="Arial" w:hAnsi="Arial"/>
          <w:sz w:val="17"/>
          <w:szCs w:val="17"/>
          <w:color w:val="auto"/>
        </w:rPr>
        <w:t xml:space="preserve"> Whenever required to effect the registration of any Registrable Securities, the Company shall, as expeditiously as reasonably possible:</w:t>
      </w:r>
    </w:p>
    <w:p>
      <w:pPr>
        <w:spacing w:after="0" w:line="151" w:lineRule="exact"/>
        <w:rPr>
          <w:sz w:val="20"/>
          <w:szCs w:val="20"/>
          <w:color w:val="auto"/>
        </w:rPr>
      </w:pPr>
    </w:p>
    <w:p>
      <w:pPr>
        <w:ind w:firstLine="1893"/>
        <w:spacing w:after="0" w:line="281" w:lineRule="auto"/>
        <w:tabs>
          <w:tab w:leader="none" w:pos="256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the Company may delay the filing or effectiveness of any registration statement or suspend the use or effectiveness of any registration statement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Initiating Holders hereby agree not to offer or sell any Registrable Securities pursuant to such registration statement during the Suspension Period) if the Company reasonably believes that there is or may be in existence material nonpublic information or events involving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a majority of the Registrable Securities registered under the applicable registration statement, which consent shall not be unreasonably withheld.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w:t>
      </w:r>
    </w:p>
    <w:p>
      <w:pPr>
        <w:sectPr>
          <w:pgSz w:w="11900" w:h="16875" w:orient="portrait"/>
          <w:cols w:equalWidth="0" w:num="1">
            <w:col w:w="11400"/>
          </w:cols>
          <w:pgMar w:left="240" w:top="121" w:right="259" w:bottom="0" w:gutter="0" w:footer="0" w:header="0"/>
        </w:sectPr>
      </w:pPr>
    </w:p>
    <w:bookmarkStart w:id="209" w:name="page210"/>
    <w:bookmarkEnd w:id="209"/>
    <w:p>
      <w:pPr>
        <w:spacing w:after="0" w:line="5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76" w:lineRule="exact"/>
        <w:rPr>
          <w:sz w:val="20"/>
          <w:szCs w:val="20"/>
          <w:color w:val="auto"/>
        </w:rPr>
      </w:pPr>
    </w:p>
    <w:p>
      <w:pPr>
        <w:ind w:right="40" w:firstLine="1893"/>
        <w:spacing w:after="0" w:line="273" w:lineRule="auto"/>
        <w:tabs>
          <w:tab w:leader="none" w:pos="25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71" w:lineRule="exact"/>
        <w:rPr>
          <w:rFonts w:ascii="Arial" w:cs="Arial" w:eastAsia="Arial" w:hAnsi="Arial"/>
          <w:sz w:val="17"/>
          <w:szCs w:val="17"/>
          <w:color w:val="auto"/>
        </w:rPr>
      </w:pPr>
    </w:p>
    <w:p>
      <w:pPr>
        <w:ind w:right="100" w:firstLine="1893"/>
        <w:spacing w:after="0" w:line="273" w:lineRule="auto"/>
        <w:tabs>
          <w:tab w:leader="none" w:pos="256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1" w:lineRule="exact"/>
        <w:rPr>
          <w:rFonts w:ascii="Arial" w:cs="Arial" w:eastAsia="Arial" w:hAnsi="Arial"/>
          <w:sz w:val="17"/>
          <w:szCs w:val="17"/>
          <w:color w:val="auto"/>
        </w:rPr>
      </w:pPr>
    </w:p>
    <w:p>
      <w:pPr>
        <w:ind w:right="220" w:firstLine="1893"/>
        <w:spacing w:after="0" w:line="298" w:lineRule="auto"/>
        <w:tabs>
          <w:tab w:leader="none" w:pos="257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53" w:lineRule="exact"/>
        <w:rPr>
          <w:rFonts w:ascii="Arial" w:cs="Arial" w:eastAsia="Arial" w:hAnsi="Arial"/>
          <w:sz w:val="16"/>
          <w:szCs w:val="16"/>
          <w:color w:val="auto"/>
        </w:rPr>
      </w:pPr>
    </w:p>
    <w:p>
      <w:pPr>
        <w:ind w:right="40" w:firstLine="1893"/>
        <w:spacing w:after="0" w:line="273" w:lineRule="auto"/>
        <w:tabs>
          <w:tab w:leader="none" w:pos="256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71" w:lineRule="exact"/>
        <w:rPr>
          <w:rFonts w:ascii="Arial" w:cs="Arial" w:eastAsia="Arial" w:hAnsi="Arial"/>
          <w:sz w:val="17"/>
          <w:szCs w:val="17"/>
          <w:color w:val="auto"/>
        </w:rPr>
      </w:pPr>
    </w:p>
    <w:p>
      <w:pPr>
        <w:ind w:right="240" w:firstLine="1893"/>
        <w:spacing w:after="0" w:line="283" w:lineRule="auto"/>
        <w:tabs>
          <w:tab w:leader="none" w:pos="258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66" w:lineRule="exact"/>
        <w:rPr>
          <w:rFonts w:ascii="Arial" w:cs="Arial" w:eastAsia="Arial" w:hAnsi="Arial"/>
          <w:sz w:val="16"/>
          <w:szCs w:val="16"/>
          <w:color w:val="auto"/>
        </w:rPr>
      </w:pPr>
    </w:p>
    <w:p>
      <w:pPr>
        <w:ind w:right="180" w:firstLine="1893"/>
        <w:spacing w:after="0" w:line="289" w:lineRule="auto"/>
        <w:tabs>
          <w:tab w:leader="none" w:pos="25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Use its reasonable efforts to furnish, on the date that such Registrable Securities are delivered to the underwriters for sale, if such securities are being sold through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5"/>
        <w:spacing w:after="0" w:line="268" w:lineRule="auto"/>
        <w:tabs>
          <w:tab w:leader="none" w:pos="20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0" w:lineRule="exact"/>
        <w:rPr>
          <w:sz w:val="20"/>
          <w:szCs w:val="20"/>
          <w:color w:val="auto"/>
        </w:rPr>
      </w:pPr>
    </w:p>
    <w:p>
      <w:pPr>
        <w:ind w:right="340" w:firstLine="1259"/>
        <w:spacing w:after="0" w:line="36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b w:val="1"/>
          <w:bCs w:val="1"/>
          <w:color w:val="auto"/>
        </w:rPr>
        <w:t>Delay of Registration; Furnishing Information.</w:t>
      </w:r>
      <w:r>
        <w:rPr>
          <w:rFonts w:ascii="Arial" w:cs="Arial" w:eastAsia="Arial" w:hAnsi="Arial"/>
          <w:sz w:val="15"/>
          <w:szCs w:val="15"/>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2.</w:t>
      </w:r>
    </w:p>
    <w:p>
      <w:pPr>
        <w:spacing w:after="0" w:line="106" w:lineRule="exact"/>
        <w:rPr>
          <w:sz w:val="20"/>
          <w:szCs w:val="20"/>
          <w:color w:val="auto"/>
        </w:rPr>
      </w:pPr>
    </w:p>
    <w:p>
      <w:pPr>
        <w:ind w:right="160" w:firstLine="1893"/>
        <w:spacing w:after="0" w:line="273" w:lineRule="auto"/>
        <w:tabs>
          <w:tab w:leader="none" w:pos="257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71" w:lineRule="exact"/>
        <w:rPr>
          <w:rFonts w:ascii="Arial" w:cs="Arial" w:eastAsia="Arial" w:hAnsi="Arial"/>
          <w:sz w:val="17"/>
          <w:szCs w:val="17"/>
          <w:color w:val="auto"/>
        </w:rPr>
      </w:pPr>
    </w:p>
    <w:p>
      <w:pPr>
        <w:jc w:val="both"/>
        <w:ind w:right="100" w:firstLine="1893"/>
        <w:spacing w:after="0" w:line="268" w:lineRule="auto"/>
        <w:tabs>
          <w:tab w:leader="none" w:pos="256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70"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b w:val="1"/>
          <w:bCs w:val="1"/>
          <w:color w:val="auto"/>
        </w:rPr>
        <w:t xml:space="preserve">Indemnification.  </w:t>
      </w:r>
      <w:r>
        <w:rPr>
          <w:rFonts w:ascii="Arial" w:cs="Arial" w:eastAsia="Arial" w:hAnsi="Arial"/>
          <w:sz w:val="15"/>
          <w:szCs w:val="15"/>
          <w:color w:val="auto"/>
        </w:rPr>
        <w:t>In the event any Registrable Securities are included in a registration statement under Sections 2.2, 2.3 or 2.4:</w:t>
      </w:r>
    </w:p>
    <w:p>
      <w:pPr>
        <w:spacing w:after="0" w:line="230" w:lineRule="exact"/>
        <w:rPr>
          <w:sz w:val="20"/>
          <w:szCs w:val="20"/>
          <w:color w:val="auto"/>
        </w:rPr>
      </w:pPr>
    </w:p>
    <w:p>
      <w:pPr>
        <w:ind w:right="60" w:firstLine="1893"/>
        <w:spacing w:after="0" w:line="276" w:lineRule="auto"/>
        <w:tabs>
          <w:tab w:leader="none" w:pos="256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326" w:lineRule="auto"/>
        <w:tabs>
          <w:tab w:leader="none" w:pos="257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w:t>
      </w:r>
    </w:p>
    <w:p>
      <w:pPr>
        <w:sectPr>
          <w:pgSz w:w="11900" w:h="16893" w:orient="portrait"/>
          <w:cols w:equalWidth="0" w:num="1">
            <w:col w:w="11400"/>
          </w:cols>
          <w:pgMar w:left="240" w:top="127" w:right="259" w:bottom="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statement or any of such other Holder’s partners, directors or officers or any person who controls such Holder, against any losses, claims, damages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(joint or several) to which the Company or any such director, officer, controlling person, underwriter or other such Holder, or partner, director, officer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controlling person of such other Holder may become subject under the Securities Act, the Exchange Act or other federal or state law, insofar as such losses,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claims, damages or liabilities (or actions in respect thereto) arise out of or are based upon any of the following statements: (i) any untrue statement or alleged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untrue statement of a material fact contained in such registration statement or incorporated reference therein, including any preliminary prospectus or final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prospectus contained therein or any amendments or supplements thereto, (ii) the omission or alleged omission to state therein a material fact required to be stated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therein, or necessary to make the statements therein not misleading, or (iii) any violation or alleged violation by the Company of the Securities Act (collectively, 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 Violation</w:t>
      </w:r>
      <w:r>
        <w:rPr>
          <w:rFonts w:ascii="Arial" w:cs="Arial" w:eastAsia="Arial" w:hAnsi="Arial"/>
          <w:sz w:val="17"/>
          <w:szCs w:val="17"/>
          <w:color w:val="auto"/>
        </w:rPr>
        <w:t>”), in each case to the extent (and only to the extent) that such Holder Violation occurs in reliance upon and in conformity with written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information furnished by such Holder under an instrument duly executed by such Holder and stated to be specifically for use in connection with such registration;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and each such Holder will reimburse any legal or other expenses reasonably incurred by the Company or any such director, officer, controlling person, underwriter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or other Holder, or partner, officer, director or controlling person of such other Holder in connection with investigating or defending any such loss, claim, damage,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liability or action if it is judicially determined that there was such a Holder Violation;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agreement contained in this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2.8(b) shall not apply to amounts paid in settlement of any such loss, claim, damage, liability or action if such settlement is effected without the consent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Holder, which consent shall not be unreasonably withheld; </w:t>
      </w:r>
      <w:r>
        <w:rPr>
          <w:rFonts w:ascii="Arial" w:cs="Arial" w:eastAsia="Arial" w:hAnsi="Arial"/>
          <w:sz w:val="15"/>
          <w:szCs w:val="15"/>
          <w:i w:val="1"/>
          <w:iCs w:val="1"/>
          <w:color w:val="auto"/>
        </w:rPr>
        <w:t>provided further</w:t>
      </w:r>
      <w:r>
        <w:rPr>
          <w:rFonts w:ascii="Arial" w:cs="Arial" w:eastAsia="Arial" w:hAnsi="Arial"/>
          <w:sz w:val="15"/>
          <w:szCs w:val="15"/>
          <w:color w:val="auto"/>
        </w:rPr>
        <w:t>, that in no event shall any indemnity under this Section 2.8 exceed the net proceeds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 the offering received by such Holder.</w:t>
      </w:r>
    </w:p>
    <w:p>
      <w:pPr>
        <w:spacing w:after="0" w:line="212" w:lineRule="exact"/>
        <w:rPr>
          <w:sz w:val="20"/>
          <w:szCs w:val="20"/>
          <w:color w:val="auto"/>
        </w:rPr>
      </w:pPr>
    </w:p>
    <w:p>
      <w:pPr>
        <w:ind w:right="40" w:firstLine="1893"/>
        <w:spacing w:after="0" w:line="279" w:lineRule="auto"/>
        <w:tabs>
          <w:tab w:leader="none" w:pos="25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68" w:lineRule="exact"/>
        <w:rPr>
          <w:rFonts w:ascii="Arial" w:cs="Arial" w:eastAsia="Arial" w:hAnsi="Arial"/>
          <w:sz w:val="16"/>
          <w:szCs w:val="16"/>
          <w:color w:val="auto"/>
        </w:rPr>
      </w:pPr>
    </w:p>
    <w:p>
      <w:pPr>
        <w:ind w:right="80" w:firstLine="1893"/>
        <w:spacing w:after="0" w:line="265" w:lineRule="auto"/>
        <w:tabs>
          <w:tab w:leader="none" w:pos="257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any contribution by a Holder hereunder exceed the net proceeds from the offering received by such Holder.</w:t>
      </w:r>
    </w:p>
    <w:p>
      <w:pPr>
        <w:spacing w:after="0" w:line="166" w:lineRule="exact"/>
        <w:rPr>
          <w:sz w:val="20"/>
          <w:szCs w:val="20"/>
          <w:color w:val="auto"/>
        </w:rPr>
      </w:pPr>
    </w:p>
    <w:p>
      <w:pPr>
        <w:jc w:val="both"/>
        <w:ind w:right="100" w:firstLine="1893"/>
        <w:spacing w:after="0" w:line="285" w:lineRule="auto"/>
        <w:tabs>
          <w:tab w:leader="none" w:pos="25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0" w:lineRule="exact"/>
        <w:rPr>
          <w:sz w:val="20"/>
          <w:szCs w:val="20"/>
          <w:color w:val="auto"/>
        </w:rPr>
      </w:pPr>
    </w:p>
    <w:p>
      <w:pPr>
        <w:ind w:right="60" w:firstLine="1259"/>
        <w:spacing w:after="0" w:line="264"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Assignment of Registration Rights.</w:t>
      </w:r>
      <w:r>
        <w:rPr>
          <w:rFonts w:ascii="Arial" w:cs="Arial" w:eastAsia="Arial" w:hAnsi="Arial"/>
          <w:sz w:val="17"/>
          <w:szCs w:val="17"/>
          <w:color w:val="auto"/>
        </w:rPr>
        <w:t xml:space="preserve"> The rights to cause the Company to register Registrable Securities pursuant to this Section 2 may be assigned by a Holder to a transferee or assignee of Registrable Securities (for so long as such shares remain Registrable Securities) that (a) is a subsidiary, parent, general partner, limited partner, retired partner, member or retired member of a Holder that is a corporation, partnership or limited liability company, (b) is a Holder’s family member or trust for the benefit of an individual Holder, or (c) acquires at least one hundred thousand (100,000) shares of Registrable Securities (as adjusted for stock splits and combinations);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the transferor shall, within ten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73"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Limitation on Subsequent Registration Rights.</w:t>
      </w:r>
      <w:r>
        <w:rPr>
          <w:rFonts w:ascii="Arial" w:cs="Arial" w:eastAsia="Arial" w:hAnsi="Arial"/>
          <w:sz w:val="17"/>
          <w:szCs w:val="17"/>
          <w:color w:val="auto"/>
        </w:rPr>
        <w:t xml:space="preserve"> Other than as provided in Section 5.12, after the date of this Agreement, the Company shall not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69"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color w:val="auto"/>
        </w:rPr>
        <w:t>“Market Stand-Off” Agreement.</w:t>
      </w:r>
      <w:r>
        <w:rPr>
          <w:rFonts w:ascii="Arial" w:cs="Arial" w:eastAsia="Arial" w:hAnsi="Arial"/>
          <w:sz w:val="16"/>
          <w:szCs w:val="16"/>
          <w:color w:val="auto"/>
        </w:rPr>
        <w:t xml:space="preserve"> Each Holder hereby agrees that such Holder shall not sell, transfer, make any short sale of, grant any option for the purchase of, or enter into any hedging or similar transaction with the same economic effect as a sale, any Common Stock (or other securities) of the Company held by such Holder (other than those included in the registration) the 180-day period following the effective date of the Initial Offering (or such longer period, not to exceed eighteen (18) days after the expiration of the 180-day period, as the underwriters or the Company shall request in order to facilitate compliance with FINRA Rule 2711);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officers and directors of the Company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59" w:lineRule="exact"/>
        <w:rPr>
          <w:sz w:val="20"/>
          <w:szCs w:val="20"/>
          <w:color w:val="auto"/>
        </w:rPr>
      </w:pPr>
    </w:p>
    <w:p>
      <w:pPr>
        <w:ind w:firstLine="1259"/>
        <w:spacing w:after="0" w:line="29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Agreement to Furnish Information.</w:t>
      </w:r>
      <w:r>
        <w:rPr>
          <w:rFonts w:ascii="Arial" w:cs="Arial" w:eastAsia="Arial" w:hAnsi="Arial"/>
          <w:sz w:val="17"/>
          <w:szCs w:val="17"/>
          <w:color w:val="auto"/>
        </w:rPr>
        <w:t xml:space="preserve"> Each Holder agrees to execute and deliver such other agreements as may be reasonably requested by the Company or the underwriter that are consistent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73" w:gutter="0" w:footer="0" w:header="0"/>
        </w:sectPr>
      </w:pPr>
    </w:p>
    <w:bookmarkStart w:id="211" w:name="page212"/>
    <w:bookmarkEnd w:id="211"/>
    <w:p>
      <w:pPr>
        <w:ind w:right="60"/>
        <w:spacing w:after="0" w:line="294" w:lineRule="auto"/>
        <w:rPr>
          <w:sz w:val="20"/>
          <w:szCs w:val="20"/>
          <w:color w:val="auto"/>
        </w:rPr>
      </w:pPr>
      <w:r>
        <w:rPr>
          <w:rFonts w:ascii="Arial" w:cs="Arial" w:eastAsia="Arial" w:hAnsi="Arial"/>
          <w:sz w:val="15"/>
          <w:szCs w:val="15"/>
          <w:color w:val="auto"/>
        </w:rPr>
        <w:t>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w:t>
      </w:r>
    </w:p>
    <w:p>
      <w:pPr>
        <w:spacing w:after="0" w:line="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2.12. The underwriters of the Company’s stock are intended third party beneficiaries of Sections 2.11 and 2.12 and shall have the right, power and authority to enforce the provisions hereof as though they were a party hereto.</w:t>
      </w:r>
    </w:p>
    <w:p>
      <w:pPr>
        <w:spacing w:after="0" w:line="163" w:lineRule="exact"/>
        <w:rPr>
          <w:sz w:val="20"/>
          <w:szCs w:val="20"/>
          <w:color w:val="auto"/>
        </w:rPr>
      </w:pPr>
    </w:p>
    <w:p>
      <w:pPr>
        <w:ind w:right="320" w:firstLine="1259"/>
        <w:spacing w:after="0" w:line="297"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Rule 144 Reporting.</w:t>
      </w:r>
      <w:r>
        <w:rPr>
          <w:rFonts w:ascii="Arial" w:cs="Arial" w:eastAsia="Arial" w:hAnsi="Arial"/>
          <w:sz w:val="17"/>
          <w:szCs w:val="17"/>
          <w:color w:val="auto"/>
        </w:rPr>
        <w:t xml:space="preserve">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51" w:lineRule="exact"/>
        <w:rPr>
          <w:sz w:val="20"/>
          <w:szCs w:val="20"/>
          <w:color w:val="auto"/>
        </w:rPr>
      </w:pPr>
    </w:p>
    <w:p>
      <w:pPr>
        <w:ind w:right="320" w:firstLine="1893"/>
        <w:spacing w:after="0" w:line="273" w:lineRule="auto"/>
        <w:tabs>
          <w:tab w:leader="none" w:pos="256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71" w:lineRule="exact"/>
        <w:rPr>
          <w:rFonts w:ascii="Arial" w:cs="Arial" w:eastAsia="Arial" w:hAnsi="Arial"/>
          <w:sz w:val="17"/>
          <w:szCs w:val="17"/>
          <w:color w:val="auto"/>
        </w:rPr>
      </w:pPr>
    </w:p>
    <w:p>
      <w:pPr>
        <w:ind w:left="2580" w:hanging="687"/>
        <w:spacing w:after="0"/>
        <w:tabs>
          <w:tab w:leader="none" w:pos="258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File with the SEC, in a timely manner, all reports and other documents required of the Company under the Exchange Act; and</w:t>
      </w:r>
    </w:p>
    <w:p>
      <w:pPr>
        <w:spacing w:after="0" w:line="247" w:lineRule="exact"/>
        <w:rPr>
          <w:rFonts w:ascii="Arial" w:cs="Arial" w:eastAsia="Arial" w:hAnsi="Arial"/>
          <w:sz w:val="15"/>
          <w:szCs w:val="15"/>
          <w:color w:val="auto"/>
        </w:rPr>
      </w:pPr>
    </w:p>
    <w:p>
      <w:pPr>
        <w:ind w:firstLine="1893"/>
        <w:spacing w:after="0" w:line="265" w:lineRule="auto"/>
        <w:tabs>
          <w:tab w:leader="none" w:pos="256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7"/>
          <w:szCs w:val="17"/>
          <w:b w:val="1"/>
          <w:bCs w:val="1"/>
          <w:color w:val="auto"/>
        </w:rPr>
        <w:t>COVENANTS OF THE COMPANY</w:t>
      </w:r>
    </w:p>
    <w:p>
      <w:pPr>
        <w:spacing w:after="0" w:line="224"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Basic Financial Information and Reporting.</w:t>
      </w:r>
      <w:r>
        <w:rPr>
          <w:rFonts w:ascii="Arial" w:cs="Arial" w:eastAsia="Arial" w:hAnsi="Arial"/>
          <w:sz w:val="17"/>
          <w:szCs w:val="17"/>
          <w:color w:val="auto"/>
        </w:rPr>
        <w:t xml:space="preserve"> 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or as disclosed to the recipients thereof), and will set aside on its books all such proper accruals and reserves as shall be required under generally accepted accounting principles consistently applied.</w:t>
      </w:r>
    </w:p>
    <w:p>
      <w:pPr>
        <w:spacing w:after="0" w:line="175" w:lineRule="exact"/>
        <w:rPr>
          <w:sz w:val="20"/>
          <w:szCs w:val="20"/>
          <w:color w:val="auto"/>
        </w:rPr>
      </w:pPr>
    </w:p>
    <w:p>
      <w:pPr>
        <w:ind w:right="20" w:firstLine="1893"/>
        <w:spacing w:after="0" w:line="263" w:lineRule="auto"/>
        <w:tabs>
          <w:tab w:leader="none" w:pos="257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twenty (120) days thereafter, the Company will furnish such Investor an audited balance sheet of the Company, as at the end of such fiscal year, and an audited statement of income and a statement of cash flows of the Company, for such year, all prepared in accordance with generally accepted accounting principles consistently applied (except as noted therein or as disclosed to the recipients thereof) and setting forth in each case in comparative form the figures for the previous fiscal year, all in reasonable detail. Such financial statements shall be accompanied by a report and opinion thereon by independent public accountants of national standing selected by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80" w:firstLine="1945"/>
        <w:spacing w:after="0" w:line="285" w:lineRule="auto"/>
        <w:tabs>
          <w:tab w:leader="none" w:pos="257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will furnish such Major Investor,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or as disclosed to the recipients thereof), with the exception that no notes need be attached to such statements and year-end audit adjustments may not have been made.</w:t>
      </w:r>
    </w:p>
    <w:p>
      <w:pPr>
        <w:spacing w:after="0" w:line="166" w:lineRule="exact"/>
        <w:rPr>
          <w:rFonts w:ascii="Arial" w:cs="Arial" w:eastAsia="Arial" w:hAnsi="Arial"/>
          <w:sz w:val="16"/>
          <w:szCs w:val="16"/>
          <w:color w:val="auto"/>
        </w:rPr>
      </w:pPr>
    </w:p>
    <w:p>
      <w:pPr>
        <w:ind w:right="140" w:firstLine="1893"/>
        <w:spacing w:after="0" w:line="285" w:lineRule="auto"/>
        <w:tabs>
          <w:tab w:leader="none" w:pos="257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So long as an Investor (with its affiliates) shall own not less than one million (1,000,000) shares of Registrable Securities (as adjusted for stock splits and combinations) (a “</w:t>
      </w:r>
      <w:r>
        <w:rPr>
          <w:rFonts w:ascii="Arial" w:cs="Arial" w:eastAsia="Arial" w:hAnsi="Arial"/>
          <w:sz w:val="16"/>
          <w:szCs w:val="16"/>
          <w:b w:val="1"/>
          <w:bCs w:val="1"/>
          <w:i w:val="1"/>
          <w:iCs w:val="1"/>
          <w:color w:val="auto"/>
        </w:rPr>
        <w:t>Major Investor</w:t>
      </w:r>
      <w:r>
        <w:rPr>
          <w:rFonts w:ascii="Arial" w:cs="Arial" w:eastAsia="Arial" w:hAnsi="Arial"/>
          <w:sz w:val="16"/>
          <w:szCs w:val="16"/>
          <w:color w:val="auto"/>
        </w:rPr>
        <w:t>”), the Company will furnish each such Major Investor as soon as practicable after the end of each month, and in any event within thirty (30) days after the end of each month, an unaudited consolidated balance sheet of the Company as of the end of such monthly period, and unaudited consolidated statements of income and cash flows of the Company for such period, prepared in accordance with U.S. generally accepted accounting principles consistently applied, subject to changes resulting from normal year-end audit adjustments.</w:t>
      </w:r>
    </w:p>
    <w:p>
      <w:pPr>
        <w:spacing w:after="0" w:line="166" w:lineRule="exact"/>
        <w:rPr>
          <w:rFonts w:ascii="Arial" w:cs="Arial" w:eastAsia="Arial" w:hAnsi="Arial"/>
          <w:sz w:val="16"/>
          <w:szCs w:val="16"/>
          <w:color w:val="auto"/>
        </w:rPr>
      </w:pPr>
    </w:p>
    <w:p>
      <w:pPr>
        <w:ind w:left="2560" w:hanging="667"/>
        <w:spacing w:after="0"/>
        <w:tabs>
          <w:tab w:leader="none" w:pos="2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will furnish such Major Investor, at least thirty (30) days prior to the beginning of each fiscal year a budget for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such fiscal year.</w:t>
      </w:r>
    </w:p>
    <w:p>
      <w:pPr>
        <w:spacing w:after="0" w:line="206"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Inspection Rights.</w:t>
      </w:r>
      <w:r>
        <w:rPr>
          <w:rFonts w:ascii="Arial" w:cs="Arial" w:eastAsia="Arial" w:hAnsi="Arial"/>
          <w:sz w:val="17"/>
          <w:szCs w:val="17"/>
          <w:color w:val="auto"/>
        </w:rPr>
        <w:t xml:space="preserve"> Each Major Investor shall have the right to visit and inspect any of the properties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under this Section 3.2 with respect to a competitor of the Company or with respect to information which the Board determines in good faith is confidential or attorney-client privileged and should not, therefore, be disclosed.</w:t>
      </w:r>
    </w:p>
    <w:p>
      <w:pPr>
        <w:spacing w:after="0" w:line="171" w:lineRule="exact"/>
        <w:rPr>
          <w:sz w:val="20"/>
          <w:szCs w:val="20"/>
          <w:color w:val="auto"/>
        </w:rPr>
      </w:pPr>
    </w:p>
    <w:p>
      <w:pPr>
        <w:ind w:right="80" w:firstLine="1259"/>
        <w:spacing w:after="0" w:line="26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Confidentiality of Records.</w:t>
      </w:r>
      <w:r>
        <w:rPr>
          <w:rFonts w:ascii="Arial" w:cs="Arial" w:eastAsia="Arial" w:hAnsi="Arial"/>
          <w:sz w:val="17"/>
          <w:szCs w:val="17"/>
          <w:color w:val="auto"/>
        </w:rPr>
        <w:t xml:space="preserve"> Each Investor agrees to use the same degree of care as such Investor uses to protect its own confidential information to keep confidential any information furnished to such Investor hereof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73"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Reservation of Common Stock.</w:t>
      </w:r>
      <w:r>
        <w:rPr>
          <w:rFonts w:ascii="Arial" w:cs="Arial" w:eastAsia="Arial" w:hAnsi="Arial"/>
          <w:sz w:val="17"/>
          <w:szCs w:val="17"/>
          <w:color w:val="auto"/>
        </w:rPr>
        <w:t xml:space="preserve"> The Company will at all times reserve and keep available, solely for issuance and delivery upon the conversion of the Preferred Stock, all Common Stock issuable from time to time upon such conversion.</w:t>
      </w:r>
    </w:p>
    <w:p>
      <w:pPr>
        <w:spacing w:after="0" w:line="145" w:lineRule="exact"/>
        <w:rPr>
          <w:sz w:val="20"/>
          <w:szCs w:val="20"/>
          <w:color w:val="auto"/>
        </w:rPr>
      </w:pPr>
    </w:p>
    <w:p>
      <w:pPr>
        <w:ind w:right="380" w:firstLine="1259"/>
        <w:spacing w:after="0" w:line="29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Proprietary Information and Inventions Agreement.</w:t>
      </w:r>
      <w:r>
        <w:rPr>
          <w:rFonts w:ascii="Arial" w:cs="Arial" w:eastAsia="Arial" w:hAnsi="Arial"/>
          <w:sz w:val="17"/>
          <w:szCs w:val="17"/>
          <w:color w:val="auto"/>
        </w:rPr>
        <w:t xml:space="preserve"> The Company shall require all employees and consultants to execute and deliver a Proprietary Information and Inventions Agreement substantially in a form approved by the Company’s counsel or the Board.</w:t>
      </w:r>
    </w:p>
    <w:p>
      <w:pPr>
        <w:spacing w:after="0" w:line="145" w:lineRule="exact"/>
        <w:rPr>
          <w:sz w:val="20"/>
          <w:szCs w:val="20"/>
          <w:color w:val="auto"/>
        </w:rPr>
      </w:pPr>
    </w:p>
    <w:p>
      <w:pPr>
        <w:ind w:right="120" w:firstLine="1259"/>
        <w:spacing w:after="0" w:line="29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Directors’ Liability and Indemnification.</w:t>
      </w:r>
      <w:r>
        <w:rPr>
          <w:rFonts w:ascii="Arial" w:cs="Arial" w:eastAsia="Arial" w:hAnsi="Arial"/>
          <w:sz w:val="17"/>
          <w:szCs w:val="17"/>
          <w:color w:val="auto"/>
        </w:rPr>
        <w:t xml:space="preserve"> The Company’s Certificate of Incorporation and Bylaws shall provide (a) for elimination of the liability of director to the maximum extent</w:t>
      </w:r>
    </w:p>
    <w:p>
      <w:pPr>
        <w:sectPr>
          <w:pgSz w:w="11900" w:h="16838" w:orient="portrait"/>
          <w:cols w:equalWidth="0" w:num="1">
            <w:col w:w="11420"/>
          </w:cols>
          <w:pgMar w:left="240" w:top="127" w:right="239" w:bottom="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permitted by law and (b) for indemnification of directors for acts on behalf of the Company to the maximum extent permitted by law.</w:t>
      </w:r>
    </w:p>
    <w:p>
      <w:pPr>
        <w:spacing w:after="0" w:line="218"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Director and Officer Insurance.</w:t>
      </w:r>
      <w:r>
        <w:rPr>
          <w:rFonts w:ascii="Arial" w:cs="Arial" w:eastAsia="Arial" w:hAnsi="Arial"/>
          <w:sz w:val="17"/>
          <w:szCs w:val="17"/>
          <w:color w:val="auto"/>
        </w:rPr>
        <w:t xml:space="preserve"> The Company will use its best efforts to obtain and maintain in full force and effect director and officer liability insurance in an amount reasonably satisfactory to the Board.</w:t>
      </w:r>
    </w:p>
    <w:p>
      <w:pPr>
        <w:spacing w:after="0" w:line="145"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Qualified Small Business.</w:t>
      </w:r>
      <w:r>
        <w:rPr>
          <w:rFonts w:ascii="Arial" w:cs="Arial" w:eastAsia="Arial" w:hAnsi="Arial"/>
          <w:sz w:val="17"/>
          <w:szCs w:val="17"/>
          <w:color w:val="auto"/>
        </w:rPr>
        <w:t xml:space="preserve"> The Company shall use best efforts to cause its capital stock to constitute Qualified Small Business Stock as defined in the Internal Revenue Code Section 1202.</w:t>
      </w:r>
    </w:p>
    <w:p>
      <w:pPr>
        <w:spacing w:after="0" w:line="145" w:lineRule="exact"/>
        <w:rPr>
          <w:sz w:val="20"/>
          <w:szCs w:val="20"/>
          <w:color w:val="auto"/>
        </w:rPr>
      </w:pPr>
    </w:p>
    <w:p>
      <w:pPr>
        <w:ind w:right="300" w:firstLine="1259"/>
        <w:spacing w:after="0" w:line="270"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Termination of Covenants.</w:t>
      </w:r>
      <w:r>
        <w:rPr>
          <w:rFonts w:ascii="Arial" w:cs="Arial" w:eastAsia="Arial" w:hAnsi="Arial"/>
          <w:sz w:val="17"/>
          <w:szCs w:val="17"/>
          <w:color w:val="auto"/>
        </w:rPr>
        <w:t xml:space="preserve"> All covenants of the Company contained in Section 3 of this Agreement (other than the provisions of Section 3.3 and 3.6) shall expire and terminate as to each Investor upon the earlier of (i) the effective date of the registration statement pertaining to an Initial Offering that results in the Preferred Stock being converted into Common Stock, or (ii) upon an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as defined in the Company’s Certificate of Incorporation as in effect as of the date hereof.</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7"/>
          <w:szCs w:val="17"/>
          <w:b w:val="1"/>
          <w:bCs w:val="1"/>
          <w:color w:val="auto"/>
        </w:rPr>
        <w:t>RIGHTS OF FIRST REFUSAL</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Subsequent Offerings.</w:t>
      </w:r>
      <w:r>
        <w:rPr>
          <w:rFonts w:ascii="Arial" w:cs="Arial" w:eastAsia="Arial" w:hAnsi="Arial"/>
          <w:sz w:val="16"/>
          <w:szCs w:val="16"/>
          <w:color w:val="auto"/>
        </w:rPr>
        <w:t xml:space="preserve"> Subject to applicable securities laws, each Major Investor shall have a right of first refusal to purchase 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share of all Equity Securities, as defined below, that the Company may, from time to time, propose to sell and issue after the date of this Agreement,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the Equity Securities excluded by Section 4.7 hereof. Each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then outstanding Shares (including all shares of Common Stock issuable or issued upon conversion of the Shares) of which such Major Investor is deemed to be a holder immediately prior to the issuance of such Equity Securities to (b) the total number of then outstanding Shares (including all shares of Common Stock issuable or issued upon conversion of the Shares)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6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Exercise of Rights.</w:t>
      </w:r>
      <w:r>
        <w:rPr>
          <w:rFonts w:ascii="Arial" w:cs="Arial" w:eastAsia="Arial" w:hAnsi="Arial"/>
          <w:sz w:val="17"/>
          <w:szCs w:val="17"/>
          <w:color w:val="auto"/>
        </w:rPr>
        <w:t xml:space="preserve"> If the Company proposes to issue any Equity Securities, it shall give each Major Investor written notice of its intention, describing the Equity Securities, the price and the terms and conditions upon which the Company proposes to issue the same. Each Major Investor shall have fifteen (15) days from the giving of such notice to agree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73" w:lineRule="exact"/>
        <w:rPr>
          <w:sz w:val="20"/>
          <w:szCs w:val="20"/>
          <w:color w:val="auto"/>
        </w:rPr>
      </w:pPr>
    </w:p>
    <w:p>
      <w:pPr>
        <w:ind w:right="40" w:firstLine="1259"/>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Issuance of Equity Securities to Other Persons.</w:t>
      </w:r>
      <w:r>
        <w:rPr>
          <w:rFonts w:ascii="Arial" w:cs="Arial" w:eastAsia="Arial" w:hAnsi="Arial"/>
          <w:sz w:val="17"/>
          <w:szCs w:val="17"/>
          <w:color w:val="auto"/>
        </w:rPr>
        <w:t xml:space="preserve"> If not all of the Major Investors elect to purchase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then the Company shall promptly notify in writing the Major Investors who do so elect and shall offer such Major Investors the right to acquire such unsubscribed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Each Major Investor shall have five (5)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and upon general terms and conditions not materially more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66" w:lineRule="exact"/>
        <w:rPr>
          <w:sz w:val="20"/>
          <w:szCs w:val="20"/>
          <w:color w:val="auto"/>
        </w:rPr>
      </w:pPr>
    </w:p>
    <w:p>
      <w:pPr>
        <w:ind w:right="180" w:firstLine="1259"/>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Termination and Waiver of Rights of First Refusal.</w:t>
      </w:r>
      <w:r>
        <w:rPr>
          <w:rFonts w:ascii="Arial" w:cs="Arial" w:eastAsia="Arial" w:hAnsi="Arial"/>
          <w:sz w:val="17"/>
          <w:szCs w:val="17"/>
          <w:color w:val="auto"/>
        </w:rPr>
        <w:t xml:space="preserve"> The rights of first refusal established by this Section 4 shall not apply to, and shall terminate upon the earlier of (i) the effective date of the registration statement pertaining to the Company’s Initial Offering or (ii) an Acquisition.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w:t>
      </w:r>
    </w:p>
    <w:p>
      <w:pPr>
        <w:spacing w:after="0" w:line="171" w:lineRule="exact"/>
        <w:rPr>
          <w:sz w:val="20"/>
          <w:szCs w:val="20"/>
          <w:color w:val="auto"/>
        </w:rPr>
      </w:pPr>
    </w:p>
    <w:p>
      <w:pPr>
        <w:ind w:right="60" w:firstLine="1259"/>
        <w:spacing w:after="0" w:line="29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Assignment of Rights of First Refusal.</w:t>
      </w:r>
      <w:r>
        <w:rPr>
          <w:rFonts w:ascii="Arial" w:cs="Arial" w:eastAsia="Arial" w:hAnsi="Arial"/>
          <w:sz w:val="17"/>
          <w:szCs w:val="17"/>
          <w:color w:val="auto"/>
        </w:rPr>
        <w:t xml:space="preserve"> The rights of first refusal of each Major Investor under this Section 4 may be assigned to the same parties, subject to the same restrictions as any transfer of registration rights pursuant to Section 2.9.</w:t>
      </w:r>
    </w:p>
    <w:p>
      <w:pPr>
        <w:spacing w:after="0" w:line="145"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The rights of first refusal established by this Section 4 shall have no application to any of the following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w:t>
      </w:r>
    </w:p>
    <w:p>
      <w:pPr>
        <w:spacing w:after="0" w:line="212" w:lineRule="exact"/>
        <w:rPr>
          <w:sz w:val="20"/>
          <w:szCs w:val="20"/>
          <w:color w:val="auto"/>
        </w:rPr>
      </w:pPr>
    </w:p>
    <w:p>
      <w:pPr>
        <w:ind w:right="40" w:firstLine="1893"/>
        <w:spacing w:after="0" w:line="298" w:lineRule="auto"/>
        <w:tabs>
          <w:tab w:leader="none" w:pos="256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stock purchase or stock option plans or other arrangements that are approved by the Board;</w:t>
      </w:r>
    </w:p>
    <w:p>
      <w:pPr>
        <w:spacing w:after="0" w:line="153" w:lineRule="exact"/>
        <w:rPr>
          <w:rFonts w:ascii="Arial" w:cs="Arial" w:eastAsia="Arial" w:hAnsi="Arial"/>
          <w:sz w:val="16"/>
          <w:szCs w:val="16"/>
          <w:color w:val="auto"/>
        </w:rPr>
      </w:pPr>
    </w:p>
    <w:p>
      <w:pPr>
        <w:ind w:right="40" w:firstLine="1893"/>
        <w:spacing w:after="0" w:line="268" w:lineRule="auto"/>
        <w:tabs>
          <w:tab w:leader="none" w:pos="257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4.7 with respect to the initial sale or grant by the Company of such rights or agreements;</w:t>
      </w:r>
    </w:p>
    <w:p>
      <w:pPr>
        <w:spacing w:after="0" w:line="175" w:lineRule="exact"/>
        <w:rPr>
          <w:rFonts w:ascii="Arial" w:cs="Arial" w:eastAsia="Arial" w:hAnsi="Arial"/>
          <w:sz w:val="17"/>
          <w:szCs w:val="17"/>
          <w:color w:val="auto"/>
        </w:rPr>
      </w:pPr>
    </w:p>
    <w:p>
      <w:pPr>
        <w:ind w:right="480" w:firstLine="1893"/>
        <w:spacing w:after="0" w:line="289" w:lineRule="auto"/>
        <w:tabs>
          <w:tab w:leader="none" w:pos="256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any Equity Securities issued for consideration other than cash pursuant to a merger, consolidation, acquisition, strategic alliance or similar business combination approved by the Board;</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Equity Securities issued in connection with any stock split, stock dividend or recapitalization by the Company that 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approved by the Board;</w:t>
      </w:r>
    </w:p>
    <w:p>
      <w:pPr>
        <w:sectPr>
          <w:pgSz w:w="11900" w:h="16838" w:orient="portrait"/>
          <w:cols w:equalWidth="0" w:num="1">
            <w:col w:w="11400"/>
          </w:cols>
          <w:pgMar w:left="240" w:top="337" w:right="259" w:bottom="0" w:gutter="0" w:footer="0" w:header="0"/>
        </w:sectPr>
      </w:pPr>
    </w:p>
    <w:bookmarkStart w:id="213" w:name="page214"/>
    <w:bookmarkEnd w:id="213"/>
    <w:p>
      <w:pPr>
        <w:ind w:right="280" w:firstLine="1893"/>
        <w:spacing w:after="0" w:line="289" w:lineRule="auto"/>
        <w:tabs>
          <w:tab w:leader="none" w:pos="25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Equity Securities issued pursuant to any equipment loan or leasing arrangement, real property leasing arrangement, or debt financing from a bank or similar financial or lending institution approved by the Board;</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Equity Securities that are issued by the Company pursuant to a registration statement filed under the Securities Act;</w:t>
      </w:r>
    </w:p>
    <w:p>
      <w:pPr>
        <w:spacing w:after="0" w:line="235" w:lineRule="exact"/>
        <w:rPr>
          <w:rFonts w:ascii="Arial" w:cs="Arial" w:eastAsia="Arial" w:hAnsi="Arial"/>
          <w:sz w:val="16"/>
          <w:szCs w:val="16"/>
          <w:color w:val="auto"/>
        </w:rPr>
      </w:pPr>
    </w:p>
    <w:p>
      <w:pPr>
        <w:ind w:firstLine="1893"/>
        <w:spacing w:after="0" w:line="298" w:lineRule="auto"/>
        <w:tabs>
          <w:tab w:leader="none" w:pos="257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any Equity Securities issued in connection with strategic transactions involving the Company and other entities, including, without limitation (i) joint ventures, manufacturing, marketing or distribution arrangements or (ii) technology transfer or development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issuance of shares therein has been approved by the Board and that such transaction is not substantially for equity financing purposes; 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80" w:hanging="687"/>
        <w:spacing w:after="0"/>
        <w:tabs>
          <w:tab w:leader="none" w:pos="25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Equity Securities issued by the Company pursuant to the terms of Section 2.3, Section 2.4 and/or Section 2.5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Purchase Agreement.</w:t>
      </w:r>
    </w:p>
    <w:p>
      <w:pPr>
        <w:spacing w:after="0" w:line="20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Governing Law.</w:t>
      </w:r>
      <w:r>
        <w:rPr>
          <w:rFonts w:ascii="Arial" w:cs="Arial" w:eastAsia="Arial" w:hAnsi="Arial"/>
          <w:sz w:val="17"/>
          <w:szCs w:val="17"/>
          <w:color w:val="auto"/>
        </w:rPr>
        <w:t xml:space="preserve"> This Agreement shall be governed by and construed under the laws of the State of Delaware in all respects as such laws are applied to agreements among Delaware residents entered into and to be performed entirely within Delaware, without reference to conflicts of laws or principles thereof.</w:t>
      </w:r>
    </w:p>
    <w:p>
      <w:pPr>
        <w:spacing w:after="0" w:line="162" w:lineRule="exact"/>
        <w:rPr>
          <w:sz w:val="20"/>
          <w:szCs w:val="20"/>
          <w:color w:val="auto"/>
        </w:rPr>
      </w:pPr>
    </w:p>
    <w:p>
      <w:pPr>
        <w:ind w:firstLine="1259"/>
        <w:spacing w:after="0" w:line="311"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Successors and Assigns.</w:t>
      </w:r>
      <w:r>
        <w:rPr>
          <w:rFonts w:ascii="Arial" w:cs="Arial" w:eastAsia="Arial" w:hAnsi="Arial"/>
          <w:sz w:val="15"/>
          <w:szCs w:val="15"/>
          <w:color w:val="auto"/>
        </w:rPr>
        <w:t xml:space="preserve"> Except as otherwise expressly provided herein, the provisions hereof shall inure to the benefit of, and be binding upon, 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41" w:lineRule="exact"/>
        <w:rPr>
          <w:sz w:val="20"/>
          <w:szCs w:val="20"/>
          <w:color w:val="auto"/>
        </w:rPr>
      </w:pPr>
    </w:p>
    <w:p>
      <w:pPr>
        <w:ind w:right="120" w:firstLine="1259"/>
        <w:spacing w:after="0" w:line="26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Entire Agreement.</w:t>
      </w:r>
      <w:r>
        <w:rPr>
          <w:rFonts w:ascii="Arial" w:cs="Arial" w:eastAsia="Arial" w:hAnsi="Arial"/>
          <w:sz w:val="17"/>
          <w:szCs w:val="17"/>
          <w:color w:val="auto"/>
        </w:rPr>
        <w:t xml:space="preserve"> This Agreement, the Exhibits and Schedules hereto, the Purchase Agreement and the other documents delivered pursuant 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71" w:lineRule="exact"/>
        <w:rPr>
          <w:sz w:val="20"/>
          <w:szCs w:val="20"/>
          <w:color w:val="auto"/>
        </w:rPr>
      </w:pPr>
    </w:p>
    <w:p>
      <w:pPr>
        <w:ind w:right="260" w:firstLine="1259"/>
        <w:spacing w:after="0" w:line="27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Severability.</w:t>
      </w:r>
      <w:r>
        <w:rPr>
          <w:rFonts w:ascii="Arial" w:cs="Arial" w:eastAsia="Arial" w:hAnsi="Arial"/>
          <w:sz w:val="17"/>
          <w:szCs w:val="17"/>
          <w:color w:val="auto"/>
        </w:rPr>
        <w:t xml:space="preserve"> In the event one or more of the provisions of this Agreement should, for any reason, be held to be invalid, illegal or 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62" w:lineRule="exact"/>
        <w:rPr>
          <w:sz w:val="20"/>
          <w:szCs w:val="20"/>
          <w:color w:val="auto"/>
        </w:rPr>
      </w:pPr>
    </w:p>
    <w:p>
      <w:pPr>
        <w:ind w:right="20" w:firstLine="1259"/>
        <w:spacing w:after="0" w:line="29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Amendment and Waiver</w:t>
      </w:r>
      <w:r>
        <w:rPr>
          <w:rFonts w:ascii="Arial" w:cs="Arial" w:eastAsia="Arial" w:hAnsi="Arial"/>
          <w:sz w:val="16"/>
          <w:szCs w:val="16"/>
          <w:color w:val="auto"/>
        </w:rPr>
        <w:t>. Except as otherwise expressly provided, this Agreement may be amended or modified, and the obligations of the Company and the rights of the Holders under this Agreement may be waived, only upon the written consent of the Company and the holders of at least a majority of the then-outstanding Registrable Securities. 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53"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b w:val="1"/>
          <w:bCs w:val="1"/>
          <w:color w:val="auto"/>
        </w:rPr>
        <w:t>5.6 Amendment of Prior Agreement</w:t>
      </w:r>
      <w:r>
        <w:rPr>
          <w:rFonts w:ascii="Arial" w:cs="Arial" w:eastAsia="Arial" w:hAnsi="Arial"/>
          <w:sz w:val="17"/>
          <w:szCs w:val="17"/>
          <w:color w:val="auto"/>
        </w:rPr>
        <w:t>. The Prior Agreement is hereby amended and superseded in its entirety and restated herein. Such</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and restatement is effective upon the execution of this Agreement by the Company and the parties required for an amendment pursuant to Section 5.5 of the Prior Agreement. Upon such execution, all provisions of, rights granted and covenants made in the Prior Agreement are hereby waived, released and superseded in their entirety by the provisions hereof and shall have no further force or effect.</w:t>
      </w:r>
    </w:p>
    <w:p>
      <w:pPr>
        <w:spacing w:after="0" w:line="169" w:lineRule="exact"/>
        <w:rPr>
          <w:sz w:val="20"/>
          <w:szCs w:val="20"/>
          <w:color w:val="auto"/>
        </w:rPr>
      </w:pPr>
    </w:p>
    <w:p>
      <w:pPr>
        <w:ind w:right="300" w:firstLine="1259"/>
        <w:spacing w:after="0" w:line="277" w:lineRule="auto"/>
        <w:rPr>
          <w:sz w:val="20"/>
          <w:szCs w:val="20"/>
          <w:color w:val="auto"/>
        </w:rPr>
      </w:pPr>
      <w:r>
        <w:rPr>
          <w:rFonts w:ascii="Arial" w:cs="Arial" w:eastAsia="Arial" w:hAnsi="Arial"/>
          <w:sz w:val="17"/>
          <w:szCs w:val="17"/>
          <w:b w:val="1"/>
          <w:bCs w:val="1"/>
          <w:color w:val="auto"/>
        </w:rPr>
        <w:t>5.7 Waiver of Preemptive Rights</w:t>
      </w:r>
      <w:r>
        <w:rPr>
          <w:rFonts w:ascii="Arial" w:cs="Arial" w:eastAsia="Arial" w:hAnsi="Arial"/>
          <w:sz w:val="17"/>
          <w:szCs w:val="17"/>
          <w:color w:val="auto"/>
        </w:rPr>
        <w:t>. Certain of the undersigned Investors who are Major Investors (as defined in the Prior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Prior Agreement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xml:space="preserve">”) understand and agree that while Section 4 of the Prior Agreement gives them the right to purchase their respective </w:t>
      </w:r>
      <w:r>
        <w:rPr>
          <w:rFonts w:ascii="Arial" w:cs="Arial" w:eastAsia="Arial" w:hAnsi="Arial"/>
          <w:sz w:val="17"/>
          <w:szCs w:val="17"/>
          <w:i w:val="1"/>
          <w:iCs w:val="1"/>
          <w:color w:val="auto"/>
        </w:rPr>
        <w:t>pro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3" w:lineRule="auto"/>
        <w:rPr>
          <w:sz w:val="20"/>
          <w:szCs w:val="20"/>
          <w:color w:val="auto"/>
        </w:rPr>
      </w:pPr>
      <w:r>
        <w:rPr>
          <w:rFonts w:ascii="Arial" w:cs="Arial" w:eastAsia="Arial" w:hAnsi="Arial"/>
          <w:sz w:val="15"/>
          <w:szCs w:val="15"/>
          <w:i w:val="1"/>
          <w:iCs w:val="1"/>
          <w:color w:val="auto"/>
        </w:rPr>
        <w:t xml:space="preserve">rata </w:t>
      </w:r>
      <w:r>
        <w:rPr>
          <w:rFonts w:ascii="Arial" w:cs="Arial" w:eastAsia="Arial" w:hAnsi="Arial"/>
          <w:sz w:val="15"/>
          <w:szCs w:val="15"/>
          <w:color w:val="auto"/>
        </w:rPr>
        <w:t>shares (as such term is used in the Prior Agreement) of securities to be sold and issued by the Company, such Investors are being asked to waive, and hereby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do waive, such rights to purchase their respective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shares. To the extent that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of any Prior Investor exceeds the amount indicated in the Schedule of Investors attached as Exhibit A to the Purchase Agreement, or the Prior Investor is not listed as purchasing any shares of Series C Preferred Stock on Exhibit A thereto, the Prior Investors hereby waive all preemptive rights under Section 4 of the Prior Agreement with respect to sale and issuance by the Company of the Series C Preferred Stock (and any Common Stock issuable upon the conversion thereof) pursuant to the Purchase Agreement. The Prior Investors who are Major Investors (as defined in the Prior Agreement) also hereby waive any notice period required under Section 4 of the Prior Agreement with respect to sale and issuance by the Company of the Series C Preferred Stock (and any Common Stock issuable upon the conversion thereof) pursuant to the Purchase Agreement.</w:t>
      </w:r>
    </w:p>
    <w:p>
      <w:pPr>
        <w:spacing w:after="0" w:line="148" w:lineRule="exact"/>
        <w:rPr>
          <w:sz w:val="20"/>
          <w:szCs w:val="20"/>
          <w:color w:val="auto"/>
        </w:rPr>
      </w:pPr>
    </w:p>
    <w:p>
      <w:pPr>
        <w:ind w:right="80" w:firstLine="1259"/>
        <w:spacing w:after="0" w:line="28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Delays or Omissions.</w:t>
      </w:r>
      <w:r>
        <w:rPr>
          <w:rFonts w:ascii="Arial" w:cs="Arial" w:eastAsia="Arial" w:hAnsi="Arial"/>
          <w:sz w:val="16"/>
          <w:szCs w:val="16"/>
          <w:color w:val="auto"/>
        </w:rPr>
        <w:t xml:space="preserve">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57"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Notices.</w:t>
      </w:r>
      <w:r>
        <w:rPr>
          <w:rFonts w:ascii="Arial" w:cs="Arial" w:eastAsia="Arial" w:hAnsi="Arial"/>
          <w:sz w:val="17"/>
          <w:szCs w:val="17"/>
          <w:color w:val="auto"/>
        </w:rPr>
        <w:t xml:space="preserve"> All notices required or permitted hereunder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at such other address or electronic mail address as such party may designate by ten (10) days advance written notice to the other parties hereto.</w:t>
      </w:r>
    </w:p>
    <w:p>
      <w:pPr>
        <w:sectPr>
          <w:pgSz w:w="11900" w:h="16838" w:orient="portrait"/>
          <w:cols w:equalWidth="0" w:num="1">
            <w:col w:w="11380"/>
          </w:cols>
          <w:pgMar w:left="240" w:top="127" w:right="279" w:bottom="0" w:gutter="0" w:footer="0" w:header="0"/>
        </w:sectPr>
      </w:pPr>
    </w:p>
    <w:bookmarkStart w:id="214" w:name="page215"/>
    <w:bookmarkEnd w:id="214"/>
    <w:p>
      <w:pPr>
        <w:spacing w:after="0" w:line="32"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color w:val="auto"/>
        </w:rPr>
        <w:t>Attorneys’ Fees.</w:t>
      </w:r>
      <w:r>
        <w:rPr>
          <w:rFonts w:ascii="Arial" w:cs="Arial" w:eastAsia="Arial" w:hAnsi="Arial"/>
          <w:sz w:val="17"/>
          <w:szCs w:val="17"/>
          <w:color w:val="auto"/>
        </w:rPr>
        <w:t xml:space="preserve">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69"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color w:val="auto"/>
        </w:rPr>
        <w:t>Titles and Subtitles.</w:t>
      </w:r>
      <w:r>
        <w:rPr>
          <w:rFonts w:ascii="Arial" w:cs="Arial" w:eastAsia="Arial" w:hAnsi="Arial"/>
          <w:sz w:val="17"/>
          <w:szCs w:val="17"/>
          <w:color w:val="auto"/>
        </w:rPr>
        <w:t xml:space="preserve"> The titles of the sections and subsections of this Agreement are for convenience of reference only and are not to be considered in construing this Agreement.</w:t>
      </w:r>
    </w:p>
    <w:p>
      <w:pPr>
        <w:spacing w:after="0" w:line="145" w:lineRule="exact"/>
        <w:rPr>
          <w:sz w:val="20"/>
          <w:szCs w:val="20"/>
          <w:color w:val="auto"/>
        </w:rPr>
      </w:pPr>
    </w:p>
    <w:p>
      <w:pPr>
        <w:ind w:right="160" w:firstLine="1259"/>
        <w:spacing w:after="0" w:line="267"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color w:val="auto"/>
        </w:rPr>
        <w:t>Additional Investors.</w:t>
      </w:r>
      <w:r>
        <w:rPr>
          <w:rFonts w:ascii="Arial" w:cs="Arial" w:eastAsia="Arial" w:hAnsi="Arial"/>
          <w:sz w:val="17"/>
          <w:szCs w:val="17"/>
          <w:color w:val="auto"/>
        </w:rPr>
        <w:t xml:space="preserve"> Notwithstanding anything to the contrary contained herein, if the Company shall issue additional shares of its Preferred 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 Notwithstanding anything to the contrary contained herein, if the Company shall issue Equity Securities in accordance with Section 4.7 (c), (e) or (g) of this Agreement, any purchaser of such Equity Securities may become a party to this Agreement by executing and delivering an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w:t>
      </w:r>
    </w:p>
    <w:p>
      <w:pPr>
        <w:spacing w:after="0" w:line="218" w:lineRule="exact"/>
        <w:rPr>
          <w:sz w:val="20"/>
          <w:szCs w:val="20"/>
          <w:color w:val="auto"/>
        </w:rPr>
      </w:pPr>
    </w:p>
    <w:p>
      <w:pPr>
        <w:ind w:right="180" w:firstLine="1259"/>
        <w:spacing w:after="0" w:line="297"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color w:val="auto"/>
        </w:rPr>
        <w:t>Counterparts.</w:t>
      </w:r>
      <w:r>
        <w:rPr>
          <w:rFonts w:ascii="Arial" w:cs="Arial" w:eastAsia="Arial" w:hAnsi="Arial"/>
          <w:sz w:val="17"/>
          <w:szCs w:val="17"/>
          <w:color w:val="auto"/>
        </w:rPr>
        <w:t xml:space="preserve"> This Agreement may be executed in any number of counterparts, each of which shall be an original, but all of which together shall constitute one instrument.</w:t>
      </w:r>
    </w:p>
    <w:p>
      <w:pPr>
        <w:spacing w:after="0" w:line="145" w:lineRule="exact"/>
        <w:rPr>
          <w:sz w:val="20"/>
          <w:szCs w:val="20"/>
          <w:color w:val="auto"/>
        </w:rPr>
      </w:pPr>
    </w:p>
    <w:p>
      <w:pPr>
        <w:ind w:right="400" w:firstLine="1259"/>
        <w:spacing w:after="0" w:line="330"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color w:val="auto"/>
        </w:rPr>
        <w:t>Aggregation of Stock.</w:t>
      </w:r>
      <w:r>
        <w:rPr>
          <w:rFonts w:ascii="Arial" w:cs="Arial" w:eastAsia="Arial" w:hAnsi="Arial"/>
          <w:sz w:val="16"/>
          <w:szCs w:val="16"/>
          <w:color w:val="auto"/>
        </w:rPr>
        <w:t xml:space="preserve"> All shares of Registrable Securities held or acquired by affiliated entities or persons or persons or entities under common management or control shall be aggregated together for the purpose of determining the availability of any rights under this Agreement.</w:t>
      </w:r>
    </w:p>
    <w:p>
      <w:pPr>
        <w:spacing w:after="0" w:line="123"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color w:val="auto"/>
        </w:rPr>
        <w:t>Pronouns.</w:t>
      </w:r>
      <w:r>
        <w:rPr>
          <w:rFonts w:ascii="Arial" w:cs="Arial" w:eastAsia="Arial" w:hAnsi="Arial"/>
          <w:sz w:val="17"/>
          <w:szCs w:val="17"/>
          <w:color w:val="auto"/>
        </w:rPr>
        <w:t xml:space="preserve"> All pronouns contained herein, and any variations thereof, shall be deemed to refer to the masculine, feminine or neutral, singular or plural, as to the identity of the parties hereto may require.</w:t>
      </w:r>
    </w:p>
    <w:p>
      <w:pPr>
        <w:spacing w:after="0" w:line="145"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b w:val="1"/>
          <w:bCs w:val="1"/>
          <w:color w:val="auto"/>
        </w:rPr>
        <w:t>Termination.</w:t>
      </w:r>
      <w:r>
        <w:rPr>
          <w:rFonts w:ascii="Arial" w:cs="Arial" w:eastAsia="Arial" w:hAnsi="Arial"/>
          <w:sz w:val="17"/>
          <w:szCs w:val="17"/>
          <w:color w:val="auto"/>
        </w:rPr>
        <w:t xml:space="preserve"> Except for the earlier termination of certain provisions of this Agreement as provided herein, this Agreement shall terminate and be of no further force or effect upon the earlier of (i) an Acquisition; or (ii) the date three (3) years following the Closing of the Initial Offering that results in the conversion of all outstanding shares of Preferred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SPACE INTENTIONALLY LEFT BLANK]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191"/>
        </w:trPr>
        <w:tc>
          <w:tcPr>
            <w:tcW w:w="9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80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r>
      <w:tr>
        <w:trPr>
          <w:trHeight w:val="222"/>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08"/>
        </w:trPr>
        <w:tc>
          <w:tcPr>
            <w:tcW w:w="900" w:type="dxa"/>
            <w:vAlign w:val="bottom"/>
          </w:tcPr>
          <w:p>
            <w:pPr>
              <w:spacing w:after="0"/>
              <w:rPr>
                <w:sz w:val="20"/>
                <w:szCs w:val="20"/>
                <w:color w:val="auto"/>
              </w:rPr>
            </w:pPr>
            <w:r>
              <w:rPr>
                <w:rFonts w:ascii="Arial" w:cs="Arial" w:eastAsia="Arial" w:hAnsi="Arial"/>
                <w:sz w:val="17"/>
                <w:szCs w:val="17"/>
                <w:color w:val="auto"/>
              </w:rPr>
              <w:t>Address:</w:t>
            </w:r>
          </w:p>
        </w:tc>
        <w:tc>
          <w:tcPr>
            <w:tcW w:w="4800" w:type="dxa"/>
            <w:vAlign w:val="bottom"/>
          </w:tcPr>
          <w:p>
            <w:pPr>
              <w:spacing w:after="0"/>
              <w:rPr>
                <w:sz w:val="20"/>
                <w:szCs w:val="20"/>
                <w:color w:val="auto"/>
              </w:rPr>
            </w:pPr>
            <w:r>
              <w:rPr>
                <w:rFonts w:ascii="Arial" w:cs="Arial" w:eastAsia="Arial" w:hAnsi="Arial"/>
                <w:sz w:val="17"/>
                <w:szCs w:val="17"/>
                <w:color w:val="auto"/>
              </w:rPr>
              <w:t>7000 Shoreline Court</w:t>
            </w:r>
          </w:p>
        </w:tc>
      </w:tr>
      <w:tr>
        <w:trPr>
          <w:trHeight w:val="210"/>
        </w:trPr>
        <w:tc>
          <w:tcPr>
            <w:tcW w:w="9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Suite 250</w:t>
            </w:r>
          </w:p>
        </w:tc>
      </w:tr>
      <w:tr>
        <w:trPr>
          <w:trHeight w:val="222"/>
        </w:trPr>
        <w:tc>
          <w:tcPr>
            <w:tcW w:w="9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South San Francisco, CA 94080</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DOMAIN PARTNERS VIII,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A. Kraeutler</w:t>
            </w:r>
          </w:p>
        </w:tc>
      </w:tr>
      <w:tr>
        <w:trPr>
          <w:trHeight w:val="191"/>
        </w:trPr>
        <w:tc>
          <w:tcPr>
            <w:tcW w:w="6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Arial" w:cs="Arial" w:eastAsia="Arial" w:hAnsi="Arial"/>
                <w:sz w:val="17"/>
                <w:szCs w:val="17"/>
                <w:color w:val="auto"/>
              </w:rPr>
              <w:t>Lisa A. Kraeutler</w:t>
            </w:r>
          </w:p>
        </w:tc>
      </w:tr>
      <w:tr>
        <w:trPr>
          <w:trHeight w:val="222"/>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DP VIII ASSOCIATES,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One Palmer Square Associates VIII, L.L.C.</w:t>
      </w:r>
    </w:p>
    <w:p>
      <w:pPr>
        <w:sectPr>
          <w:pgSz w:w="11900" w:h="16871" w:orient="portrait"/>
          <w:cols w:equalWidth="0" w:num="1">
            <w:col w:w="11420"/>
          </w:cols>
          <w:pgMar w:left="240" w:top="121" w:right="239" w:bottom="0" w:gutter="0" w:footer="0" w:header="0"/>
        </w:sectPr>
      </w:pPr>
    </w:p>
    <w:bookmarkStart w:id="215" w:name="page216"/>
    <w:bookmarkEnd w:id="215"/>
    <w:p>
      <w:pPr>
        <w:ind w:left="572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A. Kraeutler</w:t>
            </w:r>
          </w:p>
        </w:tc>
      </w:tr>
      <w:tr>
        <w:trPr>
          <w:trHeight w:val="191"/>
        </w:trPr>
        <w:tc>
          <w:tcPr>
            <w:tcW w:w="6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Arial" w:cs="Arial" w:eastAsia="Arial" w:hAnsi="Arial"/>
                <w:sz w:val="17"/>
                <w:szCs w:val="17"/>
                <w:color w:val="auto"/>
              </w:rPr>
              <w:t>Lisa A. Kraeutler</w:t>
            </w:r>
          </w:p>
        </w:tc>
      </w:tr>
      <w:tr>
        <w:trPr>
          <w:trHeight w:val="222"/>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Attorney-in-fact</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VERSANT VENTURE CAPITAL III, L.P.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VERSANT SIDE FUND III, L.P.</w:t>
      </w:r>
    </w:p>
    <w:p>
      <w:pPr>
        <w:spacing w:after="0" w:line="200" w:lineRule="exact"/>
        <w:rPr>
          <w:sz w:val="20"/>
          <w:szCs w:val="20"/>
          <w:color w:val="auto"/>
        </w:rPr>
      </w:pP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Versant Ventures III, L.L.C.</w:t>
            </w:r>
          </w:p>
        </w:tc>
      </w:tr>
      <w:tr>
        <w:trPr>
          <w:trHeight w:val="222"/>
        </w:trPr>
        <w:tc>
          <w:tcPr>
            <w:tcW w:w="5700" w:type="dxa"/>
            <w:vAlign w:val="bottom"/>
            <w:gridSpan w:val="2"/>
          </w:tcPr>
          <w:p>
            <w:pPr>
              <w:spacing w:after="0"/>
              <w:rPr>
                <w:sz w:val="20"/>
                <w:szCs w:val="20"/>
                <w:color w:val="auto"/>
              </w:rPr>
            </w:pPr>
            <w:r>
              <w:rPr>
                <w:rFonts w:ascii="Arial" w:cs="Arial" w:eastAsia="Arial" w:hAnsi="Arial"/>
                <w:sz w:val="17"/>
                <w:szCs w:val="17"/>
                <w:color w:val="auto"/>
              </w:rPr>
              <w:t>Its: General Partner</w:t>
            </w:r>
          </w:p>
        </w:tc>
      </w:tr>
      <w:tr>
        <w:trPr>
          <w:trHeight w:val="62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Brian G. Atwood</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tbl>
      <w:tblPr>
        <w:tblLayout w:type="fixed"/>
        <w:tblInd w:w="5720" w:type="dxa"/>
        <w:tblCellMar>
          <w:top w:w="0" w:type="dxa"/>
          <w:left w:w="0" w:type="dxa"/>
          <w:bottom w:w="0" w:type="dxa"/>
          <w:right w:w="0" w:type="dxa"/>
        </w:tblCellMar>
      </w:tblPr>
      <w:tr>
        <w:trPr>
          <w:trHeight w:val="198"/>
        </w:trPr>
        <w:tc>
          <w:tcPr>
            <w:tcW w:w="780" w:type="dxa"/>
            <w:vAlign w:val="bottom"/>
          </w:tcPr>
          <w:p>
            <w:pPr>
              <w:ind w:left="180"/>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TPG Biotechnology Genpar II, LP.</w:t>
            </w:r>
          </w:p>
        </w:tc>
      </w:tr>
      <w:tr>
        <w:trPr>
          <w:trHeight w:val="222"/>
        </w:trPr>
        <w:tc>
          <w:tcPr>
            <w:tcW w:w="780" w:type="dxa"/>
            <w:vAlign w:val="bottom"/>
          </w:tcPr>
          <w:p>
            <w:pPr>
              <w:ind w:left="180"/>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TPG Biotech Advisors II, LLC</w:t>
            </w:r>
          </w:p>
        </w:tc>
      </w:tr>
      <w:tr>
        <w:trPr>
          <w:trHeight w:val="62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Cami</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Ronald Cami</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19"/>
                <w:szCs w:val="19"/>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KPCB HOLDINGS, INC., AS NOMINEE</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Vronsky</w:t>
            </w: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Paul Vronsky</w:t>
            </w: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General Counsel</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ectPr>
          <w:pgSz w:w="11900" w:h="16838" w:orient="portrait"/>
          <w:cols w:equalWidth="0" w:num="1">
            <w:col w:w="11420"/>
          </w:cols>
          <w:pgMar w:left="240" w:top="127" w:right="239" w:bottom="0" w:gutter="0" w:footer="0" w:header="0"/>
        </w:sectPr>
      </w:pP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ectPr>
          <w:pgSz w:w="11900" w:h="16838" w:orient="portrait"/>
          <w:cols w:equalWidth="0" w:num="1">
            <w:col w:w="11420"/>
          </w:cols>
          <w:pgMar w:left="240" w:top="127" w:right="239" w:bottom="0" w:gutter="0" w:footer="0" w:header="0"/>
          <w:type w:val="continuous"/>
        </w:sectPr>
      </w:pPr>
    </w:p>
    <w:bookmarkStart w:id="216" w:name="page217"/>
    <w:bookmarkEnd w:id="216"/>
    <w:p>
      <w:pPr>
        <w:ind w:left="5720"/>
        <w:spacing w:after="0"/>
        <w:rPr>
          <w:sz w:val="20"/>
          <w:szCs w:val="20"/>
          <w:color w:val="auto"/>
        </w:rPr>
      </w:pPr>
      <w:r>
        <w:rPr>
          <w:rFonts w:ascii="Arial" w:cs="Arial" w:eastAsia="Arial" w:hAnsi="Arial"/>
          <w:sz w:val="17"/>
          <w:szCs w:val="17"/>
          <w:b w:val="1"/>
          <w:bCs w:val="1"/>
          <w:color w:val="auto"/>
        </w:rPr>
        <w:t>JVEN CAPITAL, LLC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Evan Jones</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Evan Jones</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Member</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WS INVESTMENT COMPANY, LLC (2010A)</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WS INVESTMENT COMPANY, LLC (2012A)</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MOLECULAR PATHOLOGY INVESTMENTS</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Flanakin</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Robert Flanakin</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Partner</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Karin Eastham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487" w:gutter="0" w:footer="0" w:header="0"/>
        </w:sectPr>
      </w:pPr>
    </w:p>
    <w:bookmarkStart w:id="217" w:name="page218"/>
    <w:bookmarkEnd w:id="217"/>
    <w:p>
      <w:pPr>
        <w:jc w:val="center"/>
        <w:ind w:right="-120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right"/>
        <w:ind w:right="3359"/>
        <w:spacing w:after="0"/>
        <w:rPr>
          <w:sz w:val="20"/>
          <w:szCs w:val="20"/>
          <w:color w:val="auto"/>
        </w:rPr>
      </w:pPr>
      <w:r>
        <w:rPr>
          <w:rFonts w:ascii="Arial" w:cs="Arial" w:eastAsia="Arial" w:hAnsi="Arial"/>
          <w:sz w:val="17"/>
          <w:szCs w:val="17"/>
          <w:b w:val="1"/>
          <w:bCs w:val="1"/>
          <w:color w:val="auto"/>
        </w:rPr>
        <w:t>SCHEDULE OF INVESTORS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Versant Venture Capital III,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Versant Side Fund III, L.P.</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Brian G. Atwood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3000 Sand Hill Road, Bldg 4, Suite 210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Jeffrey D. Ekberg</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301 Commerce Street, Suite 3300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Fort Worth, TX 76102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KPCB Holdings, Inc., as Nominee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Brook Byers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2750 Sand Hill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Trustees of the Leland Stanford Junior University (DAPER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Trustees of the Leland Stanford Junior University (SBST-LS)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Marcelino Pantoja / Jin Gu / Martina Poquet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Stanford Management Company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2770 Sand Hill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 Foundation for Cancer Research</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Nick Valvano</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100 Towerview Court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Cary, NC 27513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SF Growth Fund</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Kevin Makley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1885 Miramonte Avenue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Mountain View, CA 94040-4098</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jVen Capital, LLC</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Evan Jones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11009 Cripplegate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Potomac, MD 20854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Domain Partners VIII,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Palmer Square, Suite 515</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Princeton, New Jersey 08542</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DP VIII Associates,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Palmer Square, Suite 515</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Princeton, New Jersey 08542</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Kathleen K. Schoemaker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Alexandria Equities, LLC</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385 E. Colorado Blvd., Suite 299</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Pasadena, CA 91101</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investments@labspace.com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WS Investment Company LLC (2010A)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Jim Terranova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WS Investment Company LLC (2012A)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Jim Terranova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Molecular Pathology Investments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Buda, TX 78610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Robert Flanakin, Managing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Karin Eastham Defined Benefit Plan</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 Box 3772</w:t>
      </w:r>
    </w:p>
    <w:p>
      <w:pPr>
        <w:sectPr>
          <w:pgSz w:w="11900" w:h="16838" w:orient="portrait"/>
          <w:cols w:equalWidth="0" w:num="1">
            <w:col w:w="10219"/>
          </w:cols>
          <w:pgMar w:left="240" w:top="331" w:right="1440" w:bottom="0" w:gutter="0" w:footer="0" w:header="0"/>
        </w:sectPr>
      </w:pPr>
    </w:p>
    <w:bookmarkStart w:id="218" w:name="page219"/>
    <w:bookmarkEnd w:id="218"/>
    <w:p>
      <w:pPr>
        <w:spacing w:after="0"/>
        <w:rPr>
          <w:sz w:val="20"/>
          <w:szCs w:val="20"/>
          <w:color w:val="auto"/>
        </w:rPr>
      </w:pPr>
      <w:r>
        <w:rPr>
          <w:rFonts w:ascii="Arial" w:cs="Arial" w:eastAsia="Arial" w:hAnsi="Arial"/>
          <w:sz w:val="15"/>
          <w:szCs w:val="15"/>
          <w:color w:val="auto"/>
        </w:rPr>
        <w:t>Rancho Santa Fe, CA 92067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229235</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579"/>
          </w:cols>
          <w:pgMar w:left="880" w:top="127"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b w:val="1"/>
          <w:bCs w:val="1"/>
          <w:color w:val="auto"/>
        </w:rPr>
        <w:t>Exhibit 4.3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SECOND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INVESTOR RIGHTS’ AGREEMENT</w:t>
      </w:r>
    </w:p>
    <w:p>
      <w:pPr>
        <w:spacing w:after="0" w:line="224" w:lineRule="exact"/>
        <w:rPr>
          <w:sz w:val="20"/>
          <w:szCs w:val="20"/>
          <w:color w:val="auto"/>
        </w:rPr>
      </w:pPr>
    </w:p>
    <w:p>
      <w:pPr>
        <w:ind w:right="120" w:firstLine="629"/>
        <w:spacing w:after="0" w:line="277" w:lineRule="auto"/>
        <w:rPr>
          <w:sz w:val="20"/>
          <w:szCs w:val="20"/>
          <w:color w:val="auto"/>
        </w:rPr>
      </w:pPr>
      <w:r>
        <w:rPr>
          <w:rFonts w:ascii="Arial" w:cs="Arial" w:eastAsia="Arial" w:hAnsi="Arial"/>
          <w:sz w:val="17"/>
          <w:szCs w:val="17"/>
          <w:color w:val="auto"/>
        </w:rPr>
        <w:t>This Amendment to Second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and effective as of June 14, 2013, by and among 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undersigned stockholders of the Company’s issued and outstanding Preferred Stock (the “</w:t>
      </w:r>
      <w:r>
        <w:rPr>
          <w:rFonts w:ascii="Arial" w:cs="Arial" w:eastAsia="Arial" w:hAnsi="Arial"/>
          <w:sz w:val="17"/>
          <w:szCs w:val="17"/>
          <w:b w:val="1"/>
          <w:bCs w:val="1"/>
          <w:color w:val="auto"/>
        </w:rPr>
        <w:t>Stockholders</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100" w:firstLine="634"/>
        <w:spacing w:after="0" w:line="273" w:lineRule="auto"/>
        <w:tabs>
          <w:tab w:leader="none" w:pos="127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WHEREAS, in connection with the sale of Series C Preferred Stock, the Company and the Stockholders entered into that Second Amended and Investor Rights’ Agreement, dated November 6, 2012 (the “</w:t>
      </w:r>
      <w:r>
        <w:rPr>
          <w:rFonts w:ascii="Arial" w:cs="Arial" w:eastAsia="Arial" w:hAnsi="Arial"/>
          <w:sz w:val="17"/>
          <w:szCs w:val="17"/>
          <w:b w:val="1"/>
          <w:bCs w:val="1"/>
          <w:color w:val="auto"/>
        </w:rPr>
        <w:t>Rights Agreement</w:t>
      </w:r>
      <w:r>
        <w:rPr>
          <w:rFonts w:ascii="Arial" w:cs="Arial" w:eastAsia="Arial" w:hAnsi="Arial"/>
          <w:sz w:val="17"/>
          <w:szCs w:val="17"/>
          <w:color w:val="auto"/>
        </w:rPr>
        <w:t>”) pursuant to which holders of shares of Series A Preferred Stock, Series B Preferred Stock and Series C Preferred Stock (the “</w:t>
      </w:r>
      <w:r>
        <w:rPr>
          <w:rFonts w:ascii="Arial" w:cs="Arial" w:eastAsia="Arial" w:hAnsi="Arial"/>
          <w:sz w:val="17"/>
          <w:szCs w:val="17"/>
          <w:b w:val="1"/>
          <w:bCs w:val="1"/>
          <w:color w:val="auto"/>
        </w:rPr>
        <w:t>Shares</w:t>
      </w:r>
      <w:r>
        <w:rPr>
          <w:rFonts w:ascii="Arial" w:cs="Arial" w:eastAsia="Arial" w:hAnsi="Arial"/>
          <w:sz w:val="17"/>
          <w:szCs w:val="17"/>
          <w:color w:val="auto"/>
        </w:rPr>
        <w:t>”) were granted certain rights as set forth therein.</w:t>
      </w:r>
    </w:p>
    <w:p>
      <w:pPr>
        <w:spacing w:after="0" w:line="171" w:lineRule="exact"/>
        <w:rPr>
          <w:rFonts w:ascii="Arial" w:cs="Arial" w:eastAsia="Arial" w:hAnsi="Arial"/>
          <w:sz w:val="17"/>
          <w:szCs w:val="17"/>
          <w:color w:val="auto"/>
        </w:rPr>
      </w:pPr>
    </w:p>
    <w:p>
      <w:pPr>
        <w:ind w:right="20" w:firstLine="634"/>
        <w:spacing w:after="0" w:line="273" w:lineRule="auto"/>
        <w:tabs>
          <w:tab w:leader="none" w:pos="126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WHEREAS, the Company and certain of the Stockholders are parties to that Amendment to the Series C Preferred Stock Purchase Agreement of even date herewith (“</w:t>
      </w:r>
      <w:r>
        <w:rPr>
          <w:rFonts w:ascii="Arial" w:cs="Arial" w:eastAsia="Arial" w:hAnsi="Arial"/>
          <w:sz w:val="17"/>
          <w:szCs w:val="17"/>
          <w:b w:val="1"/>
          <w:bCs w:val="1"/>
          <w:color w:val="auto"/>
        </w:rPr>
        <w:t>Amendment to Purchase Agreement</w:t>
      </w:r>
      <w:r>
        <w:rPr>
          <w:rFonts w:ascii="Arial" w:cs="Arial" w:eastAsia="Arial" w:hAnsi="Arial"/>
          <w:sz w:val="17"/>
          <w:szCs w:val="17"/>
          <w:color w:val="auto"/>
        </w:rPr>
        <w:t>”) in order, among other things, to allow for the sale of an additional 1,613,757 shares of Series C Preferred Stock in one more additional closing (the “</w:t>
      </w:r>
      <w:r>
        <w:rPr>
          <w:rFonts w:ascii="Arial" w:cs="Arial" w:eastAsia="Arial" w:hAnsi="Arial"/>
          <w:sz w:val="17"/>
          <w:szCs w:val="17"/>
          <w:b w:val="1"/>
          <w:bCs w:val="1"/>
          <w:color w:val="auto"/>
        </w:rPr>
        <w:t>Additional Closings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40" w:firstLine="634"/>
        <w:spacing w:after="0" w:line="289" w:lineRule="auto"/>
        <w:tabs>
          <w:tab w:leader="none" w:pos="126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WHEREAS, in connection with the Amendment to Purchase Agreement, the Company and the Stockholders desire to amend the Rights Agreement as provided herein.</w:t>
      </w:r>
    </w:p>
    <w:p>
      <w:pPr>
        <w:spacing w:after="0" w:line="158" w:lineRule="exact"/>
        <w:rPr>
          <w:rFonts w:ascii="Arial" w:cs="Arial" w:eastAsia="Arial" w:hAnsi="Arial"/>
          <w:sz w:val="17"/>
          <w:szCs w:val="17"/>
          <w:color w:val="auto"/>
        </w:rPr>
      </w:pPr>
    </w:p>
    <w:p>
      <w:pPr>
        <w:jc w:val="both"/>
        <w:ind w:right="60" w:firstLine="634"/>
        <w:spacing w:after="0" w:line="273" w:lineRule="auto"/>
        <w:tabs>
          <w:tab w:leader="none" w:pos="127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WHEREAS, pursuant to Section 5.5 of the Rights Agreement, the Rights Agreement may be amended upon the written consent of the Company and holders of at least a majority of the-then outstanding Registrable Securities (as defined therein, and including the Common Stock issuable upon conversion of the Shares).</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WHEREAS, the Stockholders hold, in the aggregate, at least a majority of the outstanding Registrable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left="1260" w:hanging="626"/>
        <w:spacing w:after="0"/>
        <w:tabs>
          <w:tab w:leader="none" w:pos="12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Section 3.1(d) of the Rights Agreement is hereby restated as follows:</w:t>
      </w:r>
    </w:p>
    <w:p>
      <w:pPr>
        <w:spacing w:after="0" w:line="224" w:lineRule="exact"/>
        <w:rPr>
          <w:sz w:val="20"/>
          <w:szCs w:val="20"/>
          <w:color w:val="auto"/>
        </w:rPr>
      </w:pPr>
    </w:p>
    <w:p>
      <w:pPr>
        <w:ind w:right="380" w:firstLine="1259"/>
        <w:spacing w:after="0" w:line="308" w:lineRule="auto"/>
        <w:rPr>
          <w:sz w:val="20"/>
          <w:szCs w:val="20"/>
          <w:color w:val="auto"/>
        </w:rPr>
      </w:pPr>
      <w:r>
        <w:rPr>
          <w:rFonts w:ascii="Arial" w:cs="Arial" w:eastAsia="Arial" w:hAnsi="Arial"/>
          <w:sz w:val="15"/>
          <w:szCs w:val="15"/>
          <w:color w:val="auto"/>
        </w:rPr>
        <w:t>“(d) So long as an Investor (with its affiliates) shall own not less than one million seven hundred fifty thousand (1,750,000) shares of Registrable Securities (as adjusted for stock splits and combinations) (a “Major Investor”), the Company will furnish each such Major Investor as soon as practicable after the end of each month, and in any event within thirty (30) days after the end of each month, an unaudited consolidated balance sheet of the Company as of the end of such monthly period, and unaudited consolidated statements of income and cash flows of the Company for such period, prepared in accordance with U.S. generally accepted accounting principles consistently applied, subject to changes resulting from normal year-end audit adjustments.”</w:t>
      </w:r>
    </w:p>
    <w:p>
      <w:pPr>
        <w:spacing w:after="0" w:line="152" w:lineRule="exact"/>
        <w:rPr>
          <w:sz w:val="20"/>
          <w:szCs w:val="20"/>
          <w:color w:val="auto"/>
        </w:rPr>
      </w:pPr>
    </w:p>
    <w:p>
      <w:pPr>
        <w:ind w:right="300" w:firstLine="634"/>
        <w:spacing w:after="0" w:line="289" w:lineRule="auto"/>
        <w:tabs>
          <w:tab w:leader="none" w:pos="12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Company and the Stockholders agree that the shares of Series C Preferred Stock to be sold in the Additional Closings will be considered Excluded Securities pursuant to Section 4.6(h) of the Rights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both"/>
        <w:ind w:right="180" w:firstLine="634"/>
        <w:spacing w:after="0" w:line="273" w:lineRule="auto"/>
        <w:tabs>
          <w:tab w:leader="none" w:pos="12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This Amendment, together with the Rights Agreement, constitutes the full and entire agreement between the parties with regard to the subjects hereof and may not be further amended or modified except in accordance with the Rights Agreement. The Rights Agreement as modified hereby shall remain in full force and effect as so modified.</w:t>
      </w:r>
    </w:p>
    <w:p>
      <w:pPr>
        <w:spacing w:after="0" w:line="171" w:lineRule="exact"/>
        <w:rPr>
          <w:rFonts w:ascii="Arial" w:cs="Arial" w:eastAsia="Arial" w:hAnsi="Arial"/>
          <w:sz w:val="17"/>
          <w:szCs w:val="17"/>
          <w:color w:val="auto"/>
        </w:rPr>
      </w:pPr>
    </w:p>
    <w:p>
      <w:pPr>
        <w:ind w:right="660" w:firstLine="634"/>
        <w:spacing w:after="0" w:line="289" w:lineRule="auto"/>
        <w:tabs>
          <w:tab w:leader="none" w:pos="12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This Amendment may be executed in one or more counterparts, each of which will be deemed an original, but all of which together will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400"/>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000" w:type="dxa"/>
            <w:vAlign w:val="bottom"/>
          </w:tcPr>
          <w:p>
            <w:pPr>
              <w:spacing w:after="0"/>
              <w:rPr>
                <w:sz w:val="20"/>
                <w:szCs w:val="20"/>
                <w:color w:val="auto"/>
              </w:rPr>
            </w:pPr>
            <w:r>
              <w:rPr>
                <w:rFonts w:ascii="Arial" w:cs="Arial" w:eastAsia="Arial" w:hAnsi="Arial"/>
                <w:sz w:val="17"/>
                <w:szCs w:val="17"/>
                <w:color w:val="auto"/>
              </w:rPr>
              <w:t>Bonnie Anderson</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8"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7000 Shoreline Court</w:t>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Suite 250</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273" w:gutter="0" w:footer="0" w:header="0"/>
        </w:sectPr>
      </w:pPr>
    </w:p>
    <w:bookmarkStart w:id="220" w:name="page221"/>
    <w:bookmarkEnd w:id="220"/>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DOMAIN PARTNERS VIII,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Kathleen K. Schoemaker</w:t>
            </w:r>
          </w:p>
        </w:tc>
      </w:tr>
      <w:tr>
        <w:trPr>
          <w:trHeight w:val="191"/>
        </w:trPr>
        <w:tc>
          <w:tcPr>
            <w:tcW w:w="500" w:type="dxa"/>
            <w:vAlign w:val="bottom"/>
          </w:tcPr>
          <w:p>
            <w:pPr>
              <w:spacing w:after="0"/>
              <w:rPr>
                <w:sz w:val="16"/>
                <w:szCs w:val="16"/>
                <w:color w:val="auto"/>
              </w:rPr>
            </w:pPr>
          </w:p>
        </w:tc>
        <w:tc>
          <w:tcPr>
            <w:tcW w:w="5200" w:type="dxa"/>
            <w:vAlign w:val="bottom"/>
          </w:tcPr>
          <w:p>
            <w:pPr>
              <w:ind w:left="180"/>
              <w:spacing w:after="0" w:line="191" w:lineRule="exact"/>
              <w:rPr>
                <w:sz w:val="20"/>
                <w:szCs w:val="20"/>
                <w:color w:val="auto"/>
              </w:rPr>
            </w:pPr>
            <w:r>
              <w:rPr>
                <w:rFonts w:ascii="Arial" w:cs="Arial" w:eastAsia="Arial" w:hAnsi="Arial"/>
                <w:sz w:val="17"/>
                <w:szCs w:val="17"/>
                <w:color w:val="auto"/>
              </w:rPr>
              <w:t>Kathleen K. Schoemaker</w:t>
            </w:r>
          </w:p>
        </w:tc>
      </w:tr>
      <w:tr>
        <w:trPr>
          <w:trHeight w:val="222"/>
        </w:trPr>
        <w:tc>
          <w:tcPr>
            <w:tcW w:w="50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DP VIII ASSOCIATES,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Kathleen K. Schoemaker</w:t>
            </w:r>
          </w:p>
        </w:tc>
      </w:tr>
      <w:tr>
        <w:trPr>
          <w:trHeight w:val="191"/>
        </w:trPr>
        <w:tc>
          <w:tcPr>
            <w:tcW w:w="500" w:type="dxa"/>
            <w:vAlign w:val="bottom"/>
          </w:tcPr>
          <w:p>
            <w:pPr>
              <w:spacing w:after="0"/>
              <w:rPr>
                <w:sz w:val="16"/>
                <w:szCs w:val="16"/>
                <w:color w:val="auto"/>
              </w:rPr>
            </w:pPr>
          </w:p>
        </w:tc>
        <w:tc>
          <w:tcPr>
            <w:tcW w:w="5200" w:type="dxa"/>
            <w:vAlign w:val="bottom"/>
          </w:tcPr>
          <w:p>
            <w:pPr>
              <w:ind w:left="180"/>
              <w:spacing w:after="0" w:line="191" w:lineRule="exact"/>
              <w:rPr>
                <w:sz w:val="20"/>
                <w:szCs w:val="20"/>
                <w:color w:val="auto"/>
              </w:rPr>
            </w:pPr>
            <w:r>
              <w:rPr>
                <w:rFonts w:ascii="Arial" w:cs="Arial" w:eastAsia="Arial" w:hAnsi="Arial"/>
                <w:sz w:val="17"/>
                <w:szCs w:val="17"/>
                <w:color w:val="auto"/>
              </w:rPr>
              <w:t>Kathleen K. Schoemaker</w:t>
            </w:r>
          </w:p>
        </w:tc>
      </w:tr>
      <w:tr>
        <w:trPr>
          <w:trHeight w:val="222"/>
        </w:trPr>
        <w:tc>
          <w:tcPr>
            <w:tcW w:w="50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Managing Member</w:t>
            </w:r>
          </w:p>
        </w:tc>
      </w:tr>
    </w:tbl>
    <w:p>
      <w:pPr>
        <w:spacing w:after="0" w:line="192"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VERSANT VENTURE CAPITAL 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Versant Ventures 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G. Atwood</w:t>
            </w:r>
          </w:p>
        </w:tc>
      </w:tr>
      <w:tr>
        <w:trPr>
          <w:trHeight w:val="215"/>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38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VERSANT SIDE FUND 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Versant Ventures 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G. Atwood</w:t>
            </w:r>
          </w:p>
        </w:tc>
      </w:tr>
      <w:tr>
        <w:trPr>
          <w:trHeight w:val="215"/>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79"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TPG Biotechnology Genpar II, LP.</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TPG Biotech Advisors II,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Cami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Ronald Cami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r>
    </w:tbl>
    <w:p>
      <w:pPr>
        <w:spacing w:after="0" w:line="19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ectPr>
          <w:pgSz w:w="11900" w:h="16838" w:orient="portrait"/>
          <w:cols w:equalWidth="0" w:num="1">
            <w:col w:w="10780"/>
          </w:cols>
          <w:pgMar w:left="880" w:top="337" w:right="239" w:bottom="0" w:gutter="0" w:footer="0" w:header="0"/>
        </w:sectPr>
      </w:pPr>
    </w:p>
    <w:bookmarkStart w:id="221" w:name="page222"/>
    <w:bookmarkEnd w:id="2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KPCB HOLDINGS, INC., AS NOMINEE</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Susan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7"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Susan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7"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JVEN CAPITAL, LLC</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Evan Jones</w:t>
            </w:r>
          </w:p>
        </w:tc>
      </w:tr>
      <w:tr>
        <w:trPr>
          <w:trHeight w:val="191"/>
        </w:trPr>
        <w:tc>
          <w:tcPr>
            <w:tcW w:w="7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5000" w:type="dxa"/>
            <w:vAlign w:val="bottom"/>
          </w:tcPr>
          <w:p>
            <w:pPr>
              <w:spacing w:after="0" w:line="191" w:lineRule="exact"/>
              <w:rPr>
                <w:sz w:val="20"/>
                <w:szCs w:val="20"/>
                <w:color w:val="auto"/>
              </w:rPr>
            </w:pPr>
            <w:r>
              <w:rPr>
                <w:rFonts w:ascii="Arial" w:cs="Arial" w:eastAsia="Arial" w:hAnsi="Arial"/>
                <w:sz w:val="17"/>
                <w:szCs w:val="17"/>
                <w:color w:val="auto"/>
              </w:rPr>
              <w:t>Evan Jones</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Managing Member</w:t>
            </w:r>
          </w:p>
        </w:tc>
      </w:tr>
    </w:tbl>
    <w:p>
      <w:pPr>
        <w:spacing w:after="0" w:line="192"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jc w:val="right"/>
        <w:ind w:right="1200"/>
        <w:spacing w:after="0"/>
        <w:rPr>
          <w:sz w:val="20"/>
          <w:szCs w:val="20"/>
          <w:color w:val="auto"/>
        </w:rPr>
      </w:pPr>
      <w:r>
        <w:rPr>
          <w:rFonts w:ascii="Arial" w:cs="Arial" w:eastAsia="Arial" w:hAnsi="Arial"/>
          <w:sz w:val="17"/>
          <w:szCs w:val="17"/>
          <w:b w:val="1"/>
          <w:bCs w:val="1"/>
          <w:color w:val="auto"/>
        </w:rPr>
        <w:t>KARIN EASTHAM DEFINED BENEFIT PENSION PLAN</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Karin Eastham</w:t>
            </w:r>
          </w:p>
        </w:tc>
      </w:tr>
      <w:tr>
        <w:trPr>
          <w:trHeight w:val="191"/>
        </w:trPr>
        <w:tc>
          <w:tcPr>
            <w:tcW w:w="74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60" w:type="dxa"/>
            <w:vAlign w:val="bottom"/>
          </w:tcPr>
          <w:p>
            <w:pPr>
              <w:spacing w:after="0" w:line="191" w:lineRule="exact"/>
              <w:rPr>
                <w:sz w:val="20"/>
                <w:szCs w:val="20"/>
                <w:color w:val="auto"/>
              </w:rPr>
            </w:pPr>
            <w:r>
              <w:rPr>
                <w:rFonts w:ascii="Arial" w:cs="Arial" w:eastAsia="Arial" w:hAnsi="Arial"/>
                <w:sz w:val="17"/>
                <w:szCs w:val="17"/>
                <w:color w:val="auto"/>
              </w:rPr>
              <w:t>Karin Eastham</w:t>
            </w:r>
          </w:p>
        </w:tc>
      </w:t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Trustee</w:t>
            </w:r>
          </w:p>
        </w:tc>
      </w:tr>
    </w:tbl>
    <w:p>
      <w:pPr>
        <w:spacing w:after="0" w:line="19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80"/>
          </w:cols>
          <w:pgMar w:left="880" w:top="1032" w:right="239" w:bottom="1440" w:gutter="0" w:footer="0" w:header="0"/>
        </w:sectPr>
      </w:pPr>
    </w:p>
    <w:bookmarkStart w:id="222" w:name="page223"/>
    <w:bookmarkEnd w:id="222"/>
    <w:p>
      <w:pPr>
        <w:ind w:left="10600"/>
        <w:spacing w:after="0"/>
        <w:rPr>
          <w:sz w:val="20"/>
          <w:szCs w:val="20"/>
          <w:color w:val="auto"/>
        </w:rPr>
      </w:pPr>
      <w:r>
        <w:rPr>
          <w:rFonts w:ascii="Arial" w:cs="Arial" w:eastAsia="Arial" w:hAnsi="Arial"/>
          <w:sz w:val="16"/>
          <w:szCs w:val="16"/>
          <w:b w:val="1"/>
          <w:bCs w:val="1"/>
          <w:color w:val="auto"/>
        </w:rPr>
        <w:t>Exhibit 4.4</w:t>
      </w:r>
    </w:p>
    <w:p>
      <w:pPr>
        <w:spacing w:after="0" w:line="24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TO PURCHASE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VERACYTE,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See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Type/Series of Stock: Series C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$1.89 per share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June 26, 2013</w:t>
      </w:r>
    </w:p>
    <w:p>
      <w:pPr>
        <w:spacing w:after="0" w:line="224"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b w:val="1"/>
          <w:bCs w:val="1"/>
          <w:color w:val="auto"/>
        </w:rPr>
        <w:t>Expiration Date:</w:t>
      </w:r>
      <w:r>
        <w:rPr>
          <w:sz w:val="20"/>
          <w:szCs w:val="20"/>
          <w:color w:val="auto"/>
        </w:rPr>
        <w:tab/>
      </w:r>
      <w:r>
        <w:rPr>
          <w:rFonts w:ascii="Arial" w:cs="Arial" w:eastAsia="Arial" w:hAnsi="Arial"/>
          <w:sz w:val="15"/>
          <w:szCs w:val="15"/>
          <w:color w:val="auto"/>
        </w:rPr>
        <w:t>The earlier of June 26, 2023 and the seventh anniversary of the IPO (as defined herein). See also Section 5.1.</w:t>
      </w:r>
    </w:p>
    <w:p>
      <w:pPr>
        <w:spacing w:after="0" w:line="224" w:lineRule="exact"/>
        <w:rPr>
          <w:sz w:val="20"/>
          <w:szCs w:val="20"/>
          <w:color w:val="auto"/>
        </w:rPr>
      </w:pPr>
    </w:p>
    <w:p>
      <w:pPr>
        <w:ind w:left="1640" w:right="100" w:hanging="1635"/>
        <w:spacing w:after="0" w:line="297" w:lineRule="auto"/>
        <w:tabs>
          <w:tab w:leader="none" w:pos="1620" w:val="left"/>
        </w:tabs>
        <w:rPr>
          <w:sz w:val="20"/>
          <w:szCs w:val="20"/>
          <w:color w:val="auto"/>
        </w:rPr>
      </w:pPr>
      <w:r>
        <w:rPr>
          <w:rFonts w:ascii="Arial" w:cs="Arial" w:eastAsia="Arial" w:hAnsi="Arial"/>
          <w:sz w:val="17"/>
          <w:szCs w:val="17"/>
          <w:b w:val="1"/>
          <w:bCs w:val="1"/>
          <w:color w:val="auto"/>
        </w:rPr>
        <w:t>Credit Facility:</w:t>
      </w:r>
      <w:r>
        <w:rPr>
          <w:sz w:val="20"/>
          <w:szCs w:val="20"/>
          <w:color w:val="auto"/>
        </w:rPr>
        <w:tab/>
      </w:r>
      <w:r>
        <w:rPr>
          <w:rFonts w:ascii="Arial" w:cs="Arial" w:eastAsia="Arial" w:hAnsi="Arial"/>
          <w:sz w:val="17"/>
          <w:szCs w:val="17"/>
          <w:color w:val="auto"/>
        </w:rPr>
        <w:t>This Warrant to Purchase Stock (“</w:t>
      </w:r>
      <w:r>
        <w:rPr>
          <w:rFonts w:ascii="Arial" w:cs="Arial" w:eastAsia="Arial" w:hAnsi="Arial"/>
          <w:sz w:val="17"/>
          <w:szCs w:val="17"/>
          <w:b w:val="1"/>
          <w:bCs w:val="1"/>
          <w:u w:val="single" w:color="auto"/>
          <w:color w:val="auto"/>
        </w:rPr>
        <w:t>Warrant</w:t>
      </w:r>
      <w:r>
        <w:rPr>
          <w:rFonts w:ascii="Arial" w:cs="Arial" w:eastAsia="Arial" w:hAnsi="Arial"/>
          <w:sz w:val="17"/>
          <w:szCs w:val="17"/>
          <w:color w:val="auto"/>
        </w:rPr>
        <w:t>”) is issued in connection with that certain Loan and Security Agreement of even date herewith between Silicon Valley Bank and the Company (the “</w:t>
      </w:r>
      <w:r>
        <w:rPr>
          <w:rFonts w:ascii="Arial" w:cs="Arial" w:eastAsia="Arial" w:hAnsi="Arial"/>
          <w:sz w:val="17"/>
          <w:szCs w:val="17"/>
          <w:b w:val="1"/>
          <w:bCs w:val="1"/>
          <w:u w:val="single" w:color="auto"/>
          <w:color w:val="auto"/>
        </w:rPr>
        <w:t>Loan Agreement</w:t>
      </w:r>
      <w:r>
        <w:rPr>
          <w:rFonts w:ascii="Arial" w:cs="Arial" w:eastAsia="Arial" w:hAnsi="Arial"/>
          <w:sz w:val="17"/>
          <w:szCs w:val="17"/>
          <w:color w:val="auto"/>
        </w:rPr>
        <w:t>”).</w:t>
      </w:r>
    </w:p>
    <w:p>
      <w:pPr>
        <w:spacing w:after="0" w:line="151" w:lineRule="exact"/>
        <w:rPr>
          <w:sz w:val="20"/>
          <w:szCs w:val="20"/>
          <w:color w:val="auto"/>
        </w:rPr>
      </w:pPr>
    </w:p>
    <w:p>
      <w:pPr>
        <w:ind w:left="100" w:right="60" w:firstLine="629"/>
        <w:spacing w:after="0" w:line="280"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u w:val="single" w:color="auto"/>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 The number of Shares that Holder may be purchase is equal to the quotient derived by dividing (a) $187,500 by (b) the Warrant Price. Upon Holder’s making the second Growth Capital Term Loan to Holder, pursuant to the Loan Agreement, Holder may purchase an additional number of Shares equal to the quotient derived by dividing (a) $187,500 by (b) the Warrant Price.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X = Y(A-B)/A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224" w:lineRule="exact"/>
        <w:rPr>
          <w:sz w:val="20"/>
          <w:szCs w:val="20"/>
          <w:color w:val="auto"/>
        </w:rPr>
      </w:pPr>
    </w:p>
    <w:p>
      <w:pPr>
        <w:ind w:left="2520" w:right="660" w:hanging="628"/>
        <w:spacing w:after="0" w:line="289" w:lineRule="auto"/>
        <w:tabs>
          <w:tab w:leader="none" w:pos="2500" w:val="left"/>
        </w:tabs>
        <w:rPr>
          <w:sz w:val="20"/>
          <w:szCs w:val="20"/>
          <w:color w:val="auto"/>
        </w:rPr>
      </w:pPr>
      <w:r>
        <w:rPr>
          <w:rFonts w:ascii="Arial" w:cs="Arial" w:eastAsia="Arial" w:hAnsi="Arial"/>
          <w:sz w:val="17"/>
          <w:szCs w:val="17"/>
          <w:color w:val="auto"/>
        </w:rPr>
        <w:t>Y =</w:t>
      </w:r>
      <w:r>
        <w:rPr>
          <w:sz w:val="20"/>
          <w:szCs w:val="20"/>
          <w:color w:val="auto"/>
        </w:rPr>
        <w:tab/>
      </w:r>
      <w:r>
        <w:rPr>
          <w:rFonts w:ascii="Arial" w:cs="Arial" w:eastAsia="Arial" w:hAnsi="Arial"/>
          <w:sz w:val="17"/>
          <w:szCs w:val="17"/>
          <w:color w:val="auto"/>
        </w:rPr>
        <w:t>the number of Shares with respect to which this Warrant is being exercised (inclusive of the Shares surrendered to the Company in payment of the aggregate Warrant Price);</w:t>
      </w:r>
    </w:p>
    <w:p>
      <w:pPr>
        <w:spacing w:after="0" w:line="15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A =</w:t>
      </w:r>
      <w:r>
        <w:rPr>
          <w:sz w:val="20"/>
          <w:szCs w:val="20"/>
          <w:color w:val="auto"/>
        </w:rPr>
        <w:tab/>
      </w:r>
      <w:r>
        <w:rPr>
          <w:rFonts w:ascii="Arial" w:cs="Arial" w:eastAsia="Arial" w:hAnsi="Arial"/>
          <w:sz w:val="15"/>
          <w:szCs w:val="15"/>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B =</w:t>
      </w:r>
      <w:r>
        <w:rPr>
          <w:sz w:val="20"/>
          <w:szCs w:val="20"/>
          <w:color w:val="auto"/>
        </w:rPr>
        <w:tab/>
      </w:r>
      <w:r>
        <w:rPr>
          <w:rFonts w:ascii="Arial" w:cs="Arial" w:eastAsia="Arial" w:hAnsi="Arial"/>
          <w:sz w:val="15"/>
          <w:szCs w:val="15"/>
          <w:color w:val="auto"/>
        </w:rPr>
        <w:t>the Warrant Price.</w:t>
      </w:r>
    </w:p>
    <w:p>
      <w:pPr>
        <w:spacing w:after="0" w:line="224"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ectPr>
          <w:pgSz w:w="11900" w:h="16838" w:orient="portrait"/>
          <w:cols w:equalWidth="0" w:num="1">
            <w:col w:w="11420"/>
          </w:cols>
          <w:pgMar w:left="240" w:top="357" w:right="239" w:bottom="75" w:gutter="0" w:footer="0" w:header="0"/>
        </w:sectPr>
      </w:pPr>
    </w:p>
    <w:bookmarkStart w:id="223" w:name="page224"/>
    <w:bookmarkEnd w:id="223"/>
    <w:p>
      <w:pPr>
        <w:spacing w:after="0" w:line="20"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6"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18" w:lineRule="exact"/>
        <w:rPr>
          <w:sz w:val="20"/>
          <w:szCs w:val="20"/>
          <w:color w:val="auto"/>
        </w:rPr>
      </w:pPr>
    </w:p>
    <w:p>
      <w:pPr>
        <w:ind w:right="60" w:firstLine="1263"/>
        <w:spacing w:after="0" w:line="270" w:lineRule="auto"/>
        <w:tabs>
          <w:tab w:leader="none" w:pos="193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reorganization, own less than a majority of the Company’s (or the surviving or successor entity’s) outstanding voting power immediately after such merger, consolidation or reorganization; or (iii) any sale or other transfer by the stockholders of the Company to a person or “group” (as defined under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of shares representing at least a majority of the Company’s then-total outstanding combined voting power.</w:t>
      </w:r>
    </w:p>
    <w:p>
      <w:pPr>
        <w:spacing w:after="0" w:line="176" w:lineRule="exact"/>
        <w:rPr>
          <w:sz w:val="20"/>
          <w:szCs w:val="20"/>
          <w:color w:val="auto"/>
        </w:rPr>
      </w:pPr>
    </w:p>
    <w:p>
      <w:pPr>
        <w:ind w:right="100" w:firstLine="1263"/>
        <w:spacing w:after="0" w:line="265" w:lineRule="auto"/>
        <w:tabs>
          <w:tab w:leader="none" w:pos="1943"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9" w:lineRule="exact"/>
        <w:rPr>
          <w:rFonts w:ascii="Arial" w:cs="Arial" w:eastAsia="Arial" w:hAnsi="Arial"/>
          <w:sz w:val="17"/>
          <w:szCs w:val="17"/>
          <w:color w:val="auto"/>
        </w:rPr>
      </w:pPr>
    </w:p>
    <w:p>
      <w:pPr>
        <w:ind w:firstLine="1263"/>
        <w:spacing w:after="0" w:line="301" w:lineRule="auto"/>
        <w:tabs>
          <w:tab w:leader="none" w:pos="1933"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7" w:lineRule="exact"/>
        <w:rPr>
          <w:rFonts w:ascii="Arial" w:cs="Arial" w:eastAsia="Arial" w:hAnsi="Arial"/>
          <w:sz w:val="15"/>
          <w:szCs w:val="15"/>
          <w:color w:val="auto"/>
        </w:rPr>
      </w:pPr>
    </w:p>
    <w:p>
      <w:pPr>
        <w:ind w:right="100" w:firstLine="1263"/>
        <w:spacing w:after="0" w:line="268" w:lineRule="auto"/>
        <w:tabs>
          <w:tab w:leader="none" w:pos="194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9" w:lineRule="exact"/>
        <w:rPr>
          <w:rFonts w:ascii="Arial" w:cs="Arial" w:eastAsia="Arial" w:hAnsi="Arial"/>
          <w:sz w:val="17"/>
          <w:szCs w:val="17"/>
          <w:color w:val="auto"/>
        </w:rPr>
      </w:pPr>
    </w:p>
    <w:p>
      <w:pPr>
        <w:ind w:right="40" w:firstLine="1263"/>
        <w:spacing w:after="0" w:line="283" w:lineRule="auto"/>
        <w:tabs>
          <w:tab w:leader="none" w:pos="193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84" w:lineRule="exact"/>
        <w:rPr>
          <w:sz w:val="20"/>
          <w:szCs w:val="20"/>
          <w:color w:val="auto"/>
        </w:rPr>
      </w:pPr>
    </w:p>
    <w:p>
      <w:pPr>
        <w:ind w:right="380" w:firstLine="1259"/>
        <w:spacing w:after="0" w:line="26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3"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Conversion of Preferred Stock</w:t>
      </w:r>
      <w:r>
        <w:rPr>
          <w:rFonts w:ascii="Arial" w:cs="Arial" w:eastAsia="Arial" w:hAnsi="Arial"/>
          <w:sz w:val="16"/>
          <w:szCs w:val="16"/>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as such may be amended from time to time (the “</w:t>
      </w:r>
      <w:r>
        <w:rPr>
          <w:rFonts w:ascii="Arial" w:cs="Arial" w:eastAsia="Arial" w:hAnsi="Arial"/>
          <w:sz w:val="16"/>
          <w:szCs w:val="16"/>
          <w:b w:val="1"/>
          <w:bCs w:val="1"/>
          <w:u w:val="single" w:color="auto"/>
          <w:color w:val="auto"/>
        </w:rPr>
        <w:t>Certificate of Incorporation</w:t>
      </w:r>
      <w:r>
        <w:rPr>
          <w:rFonts w:ascii="Arial" w:cs="Arial" w:eastAsia="Arial" w:hAnsi="Arial"/>
          <w:sz w:val="16"/>
          <w:szCs w:val="16"/>
          <w:color w:val="auto"/>
        </w:rPr>
        <w:t>”) including, without limitation, in connection with the Company’s initial, underwritten public offering and sale of its common stock pursuant to an effective registration statement under the Act (the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ectPr>
          <w:pgSz w:w="11900" w:h="16859" w:orient="portrait"/>
          <w:cols w:equalWidth="0" w:num="1">
            <w:col w:w="11420"/>
          </w:cols>
          <w:pgMar w:left="240" w:top="127" w:right="239" w:bottom="0" w:gutter="0" w:footer="0" w:header="0"/>
        </w:sectPr>
      </w:pPr>
    </w:p>
    <w:bookmarkStart w:id="224" w:name="page225"/>
    <w:bookmarkEnd w:id="224"/>
    <w:p>
      <w:pPr>
        <w:ind w:right="380" w:firstLine="1259"/>
        <w:spacing w:after="0" w:line="29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54" w:lineRule="exact"/>
        <w:rPr>
          <w:sz w:val="20"/>
          <w:szCs w:val="20"/>
          <w:color w:val="auto"/>
        </w:rPr>
      </w:pPr>
    </w:p>
    <w:p>
      <w:pPr>
        <w:jc w:val="both"/>
        <w:ind w:firstLine="1259"/>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firstLine="125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w:t>
      </w:r>
    </w:p>
    <w:p>
      <w:pPr>
        <w:spacing w:after="0" w:line="224" w:lineRule="exact"/>
        <w:rPr>
          <w:sz w:val="20"/>
          <w:szCs w:val="20"/>
          <w:color w:val="auto"/>
        </w:rPr>
      </w:pPr>
    </w:p>
    <w:p>
      <w:pPr>
        <w:ind w:right="100" w:firstLine="1263"/>
        <w:spacing w:after="0" w:line="322" w:lineRule="auto"/>
        <w:tabs>
          <w:tab w:leader="none" w:pos="193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35" w:lineRule="exact"/>
        <w:rPr>
          <w:rFonts w:ascii="Arial" w:cs="Arial" w:eastAsia="Arial" w:hAnsi="Arial"/>
          <w:sz w:val="16"/>
          <w:szCs w:val="16"/>
          <w:color w:val="auto"/>
        </w:rPr>
      </w:pPr>
    </w:p>
    <w:p>
      <w:pPr>
        <w:ind w:firstLine="1263"/>
        <w:spacing w:after="0" w:line="265" w:lineRule="auto"/>
        <w:tabs>
          <w:tab w:leader="none" w:pos="194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9" w:lineRule="exact"/>
        <w:rPr>
          <w:rFonts w:ascii="Arial" w:cs="Arial" w:eastAsia="Arial" w:hAnsi="Arial"/>
          <w:sz w:val="17"/>
          <w:szCs w:val="17"/>
          <w:color w:val="auto"/>
        </w:rPr>
      </w:pPr>
    </w:p>
    <w:p>
      <w:pPr>
        <w:ind w:left="1940" w:hanging="677"/>
        <w:spacing w:after="0"/>
        <w:tabs>
          <w:tab w:leader="none" w:pos="19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Company’s summary capitalization table attached hereto as Schedule 1 is true and complete, in all material respects, as of the Issue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Date.</w:t>
      </w:r>
    </w:p>
    <w:p>
      <w:pPr>
        <w:spacing w:after="0" w:line="212"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Notice of Certain Events</w:t>
      </w:r>
      <w:r>
        <w:rPr>
          <w:rFonts w:ascii="Arial" w:cs="Arial" w:eastAsia="Arial" w:hAnsi="Arial"/>
          <w:sz w:val="15"/>
          <w:szCs w:val="15"/>
          <w:color w:val="auto"/>
        </w:rPr>
        <w:t>. If the Company proposes at any time to:</w:t>
      </w:r>
    </w:p>
    <w:p>
      <w:pPr>
        <w:spacing w:after="0" w:line="224" w:lineRule="exact"/>
        <w:rPr>
          <w:sz w:val="20"/>
          <w:szCs w:val="20"/>
          <w:color w:val="auto"/>
        </w:rPr>
      </w:pPr>
    </w:p>
    <w:p>
      <w:pPr>
        <w:ind w:right="80" w:firstLine="1956"/>
        <w:spacing w:after="0" w:line="289" w:lineRule="auto"/>
        <w:tabs>
          <w:tab w:leader="none" w:pos="218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158" w:lineRule="exact"/>
        <w:rPr>
          <w:rFonts w:ascii="Arial" w:cs="Arial" w:eastAsia="Arial" w:hAnsi="Arial"/>
          <w:sz w:val="17"/>
          <w:szCs w:val="17"/>
          <w:color w:val="auto"/>
        </w:rPr>
      </w:pPr>
    </w:p>
    <w:p>
      <w:pPr>
        <w:ind w:right="420" w:firstLine="1956"/>
        <w:spacing w:after="0" w:line="289" w:lineRule="auto"/>
        <w:tabs>
          <w:tab w:leader="none" w:pos="219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58" w:lineRule="exact"/>
        <w:rPr>
          <w:rFonts w:ascii="Arial" w:cs="Arial" w:eastAsia="Arial" w:hAnsi="Arial"/>
          <w:sz w:val="17"/>
          <w:szCs w:val="17"/>
          <w:color w:val="auto"/>
        </w:rPr>
      </w:pPr>
    </w:p>
    <w:p>
      <w:pPr>
        <w:ind w:left="2200" w:hanging="244"/>
        <w:spacing w:after="0"/>
        <w:tabs>
          <w:tab w:leader="none" w:pos="22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Class;</w:t>
      </w:r>
    </w:p>
    <w:p>
      <w:pPr>
        <w:spacing w:after="0" w:line="212" w:lineRule="exact"/>
        <w:rPr>
          <w:rFonts w:ascii="Arial" w:cs="Arial" w:eastAsia="Arial" w:hAnsi="Arial"/>
          <w:sz w:val="16"/>
          <w:szCs w:val="16"/>
          <w:color w:val="auto"/>
        </w:rPr>
      </w:pPr>
    </w:p>
    <w:p>
      <w:pPr>
        <w:ind w:left="2200" w:hanging="244"/>
        <w:spacing w:after="0"/>
        <w:tabs>
          <w:tab w:leader="none" w:pos="22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224" w:lineRule="exact"/>
        <w:rPr>
          <w:rFonts w:ascii="Arial" w:cs="Arial" w:eastAsia="Arial" w:hAnsi="Arial"/>
          <w:sz w:val="17"/>
          <w:szCs w:val="17"/>
          <w:color w:val="auto"/>
        </w:rPr>
      </w:pPr>
    </w:p>
    <w:p>
      <w:pPr>
        <w:ind w:left="2200" w:hanging="244"/>
        <w:spacing w:after="0"/>
        <w:tabs>
          <w:tab w:leader="none" w:pos="22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224" w:lineRule="exact"/>
        <w:rPr>
          <w:sz w:val="20"/>
          <w:szCs w:val="20"/>
          <w:color w:val="auto"/>
        </w:rPr>
      </w:pPr>
    </w:p>
    <w:p>
      <w:pPr>
        <w:ind w:left="1320" w:right="160" w:firstLine="636"/>
        <w:spacing w:after="0" w:line="289" w:lineRule="auto"/>
        <w:tabs>
          <w:tab w:leader="none" w:pos="219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89" w:lineRule="auto"/>
        <w:rPr>
          <w:sz w:val="20"/>
          <w:szCs w:val="20"/>
          <w:color w:val="auto"/>
        </w:rPr>
      </w:pPr>
      <w:r>
        <w:rPr>
          <w:rFonts w:ascii="Arial" w:cs="Arial" w:eastAsia="Arial" w:hAnsi="Arial"/>
          <w:sz w:val="17"/>
          <w:szCs w:val="17"/>
          <w:color w:val="auto"/>
        </w:rPr>
        <w:t>the date on which the holders of outstanding shares of the Class will be entitled thereto) or for determining rights to vote, if any, in respect of the matters referred to in (a) and (b) above;</w:t>
      </w:r>
    </w:p>
    <w:p>
      <w:pPr>
        <w:spacing w:after="0" w:line="158" w:lineRule="exact"/>
        <w:rPr>
          <w:sz w:val="20"/>
          <w:szCs w:val="20"/>
          <w:color w:val="auto"/>
        </w:rPr>
      </w:pPr>
    </w:p>
    <w:p>
      <w:pPr>
        <w:ind w:left="1260" w:right="40" w:firstLine="633"/>
        <w:spacing w:after="0" w:line="273" w:lineRule="auto"/>
        <w:tabs>
          <w:tab w:leader="none" w:pos="213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71" w:lineRule="exact"/>
        <w:rPr>
          <w:rFonts w:ascii="Arial" w:cs="Arial" w:eastAsia="Arial" w:hAnsi="Arial"/>
          <w:sz w:val="17"/>
          <w:szCs w:val="17"/>
          <w:color w:val="auto"/>
        </w:rPr>
      </w:pPr>
    </w:p>
    <w:p>
      <w:pPr>
        <w:ind w:left="1260" w:right="400" w:firstLine="633"/>
        <w:spacing w:after="0" w:line="289" w:lineRule="auto"/>
        <w:tabs>
          <w:tab w:leader="none" w:pos="213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written notice following the date on which the Company first files its registration statement in connection therewith.</w:t>
      </w:r>
    </w:p>
    <w:p>
      <w:pPr>
        <w:spacing w:after="0" w:line="158"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7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Holder represents and warrants to the Company as follows:</w:t>
      </w:r>
    </w:p>
    <w:p>
      <w:pPr>
        <w:sectPr>
          <w:pgSz w:w="11900" w:h="16838" w:orient="portrait"/>
          <w:cols w:equalWidth="0" w:num="1">
            <w:col w:w="11420"/>
          </w:cols>
          <w:pgMar w:left="240" w:top="337" w:right="239" w:bottom="88" w:gutter="0" w:footer="0" w:header="0"/>
        </w:sectPr>
      </w:pPr>
    </w:p>
    <w:bookmarkStart w:id="225" w:name="page226"/>
    <w:bookmarkEnd w:id="225"/>
    <w:p>
      <w:pPr>
        <w:spacing w:after="0" w:line="20" w:lineRule="exact"/>
        <w:rPr>
          <w:sz w:val="20"/>
          <w:szCs w:val="20"/>
          <w:color w:val="auto"/>
        </w:rPr>
      </w:pPr>
    </w:p>
    <w:p>
      <w:pPr>
        <w:jc w:val="both"/>
        <w:ind w:right="140" w:firstLine="1259"/>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2"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6"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4" w:lineRule="exact"/>
        <w:rPr>
          <w:sz w:val="20"/>
          <w:szCs w:val="20"/>
          <w:color w:val="auto"/>
        </w:rPr>
      </w:pPr>
    </w:p>
    <w:p>
      <w:pPr>
        <w:ind w:right="180" w:firstLine="1259"/>
        <w:spacing w:after="0" w:line="26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The Holder agrees that the Shares shall be subject to the Market Standoff provisions in Section 2.1 of the Company’s Second Amended and Restated Investor Rights Agreement dated November 6, 2012, as amended, or similar agreement.</w:t>
      </w:r>
    </w:p>
    <w:p>
      <w:pPr>
        <w:spacing w:after="0" w:line="158"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Term and Automatic Cashless Exercise Upon Expiration</w:t>
      </w:r>
      <w:r>
        <w:rPr>
          <w:rFonts w:ascii="Arial" w:cs="Arial" w:eastAsia="Arial" w:hAnsi="Arial"/>
          <w:sz w:val="15"/>
          <w:szCs w:val="15"/>
          <w:color w:val="auto"/>
        </w:rPr>
        <w:t>.</w:t>
      </w:r>
    </w:p>
    <w:p>
      <w:pPr>
        <w:spacing w:after="0" w:line="224" w:lineRule="exact"/>
        <w:rPr>
          <w:sz w:val="20"/>
          <w:szCs w:val="20"/>
          <w:color w:val="auto"/>
        </w:rPr>
      </w:pPr>
    </w:p>
    <w:p>
      <w:pPr>
        <w:ind w:right="160" w:firstLine="1263"/>
        <w:spacing w:after="0" w:line="289" w:lineRule="auto"/>
        <w:tabs>
          <w:tab w:leader="none" w:pos="193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158" w:lineRule="exact"/>
        <w:rPr>
          <w:rFonts w:ascii="Arial" w:cs="Arial" w:eastAsia="Arial" w:hAnsi="Arial"/>
          <w:sz w:val="17"/>
          <w:szCs w:val="17"/>
          <w:color w:val="auto"/>
        </w:rPr>
      </w:pPr>
    </w:p>
    <w:p>
      <w:pPr>
        <w:ind w:right="80" w:firstLine="1263"/>
        <w:spacing w:after="0" w:line="265" w:lineRule="auto"/>
        <w:tabs>
          <w:tab w:leader="none" w:pos="194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9"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Each certificate representing the Shares (and each certificate representing the securities issued upon conversion of any Shares, if any) shall be imprinted with a legend in substantially the following form:</w:t>
      </w:r>
    </w:p>
    <w:p>
      <w:pPr>
        <w:spacing w:after="0" w:line="158" w:lineRule="exact"/>
        <w:rPr>
          <w:sz w:val="20"/>
          <w:szCs w:val="20"/>
          <w:color w:val="auto"/>
        </w:rPr>
      </w:pPr>
    </w:p>
    <w:p>
      <w:pPr>
        <w:ind w:left="1260" w:right="100"/>
        <w:spacing w:after="0" w:line="285"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STOCK ISSUED BY THE ISSUER TO SILICON VALLEY BANK DATED JUNE 26, 2013, MAY NOT BE OFFERED, SOLD, PLEDGED OR OTHERWISE TRANSFERRED UNLESS AND UNTIL REGISTERED UNDER SAID ACT AND LAWS OR IN THE OPINION OF LEGAL COUNSEL IN FORM AND SUBSTANCE SATISFACTORY TO THE ISSUER, SUCH OFFER, SALE,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PLEDGE OR OTHER TRANSFER IS EXEMPT FROM SUCH REGISTRATION.</w:t>
      </w:r>
    </w:p>
    <w:p>
      <w:pPr>
        <w:spacing w:after="0" w:line="224" w:lineRule="exact"/>
        <w:rPr>
          <w:sz w:val="20"/>
          <w:szCs w:val="20"/>
          <w:color w:val="auto"/>
        </w:rPr>
      </w:pPr>
    </w:p>
    <w:p>
      <w:pPr>
        <w:ind w:right="40" w:firstLine="1259"/>
        <w:spacing w:after="0" w:line="26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issued upon conversion of any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4"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(or the securities issued upon conversion of any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w:t>
      </w:r>
    </w:p>
    <w:p>
      <w:pPr>
        <w:sectPr>
          <w:pgSz w:w="11900" w:h="16858" w:orient="portrait"/>
          <w:cols w:equalWidth="0" w:num="1">
            <w:col w:w="11420"/>
          </w:cols>
          <w:pgMar w:left="240" w:top="127" w:right="239" w:bottom="0" w:gutter="0" w:footer="0" w:header="0"/>
        </w:sectPr>
      </w:pPr>
    </w:p>
    <w:bookmarkStart w:id="226" w:name="page227"/>
    <w:bookmarkEnd w:id="226"/>
    <w:p>
      <w:pPr>
        <w:spacing w:after="0" w:line="268" w:lineRule="auto"/>
        <w:rPr>
          <w:sz w:val="20"/>
          <w:szCs w:val="20"/>
          <w:color w:val="auto"/>
        </w:rPr>
      </w:pPr>
      <w:r>
        <w:rPr>
          <w:rFonts w:ascii="Arial" w:cs="Arial" w:eastAsia="Arial" w:hAnsi="Arial"/>
          <w:sz w:val="17"/>
          <w:szCs w:val="17"/>
          <w:color w:val="auto"/>
        </w:rPr>
        <w:t>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6"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SVB Financial Group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Treasury Department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3003 Tasman Drive, HC 215</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Santa Clara, CA 95054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(408) 654-7400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(408) 988-8317</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address: derivatives@svb.com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Shelly Guyer, CFO</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(650) 243-6300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(650) 243-6301</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shelly@veracyte.com</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Pillsbury Winthrop Shaw Pittman, LLP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Stanton D. Wong</w:t>
      </w:r>
    </w:p>
    <w:p>
      <w:pPr>
        <w:ind w:left="1900"/>
        <w:spacing w:after="0" w:line="214" w:lineRule="auto"/>
        <w:rPr>
          <w:sz w:val="20"/>
          <w:szCs w:val="20"/>
          <w:color w:val="auto"/>
        </w:rPr>
      </w:pPr>
      <w:r>
        <w:rPr>
          <w:rFonts w:ascii="Arial" w:cs="Arial" w:eastAsia="Arial" w:hAnsi="Arial"/>
          <w:sz w:val="17"/>
          <w:szCs w:val="17"/>
          <w:color w:val="auto"/>
        </w:rPr>
        <w:t>Four Embarcadero Center, 22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San Francisco, CA 94111-5998</w:t>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(415) 983-1790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Fax: (415)983-1200</w:t>
      </w:r>
    </w:p>
    <w:p>
      <w:pPr>
        <w:spacing w:after="0" w:line="212" w:lineRule="exact"/>
        <w:rPr>
          <w:sz w:val="20"/>
          <w:szCs w:val="20"/>
          <w:color w:val="auto"/>
        </w:rPr>
      </w:pPr>
    </w:p>
    <w:p>
      <w:pPr>
        <w:jc w:val="both"/>
        <w:ind w:right="540" w:firstLine="1259"/>
        <w:spacing w:after="0" w:line="27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2" w:lineRule="exact"/>
        <w:rPr>
          <w:sz w:val="20"/>
          <w:szCs w:val="20"/>
          <w:color w:val="auto"/>
        </w:rPr>
      </w:pPr>
    </w:p>
    <w:p>
      <w:pPr>
        <w:ind w:right="660" w:firstLine="1259"/>
        <w:spacing w:after="0" w:line="32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36"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158"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Warrant are for purposes of reference only and shall not limit or otherwise affect the meaning of any provision of this Warrant.</w:t>
      </w:r>
    </w:p>
    <w:p>
      <w:pPr>
        <w:spacing w:after="0" w:line="152"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u w:val="single" w:color="auto"/>
          <w:color w:val="auto"/>
        </w:rPr>
        <w:t>Business Days</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Business Day</w:t>
      </w:r>
      <w:r>
        <w:rPr>
          <w:rFonts w:ascii="Arial" w:cs="Arial" w:eastAsia="Arial" w:hAnsi="Arial"/>
          <w:sz w:val="15"/>
          <w:szCs w:val="15"/>
          <w:color w:val="auto"/>
        </w:rPr>
        <w:t>” is any day that is not a Saturday, Sunday or a day on which Silicon Valley Bank is closed.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left blank intentionally]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IN WITNESS WHEREOF, the parties have caused this Warrant to Purchase Stock to be executed by their duly authorized representatives effective as of the Issue Date written above.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ectPr>
          <w:pgSz w:w="11900" w:h="16838" w:orient="portrait"/>
          <w:cols w:equalWidth="0" w:num="1">
            <w:col w:w="11400"/>
          </w:cols>
          <w:pgMar w:left="240" w:top="127" w:right="25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9470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type w:val="continuous"/>
        </w:sectPr>
      </w:pPr>
    </w:p>
    <w:bookmarkStart w:id="227" w:name="page228"/>
    <w:bookmarkEnd w:id="227"/>
    <w:p>
      <w:pPr>
        <w:jc w:val="center"/>
        <w:ind w:right="9440"/>
        <w:spacing w:after="0"/>
        <w:tabs>
          <w:tab w:leader="none" w:pos="2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29470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7" w:lineRule="exact"/>
        <w:rPr>
          <w:sz w:val="20"/>
          <w:szCs w:val="20"/>
          <w:color w:val="auto"/>
        </w:rPr>
      </w:pPr>
    </w:p>
    <w:p>
      <w:pPr>
        <w:jc w:val="center"/>
        <w:ind w:right="944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F. Goldstein</w:t>
            </w:r>
          </w:p>
        </w:tc>
        <w:tc>
          <w:tcPr>
            <w:tcW w:w="6040" w:type="dxa"/>
            <w:vAlign w:val="bottom"/>
          </w:tcPr>
          <w:p>
            <w:pPr>
              <w:spacing w:after="0"/>
              <w:rPr>
                <w:sz w:val="19"/>
                <w:szCs w:val="19"/>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Jennifer F. Goldstein</w:t>
            </w:r>
          </w:p>
        </w:tc>
        <w:tc>
          <w:tcPr>
            <w:tcW w:w="6040" w:type="dxa"/>
            <w:vAlign w:val="bottom"/>
          </w:tcPr>
          <w:p>
            <w:pPr>
              <w:spacing w:after="0"/>
              <w:rPr>
                <w:sz w:val="24"/>
                <w:szCs w:val="24"/>
                <w:color w:val="auto"/>
              </w:rPr>
            </w:pPr>
          </w:p>
        </w:tc>
      </w:tr>
      <w:tr>
        <w:trPr>
          <w:trHeight w:val="191"/>
        </w:trPr>
        <w:tc>
          <w:tcPr>
            <w:tcW w:w="78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7"/>
                <w:szCs w:val="17"/>
                <w:color w:val="auto"/>
              </w:rPr>
              <w:t>(Print)</w:t>
            </w:r>
          </w:p>
        </w:tc>
        <w:tc>
          <w:tcPr>
            <w:tcW w:w="6040" w:type="dxa"/>
            <w:vAlign w:val="bottom"/>
          </w:tcPr>
          <w:p>
            <w:pPr>
              <w:spacing w:after="0"/>
              <w:rPr>
                <w:sz w:val="16"/>
                <w:szCs w:val="16"/>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640" w:type="dxa"/>
            <w:vAlign w:val="bottom"/>
          </w:tcPr>
          <w:p>
            <w:pPr>
              <w:spacing w:after="0"/>
              <w:rPr>
                <w:sz w:val="20"/>
                <w:szCs w:val="20"/>
                <w:color w:val="auto"/>
              </w:rPr>
            </w:pPr>
            <w:r>
              <w:rPr>
                <w:rFonts w:ascii="Arial" w:cs="Arial" w:eastAsia="Arial" w:hAnsi="Arial"/>
                <w:sz w:val="17"/>
                <w:szCs w:val="17"/>
                <w:color w:val="auto"/>
              </w:rPr>
              <w:t>Managing Director</w:t>
            </w:r>
          </w:p>
        </w:tc>
        <w:tc>
          <w:tcPr>
            <w:tcW w:w="6040" w:type="dxa"/>
            <w:vAlign w:val="bottom"/>
          </w:tcPr>
          <w:p>
            <w:pPr>
              <w:spacing w:after="0"/>
              <w:rPr>
                <w:sz w:val="19"/>
                <w:szCs w:val="19"/>
                <w:color w:val="auto"/>
              </w:rPr>
            </w:pPr>
          </w:p>
        </w:tc>
      </w:tr>
      <w:tr>
        <w:trPr>
          <w:trHeight w:val="338"/>
        </w:trPr>
        <w:tc>
          <w:tcPr>
            <w:tcW w:w="78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6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5280" w:type="dxa"/>
            <w:vAlign w:val="bottom"/>
          </w:tcPr>
          <w:p>
            <w:pPr>
              <w:jc w:val="center"/>
              <w:ind w:left="4193"/>
              <w:spacing w:after="0"/>
              <w:rPr>
                <w:sz w:val="20"/>
                <w:szCs w:val="20"/>
                <w:color w:val="auto"/>
              </w:rPr>
            </w:pPr>
            <w:r>
              <w:rPr>
                <w:rFonts w:ascii="Arial" w:cs="Arial" w:eastAsia="Arial" w:hAnsi="Arial"/>
                <w:sz w:val="17"/>
                <w:szCs w:val="17"/>
                <w:color w:val="auto"/>
                <w:w w:val="99"/>
              </w:rPr>
              <w:t>APPENDIX 1</w:t>
            </w:r>
          </w:p>
        </w:tc>
        <w:tc>
          <w:tcPr>
            <w:tcW w:w="254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19"/>
        </w:trPr>
        <w:tc>
          <w:tcPr>
            <w:tcW w:w="300" w:type="dxa"/>
            <w:vAlign w:val="bottom"/>
          </w:tcPr>
          <w:p>
            <w:pPr>
              <w:spacing w:after="0"/>
              <w:rPr>
                <w:sz w:val="24"/>
                <w:szCs w:val="24"/>
                <w:color w:val="auto"/>
              </w:rPr>
            </w:pPr>
          </w:p>
        </w:tc>
        <w:tc>
          <w:tcPr>
            <w:tcW w:w="7820" w:type="dxa"/>
            <w:vAlign w:val="bottom"/>
            <w:gridSpan w:val="2"/>
          </w:tcPr>
          <w:p>
            <w:pPr>
              <w:jc w:val="center"/>
              <w:ind w:left="1633"/>
              <w:spacing w:after="0"/>
              <w:rPr>
                <w:sz w:val="20"/>
                <w:szCs w:val="20"/>
                <w:color w:val="auto"/>
              </w:rPr>
            </w:pPr>
            <w:r>
              <w:rPr>
                <w:rFonts w:ascii="Arial" w:cs="Arial" w:eastAsia="Arial" w:hAnsi="Arial"/>
                <w:sz w:val="17"/>
                <w:szCs w:val="17"/>
                <w:u w:val="single" w:color="auto"/>
                <w:color w:val="auto"/>
                <w:w w:val="97"/>
              </w:rPr>
              <w:t>NOTICE OF EXERCISE</w:t>
            </w:r>
          </w:p>
        </w:tc>
        <w:tc>
          <w:tcPr>
            <w:tcW w:w="2600" w:type="dxa"/>
            <w:vAlign w:val="bottom"/>
          </w:tcPr>
          <w:p>
            <w:pPr>
              <w:spacing w:after="0"/>
              <w:rPr>
                <w:sz w:val="24"/>
                <w:szCs w:val="24"/>
                <w:color w:val="auto"/>
              </w:rPr>
            </w:pPr>
          </w:p>
        </w:tc>
      </w:tr>
      <w:tr>
        <w:trPr>
          <w:trHeight w:val="419"/>
        </w:trPr>
        <w:tc>
          <w:tcPr>
            <w:tcW w:w="300" w:type="dxa"/>
            <w:vAlign w:val="bottom"/>
          </w:tcPr>
          <w:p>
            <w:pPr>
              <w:jc w:val="right"/>
              <w:ind w:right="93"/>
              <w:spacing w:after="0"/>
              <w:rPr>
                <w:sz w:val="20"/>
                <w:szCs w:val="20"/>
                <w:color w:val="auto"/>
              </w:rPr>
            </w:pPr>
            <w:r>
              <w:rPr>
                <w:rFonts w:ascii="Arial" w:cs="Arial" w:eastAsia="Arial" w:hAnsi="Arial"/>
                <w:sz w:val="17"/>
                <w:szCs w:val="17"/>
                <w:color w:val="auto"/>
                <w:w w:val="70"/>
              </w:rPr>
              <w:t>1.</w:t>
            </w:r>
          </w:p>
        </w:tc>
        <w:tc>
          <w:tcPr>
            <w:tcW w:w="5280" w:type="dxa"/>
            <w:vAlign w:val="bottom"/>
          </w:tcPr>
          <w:p>
            <w:pPr>
              <w:ind w:left="180"/>
              <w:spacing w:after="0"/>
              <w:rPr>
                <w:sz w:val="20"/>
                <w:szCs w:val="20"/>
                <w:color w:val="auto"/>
              </w:rPr>
            </w:pPr>
            <w:r>
              <w:rPr>
                <w:rFonts w:ascii="Arial" w:cs="Arial" w:eastAsia="Arial" w:hAnsi="Arial"/>
                <w:sz w:val="17"/>
                <w:szCs w:val="17"/>
                <w:color w:val="auto"/>
              </w:rPr>
              <w:t>The undersigned Holder hereby exercises its right purchase</w:t>
            </w:r>
          </w:p>
        </w:tc>
        <w:tc>
          <w:tcPr>
            <w:tcW w:w="2540" w:type="dxa"/>
            <w:vAlign w:val="bottom"/>
          </w:tcPr>
          <w:p>
            <w:pPr>
              <w:spacing w:after="0"/>
              <w:rPr>
                <w:sz w:val="20"/>
                <w:szCs w:val="20"/>
                <w:color w:val="auto"/>
              </w:rPr>
            </w:pPr>
            <w:r>
              <w:rPr>
                <w:rFonts w:ascii="Arial" w:cs="Arial" w:eastAsia="Arial" w:hAnsi="Arial"/>
                <w:sz w:val="17"/>
                <w:szCs w:val="17"/>
                <w:color w:val="auto"/>
              </w:rPr>
              <w:t>shares of the Common/Series</w:t>
            </w:r>
          </w:p>
        </w:tc>
        <w:tc>
          <w:tcPr>
            <w:tcW w:w="2600" w:type="dxa"/>
            <w:vAlign w:val="bottom"/>
          </w:tcPr>
          <w:p>
            <w:pPr>
              <w:ind w:left="480"/>
              <w:spacing w:after="0"/>
              <w:rPr>
                <w:sz w:val="20"/>
                <w:szCs w:val="20"/>
                <w:color w:val="auto"/>
              </w:rPr>
            </w:pPr>
            <w:r>
              <w:rPr>
                <w:rFonts w:ascii="Arial" w:cs="Arial" w:eastAsia="Arial" w:hAnsi="Arial"/>
                <w:sz w:val="17"/>
                <w:szCs w:val="17"/>
                <w:color w:val="auto"/>
                <w:w w:val="93"/>
              </w:rPr>
              <w:t>Preferred [circle one] Stock of</w:t>
            </w:r>
          </w:p>
        </w:tc>
      </w:tr>
    </w:tbl>
    <w:p>
      <w:pPr>
        <w:ind w:right="280"/>
        <w:spacing w:after="0" w:line="275" w:lineRule="auto"/>
        <w:rPr>
          <w:sz w:val="20"/>
          <w:szCs w:val="20"/>
          <w:color w:val="auto"/>
        </w:rPr>
      </w:pPr>
      <w:r>
        <w:rPr>
          <w:rFonts w:ascii="Arial" w:cs="Arial" w:eastAsia="Arial" w:hAnsi="Arial"/>
          <w:sz w:val="17"/>
          <w:szCs w:val="17"/>
          <w:color w:val="auto"/>
        </w:rPr>
        <w:t>VERACYTE, INC.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in accordance with the attached Warrant To Purchase Stock, and tenders payment of the aggregate Warrant Price for such shares as follows:</w:t>
      </w:r>
    </w:p>
    <w:p>
      <w:pPr>
        <w:spacing w:after="0" w:line="169" w:lineRule="exact"/>
        <w:rPr>
          <w:sz w:val="20"/>
          <w:szCs w:val="20"/>
          <w:color w:val="auto"/>
        </w:rPr>
      </w:pPr>
    </w:p>
    <w:p>
      <w:pPr>
        <w:ind w:left="640"/>
        <w:spacing w:after="0"/>
        <w:tabs>
          <w:tab w:leader="none" w:pos="1580" w:val="left"/>
          <w:tab w:leader="none" w:pos="400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check in the amount of $</w:t>
      </w:r>
      <w:r>
        <w:rPr>
          <w:sz w:val="20"/>
          <w:szCs w:val="20"/>
          <w:color w:val="auto"/>
        </w:rPr>
        <w:tab/>
      </w:r>
      <w:r>
        <w:rPr>
          <w:rFonts w:ascii="Arial" w:cs="Arial" w:eastAsia="Arial" w:hAnsi="Arial"/>
          <w:sz w:val="15"/>
          <w:szCs w:val="15"/>
          <w:color w:val="auto"/>
        </w:rPr>
        <w:t>payable to order of the Company enclosed herewith</w:t>
      </w:r>
    </w:p>
    <w:p>
      <w:pPr>
        <w:spacing w:after="0" w:line="224" w:lineRule="exact"/>
        <w:rPr>
          <w:sz w:val="20"/>
          <w:szCs w:val="20"/>
          <w:color w:val="auto"/>
        </w:rPr>
      </w:pPr>
    </w:p>
    <w:p>
      <w:pPr>
        <w:ind w:left="1600" w:hanging="966"/>
        <w:spacing w:after="0"/>
        <w:tabs>
          <w:tab w:leader="none" w:pos="1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Wire transfer of immediately available funds to the Company’s account</w:t>
      </w:r>
    </w:p>
    <w:p>
      <w:pPr>
        <w:spacing w:after="0" w:line="224" w:lineRule="exact"/>
        <w:rPr>
          <w:rFonts w:ascii="Arial" w:cs="Arial" w:eastAsia="Arial" w:hAnsi="Arial"/>
          <w:sz w:val="17"/>
          <w:szCs w:val="17"/>
          <w:color w:val="auto"/>
        </w:rPr>
      </w:pPr>
    </w:p>
    <w:p>
      <w:pPr>
        <w:ind w:left="1600" w:hanging="966"/>
        <w:spacing w:after="0"/>
        <w:tabs>
          <w:tab w:leader="none" w:pos="1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Cashless Exercise pursuant to Section 1.2 of the Warrant</w:t>
      </w:r>
    </w:p>
    <w:p>
      <w:pPr>
        <w:spacing w:after="0" w:line="224" w:lineRule="exact"/>
        <w:rPr>
          <w:rFonts w:ascii="Arial" w:cs="Arial" w:eastAsia="Arial" w:hAnsi="Arial"/>
          <w:sz w:val="17"/>
          <w:szCs w:val="17"/>
          <w:color w:val="auto"/>
        </w:rPr>
      </w:pPr>
    </w:p>
    <w:p>
      <w:pPr>
        <w:ind w:left="1600" w:hanging="966"/>
        <w:spacing w:after="0"/>
        <w:tabs>
          <w:tab w:leader="none" w:pos="1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Other [Describe]</w:t>
      </w:r>
    </w:p>
    <w:p>
      <w:pPr>
        <w:spacing w:after="0" w:line="224" w:lineRule="exact"/>
        <w:rPr>
          <w:sz w:val="20"/>
          <w:szCs w:val="20"/>
          <w:color w:val="auto"/>
        </w:rPr>
      </w:pPr>
    </w:p>
    <w:p>
      <w:pPr>
        <w:ind w:left="1120" w:hanging="486"/>
        <w:spacing w:after="0"/>
        <w:tabs>
          <w:tab w:leader="none" w:pos="11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the Shares in the name specified below: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3400"/>
        <w:spacing w:after="0"/>
        <w:rPr>
          <w:rFonts w:ascii="Arial" w:cs="Arial" w:eastAsia="Arial" w:hAnsi="Arial"/>
          <w:sz w:val="17"/>
          <w:szCs w:val="17"/>
          <w:color w:val="auto"/>
        </w:rPr>
      </w:pPr>
      <w:r>
        <w:rPr>
          <w:rFonts w:ascii="Arial" w:cs="Arial" w:eastAsia="Arial" w:hAnsi="Arial"/>
          <w:sz w:val="17"/>
          <w:szCs w:val="17"/>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424815</wp:posOffset>
            </wp:positionV>
            <wp:extent cx="3379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7947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283210</wp:posOffset>
            </wp:positionV>
            <wp:extent cx="3379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7947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-123825</wp:posOffset>
            </wp:positionV>
            <wp:extent cx="3379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right="80" w:firstLine="634"/>
        <w:spacing w:after="0" w:line="289" w:lineRule="auto"/>
        <w:tabs>
          <w:tab w:leader="none" w:pos="132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By its execution below and for the benefit of the Company, Holder hereby restates each of the representations and warranties in Section 4 of the Warrant to Purchase Stock as of the date hereof.</w:t>
      </w:r>
    </w:p>
    <w:p>
      <w:pPr>
        <w:spacing w:after="0" w:line="158"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283210</wp:posOffset>
            </wp:positionV>
            <wp:extent cx="35712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797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SCHEDULE 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Company Capitalization Table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28" w:name="page229"/>
    <w:bookmarkEnd w:id="228"/>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2008 STOCK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July 15, 2009)</w:t>
      </w:r>
    </w:p>
    <w:p>
      <w:pPr>
        <w:spacing w:after="0" w:line="224" w:lineRule="exact"/>
        <w:rPr>
          <w:sz w:val="20"/>
          <w:szCs w:val="20"/>
          <w:color w:val="auto"/>
        </w:rPr>
      </w:pPr>
    </w:p>
    <w:p>
      <w:pPr>
        <w:ind w:right="80" w:firstLine="634"/>
        <w:spacing w:after="0" w:line="273" w:lineRule="auto"/>
        <w:tabs>
          <w:tab w:leader="none" w:pos="1258"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this Plan are to attract and retain the best available personnel for positions of substantial responsibility, to provide additional incentive to Employees, Directors and Consultants and to promote the success of the Company’s business. The Plan permits the grant of Options and Restricted Stock as the Administrator may determine.</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definitions shall apply:</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hereof.</w:t>
      </w:r>
    </w:p>
    <w:p>
      <w:pPr>
        <w:spacing w:after="0" w:line="235" w:lineRule="exact"/>
        <w:rPr>
          <w:rFonts w:ascii="Arial" w:cs="Arial" w:eastAsia="Arial" w:hAnsi="Arial"/>
          <w:sz w:val="16"/>
          <w:szCs w:val="16"/>
          <w:color w:val="auto"/>
        </w:rPr>
      </w:pPr>
    </w:p>
    <w:p>
      <w:pPr>
        <w:jc w:val="both"/>
        <w:ind w:right="20" w:firstLine="1263"/>
        <w:spacing w:after="0" w:line="273" w:lineRule="auto"/>
        <w:tabs>
          <w:tab w:leader="none" w:pos="1895"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 compensation plans under U.S. state corporate laws, U.S. federal and state securities laws, the Code, any stock exchange or quotation system on which the Common Stock is listed or quoted and the applicable laws of any other country or jurisdiction where Awards are granted under the Plan.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or Restricted Stock.</w:t>
      </w:r>
    </w:p>
    <w:p>
      <w:pPr>
        <w:spacing w:after="0" w:line="224"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ind w:right="100" w:firstLine="1893"/>
        <w:spacing w:after="0" w:line="268" w:lineRule="auto"/>
        <w:tabs>
          <w:tab w:leader="none" w:pos="2538" w:val="left"/>
        </w:tabs>
        <w:numPr>
          <w:ilvl w:val="2"/>
          <w:numId w:val="213"/>
        </w:numPr>
        <w:rPr>
          <w:rFonts w:ascii="Arial" w:cs="Arial" w:eastAsia="Arial" w:hAnsi="Arial"/>
          <w:sz w:val="17"/>
          <w:szCs w:val="17"/>
          <w:color w:val="auto"/>
        </w:rPr>
      </w:pPr>
      <w:r>
        <w:rPr>
          <w:rFonts w:ascii="Arial" w:cs="Arial" w:eastAsia="Arial" w:hAnsi="Arial"/>
          <w:sz w:val="17"/>
          <w:szCs w:val="17"/>
          <w:u w:val="single" w:color="auto"/>
          <w:color w:val="auto"/>
        </w:rPr>
        <w:t>Change in Ownership of the Company</w:t>
      </w:r>
      <w:r>
        <w:rPr>
          <w:rFonts w:ascii="Arial" w:cs="Arial" w:eastAsia="Arial" w:hAnsi="Arial"/>
          <w:sz w:val="17"/>
          <w:szCs w:val="17"/>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75" w:lineRule="exact"/>
        <w:rPr>
          <w:rFonts w:ascii="Arial" w:cs="Arial" w:eastAsia="Arial" w:hAnsi="Arial"/>
          <w:sz w:val="17"/>
          <w:szCs w:val="17"/>
          <w:color w:val="auto"/>
        </w:rPr>
      </w:pPr>
    </w:p>
    <w:p>
      <w:pPr>
        <w:jc w:val="both"/>
        <w:ind w:right="60" w:firstLine="1893"/>
        <w:spacing w:after="0" w:line="290" w:lineRule="auto"/>
        <w:tabs>
          <w:tab w:leader="none" w:pos="2547"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filed a registration statement declared effective pursuant to Section 12(g) of the Exchange Act with respect to any of the Company’s securities,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Person is considered to be in effective control of the Company, the acquisition of additional control of the Company by the same Person will not be considered a Change in Control; or</w:t>
      </w:r>
    </w:p>
    <w:p>
      <w:pPr>
        <w:spacing w:after="0" w:line="158" w:lineRule="exact"/>
        <w:rPr>
          <w:sz w:val="20"/>
          <w:szCs w:val="20"/>
          <w:color w:val="auto"/>
        </w:rPr>
      </w:pPr>
    </w:p>
    <w:p>
      <w:pPr>
        <w:ind w:firstLine="1893"/>
        <w:spacing w:after="0" w:line="308" w:lineRule="auto"/>
        <w:tabs>
          <w:tab w:leader="none" w:pos="2556"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Change in Ownership of a Substantial Portion of the Company’s Assets</w:t>
      </w:r>
      <w:r>
        <w:rPr>
          <w:rFonts w:ascii="Arial" w:cs="Arial" w:eastAsia="Arial" w:hAnsi="Arial"/>
          <w:sz w:val="15"/>
          <w:szCs w:val="15"/>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52" w:lineRule="exact"/>
        <w:rPr>
          <w:sz w:val="20"/>
          <w:szCs w:val="20"/>
          <w:color w:val="auto"/>
        </w:rPr>
      </w:pPr>
    </w:p>
    <w:p>
      <w:pPr>
        <w:ind w:right="40" w:firstLine="1888"/>
        <w:spacing w:after="0" w:line="289" w:lineRule="auto"/>
        <w:rPr>
          <w:sz w:val="20"/>
          <w:szCs w:val="20"/>
          <w:color w:val="auto"/>
        </w:rPr>
      </w:pPr>
      <w:r>
        <w:rPr>
          <w:rFonts w:ascii="Arial" w:cs="Arial" w:eastAsia="Arial" w:hAnsi="Arial"/>
          <w:sz w:val="17"/>
          <w:szCs w:val="17"/>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300" w:firstLine="1888"/>
        <w:spacing w:after="0" w:line="298" w:lineRule="auto"/>
        <w:rPr>
          <w:sz w:val="20"/>
          <w:szCs w:val="20"/>
          <w:color w:val="auto"/>
        </w:rPr>
      </w:pPr>
      <w:r>
        <w:rPr>
          <w:rFonts w:ascii="Arial" w:cs="Arial" w:eastAsia="Arial" w:hAnsi="Arial"/>
          <w:sz w:val="16"/>
          <w:szCs w:val="16"/>
          <w:color w:val="auto"/>
        </w:rPr>
        <w:t>Notwithstanding the foregoing, a transaction shall not be deemed a Change in Control unless the transaction qualifies as a change in control event within the meaning of Section 409A of the Code, as it has been and may be amended from time to time, and any proposed or final Treasury Regulations and Internal Revenue Service guidance that has been promulgated or may be promulgated thereunder from time to time.</w:t>
      </w:r>
    </w:p>
    <w:p>
      <w:pPr>
        <w:spacing w:after="0" w:line="154" w:lineRule="exact"/>
        <w:rPr>
          <w:sz w:val="20"/>
          <w:szCs w:val="20"/>
          <w:color w:val="auto"/>
        </w:rPr>
      </w:pPr>
    </w:p>
    <w:p>
      <w:pPr>
        <w:ind w:firstLine="1888"/>
        <w:spacing w:after="0" w:line="273" w:lineRule="auto"/>
        <w:rPr>
          <w:sz w:val="20"/>
          <w:szCs w:val="20"/>
          <w:color w:val="auto"/>
        </w:rPr>
      </w:pPr>
      <w:r>
        <w:rPr>
          <w:rFonts w:ascii="Arial" w:cs="Arial" w:eastAsia="Arial" w:hAnsi="Arial"/>
          <w:sz w:val="17"/>
          <w:szCs w:val="17"/>
          <w:color w:val="auto"/>
        </w:rPr>
        <w:t>Further and for the avoidance of doubt, a transaction shall not constitute a Change in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72" w:lineRule="exact"/>
        <w:rPr>
          <w:sz w:val="20"/>
          <w:szCs w:val="20"/>
          <w:color w:val="auto"/>
        </w:rPr>
      </w:pPr>
    </w:p>
    <w:p>
      <w:pPr>
        <w:ind w:right="220" w:firstLine="1263"/>
        <w:spacing w:after="0" w:line="289" w:lineRule="auto"/>
        <w:tabs>
          <w:tab w:leader="none" w:pos="190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Any reference to a section of the Code herein shall be a reference to any successor or amended section of the Code.</w:t>
      </w:r>
    </w:p>
    <w:p>
      <w:pPr>
        <w:spacing w:after="0" w:line="158"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of Directors or of other individuals satisfying Applicable Laws appointed by the Board, or by the compensation committee of the Board, in accordance with Section 4 hereof.</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Veracyte, Inc., a Delaware corporation.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who is engaged by the Company or any Parent or Subsidiary to render consulting or advisory services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to such entity.</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ectPr>
          <w:pgSz w:w="11900" w:h="16838" w:orient="portrait"/>
          <w:cols w:equalWidth="0" w:num="1">
            <w:col w:w="11420"/>
          </w:cols>
          <w:pgMar w:left="240" w:top="357" w:right="239" w:bottom="0" w:gutter="0" w:footer="0" w:header="0"/>
        </w:sectPr>
      </w:pPr>
    </w:p>
    <w:bookmarkStart w:id="229" w:name="page230"/>
    <w:bookmarkEnd w:id="229"/>
    <w:p>
      <w:pPr>
        <w:ind w:left="5680" w:right="3020" w:hanging="4417"/>
        <w:spacing w:after="0" w:line="547" w:lineRule="auto"/>
        <w:tabs>
          <w:tab w:leader="none" w:pos="190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 2</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jc w:val="both"/>
        <w:ind w:right="660" w:firstLine="1263"/>
        <w:spacing w:after="0" w:line="360" w:lineRule="auto"/>
        <w:tabs>
          <w:tab w:leader="none" w:pos="1895" w:val="left"/>
        </w:tabs>
        <w:numPr>
          <w:ilvl w:val="0"/>
          <w:numId w:val="2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11" w:lineRule="exact"/>
        <w:rPr>
          <w:rFonts w:ascii="Arial" w:cs="Arial" w:eastAsia="Arial" w:hAnsi="Arial"/>
          <w:sz w:val="15"/>
          <w:szCs w:val="15"/>
          <w:color w:val="auto"/>
        </w:rPr>
      </w:pPr>
    </w:p>
    <w:p>
      <w:pPr>
        <w:ind w:left="1900" w:hanging="637"/>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firstLine="1263"/>
        <w:spacing w:after="0" w:line="298" w:lineRule="auto"/>
        <w:tabs>
          <w:tab w:leader="none" w:pos="189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Options are surrendered or cancelled in exchange for Options of the same type (which may have lower or higher exercise prices and different terms), Options of a different type, and/or cash, and/or (ii) the exercise price of an outstanding Option is reduced. The terms and conditions of any Exchange Program shall be determined by the Administrator in its sole discretion.</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24" w:lineRule="exact"/>
        <w:rPr>
          <w:rFonts w:ascii="Arial" w:cs="Arial" w:eastAsia="Arial" w:hAnsi="Arial"/>
          <w:sz w:val="17"/>
          <w:szCs w:val="17"/>
          <w:color w:val="auto"/>
        </w:rPr>
      </w:pPr>
    </w:p>
    <w:p>
      <w:pPr>
        <w:ind w:right="20" w:firstLine="1893"/>
        <w:spacing w:after="0" w:line="290" w:lineRule="auto"/>
        <w:tabs>
          <w:tab w:leader="none" w:pos="253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59" w:lineRule="exact"/>
        <w:rPr>
          <w:rFonts w:ascii="Arial" w:cs="Arial" w:eastAsia="Arial" w:hAnsi="Arial"/>
          <w:sz w:val="16"/>
          <w:szCs w:val="16"/>
          <w:color w:val="auto"/>
        </w:rPr>
      </w:pPr>
    </w:p>
    <w:p>
      <w:pPr>
        <w:ind w:right="140" w:firstLine="1893"/>
        <w:spacing w:after="0" w:line="273" w:lineRule="auto"/>
        <w:tabs>
          <w:tab w:leader="none" w:pos="2547" w:val="left"/>
        </w:tabs>
        <w:numPr>
          <w:ilvl w:val="1"/>
          <w:numId w:val="216"/>
        </w:numPr>
        <w:rPr>
          <w:rFonts w:ascii="Arial" w:cs="Arial" w:eastAsia="Arial" w:hAnsi="Arial"/>
          <w:sz w:val="17"/>
          <w:szCs w:val="17"/>
          <w:color w:val="auto"/>
        </w:rPr>
      </w:pPr>
      <w:r>
        <w:rPr>
          <w:rFonts w:ascii="Arial" w:cs="Arial" w:eastAsia="Arial" w:hAnsi="Arial"/>
          <w:sz w:val="17"/>
          <w:szCs w:val="17"/>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were reported); or</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shall be determined in good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faith by the Administrator.</w:t>
      </w:r>
    </w:p>
    <w:p>
      <w:pPr>
        <w:spacing w:after="0" w:line="212" w:lineRule="exact"/>
        <w:rPr>
          <w:rFonts w:ascii="Arial" w:cs="Arial" w:eastAsia="Arial" w:hAnsi="Arial"/>
          <w:sz w:val="16"/>
          <w:szCs w:val="16"/>
          <w:color w:val="auto"/>
        </w:rPr>
      </w:pPr>
    </w:p>
    <w:p>
      <w:pPr>
        <w:ind w:right="140" w:firstLine="1263"/>
        <w:spacing w:after="0" w:line="289" w:lineRule="auto"/>
        <w:tabs>
          <w:tab w:leader="none" w:pos="190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that by its terms qualifies and is otherwise intended to qualify as an incentive stock option within the meaning of Section 422 of the Code and the regulations promulgated thereunder.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 “parent corporation,” whether now or hereafter existing, as defined in Section 424(e) of the Code.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the holder of an outstanding Award.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2008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-5154295</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1263"/>
        <w:spacing w:after="0" w:line="289" w:lineRule="auto"/>
        <w:tabs>
          <w:tab w:leader="none" w:pos="18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issued pursuant to a Restricted Stock award under Section 7 of the Plan, or issued pursuant to the early exercise of an Option.</w:t>
      </w:r>
    </w:p>
    <w:p>
      <w:pPr>
        <w:spacing w:after="0" w:line="158"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Purchase Agreement</w:t>
      </w:r>
      <w:r>
        <w:rPr>
          <w:rFonts w:ascii="Arial" w:cs="Arial" w:eastAsia="Arial" w:hAnsi="Arial"/>
          <w:sz w:val="17"/>
          <w:szCs w:val="17"/>
          <w:color w:val="auto"/>
        </w:rPr>
        <w:t>” means a written or electronic agreement between the Company and the Participant evidencing the terms and restrictions applying to Shares purchased under a Restricted Stock award. The Restricted Stock Purchase Agreement is subject to the terms and conditions of the Plan and the notice of grant.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w:t>
      </w:r>
    </w:p>
    <w:p>
      <w:pPr>
        <w:spacing w:after="0" w:line="224" w:lineRule="exact"/>
        <w:rPr>
          <w:sz w:val="20"/>
          <w:szCs w:val="20"/>
          <w:color w:val="auto"/>
        </w:rPr>
      </w:pPr>
    </w:p>
    <w:p>
      <w:pPr>
        <w:ind w:left="1880" w:hanging="617"/>
        <w:spacing w:after="0"/>
        <w:tabs>
          <w:tab w:leader="none" w:pos="18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an Employee, Director or Consultant.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 as adjusted in accordance with Section 11 below.</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24" w:lineRule="exact"/>
        <w:rPr>
          <w:sz w:val="20"/>
          <w:szCs w:val="20"/>
          <w:color w:val="auto"/>
        </w:rPr>
      </w:pPr>
    </w:p>
    <w:p>
      <w:pPr>
        <w:ind w:right="120" w:firstLine="634"/>
        <w:spacing w:after="0" w:line="289" w:lineRule="auto"/>
        <w:tabs>
          <w:tab w:leader="none" w:pos="1258"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xml:space="preserve">. Subject to the provisions of Section 11 of the Plan, the maximum aggregate number of Shares that may be subject to Awards and sold under the Plan is </w:t>
      </w:r>
      <w:r>
        <w:rPr>
          <w:rFonts w:ascii="Arial" w:cs="Arial" w:eastAsia="Arial" w:hAnsi="Arial"/>
          <w:sz w:val="17"/>
          <w:szCs w:val="17"/>
          <w:b w:val="1"/>
          <w:bCs w:val="1"/>
          <w:color w:val="auto"/>
        </w:rPr>
        <w:t>3,954,878</w:t>
      </w:r>
      <w:r>
        <w:rPr>
          <w:rFonts w:ascii="Arial" w:cs="Arial" w:eastAsia="Arial" w:hAnsi="Arial"/>
          <w:sz w:val="17"/>
          <w:szCs w:val="17"/>
          <w:color w:val="auto"/>
        </w:rPr>
        <w:t xml:space="preserve"> Shares. The Shares may be authorized but unissued, or reacquired Common Stock.</w:t>
      </w:r>
    </w:p>
    <w:p>
      <w:pPr>
        <w:spacing w:after="0" w:line="158"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If an Award expires or becomes unexercisable without having been exercised in full, or is surrendered pursuant to an Exchange Program, the unpurchased Shares that were subject thereto shall become available for future grant or sale under the Plan (unless the Plan has terminated). However, Shares that have actually been issued under the Plan, upon exercise of an Award,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 Notwithstanding the foregoing and, subject to adjustment provided in Section 11, the maximum number of Shares that may be issued upon the exercise of Incentive Stock Options shall equal the aggregate Share number stated in the first paragraph of this Section, plus, to the extent allowable under Section 422 of the Code, any Shares that become available for issuance under the Plan under this second paragraph of this Section.</w:t>
      </w:r>
    </w:p>
    <w:p>
      <w:pPr>
        <w:spacing w:after="0" w:line="170" w:lineRule="exact"/>
        <w:rPr>
          <w:sz w:val="20"/>
          <w:szCs w:val="20"/>
          <w:color w:val="auto"/>
        </w:rPr>
      </w:pPr>
    </w:p>
    <w:p>
      <w:pPr>
        <w:ind w:left="1260" w:hanging="626"/>
        <w:spacing w:after="0"/>
        <w:tabs>
          <w:tab w:leader="none" w:pos="126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80" w:firstLine="1263"/>
        <w:spacing w:after="0" w:line="289" w:lineRule="auto"/>
        <w:tabs>
          <w:tab w:leader="none" w:pos="1885"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Administrator</w:t>
      </w:r>
      <w:r>
        <w:rPr>
          <w:rFonts w:ascii="Arial" w:cs="Arial" w:eastAsia="Arial" w:hAnsi="Arial"/>
          <w:sz w:val="17"/>
          <w:szCs w:val="17"/>
          <w:color w:val="auto"/>
        </w:rPr>
        <w:t>. The Plan shall be administered by the Board or a Committee appointed by the Board, which Committee shall be constituted to comply with Applicable Laws.</w:t>
      </w:r>
    </w:p>
    <w:p>
      <w:pPr>
        <w:sectPr>
          <w:pgSz w:w="11900" w:h="16838" w:orient="portrait"/>
          <w:cols w:equalWidth="0" w:num="1">
            <w:col w:w="11400"/>
          </w:cols>
          <w:pgMar w:left="240" w:top="127" w:right="259" w:bottom="0" w:gutter="0" w:footer="0" w:header="0"/>
        </w:sectPr>
      </w:pPr>
    </w:p>
    <w:bookmarkStart w:id="230" w:name="page231"/>
    <w:bookmarkEnd w:id="230"/>
    <w:p>
      <w:pPr>
        <w:spacing w:after="0" w:line="67" w:lineRule="exact"/>
        <w:rPr>
          <w:sz w:val="20"/>
          <w:szCs w:val="20"/>
          <w:color w:val="auto"/>
        </w:rPr>
      </w:pPr>
    </w:p>
    <w:p>
      <w:pPr>
        <w:ind w:right="100" w:firstLine="1263"/>
        <w:spacing w:after="0" w:line="322" w:lineRule="auto"/>
        <w:tabs>
          <w:tab w:leader="none" w:pos="1895"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from time to time be granted hereunder;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such Award granted hereunder;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approve forms of agreement for use under the Plan;</w:t>
      </w:r>
    </w:p>
    <w:p>
      <w:pPr>
        <w:spacing w:after="0" w:line="224" w:lineRule="exact"/>
        <w:rPr>
          <w:rFonts w:ascii="Arial" w:cs="Arial" w:eastAsia="Arial" w:hAnsi="Arial"/>
          <w:sz w:val="17"/>
          <w:szCs w:val="17"/>
          <w:color w:val="auto"/>
        </w:rPr>
      </w:pPr>
    </w:p>
    <w:p>
      <w:pPr>
        <w:ind w:right="60" w:firstLine="1893"/>
        <w:spacing w:after="0" w:line="268" w:lineRule="auto"/>
        <w:tabs>
          <w:tab w:leader="none" w:pos="2524"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institute an Exchange Program;</w:t>
      </w:r>
    </w:p>
    <w:p>
      <w:pPr>
        <w:spacing w:after="0" w:line="224" w:lineRule="exact"/>
        <w:rPr>
          <w:rFonts w:ascii="Arial" w:cs="Arial" w:eastAsia="Arial" w:hAnsi="Arial"/>
          <w:sz w:val="17"/>
          <w:szCs w:val="17"/>
          <w:color w:val="auto"/>
        </w:rPr>
      </w:pPr>
    </w:p>
    <w:p>
      <w:pPr>
        <w:ind w:right="80" w:firstLine="1893"/>
        <w:spacing w:after="0" w:line="289" w:lineRule="auto"/>
        <w:tabs>
          <w:tab w:leader="none" w:pos="2542"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satisfying applicable foreign laws;</w:t>
      </w:r>
    </w:p>
    <w:p>
      <w:pPr>
        <w:spacing w:after="0" w:line="158" w:lineRule="exact"/>
        <w:rPr>
          <w:rFonts w:ascii="Arial" w:cs="Arial" w:eastAsia="Arial" w:hAnsi="Arial"/>
          <w:sz w:val="17"/>
          <w:szCs w:val="17"/>
          <w:color w:val="auto"/>
        </w:rPr>
      </w:pPr>
    </w:p>
    <w:p>
      <w:pPr>
        <w:ind w:right="160" w:firstLine="1893"/>
        <w:spacing w:after="0" w:line="273" w:lineRule="auto"/>
        <w:tabs>
          <w:tab w:leader="none" w:pos="2552"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19(c) of the Plan) including but not limited to the discretionary authority to extend the post-termination exercise period of Awards and to extend the maximum term of an Option (subject to Section 6(a) regarding Incentive Stock Options);</w:t>
      </w:r>
    </w:p>
    <w:p>
      <w:pPr>
        <w:spacing w:after="0" w:line="171" w:lineRule="exact"/>
        <w:rPr>
          <w:rFonts w:ascii="Arial" w:cs="Arial" w:eastAsia="Arial" w:hAnsi="Arial"/>
          <w:sz w:val="17"/>
          <w:szCs w:val="17"/>
          <w:color w:val="auto"/>
        </w:rPr>
      </w:pPr>
    </w:p>
    <w:p>
      <w:pPr>
        <w:ind w:right="740" w:firstLine="1893"/>
        <w:spacing w:after="0" w:line="289" w:lineRule="auto"/>
        <w:tabs>
          <w:tab w:leader="none" w:pos="2533"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All decisions, determinations and interpretations of the Administrator shall be final and binding 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all Participants.</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and Restricted Stock may be granted to Service Providers. Incentive Stock Options may be granted only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to Employees.</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0" w:firstLine="1263"/>
        <w:spacing w:after="0" w:line="268" w:lineRule="auto"/>
        <w:tabs>
          <w:tab w:leader="none" w:pos="1885"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shall be stated in the Award Agreement; provided, however, that the term shall be no more than ten (10) years from the date of grant thereof. In the case of an Incentive Stock Option granted to a Participant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Award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80" w:firstLine="1893"/>
        <w:spacing w:after="0" w:line="289" w:lineRule="auto"/>
        <w:tabs>
          <w:tab w:leader="none" w:pos="2538" w:val="left"/>
        </w:tabs>
        <w:numPr>
          <w:ilvl w:val="2"/>
          <w:numId w:val="22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upon exercise of an Option shall be such price as is determined by the Administrator, but shall be subject to the following:</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3"/>
          <w:numId w:val="225"/>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24" w:lineRule="exact"/>
        <w:rPr>
          <w:rFonts w:ascii="Arial" w:cs="Arial" w:eastAsia="Arial" w:hAnsi="Arial"/>
          <w:sz w:val="17"/>
          <w:szCs w:val="17"/>
          <w:color w:val="auto"/>
        </w:rPr>
      </w:pPr>
    </w:p>
    <w:p>
      <w:pPr>
        <w:ind w:right="120" w:firstLine="3151"/>
        <w:spacing w:after="0" w:line="273" w:lineRule="auto"/>
        <w:tabs>
          <w:tab w:leader="none" w:pos="3767" w:val="left"/>
        </w:tabs>
        <w:numPr>
          <w:ilvl w:val="4"/>
          <w:numId w:val="225"/>
        </w:numPr>
        <w:rPr>
          <w:rFonts w:ascii="Arial" w:cs="Arial" w:eastAsia="Arial" w:hAnsi="Arial"/>
          <w:sz w:val="17"/>
          <w:szCs w:val="17"/>
          <w:color w:val="auto"/>
        </w:rPr>
      </w:pPr>
      <w:r>
        <w:rPr>
          <w:rFonts w:ascii="Arial" w:cs="Arial" w:eastAsia="Arial" w:hAnsi="Arial"/>
          <w:sz w:val="17"/>
          <w:szCs w:val="17"/>
          <w:color w:val="auto"/>
        </w:rPr>
        <w:t>granted to an Employee who, at the time of grant of such Option, owns stock representing more than ten percent (10%) of the voting power of all classes of stock of the Company or any Parent or Subsidiary, the exercise price shall be no less than one hundred and ten percent (110%) of the Fair Market Value per Share on the date of grant.</w:t>
      </w:r>
    </w:p>
    <w:p>
      <w:pPr>
        <w:spacing w:after="0" w:line="171" w:lineRule="exact"/>
        <w:rPr>
          <w:rFonts w:ascii="Arial" w:cs="Arial" w:eastAsia="Arial" w:hAnsi="Arial"/>
          <w:sz w:val="17"/>
          <w:szCs w:val="17"/>
          <w:color w:val="auto"/>
        </w:rPr>
      </w:pPr>
    </w:p>
    <w:p>
      <w:pPr>
        <w:ind w:right="540" w:firstLine="3151"/>
        <w:spacing w:after="0" w:line="289" w:lineRule="auto"/>
        <w:tabs>
          <w:tab w:leader="none" w:pos="3777" w:val="left"/>
        </w:tabs>
        <w:numPr>
          <w:ilvl w:val="4"/>
          <w:numId w:val="225"/>
        </w:numPr>
        <w:rPr>
          <w:rFonts w:ascii="Arial" w:cs="Arial" w:eastAsia="Arial" w:hAnsi="Arial"/>
          <w:sz w:val="17"/>
          <w:szCs w:val="17"/>
          <w:color w:val="auto"/>
        </w:rPr>
      </w:pPr>
      <w:r>
        <w:rPr>
          <w:rFonts w:ascii="Arial" w:cs="Arial" w:eastAsia="Arial" w:hAnsi="Arial"/>
          <w:sz w:val="17"/>
          <w:szCs w:val="17"/>
          <w:color w:val="auto"/>
        </w:rPr>
        <w:t>granted to any other Employee, the per Share exercise price shall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340" w:firstLine="2522"/>
        <w:spacing w:after="0" w:line="289" w:lineRule="auto"/>
        <w:tabs>
          <w:tab w:leader="none" w:pos="3156" w:val="left"/>
        </w:tabs>
        <w:numPr>
          <w:ilvl w:val="3"/>
          <w:numId w:val="225"/>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shall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140" w:firstLine="2522"/>
        <w:spacing w:after="0" w:line="289" w:lineRule="auto"/>
        <w:tabs>
          <w:tab w:leader="none" w:pos="3156" w:val="left"/>
        </w:tabs>
        <w:numPr>
          <w:ilvl w:val="3"/>
          <w:numId w:val="225"/>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other than as required above in accordance with and pursuant to a transaction described in Section 424 of the Code.</w:t>
      </w:r>
    </w:p>
    <w:p>
      <w:pPr>
        <w:spacing w:after="0" w:line="158" w:lineRule="exact"/>
        <w:rPr>
          <w:rFonts w:ascii="Arial" w:cs="Arial" w:eastAsia="Arial" w:hAnsi="Arial"/>
          <w:sz w:val="17"/>
          <w:szCs w:val="17"/>
          <w:color w:val="auto"/>
        </w:rPr>
      </w:pPr>
    </w:p>
    <w:p>
      <w:pPr>
        <w:ind w:right="180" w:firstLine="1893"/>
        <w:spacing w:after="0" w:line="295" w:lineRule="auto"/>
        <w:tabs>
          <w:tab w:leader="none" w:pos="2547" w:val="left"/>
        </w:tabs>
        <w:numPr>
          <w:ilvl w:val="2"/>
          <w:numId w:val="225"/>
        </w:numPr>
        <w:rPr>
          <w:rFonts w:ascii="Arial" w:cs="Arial" w:eastAsia="Arial" w:hAnsi="Arial"/>
          <w:sz w:val="15"/>
          <w:szCs w:val="15"/>
          <w:color w:val="auto"/>
        </w:rPr>
      </w:pPr>
      <w:r>
        <w:rPr>
          <w:rFonts w:ascii="Arial" w:cs="Arial" w:eastAsia="Arial" w:hAnsi="Arial"/>
          <w:sz w:val="15"/>
          <w:szCs w:val="15"/>
          <w:u w:val="single" w:color="auto"/>
          <w:color w:val="auto"/>
        </w:rPr>
        <w:t>Forms of Consideration</w:t>
      </w:r>
      <w:r>
        <w:rPr>
          <w:rFonts w:ascii="Arial" w:cs="Arial" w:eastAsia="Arial" w:hAnsi="Arial"/>
          <w:sz w:val="15"/>
          <w:szCs w:val="15"/>
          <w:color w:val="auto"/>
        </w:rPr>
        <w:t>. The consideration to be paid for the Shares to be issued upon exercise of an Option, including the method of payment, shall be determined by the Administrator (and, in the case of an Incentive Stock Option, shall be determined at the time of grant). Such consideration may consist of, without limitation, (1) cash, (2) check, (3) promissory note, to the extent permitted by Applicable Laws, (4) other Shares, provided that such Shares have a Fair Market Value on the date of surrender equal to the aggregate exercise price of the Shares as to which such Option shall be exercised and provided that accepting such Shares, in the sole discretion of the Administrator, shall not result in any adverse accounting consequences to the Company,</w:t>
      </w:r>
    </w:p>
    <w:p>
      <w:pPr>
        <w:ind w:right="180" w:firstLine="5"/>
        <w:spacing w:after="0" w:line="343" w:lineRule="auto"/>
        <w:tabs>
          <w:tab w:leader="none" w:pos="247" w:val="left"/>
        </w:tabs>
        <w:numPr>
          <w:ilvl w:val="0"/>
          <w:numId w:val="226"/>
        </w:numPr>
        <w:rPr>
          <w:rFonts w:ascii="Arial" w:cs="Arial" w:eastAsia="Arial" w:hAnsi="Arial"/>
          <w:sz w:val="15"/>
          <w:szCs w:val="15"/>
          <w:color w:val="auto"/>
        </w:rPr>
      </w:pPr>
      <w:r>
        <w:rPr>
          <w:rFonts w:ascii="Arial" w:cs="Arial" w:eastAsia="Arial" w:hAnsi="Arial"/>
          <w:sz w:val="15"/>
          <w:szCs w:val="15"/>
          <w:color w:val="auto"/>
        </w:rPr>
        <w:t>consideration received by the Company under a cashless exercise program implemented by the Company in connection with the Plan, (6) such other consideration and method of payment for the issuance of Shares to the extent permitted by Applicable Laws, or (7) any combination of the foregoing methods of</w:t>
      </w:r>
    </w:p>
    <w:p>
      <w:pPr>
        <w:sectPr>
          <w:pgSz w:w="11900" w:h="16905" w:orient="portrait"/>
          <w:cols w:equalWidth="0" w:num="1">
            <w:col w:w="11420"/>
          </w:cols>
          <w:pgMar w:left="240" w:top="128" w:right="239" w:bottom="0" w:gutter="0" w:footer="0" w:header="0"/>
        </w:sectPr>
      </w:pPr>
    </w:p>
    <w:bookmarkStart w:id="231" w:name="page232"/>
    <w:bookmarkEnd w:id="231"/>
    <w:p>
      <w:pPr>
        <w:spacing w:after="0" w:line="7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payment. In making its determination as to the type of consideration to accept, the Administrator shall consider if acceptance of such consideration may be reasonably expected to benefit the Company.</w:t>
      </w:r>
    </w:p>
    <w:p>
      <w:pPr>
        <w:spacing w:after="0" w:line="158" w:lineRule="exact"/>
        <w:rPr>
          <w:sz w:val="20"/>
          <w:szCs w:val="20"/>
          <w:color w:val="auto"/>
        </w:rPr>
      </w:pPr>
    </w:p>
    <w:p>
      <w:pPr>
        <w:ind w:left="1900" w:hanging="637"/>
        <w:spacing w:after="0"/>
        <w:tabs>
          <w:tab w:leader="none" w:pos="1900"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893"/>
        <w:spacing w:after="0" w:line="273" w:lineRule="auto"/>
        <w:tabs>
          <w:tab w:leader="none" w:pos="2538"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hereunder shall be exercisable according to the terms hereof at such times and under such conditions as determined by the Administrator and set forth in the Award Agreement. An Option may not be exercised for a fraction of a Share.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888"/>
        <w:spacing w:after="0" w:line="280" w:lineRule="auto"/>
        <w:rPr>
          <w:sz w:val="20"/>
          <w:szCs w:val="20"/>
          <w:color w:val="auto"/>
        </w:rPr>
      </w:pPr>
      <w:r>
        <w:rPr>
          <w:rFonts w:ascii="Arial" w:cs="Arial" w:eastAsia="Arial" w:hAnsi="Arial"/>
          <w:sz w:val="16"/>
          <w:szCs w:val="16"/>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11 of the Plan.</w:t>
      </w:r>
    </w:p>
    <w:p>
      <w:pPr>
        <w:spacing w:after="0" w:line="171" w:lineRule="exact"/>
        <w:rPr>
          <w:sz w:val="20"/>
          <w:szCs w:val="20"/>
          <w:color w:val="auto"/>
        </w:rPr>
      </w:pPr>
    </w:p>
    <w:p>
      <w:pPr>
        <w:ind w:right="340" w:firstLine="1888"/>
        <w:spacing w:after="0" w:line="289" w:lineRule="auto"/>
        <w:rPr>
          <w:sz w:val="20"/>
          <w:szCs w:val="20"/>
          <w:color w:val="auto"/>
        </w:rPr>
      </w:pPr>
      <w:r>
        <w:rPr>
          <w:rFonts w:ascii="Arial" w:cs="Arial" w:eastAsia="Arial" w:hAnsi="Arial"/>
          <w:sz w:val="17"/>
          <w:szCs w:val="17"/>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ind w:right="20" w:firstLine="1893"/>
        <w:spacing w:after="0" w:line="263" w:lineRule="auto"/>
        <w:tabs>
          <w:tab w:leader="none" w:pos="2547"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such Participant may exercise his or her Option within thirty (30) days of termination, or such longer period of time as specified in the Award Agreement, to the extent that the Option is vested on the date of termination (but in no event later than the expiration of the term of the Option as set forth in the Award Agreement).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by the Administrator, the Option shall terminate, and the Shares covered by such Option shall revert to the Plan.</w:t>
      </w:r>
    </w:p>
    <w:p>
      <w:pPr>
        <w:spacing w:after="0" w:line="183" w:lineRule="exact"/>
        <w:rPr>
          <w:rFonts w:ascii="Arial" w:cs="Arial" w:eastAsia="Arial" w:hAnsi="Arial"/>
          <w:sz w:val="17"/>
          <w:szCs w:val="17"/>
          <w:color w:val="auto"/>
        </w:rPr>
      </w:pPr>
    </w:p>
    <w:p>
      <w:pPr>
        <w:ind w:right="140" w:firstLine="1893"/>
        <w:spacing w:after="0" w:line="263" w:lineRule="auto"/>
        <w:tabs>
          <w:tab w:leader="none" w:pos="2556"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six (6) months of termination, or such longer period of time as specified in the Award Agreement, to the extent the Option is vested on the date of termination (but in no event later than the expiration of the term of such Option as set forth in the Award Agreement).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herein, the Option shall terminate, and the Shares covered by such Option shall revert to the Plan.</w:t>
      </w:r>
    </w:p>
    <w:p>
      <w:pPr>
        <w:spacing w:after="0" w:line="183" w:lineRule="exact"/>
        <w:rPr>
          <w:rFonts w:ascii="Arial" w:cs="Arial" w:eastAsia="Arial" w:hAnsi="Arial"/>
          <w:sz w:val="17"/>
          <w:szCs w:val="17"/>
          <w:color w:val="auto"/>
        </w:rPr>
      </w:pPr>
    </w:p>
    <w:p>
      <w:pPr>
        <w:ind w:right="20" w:firstLine="1893"/>
        <w:spacing w:after="0" w:line="285" w:lineRule="auto"/>
        <w:tabs>
          <w:tab w:leader="none" w:pos="2533"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such longer period of time as specified in the Award Agreement, to the extent that the Option is vested on the date of death (but in no event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transferred pursuant to the Participant’s will or in accordance with the laws of descent and distribution. If, at the time of death, the Participant is not vested as to his or her entire Option,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172" w:lineRule="exact"/>
        <w:rPr>
          <w:sz w:val="20"/>
          <w:szCs w:val="20"/>
          <w:color w:val="auto"/>
        </w:rPr>
      </w:pPr>
    </w:p>
    <w:p>
      <w:pPr>
        <w:ind w:firstLine="1893"/>
        <w:spacing w:after="0" w:line="277" w:lineRule="auto"/>
        <w:tabs>
          <w:tab w:leader="none" w:pos="2524" w:val="left"/>
        </w:tabs>
        <w:numPr>
          <w:ilvl w:val="2"/>
          <w:numId w:val="229"/>
        </w:numPr>
        <w:rPr>
          <w:rFonts w:ascii="Arial" w:cs="Arial" w:eastAsia="Arial" w:hAnsi="Arial"/>
          <w:sz w:val="16"/>
          <w:szCs w:val="16"/>
          <w:color w:val="auto"/>
        </w:rPr>
      </w:pPr>
      <w:r>
        <w:rPr>
          <w:rFonts w:ascii="Arial" w:cs="Arial" w:eastAsia="Arial" w:hAnsi="Arial"/>
          <w:sz w:val="16"/>
          <w:szCs w:val="16"/>
          <w:u w:val="single" w:color="auto"/>
          <w:color w:val="auto"/>
        </w:rPr>
        <w:t>Incentive Stock Option Limit</w:t>
      </w:r>
      <w:r>
        <w:rPr>
          <w:rFonts w:ascii="Arial" w:cs="Arial" w:eastAsia="Arial" w:hAnsi="Arial"/>
          <w:sz w:val="16"/>
          <w:szCs w:val="16"/>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shall be treated as Nonstatutory Stock Options. For purposes of this Section 6(c)</w:t>
      </w:r>
    </w:p>
    <w:p>
      <w:pPr>
        <w:spacing w:after="0" w:line="1" w:lineRule="exact"/>
        <w:rPr>
          <w:rFonts w:ascii="Arial" w:cs="Arial" w:eastAsia="Arial" w:hAnsi="Arial"/>
          <w:sz w:val="16"/>
          <w:szCs w:val="16"/>
          <w:color w:val="auto"/>
        </w:rPr>
      </w:pPr>
    </w:p>
    <w:p>
      <w:pPr>
        <w:ind w:right="20"/>
        <w:spacing w:after="0" w:line="275" w:lineRule="auto"/>
        <w:rPr>
          <w:rFonts w:ascii="Arial" w:cs="Arial" w:eastAsia="Arial" w:hAnsi="Arial"/>
          <w:sz w:val="16"/>
          <w:szCs w:val="16"/>
          <w:color w:val="auto"/>
        </w:rPr>
      </w:pPr>
      <w:r>
        <w:rPr>
          <w:rFonts w:ascii="Arial" w:cs="Arial" w:eastAsia="Arial" w:hAnsi="Arial"/>
          <w:sz w:val="17"/>
          <w:szCs w:val="17"/>
          <w:color w:val="auto"/>
        </w:rPr>
        <w:t>(v), Incentive Stock Options shall be taken into account in the order in which they were granted. The Fair Market Value of the Shares shall be determined as of the time the Option with respect to such Shares is granted.</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68" w:lineRule="auto"/>
        <w:tabs>
          <w:tab w:leader="none" w:pos="1885"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Rights to Purchase</w:t>
      </w:r>
      <w:r>
        <w:rPr>
          <w:rFonts w:ascii="Arial" w:cs="Arial" w:eastAsia="Arial" w:hAnsi="Arial"/>
          <w:sz w:val="17"/>
          <w:szCs w:val="17"/>
          <w:color w:val="auto"/>
        </w:rPr>
        <w:t>. Restricted Stock may be issued either alone, in addition to, or in tandem with other awards granted under the Plan and/or cash awards made outside of the Plan. After the Administrator determines that it shall offer Restricted Stock under the Plan, it shall advise the offeree in writing or electronically of the terms, conditions and restrictions related to the offer, including the number of Shares that such person shall be entitled to purchase, the price to be paid (if any), and the time within which such person must accept such offer.</w:t>
      </w:r>
    </w:p>
    <w:p>
      <w:pPr>
        <w:spacing w:after="0" w:line="175" w:lineRule="exact"/>
        <w:rPr>
          <w:rFonts w:ascii="Arial" w:cs="Arial" w:eastAsia="Arial" w:hAnsi="Arial"/>
          <w:sz w:val="17"/>
          <w:szCs w:val="17"/>
          <w:color w:val="auto"/>
        </w:rPr>
      </w:pPr>
    </w:p>
    <w:p>
      <w:pPr>
        <w:ind w:right="60" w:firstLine="1263"/>
        <w:spacing w:after="0" w:line="289" w:lineRule="auto"/>
        <w:tabs>
          <w:tab w:leader="none" w:pos="1895"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Repurchase Option</w:t>
      </w:r>
      <w:r>
        <w:rPr>
          <w:rFonts w:ascii="Arial" w:cs="Arial" w:eastAsia="Arial" w:hAnsi="Arial"/>
          <w:sz w:val="17"/>
          <w:szCs w:val="17"/>
          <w:color w:val="auto"/>
        </w:rPr>
        <w:t>. Unless the Administrator determines otherwise, the Restricted Stock Purchase Agreement shall grant the Company a repurchase option according to terms as the Administrator determines.</w:t>
      </w:r>
    </w:p>
    <w:p>
      <w:pPr>
        <w:spacing w:after="0" w:line="158" w:lineRule="exact"/>
        <w:rPr>
          <w:rFonts w:ascii="Arial" w:cs="Arial" w:eastAsia="Arial" w:hAnsi="Arial"/>
          <w:sz w:val="17"/>
          <w:szCs w:val="17"/>
          <w:color w:val="auto"/>
        </w:rPr>
      </w:pPr>
    </w:p>
    <w:p>
      <w:pPr>
        <w:ind w:right="200" w:firstLine="1263"/>
        <w:spacing w:after="0" w:line="289" w:lineRule="auto"/>
        <w:tabs>
          <w:tab w:leader="none" w:pos="1898"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term of each Restricted Stock award shall be stated in the Restricted Stock Purchase Agreement; provided, however, that the term shall be no more than ten (10) years from the date of grant thereof.</w:t>
      </w:r>
    </w:p>
    <w:p>
      <w:pPr>
        <w:spacing w:after="0" w:line="158" w:lineRule="exact"/>
        <w:rPr>
          <w:rFonts w:ascii="Arial" w:cs="Arial" w:eastAsia="Arial" w:hAnsi="Arial"/>
          <w:sz w:val="17"/>
          <w:szCs w:val="17"/>
          <w:color w:val="auto"/>
        </w:rPr>
      </w:pPr>
    </w:p>
    <w:p>
      <w:pPr>
        <w:ind w:right="100" w:firstLine="1263"/>
        <w:spacing w:after="0" w:line="289" w:lineRule="auto"/>
        <w:tabs>
          <w:tab w:leader="none" w:pos="1895"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Other Provisions</w:t>
      </w:r>
      <w:r>
        <w:rPr>
          <w:rFonts w:ascii="Arial" w:cs="Arial" w:eastAsia="Arial" w:hAnsi="Arial"/>
          <w:sz w:val="17"/>
          <w:szCs w:val="17"/>
          <w:color w:val="auto"/>
        </w:rPr>
        <w:t>. The Restricted Stock Purchase Agreement shall contain such other terms, provisions and conditions not inconsistent with the Plan as may be determined by the Administrator in its sole discretion.</w:t>
      </w:r>
    </w:p>
    <w:p>
      <w:pPr>
        <w:spacing w:after="0" w:line="158" w:lineRule="exact"/>
        <w:rPr>
          <w:rFonts w:ascii="Arial" w:cs="Arial" w:eastAsia="Arial" w:hAnsi="Arial"/>
          <w:sz w:val="17"/>
          <w:szCs w:val="17"/>
          <w:color w:val="auto"/>
        </w:rPr>
      </w:pPr>
    </w:p>
    <w:p>
      <w:pPr>
        <w:ind w:right="40" w:firstLine="1263"/>
        <w:spacing w:after="0" w:line="360" w:lineRule="auto"/>
        <w:tabs>
          <w:tab w:leader="none" w:pos="1898" w:val="left"/>
        </w:tabs>
        <w:numPr>
          <w:ilvl w:val="1"/>
          <w:numId w:val="230"/>
        </w:numPr>
        <w:rPr>
          <w:rFonts w:ascii="Arial" w:cs="Arial" w:eastAsia="Arial" w:hAnsi="Arial"/>
          <w:sz w:val="15"/>
          <w:szCs w:val="15"/>
          <w:color w:val="auto"/>
        </w:rPr>
      </w:pPr>
      <w:r>
        <w:rPr>
          <w:rFonts w:ascii="Arial" w:cs="Arial" w:eastAsia="Arial" w:hAnsi="Arial"/>
          <w:sz w:val="15"/>
          <w:szCs w:val="15"/>
          <w:u w:val="single" w:color="auto"/>
          <w:color w:val="auto"/>
        </w:rPr>
        <w:t>Rights as a Stockholder</w:t>
      </w:r>
      <w:r>
        <w:rPr>
          <w:rFonts w:ascii="Arial" w:cs="Arial" w:eastAsia="Arial" w:hAnsi="Arial"/>
          <w:sz w:val="15"/>
          <w:szCs w:val="15"/>
          <w:color w:val="auto"/>
        </w:rPr>
        <w:t>. Once the Restricted Stock award is purchased or otherwise issued, the purchaser shall have rights equivalent to those of a stockholder and shall be a stockholder when his or her purchase is entered upon the records of the duly authorized transfer agent of the Company. No</w:t>
      </w:r>
    </w:p>
    <w:p>
      <w:pPr>
        <w:sectPr>
          <w:pgSz w:w="11900" w:h="16917" w:orient="portrait"/>
          <w:cols w:equalWidth="0" w:num="1">
            <w:col w:w="11420"/>
          </w:cols>
          <w:pgMar w:left="240" w:top="127" w:right="239" w:bottom="0" w:gutter="0" w:footer="0" w:header="0"/>
        </w:sectPr>
      </w:pPr>
    </w:p>
    <w:bookmarkStart w:id="232" w:name="page233"/>
    <w:bookmarkEnd w:id="232"/>
    <w:p>
      <w:pPr>
        <w:ind w:right="40"/>
        <w:spacing w:after="0" w:line="289" w:lineRule="auto"/>
        <w:rPr>
          <w:sz w:val="20"/>
          <w:szCs w:val="20"/>
          <w:color w:val="auto"/>
        </w:rPr>
      </w:pPr>
      <w:r>
        <w:rPr>
          <w:rFonts w:ascii="Arial" w:cs="Arial" w:eastAsia="Arial" w:hAnsi="Arial"/>
          <w:sz w:val="17"/>
          <w:szCs w:val="17"/>
          <w:color w:val="auto"/>
        </w:rPr>
        <w:t>adjustment shall be made for a dividend or other right for which the record date is prior to the date the Restricted Stock is purchased or otherwise issued, except as provided in Section 11 of the Plan.</w:t>
      </w:r>
    </w:p>
    <w:p>
      <w:pPr>
        <w:spacing w:after="0" w:line="158" w:lineRule="exact"/>
        <w:rPr>
          <w:sz w:val="20"/>
          <w:szCs w:val="20"/>
          <w:color w:val="auto"/>
        </w:rPr>
      </w:pPr>
    </w:p>
    <w:p>
      <w:pPr>
        <w:ind w:firstLine="634"/>
        <w:spacing w:after="0" w:line="273" w:lineRule="auto"/>
        <w:tabs>
          <w:tab w:leader="none" w:pos="1258"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Prior to the delivery of any Shares pursuant to an Award (or exercise thereof), the Company shall have the power and the right to deduct or withhold, or require a Participant to remit to the Company, an amount sufficient to satisfy federal, state, local, foreign or other taxes (including the Participant’s FICA obligation) required to be withheld with respect to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Award (or exercise thereof). The Administrator, in its sole discretion and pursuant to such procedures as it may specify from time to time, shall determine in what manner it shall allow a Participant to satisfy such tax withholding obligation and may permit the Participant to satisfy such tax withholding obligation, in whole or in part by one (1) or more of the following: (a) paying cash (or by check), (b) electing to have the Company withhold otherwise deliverable Shares having a Fair Market Value equal to the minimum amount statutorily required to be withheld, or (c) selling a sufficient number of such Shares otherwise deliverable to a Participant through such means as the Company may determine in its sole discretion (whether through a broker or otherwise) equal to the minimum amount statutorily required to be withheld.</w:t>
      </w:r>
    </w:p>
    <w:p>
      <w:pPr>
        <w:spacing w:after="0" w:line="183" w:lineRule="exact"/>
        <w:rPr>
          <w:sz w:val="20"/>
          <w:szCs w:val="20"/>
          <w:color w:val="auto"/>
        </w:rPr>
      </w:pPr>
    </w:p>
    <w:p>
      <w:pPr>
        <w:ind w:right="40" w:firstLine="634"/>
        <w:spacing w:after="0" w:line="268" w:lineRule="auto"/>
        <w:tabs>
          <w:tab w:leader="none" w:pos="1258"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Limited Transferability of Awards</w:t>
      </w:r>
      <w:r>
        <w:rPr>
          <w:rFonts w:ascii="Arial" w:cs="Arial" w:eastAsia="Arial" w:hAnsi="Arial"/>
          <w:sz w:val="17"/>
          <w:szCs w:val="17"/>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 (ii) by the laws of descent and distribution, or (iii) as permitted by Rule 701 of the Securities Act.</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Leaves of Absence; Transfers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89" w:lineRule="auto"/>
        <w:tabs>
          <w:tab w:leader="none" w:pos="1885" w:val="left"/>
        </w:tabs>
        <w:numPr>
          <w:ilvl w:val="2"/>
          <w:numId w:val="232"/>
        </w:numPr>
        <w:rPr>
          <w:rFonts w:ascii="Arial" w:cs="Arial" w:eastAsia="Arial" w:hAnsi="Arial"/>
          <w:sz w:val="17"/>
          <w:szCs w:val="17"/>
          <w:color w:val="auto"/>
        </w:rPr>
      </w:pPr>
      <w:r>
        <w:rPr>
          <w:rFonts w:ascii="Arial" w:cs="Arial" w:eastAsia="Arial" w:hAnsi="Arial"/>
          <w:sz w:val="17"/>
          <w:szCs w:val="17"/>
          <w:color w:val="auto"/>
        </w:rPr>
        <w:t>Unless the Administrator provides otherwise, or except as otherwise required by Applicable Laws, vesting of Awards granted hereunder shall be suspended during any unpaid leave of absence.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A Service Provider shall not cease to be a Service Provider in the case of (i) any leave of absence approved by the Company, or</w:t>
      </w:r>
    </w:p>
    <w:p>
      <w:pPr>
        <w:spacing w:after="0" w:line="37" w:lineRule="exact"/>
        <w:rPr>
          <w:rFonts w:ascii="Arial" w:cs="Arial" w:eastAsia="Arial" w:hAnsi="Arial"/>
          <w:sz w:val="16"/>
          <w:szCs w:val="16"/>
          <w:color w:val="auto"/>
        </w:rPr>
      </w:pPr>
    </w:p>
    <w:p>
      <w:pPr>
        <w:ind w:left="260" w:hanging="255"/>
        <w:spacing w:after="0"/>
        <w:tabs>
          <w:tab w:leader="none" w:pos="2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transfers between locations of the Company or between the Company, its Parent, any Subsidiary, or any successor.</w:t>
      </w:r>
    </w:p>
    <w:p>
      <w:pPr>
        <w:spacing w:after="0" w:line="212" w:lineRule="exact"/>
        <w:rPr>
          <w:rFonts w:ascii="Arial" w:cs="Arial" w:eastAsia="Arial" w:hAnsi="Arial"/>
          <w:sz w:val="17"/>
          <w:szCs w:val="17"/>
          <w:color w:val="auto"/>
        </w:rPr>
      </w:pPr>
    </w:p>
    <w:p>
      <w:pPr>
        <w:ind w:right="280" w:firstLine="1263"/>
        <w:spacing w:after="0" w:line="300" w:lineRule="auto"/>
        <w:tabs>
          <w:tab w:leader="none" w:pos="1898" w:val="left"/>
        </w:tabs>
        <w:numPr>
          <w:ilvl w:val="2"/>
          <w:numId w:val="233"/>
        </w:numPr>
        <w:rPr>
          <w:rFonts w:ascii="Arial" w:cs="Arial" w:eastAsia="Arial" w:hAnsi="Arial"/>
          <w:sz w:val="15"/>
          <w:szCs w:val="15"/>
          <w:color w:val="auto"/>
        </w:rPr>
      </w:pPr>
      <w:r>
        <w:rPr>
          <w:rFonts w:ascii="Arial" w:cs="Arial" w:eastAsia="Arial" w:hAnsi="Arial"/>
          <w:sz w:val="15"/>
          <w:szCs w:val="15"/>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w:t>
      </w:r>
    </w:p>
    <w:p>
      <w:pPr>
        <w:ind w:right="60"/>
        <w:spacing w:after="0" w:line="224" w:lineRule="auto"/>
        <w:rPr>
          <w:rFonts w:ascii="Arial" w:cs="Arial" w:eastAsia="Arial" w:hAnsi="Arial"/>
          <w:sz w:val="15"/>
          <w:szCs w:val="15"/>
          <w:color w:val="auto"/>
        </w:rPr>
      </w:pPr>
      <w:r>
        <w:rPr>
          <w:rFonts w:ascii="Arial" w:cs="Arial" w:eastAsia="Arial" w:hAnsi="Arial"/>
          <w:sz w:val="17"/>
          <w:szCs w:val="17"/>
          <w:color w:val="auto"/>
        </w:rPr>
        <w:t>(6) months following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the Participant shall cease to be treated as an Incentive Stock Option and shall be treated for tax purposes as a Nonstatutory Stock Option.</w:t>
      </w:r>
    </w:p>
    <w:p>
      <w:pPr>
        <w:spacing w:after="0" w:line="198" w:lineRule="exact"/>
        <w:rPr>
          <w:rFonts w:ascii="Arial" w:cs="Arial" w:eastAsia="Arial" w:hAnsi="Arial"/>
          <w:sz w:val="15"/>
          <w:szCs w:val="15"/>
          <w:color w:val="auto"/>
        </w:rPr>
      </w:pPr>
    </w:p>
    <w:p>
      <w:pPr>
        <w:ind w:left="1260" w:hanging="626"/>
        <w:spacing w:after="0"/>
        <w:tabs>
          <w:tab w:leader="none" w:pos="1260"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Merger or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83" w:lineRule="auto"/>
        <w:tabs>
          <w:tab w:leader="none" w:pos="1885" w:val="left"/>
        </w:tabs>
        <w:numPr>
          <w:ilvl w:val="2"/>
          <w:numId w:val="23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 provided, however, that the Administrator shall make such adjustments to the extent required by Section 25102(o) of the California Corporations Code.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63"/>
        <w:spacing w:after="0" w:line="273" w:lineRule="auto"/>
        <w:tabs>
          <w:tab w:leader="none" w:pos="1895"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shall notify each Participant as soon as practicable prior to the effective date of such proposed transaction. To the extent it has not been previously exercised, an Award shall terminate immediately prior to the consummation of such proposed action.</w:t>
      </w:r>
    </w:p>
    <w:p>
      <w:pPr>
        <w:spacing w:after="0" w:line="171" w:lineRule="exact"/>
        <w:rPr>
          <w:rFonts w:ascii="Arial" w:cs="Arial" w:eastAsia="Arial" w:hAnsi="Arial"/>
          <w:sz w:val="17"/>
          <w:szCs w:val="17"/>
          <w:color w:val="auto"/>
        </w:rPr>
      </w:pPr>
    </w:p>
    <w:p>
      <w:pPr>
        <w:ind w:right="160" w:firstLine="1263"/>
        <w:spacing w:after="0" w:line="273" w:lineRule="auto"/>
        <w:tabs>
          <w:tab w:leader="none" w:pos="1898"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Award shall be treated as the Administrator determines, including, without limitation, that each Award be assumed or an equivalent award substituted by the successor corporation or a Parent or Subsidiary of the successor corporation. The Administrator shall not be required to treat all Awards similarly in the transaction.</w:t>
      </w:r>
    </w:p>
    <w:p>
      <w:pPr>
        <w:spacing w:after="0" w:line="172"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Notwithstanding the foregoing, in the event of a Change in Control in which the successor corporation does not assume or substitute for the Award, the Participant shall fully vest in and have the right to exercise his or her outstanding Awards, including Shares as to which such Award would not otherwise be vested or exercisable, and restrictions on all of the Participant’s Restricted Stock shall lapse. In addition, if an Award is not assumed or substituted in the event of a merger or Change in Control, the Administrator shall notify the Participant in writing or electronically that the Award shall be fully vested and exercisable for a period of time determined by the Administrator in its sole discretion, and any Award not assumed or substituted for shall terminate upon the expiration of such period for no consideration, unless otherwise determined by the Administrator.</w:t>
      </w:r>
    </w:p>
    <w:p>
      <w:pPr>
        <w:spacing w:after="0" w:line="183" w:lineRule="exact"/>
        <w:rPr>
          <w:sz w:val="20"/>
          <w:szCs w:val="20"/>
          <w:color w:val="auto"/>
        </w:rPr>
      </w:pPr>
    </w:p>
    <w:p>
      <w:pPr>
        <w:ind w:right="100" w:firstLine="1259"/>
        <w:spacing w:after="0" w:line="280" w:lineRule="auto"/>
        <w:rPr>
          <w:sz w:val="20"/>
          <w:szCs w:val="20"/>
          <w:color w:val="auto"/>
        </w:rPr>
      </w:pPr>
      <w:r>
        <w:rPr>
          <w:rFonts w:ascii="Arial" w:cs="Arial" w:eastAsia="Arial" w:hAnsi="Arial"/>
          <w:sz w:val="16"/>
          <w:szCs w:val="16"/>
          <w:color w:val="auto"/>
        </w:rPr>
        <w:t>For the purposes of this Section 11(c), the Award shall be considered assumed if, following the merger or Change in Control, the option or right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common stock in the merger or Change in Control.</w:t>
      </w:r>
    </w:p>
    <w:p>
      <w:pPr>
        <w:spacing w:after="0" w:line="171" w:lineRule="exact"/>
        <w:rPr>
          <w:sz w:val="20"/>
          <w:szCs w:val="20"/>
          <w:color w:val="auto"/>
        </w:rPr>
      </w:pPr>
    </w:p>
    <w:p>
      <w:pPr>
        <w:ind w:firstLine="634"/>
        <w:spacing w:after="0" w:line="273" w:lineRule="auto"/>
        <w:tabs>
          <w:tab w:leader="none" w:pos="1254"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Time of Granting Awards</w:t>
      </w:r>
      <w:r>
        <w:rPr>
          <w:rFonts w:ascii="Arial" w:cs="Arial" w:eastAsia="Arial" w:hAnsi="Arial"/>
          <w:sz w:val="17"/>
          <w:szCs w:val="17"/>
          <w:color w:val="auto"/>
        </w:rPr>
        <w:t>. The date of grant of an Award shall, for all purposes, be the date on which the Administrator makes the determination granting such Award, or such later date as is determined by the Administrator. Notice of the determination shall be given to each Service Provider to whom an Award is so granted within a reasonable time after the date of such grant.</w:t>
      </w:r>
    </w:p>
    <w:p>
      <w:pPr>
        <w:sectPr>
          <w:pgSz w:w="11900" w:h="16838" w:orient="portrait"/>
          <w:cols w:equalWidth="0" w:num="1">
            <w:col w:w="11400"/>
          </w:cols>
          <w:pgMar w:left="240" w:top="127" w:right="259" w:bottom="36" w:gutter="0" w:footer="0" w:header="0"/>
        </w:sectPr>
      </w:pPr>
    </w:p>
    <w:bookmarkStart w:id="233" w:name="page234"/>
    <w:bookmarkEnd w:id="233"/>
    <w:p>
      <w:pPr>
        <w:ind w:right="20" w:firstLine="634"/>
        <w:spacing w:after="0" w:line="273" w:lineRule="auto"/>
        <w:tabs>
          <w:tab w:leader="none" w:pos="1254"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shall confer upon any participant any right with respect to continuing the Participant’s relationship as a Service Provider with the Company, nor shall it interfere in any way with his or her right or the Company’s right to terminate such relationship at any time, with or without cause, and with or without notice.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263"/>
        <w:spacing w:after="0" w:line="273" w:lineRule="auto"/>
        <w:tabs>
          <w:tab w:leader="none" w:pos="1885"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71" w:lineRule="exact"/>
        <w:rPr>
          <w:rFonts w:ascii="Arial" w:cs="Arial" w:eastAsia="Arial" w:hAnsi="Arial"/>
          <w:sz w:val="17"/>
          <w:szCs w:val="17"/>
          <w:color w:val="auto"/>
        </w:rPr>
      </w:pPr>
    </w:p>
    <w:p>
      <w:pPr>
        <w:ind w:right="140" w:firstLine="1263"/>
        <w:spacing w:after="0" w:line="273" w:lineRule="auto"/>
        <w:tabs>
          <w:tab w:leader="none" w:pos="1895"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Administrator may in its discretion require the person exercising such Award to represent and warrant at the time of any such exercise that the Shares are being purchased only for investment and without any present intention to sell or distribute such Shares.</w:t>
      </w:r>
    </w:p>
    <w:p>
      <w:pPr>
        <w:spacing w:after="0" w:line="171" w:lineRule="exact"/>
        <w:rPr>
          <w:rFonts w:ascii="Arial" w:cs="Arial" w:eastAsia="Arial" w:hAnsi="Arial"/>
          <w:sz w:val="17"/>
          <w:szCs w:val="17"/>
          <w:color w:val="auto"/>
        </w:rPr>
      </w:pPr>
    </w:p>
    <w:p>
      <w:pPr>
        <w:jc w:val="both"/>
        <w:ind w:firstLine="634"/>
        <w:spacing w:after="0" w:line="273" w:lineRule="auto"/>
        <w:tabs>
          <w:tab w:leader="none" w:pos="1254"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1"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Company, during the term of this Plan, shall at all times reserve and keep available such number of Shares as shall be sufficient to satisfy the requirements of the Plan.</w:t>
      </w:r>
    </w:p>
    <w:p>
      <w:pPr>
        <w:spacing w:after="0" w:line="158"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shall be subject to approval by the stockholders of the Company within twelve (12) months after the date the Plan is adopted. Such stockholder approval shall be obtained in the degree and manner required under Applicable Laws.</w:t>
      </w:r>
    </w:p>
    <w:p>
      <w:pPr>
        <w:spacing w:after="0" w:line="158" w:lineRule="exact"/>
        <w:rPr>
          <w:rFonts w:ascii="Arial" w:cs="Arial" w:eastAsia="Arial" w:hAnsi="Arial"/>
          <w:sz w:val="17"/>
          <w:szCs w:val="17"/>
          <w:color w:val="auto"/>
        </w:rPr>
      </w:pPr>
    </w:p>
    <w:p>
      <w:pPr>
        <w:ind w:right="180" w:firstLine="634"/>
        <w:spacing w:after="0" w:line="298" w:lineRule="auto"/>
        <w:tabs>
          <w:tab w:leader="none" w:pos="1254"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stockholder approval in accordance with Section 17, the Plan shall become effective upon its adoption by the Board. Unless sooner terminated under Section 19, it shall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Board may at any time amend, alter, suspend or terminate the Plan.</w:t>
      </w:r>
    </w:p>
    <w:p>
      <w:pPr>
        <w:spacing w:after="0" w:line="224" w:lineRule="exact"/>
        <w:rPr>
          <w:rFonts w:ascii="Arial" w:cs="Arial" w:eastAsia="Arial" w:hAnsi="Arial"/>
          <w:sz w:val="17"/>
          <w:szCs w:val="17"/>
          <w:color w:val="auto"/>
        </w:rPr>
      </w:pPr>
    </w:p>
    <w:p>
      <w:pPr>
        <w:ind w:right="200" w:firstLine="1263"/>
        <w:spacing w:after="0" w:line="289" w:lineRule="auto"/>
        <w:tabs>
          <w:tab w:leader="none" w:pos="1895"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Board shall obtain stockholder approval of any Plan amendment to the extent necessary and desirable to comply with Applicable Laws.</w:t>
      </w:r>
    </w:p>
    <w:p>
      <w:pPr>
        <w:spacing w:after="0" w:line="158" w:lineRule="exact"/>
        <w:rPr>
          <w:rFonts w:ascii="Arial" w:cs="Arial" w:eastAsia="Arial" w:hAnsi="Arial"/>
          <w:sz w:val="17"/>
          <w:szCs w:val="17"/>
          <w:color w:val="auto"/>
        </w:rPr>
      </w:pPr>
    </w:p>
    <w:p>
      <w:pPr>
        <w:ind w:right="20" w:firstLine="1263"/>
        <w:spacing w:after="0" w:line="268" w:lineRule="auto"/>
        <w:tabs>
          <w:tab w:leader="none" w:pos="1898"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shall impair the rights of any Participant, unless mutually agreed otherwise between the Participant and the Administrator, which agreement must be in writing (which may include e-mail) and signed by the Participant and the Company. Termination of the Plan shall not affect the Administrator’s ability to exercise the powers granted to it hereunder with respect to Options granted under the Plan prior to the date of such termination.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STOCK OPTION AGREEMENT — EARLY EXERCISE</w:t>
      </w:r>
    </w:p>
    <w:p>
      <w:pPr>
        <w:spacing w:after="0" w:line="230"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Unless otherwise defined herein, the terms defined in the 2008 Stock Plan (the “Plan”) shall have the same defined meanings in this Stock Option Agreement — Early Exercise (the “Option Agreement”).</w:t>
      </w:r>
    </w:p>
    <w:p>
      <w:pPr>
        <w:spacing w:after="0" w:line="152" w:lineRule="exact"/>
        <w:rPr>
          <w:sz w:val="20"/>
          <w:szCs w:val="20"/>
          <w:color w:val="auto"/>
        </w:rPr>
      </w:pPr>
    </w:p>
    <w:p>
      <w:pPr>
        <w:ind w:left="640" w:right="7680" w:hanging="635"/>
        <w:spacing w:after="0" w:line="515" w:lineRule="auto"/>
        <w:tabs>
          <w:tab w:leader="none" w:pos="647"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STOCK OPTION GRANT </w:t>
      </w:r>
      <w:r>
        <w:rPr>
          <w:rFonts w:ascii="Arial" w:cs="Arial" w:eastAsia="Arial" w:hAnsi="Arial"/>
          <w:sz w:val="17"/>
          <w:szCs w:val="17"/>
          <w:b w:val="1"/>
          <w:bCs w:val="1"/>
          <w:color w:val="auto"/>
        </w:rPr>
        <w:t>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Exercise Price per Share: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Number of Shares Granted: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Exercise Price:</w:t>
      </w:r>
    </w:p>
    <w:p>
      <w:pPr>
        <w:spacing w:after="0" w:line="224" w:lineRule="exact"/>
        <w:rPr>
          <w:sz w:val="20"/>
          <w:szCs w:val="20"/>
          <w:color w:val="auto"/>
        </w:rPr>
      </w:pPr>
    </w:p>
    <w:p>
      <w:pPr>
        <w:ind w:left="640"/>
        <w:spacing w:after="0"/>
        <w:tabs>
          <w:tab w:leader="none" w:pos="5700" w:val="left"/>
          <w:tab w:leader="none" w:pos="6260" w:val="left"/>
        </w:tabs>
        <w:rPr>
          <w:sz w:val="20"/>
          <w:szCs w:val="20"/>
          <w:color w:val="auto"/>
        </w:rPr>
      </w:pPr>
      <w:r>
        <w:rPr>
          <w:rFonts w:ascii="Arial" w:cs="Arial" w:eastAsia="Arial" w:hAnsi="Arial"/>
          <w:sz w:val="17"/>
          <w:szCs w:val="17"/>
          <w:color w:val="auto"/>
        </w:rPr>
        <w:t>Type of Option:</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Incentive Stock Option</w:t>
      </w:r>
    </w:p>
    <w:p>
      <w:pPr>
        <w:spacing w:after="0" w:line="22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Nonstatutory Stock Option</w:t>
      </w:r>
    </w:p>
    <w:p>
      <w:pPr>
        <w:sectPr>
          <w:pgSz w:w="11900" w:h="16838" w:orient="portrait"/>
          <w:cols w:equalWidth="0" w:num="1">
            <w:col w:w="11360"/>
          </w:cols>
          <w:pgMar w:left="240" w:top="127" w:right="299" w:bottom="0" w:gutter="0" w:footer="0" w:header="0"/>
        </w:sectPr>
      </w:pPr>
    </w:p>
    <w:bookmarkStart w:id="234" w:name="page235"/>
    <w:bookmarkEnd w:id="234"/>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Term/Expiration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Option shall be exercisable, in whole or in part, according to the following vesting schedule:</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20"/>
          <w:szCs w:val="20"/>
          <w:color w:val="auto"/>
          <w:vertAlign w:val="superscript"/>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171"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Notwithstanding the foregoing, if Participant’s employment with the Company is terminated without Cause or Participant resigns for Good Reason, in either case within 12 months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100% of the Shares subject to the Option shall become vested and exercisable immediately prior to such termination.</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For purposes of this Agreement, “Cause” shall mean any of the following: (i) the willful or grossly negligent failure by Participant to substantially perform his or her duties as an employee of the Company; (ii) Participant’s commission of gross misconduct which is injurious to the Company; (iii) breach by Participant of a material provision of any agreement between Participant and the Company; (iv) a material violation of a federal or state law or regulation applicable to the business of the Company; (v) misappropriation or embezzlement of Company funds or an act of fraud or dishonesty upon the Company made by Participant; or (vi) Participant’s conviction of, or plea of </w:t>
      </w:r>
      <w:r>
        <w:rPr>
          <w:rFonts w:ascii="Arial" w:cs="Arial" w:eastAsia="Arial" w:hAnsi="Arial"/>
          <w:sz w:val="17"/>
          <w:szCs w:val="17"/>
          <w:u w:val="single" w:color="auto"/>
          <w:color w:val="auto"/>
        </w:rPr>
        <w:t>nolo contendre</w:t>
      </w:r>
      <w:r>
        <w:rPr>
          <w:rFonts w:ascii="Arial" w:cs="Arial" w:eastAsia="Arial" w:hAnsi="Arial"/>
          <w:sz w:val="17"/>
          <w:szCs w:val="17"/>
          <w:color w:val="auto"/>
        </w:rPr>
        <w:t xml:space="preserve"> to, a felony.</w:t>
      </w:r>
    </w:p>
    <w:p>
      <w:pPr>
        <w:spacing w:after="0" w:line="179" w:lineRule="exact"/>
        <w:rPr>
          <w:sz w:val="20"/>
          <w:szCs w:val="20"/>
          <w:color w:val="auto"/>
        </w:rPr>
      </w:pPr>
    </w:p>
    <w:p>
      <w:pPr>
        <w:ind w:right="20" w:firstLine="629"/>
        <w:spacing w:after="0" w:line="294" w:lineRule="auto"/>
        <w:rPr>
          <w:sz w:val="20"/>
          <w:szCs w:val="20"/>
          <w:color w:val="auto"/>
        </w:rPr>
      </w:pPr>
      <w:r>
        <w:rPr>
          <w:rFonts w:ascii="Arial" w:cs="Arial" w:eastAsia="Arial" w:hAnsi="Arial"/>
          <w:sz w:val="15"/>
          <w:szCs w:val="15"/>
          <w:color w:val="auto"/>
        </w:rPr>
        <w:t xml:space="preserve">For purposes of this agreement, “Good Reason” shall mean Participant’s termination of employment within forty-five (45) days following the expiration of any cure period (discussed below) following the occurrence of one or more of the following, without Participant’s express written consent: (i) a material reduction in Participant’s responsibilities relative to Participant’s responsibilities in effect immediately prior to such reduction,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a reduction in position or responsibilities by virtue of a Change in Control (as, for example, when the Chief Executive Officer of the Company remains as the senior executive officer of a division or subsidiary of the acquiring entity) shall not constitute “Good Reason; (ii) a material reduction in Participant’s base salary, other than a reduction applicable to similarly situated employees generally that does not adversely affect Participant to a greater extent than other similarly situated employees;</w:t>
      </w:r>
    </w:p>
    <w:p>
      <w:pPr>
        <w:spacing w:after="0" w:line="3" w:lineRule="exact"/>
        <w:rPr>
          <w:sz w:val="20"/>
          <w:szCs w:val="20"/>
          <w:color w:val="auto"/>
        </w:rPr>
      </w:pPr>
    </w:p>
    <w:p>
      <w:pPr>
        <w:jc w:val="both"/>
        <w:ind w:right="180" w:firstLine="5"/>
        <w:spacing w:after="0" w:line="263" w:lineRule="auto"/>
        <w:tabs>
          <w:tab w:leader="none" w:pos="30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relocation of Participant’s principal place of performing his or her duties as an employee of the Company by more than fifty (50) miles. In order for an event to qualify as Good Reason, Participant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12(c) of the Plan.</w:t>
      </w:r>
    </w:p>
    <w:p>
      <w:pPr>
        <w:spacing w:after="0" w:line="170" w:lineRule="exact"/>
        <w:rPr>
          <w:sz w:val="20"/>
          <w:szCs w:val="20"/>
          <w:color w:val="auto"/>
        </w:rPr>
      </w:pPr>
    </w:p>
    <w:p>
      <w:pPr>
        <w:ind w:left="640" w:hanging="635"/>
        <w:spacing w:after="0"/>
        <w:tabs>
          <w:tab w:leader="none" w:pos="64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AGREEMENT</w:t>
      </w:r>
    </w:p>
    <w:p>
      <w:pPr>
        <w:spacing w:after="0" w:line="230" w:lineRule="exact"/>
        <w:rPr>
          <w:rFonts w:ascii="Arial" w:cs="Arial" w:eastAsia="Arial" w:hAnsi="Arial"/>
          <w:sz w:val="17"/>
          <w:szCs w:val="17"/>
          <w:b w:val="1"/>
          <w:bCs w:val="1"/>
          <w:color w:val="auto"/>
        </w:rPr>
      </w:pPr>
    </w:p>
    <w:p>
      <w:pPr>
        <w:jc w:val="both"/>
        <w:ind w:right="20" w:firstLine="634"/>
        <w:spacing w:after="0" w:line="265" w:lineRule="auto"/>
        <w:tabs>
          <w:tab w:leader="none" w:pos="1258"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17(c) of the Plan, in the event of a conflict between the terms and conditions of the Plan and this Option Agreement, the terms and conditions of the Plan shall prevail.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left="1260" w:hanging="626"/>
        <w:spacing w:after="0"/>
        <w:tabs>
          <w:tab w:leader="none" w:pos="126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This Option shall be exercisable during its term in accordance with the provisions of Section 6 of the Plan as follows:</w:t>
      </w:r>
    </w:p>
    <w:p>
      <w:pPr>
        <w:spacing w:after="0" w:line="235" w:lineRule="exact"/>
        <w:rPr>
          <w:rFonts w:ascii="Arial" w:cs="Arial" w:eastAsia="Arial" w:hAnsi="Arial"/>
          <w:sz w:val="16"/>
          <w:szCs w:val="16"/>
          <w:color w:val="auto"/>
        </w:rPr>
      </w:pPr>
    </w:p>
    <w:p>
      <w:pPr>
        <w:ind w:left="1880" w:hanging="617"/>
        <w:spacing w:after="0"/>
        <w:tabs>
          <w:tab w:leader="none" w:pos="1880"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2207"/>
        <w:spacing w:after="0" w:line="268" w:lineRule="auto"/>
        <w:tabs>
          <w:tab w:leader="none" w:pos="2787" w:val="left"/>
        </w:tabs>
        <w:numPr>
          <w:ilvl w:val="2"/>
          <w:numId w:val="242"/>
        </w:numPr>
        <w:rPr>
          <w:rFonts w:ascii="Arial" w:cs="Arial" w:eastAsia="Arial" w:hAnsi="Arial"/>
          <w:sz w:val="17"/>
          <w:szCs w:val="17"/>
          <w:color w:val="auto"/>
        </w:rPr>
      </w:pPr>
      <w:r>
        <w:rPr>
          <w:rFonts w:ascii="Arial" w:cs="Arial" w:eastAsia="Arial" w:hAnsi="Arial"/>
          <w:sz w:val="17"/>
          <w:szCs w:val="17"/>
          <w:color w:val="auto"/>
        </w:rPr>
        <w:t xml:space="preserve">Subject to subsections 2(a)(ii) and 2(a)(iii) below, this Option shall be exercisable cumulatively according to the vesting schedule set forth in the Notice of Stock Option Grant. Alternatively, at the election of Participant,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7"/>
          <w:szCs w:val="17"/>
          <w:u w:val="single" w:color="auto"/>
          <w:color w:val="auto"/>
        </w:rPr>
        <w:t>Exhibit C-1</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2800" w:hanging="593"/>
        <w:spacing w:after="0"/>
        <w:tabs>
          <w:tab w:leader="none" w:pos="2800" w:val="left"/>
        </w:tabs>
        <w:numPr>
          <w:ilvl w:val="2"/>
          <w:numId w:val="242"/>
        </w:numPr>
        <w:rPr>
          <w:rFonts w:ascii="Arial" w:cs="Arial" w:eastAsia="Arial" w:hAnsi="Arial"/>
          <w:sz w:val="16"/>
          <w:szCs w:val="16"/>
          <w:color w:val="auto"/>
        </w:rPr>
      </w:pPr>
      <w:r>
        <w:rPr>
          <w:rFonts w:ascii="Arial" w:cs="Arial" w:eastAsia="Arial" w:hAnsi="Arial"/>
          <w:sz w:val="16"/>
          <w:szCs w:val="16"/>
          <w:color w:val="auto"/>
        </w:rPr>
        <w:t>As a condition to exercising this Option for unvested Shares, Participant shall execute the Restricted Stock Purchase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left="2820" w:hanging="613"/>
        <w:spacing w:after="0"/>
        <w:tabs>
          <w:tab w:leader="none" w:pos="2820" w:val="left"/>
        </w:tabs>
        <w:numPr>
          <w:ilvl w:val="2"/>
          <w:numId w:val="242"/>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pacing w:after="0" w:line="224" w:lineRule="exact"/>
        <w:rPr>
          <w:rFonts w:ascii="Arial" w:cs="Arial" w:eastAsia="Arial" w:hAnsi="Arial"/>
          <w:sz w:val="17"/>
          <w:szCs w:val="17"/>
          <w:color w:val="auto"/>
        </w:rPr>
      </w:pPr>
    </w:p>
    <w:p>
      <w:pPr>
        <w:ind w:right="40" w:firstLine="1263"/>
        <w:spacing w:after="0" w:line="360" w:lineRule="auto"/>
        <w:tabs>
          <w:tab w:leader="none" w:pos="1895"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shall be exercisable by delivery of an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“Exercise Notice”) or in a manner and pursuant to such procedures as the Administrator may determine, which shall state the election to exercise the Option, the number of</w:t>
      </w:r>
    </w:p>
    <w:p>
      <w:pPr>
        <w:sectPr>
          <w:pgSz w:w="11900" w:h="16917" w:orient="portrait"/>
          <w:cols w:equalWidth="0" w:num="1">
            <w:col w:w="11420"/>
          </w:cols>
          <w:pgMar w:left="240" w:top="337" w:right="239" w:bottom="0" w:gutter="0" w:footer="0" w:header="0"/>
        </w:sectPr>
      </w:pPr>
    </w:p>
    <w:bookmarkStart w:id="235" w:name="page236"/>
    <w:bookmarkEnd w:id="235"/>
    <w:p>
      <w:pPr>
        <w:spacing w:after="0" w:line="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Shares with respect to which the Option is being exercised,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6" w:lineRule="exact"/>
        <w:rPr>
          <w:sz w:val="20"/>
          <w:szCs w:val="20"/>
          <w:color w:val="auto"/>
        </w:rPr>
      </w:pPr>
    </w:p>
    <w:p>
      <w:pPr>
        <w:ind w:right="280" w:firstLine="1259"/>
        <w:spacing w:after="0" w:line="273" w:lineRule="auto"/>
        <w:rPr>
          <w:sz w:val="20"/>
          <w:szCs w:val="20"/>
          <w:color w:val="auto"/>
        </w:rPr>
      </w:pPr>
      <w:r>
        <w:rPr>
          <w:rFonts w:ascii="Arial" w:cs="Arial" w:eastAsia="Arial" w:hAnsi="Arial"/>
          <w:sz w:val="17"/>
          <w:szCs w:val="17"/>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2" w:lineRule="exact"/>
        <w:rPr>
          <w:sz w:val="20"/>
          <w:szCs w:val="20"/>
          <w:color w:val="auto"/>
        </w:rPr>
      </w:pPr>
    </w:p>
    <w:p>
      <w:pPr>
        <w:ind w:right="20" w:firstLine="634"/>
        <w:spacing w:after="0" w:line="273" w:lineRule="auto"/>
        <w:tabs>
          <w:tab w:leader="none" w:pos="125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xml:space="preserve">. In the event the Shares have not been registered under the Securities Act of 1933, as amended,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1" w:lineRule="auto"/>
        <w:tabs>
          <w:tab w:leader="none" w:pos="1258"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4"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73" w:lineRule="exact"/>
        <w:rPr>
          <w:sz w:val="20"/>
          <w:szCs w:val="20"/>
          <w:color w:val="auto"/>
        </w:rPr>
      </w:pPr>
    </w:p>
    <w:p>
      <w:pPr>
        <w:ind w:left="1260" w:hanging="626"/>
        <w:spacing w:after="0"/>
        <w:tabs>
          <w:tab w:leader="none" w:pos="12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cash;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check;</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45"/>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right="220" w:firstLine="1263"/>
        <w:spacing w:after="0" w:line="273" w:lineRule="auto"/>
        <w:tabs>
          <w:tab w:leader="none" w:pos="1895" w:val="left"/>
        </w:tabs>
        <w:numPr>
          <w:ilvl w:val="1"/>
          <w:numId w:val="245"/>
        </w:numPr>
        <w:rPr>
          <w:rFonts w:ascii="Arial" w:cs="Arial" w:eastAsia="Arial" w:hAnsi="Arial"/>
          <w:sz w:val="17"/>
          <w:szCs w:val="17"/>
          <w:color w:val="auto"/>
        </w:rPr>
      </w:pPr>
      <w:r>
        <w:rPr>
          <w:rFonts w:ascii="Arial" w:cs="Arial" w:eastAsia="Arial" w:hAnsi="Arial"/>
          <w:sz w:val="17"/>
          <w:szCs w:val="17"/>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1" w:lineRule="exact"/>
        <w:rPr>
          <w:rFonts w:ascii="Arial" w:cs="Arial" w:eastAsia="Arial" w:hAnsi="Arial"/>
          <w:sz w:val="17"/>
          <w:szCs w:val="17"/>
          <w:color w:val="auto"/>
        </w:rPr>
      </w:pPr>
    </w:p>
    <w:p>
      <w:pPr>
        <w:ind w:right="140" w:firstLine="634"/>
        <w:spacing w:after="0" w:line="289" w:lineRule="auto"/>
        <w:tabs>
          <w:tab w:leader="none" w:pos="1258"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Restrictions on Exercise</w:t>
      </w:r>
      <w:r>
        <w:rPr>
          <w:rFonts w:ascii="Arial" w:cs="Arial" w:eastAsia="Arial" w:hAnsi="Arial"/>
          <w:sz w:val="17"/>
          <w:szCs w:val="17"/>
          <w:color w:val="auto"/>
        </w:rPr>
        <w:t>. This Option may not be exercised until such time as the Plan has been approved by the stockholders of the Company, or if the issuance of such Shares upon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such exercise or the method of payment of consideration for such shares would constitute a violation of any Applicable Law.</w:t>
      </w:r>
    </w:p>
    <w:p>
      <w:pPr>
        <w:spacing w:after="0" w:line="224" w:lineRule="exact"/>
        <w:rPr>
          <w:sz w:val="20"/>
          <w:szCs w:val="20"/>
          <w:color w:val="auto"/>
        </w:rPr>
      </w:pPr>
    </w:p>
    <w:p>
      <w:pPr>
        <w:ind w:right="220" w:firstLine="634"/>
        <w:spacing w:after="0" w:line="273" w:lineRule="auto"/>
        <w:tabs>
          <w:tab w:leader="none" w:pos="1258"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1" w:lineRule="exact"/>
        <w:rPr>
          <w:rFonts w:ascii="Arial" w:cs="Arial" w:eastAsia="Arial" w:hAnsi="Arial"/>
          <w:sz w:val="17"/>
          <w:szCs w:val="17"/>
          <w:color w:val="auto"/>
        </w:rPr>
      </w:pPr>
    </w:p>
    <w:p>
      <w:pPr>
        <w:ind w:right="240" w:firstLine="634"/>
        <w:spacing w:after="0" w:line="289" w:lineRule="auto"/>
        <w:tabs>
          <w:tab w:leader="none" w:pos="1258"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This Option may be exercised only within the term set out in the Notice of Stock Option Grant, and may be exercised during such term only in accordance with the Plan and the terms of this Option.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85" w:val="left"/>
        </w:tabs>
        <w:numPr>
          <w:ilvl w:val="2"/>
          <w:numId w:val="24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5" w:lineRule="exact"/>
        <w:rPr>
          <w:rFonts w:ascii="Arial" w:cs="Arial" w:eastAsia="Arial" w:hAnsi="Arial"/>
          <w:sz w:val="17"/>
          <w:szCs w:val="17"/>
          <w:color w:val="auto"/>
        </w:rPr>
      </w:pPr>
    </w:p>
    <w:p>
      <w:pPr>
        <w:ind w:right="140" w:firstLine="1263"/>
        <w:spacing w:after="0" w:line="300" w:lineRule="auto"/>
        <w:tabs>
          <w:tab w:leader="none" w:pos="1895" w:val="left"/>
        </w:tabs>
        <w:numPr>
          <w:ilvl w:val="2"/>
          <w:numId w:val="246"/>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w:t>
      </w:r>
    </w:p>
    <w:p>
      <w:pPr>
        <w:ind w:right="400" w:firstLine="5"/>
        <w:spacing w:after="0" w:line="275" w:lineRule="auto"/>
        <w:tabs>
          <w:tab w:leader="none" w:pos="24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year after the date of exercise, Participant shall immediately notify the Company in writing of such disposition. Participant agrees that Participant may be subject to income tax withholding by the Company on the compensation income recognized by Participant.</w:t>
      </w:r>
    </w:p>
    <w:p>
      <w:pPr>
        <w:sectPr>
          <w:pgSz w:w="11900" w:h="16860" w:orient="portrait"/>
          <w:cols w:equalWidth="0" w:num="1">
            <w:col w:w="11420"/>
          </w:cols>
          <w:pgMar w:left="240" w:top="127" w:right="239" w:bottom="0" w:gutter="0" w:footer="0" w:header="0"/>
        </w:sectPr>
      </w:pPr>
    </w:p>
    <w:bookmarkStart w:id="236" w:name="page237"/>
    <w:bookmarkEnd w:id="236"/>
    <w:p>
      <w:pPr>
        <w:spacing w:after="0" w:line="105" w:lineRule="exact"/>
        <w:rPr>
          <w:sz w:val="20"/>
          <w:szCs w:val="20"/>
          <w:color w:val="auto"/>
        </w:rPr>
      </w:pPr>
    </w:p>
    <w:p>
      <w:pPr>
        <w:ind w:right="60" w:firstLine="1263"/>
        <w:spacing w:after="0" w:line="261" w:lineRule="auto"/>
        <w:tabs>
          <w:tab w:leader="none" w:pos="1898"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Code Section 409 A</w:t>
      </w:r>
      <w:r>
        <w:rPr>
          <w:rFonts w:ascii="Arial" w:cs="Arial" w:eastAsia="Arial" w:hAnsi="Arial"/>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34"/>
        <w:spacing w:after="0" w:line="290" w:lineRule="auto"/>
        <w:tabs>
          <w:tab w:leader="none" w:pos="125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California.</w:t>
      </w:r>
    </w:p>
    <w:p>
      <w:pPr>
        <w:spacing w:after="0" w:line="159" w:lineRule="exact"/>
        <w:rPr>
          <w:rFonts w:ascii="Arial" w:cs="Arial" w:eastAsia="Arial" w:hAnsi="Arial"/>
          <w:sz w:val="16"/>
          <w:szCs w:val="16"/>
          <w:color w:val="auto"/>
        </w:rPr>
      </w:pPr>
    </w:p>
    <w:p>
      <w:pPr>
        <w:ind w:right="60" w:firstLine="634"/>
        <w:spacing w:after="0" w:line="261" w:lineRule="auto"/>
        <w:tabs>
          <w:tab w:leader="none" w:pos="124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4"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1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12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13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4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12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Print Name</w:t>
            </w:r>
          </w:p>
        </w:tc>
        <w:tc>
          <w:tcPr>
            <w:tcW w:w="13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2580" w:type="dxa"/>
            <w:vAlign w:val="bottom"/>
            <w:gridSpan w:val="3"/>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gridSpan w:val="3"/>
          </w:tcPr>
          <w:p>
            <w:pPr>
              <w:jc w:val="center"/>
              <w:ind w:left="57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3"/>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48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rPr>
              <w:t>EXHIBIT A</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2008 STOCK PLAN</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7"/>
                <w:szCs w:val="17"/>
                <w:b w:val="1"/>
                <w:bCs w:val="1"/>
                <w:color w:val="auto"/>
              </w:rPr>
              <w:t>EXERCISE NOTICE</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7"/>
                <w:szCs w:val="17"/>
                <w:color w:val="auto"/>
              </w:rPr>
              <w:t>7000 Shoreline Court, Suite 250</w:t>
            </w:r>
          </w:p>
        </w:tc>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580" w:type="dxa"/>
            <w:vAlign w:val="bottom"/>
            <w:gridSpan w:val="3"/>
          </w:tcPr>
          <w:p>
            <w:pPr>
              <w:spacing w:after="0"/>
              <w:rPr>
                <w:sz w:val="20"/>
                <w:szCs w:val="20"/>
                <w:color w:val="auto"/>
              </w:rPr>
            </w:pPr>
            <w:r>
              <w:rPr>
                <w:rFonts w:ascii="Arial" w:cs="Arial" w:eastAsia="Arial" w:hAnsi="Arial"/>
                <w:sz w:val="17"/>
                <w:szCs w:val="17"/>
                <w:color w:val="auto"/>
              </w:rPr>
              <w:t>South San Francisco, CA 94080</w:t>
            </w: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580" w:type="dxa"/>
            <w:vAlign w:val="bottom"/>
            <w:gridSpan w:val="3"/>
          </w:tcPr>
          <w:p>
            <w:pPr>
              <w:spacing w:after="0"/>
              <w:rPr>
                <w:sz w:val="20"/>
                <w:szCs w:val="20"/>
                <w:color w:val="auto"/>
              </w:rPr>
            </w:pPr>
            <w:r>
              <w:rPr>
                <w:rFonts w:ascii="Arial" w:cs="Arial" w:eastAsia="Arial" w:hAnsi="Arial"/>
                <w:sz w:val="17"/>
                <w:szCs w:val="17"/>
                <w:color w:val="auto"/>
              </w:rPr>
              <w:t>Attention: Corporate Secretary</w:t>
            </w: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1260" w:type="dxa"/>
            <w:vAlign w:val="bottom"/>
            <w:gridSpan w:val="2"/>
          </w:tcPr>
          <w:p>
            <w:pPr>
              <w:ind w:left="640"/>
              <w:spacing w:after="0"/>
              <w:rPr>
                <w:sz w:val="20"/>
                <w:szCs w:val="20"/>
                <w:color w:val="auto"/>
              </w:rPr>
            </w:pPr>
            <w:r>
              <w:rPr>
                <w:rFonts w:ascii="Arial" w:cs="Arial" w:eastAsia="Arial" w:hAnsi="Arial"/>
                <w:sz w:val="17"/>
                <w:szCs w:val="17"/>
                <w:color w:val="auto"/>
              </w:rPr>
              <w:t>1.</w:t>
            </w:r>
          </w:p>
        </w:tc>
        <w:tc>
          <w:tcPr>
            <w:tcW w:w="3580" w:type="dxa"/>
            <w:vAlign w:val="bottom"/>
            <w:gridSpan w:val="2"/>
          </w:tcPr>
          <w:p>
            <w:pPr>
              <w:spacing w:after="0"/>
              <w:rPr>
                <w:sz w:val="20"/>
                <w:szCs w:val="20"/>
                <w:color w:val="auto"/>
              </w:rPr>
            </w:pPr>
            <w:r>
              <w:rPr>
                <w:rFonts w:ascii="Arial" w:cs="Arial" w:eastAsia="Arial" w:hAnsi="Arial"/>
                <w:sz w:val="17"/>
                <w:szCs w:val="17"/>
                <w:color w:val="auto"/>
              </w:rPr>
              <w:t>Exercise of Option. Effective as of today,</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5480" w:type="dxa"/>
            <w:vAlign w:val="bottom"/>
            <w:gridSpan w:val="3"/>
          </w:tcPr>
          <w:p>
            <w:pPr>
              <w:ind w:left="140"/>
              <w:spacing w:after="0"/>
              <w:rPr>
                <w:sz w:val="20"/>
                <w:szCs w:val="20"/>
                <w:color w:val="auto"/>
              </w:rPr>
            </w:pPr>
            <w:r>
              <w:rPr>
                <w:rFonts w:ascii="Arial" w:cs="Arial" w:eastAsia="Arial" w:hAnsi="Arial"/>
                <w:sz w:val="17"/>
                <w:szCs w:val="17"/>
                <w:color w:val="auto"/>
              </w:rPr>
              <w:t>, the undersigned (“Participant”) hereby elects to exercise Participant’s</w:t>
            </w:r>
          </w:p>
        </w:tc>
        <w:tc>
          <w:tcPr>
            <w:tcW w:w="40" w:type="dxa"/>
            <w:vAlign w:val="bottom"/>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580" w:type="dxa"/>
            <w:vAlign w:val="bottom"/>
            <w:gridSpan w:val="3"/>
          </w:tcPr>
          <w:p>
            <w:pPr>
              <w:spacing w:after="0"/>
              <w:rPr>
                <w:sz w:val="20"/>
                <w:szCs w:val="20"/>
                <w:color w:val="auto"/>
              </w:rPr>
            </w:pPr>
            <w:r>
              <w:rPr>
                <w:rFonts w:ascii="Arial" w:cs="Arial" w:eastAsia="Arial" w:hAnsi="Arial"/>
                <w:sz w:val="17"/>
                <w:szCs w:val="17"/>
                <w:color w:val="auto"/>
              </w:rPr>
              <w:t>option (the “Option”) to purchase</w:t>
            </w:r>
          </w:p>
        </w:tc>
        <w:tc>
          <w:tcPr>
            <w:tcW w:w="8840" w:type="dxa"/>
            <w:vAlign w:val="bottom"/>
            <w:gridSpan w:val="7"/>
          </w:tcPr>
          <w:p>
            <w:pPr>
              <w:ind w:left="1260"/>
              <w:spacing w:after="0"/>
              <w:rPr>
                <w:sz w:val="20"/>
                <w:szCs w:val="20"/>
                <w:color w:val="auto"/>
              </w:rPr>
            </w:pPr>
            <w:r>
              <w:rPr>
                <w:rFonts w:ascii="Arial" w:cs="Arial" w:eastAsia="Arial" w:hAnsi="Arial"/>
                <w:sz w:val="17"/>
                <w:szCs w:val="17"/>
                <w:color w:val="auto"/>
                <w:w w:val="96"/>
              </w:rPr>
              <w:t>shares of the Common Stock (the “Shares”) of Veracyte, Inc. (the “Company”) under and pursuant to the</w:t>
            </w:r>
          </w:p>
        </w:tc>
        <w:tc>
          <w:tcPr>
            <w:tcW w:w="40" w:type="dxa"/>
            <w:vAlign w:val="bottom"/>
          </w:tcPr>
          <w:p>
            <w:pPr>
              <w:spacing w:after="0"/>
              <w:rPr>
                <w:sz w:val="18"/>
                <w:szCs w:val="18"/>
                <w:color w:val="auto"/>
              </w:rPr>
            </w:pPr>
          </w:p>
        </w:tc>
      </w:tr>
      <w:tr>
        <w:trPr>
          <w:trHeight w:val="222"/>
        </w:trPr>
        <w:tc>
          <w:tcPr>
            <w:tcW w:w="4840" w:type="dxa"/>
            <w:vAlign w:val="bottom"/>
            <w:gridSpan w:val="4"/>
          </w:tcPr>
          <w:p>
            <w:pPr>
              <w:spacing w:after="0"/>
              <w:rPr>
                <w:sz w:val="20"/>
                <w:szCs w:val="20"/>
                <w:color w:val="auto"/>
              </w:rPr>
            </w:pPr>
            <w:r>
              <w:rPr>
                <w:rFonts w:ascii="Arial" w:cs="Arial" w:eastAsia="Arial" w:hAnsi="Arial"/>
                <w:sz w:val="17"/>
                <w:szCs w:val="17"/>
                <w:color w:val="auto"/>
                <w:w w:val="94"/>
              </w:rPr>
              <w:t>2008 Stock Plan (the “Plan”) and the Stock Option Agreement dated</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17"/>
                <w:szCs w:val="17"/>
                <w:color w:val="auto"/>
              </w:rPr>
              <w:t>(the “Option Agreement”).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-2223770</wp:posOffset>
            </wp:positionV>
            <wp:extent cx="12700"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-2223770</wp:posOffset>
            </wp:positionV>
            <wp:extent cx="12700"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200" w:firstLine="634"/>
        <w:spacing w:after="0" w:line="289" w:lineRule="auto"/>
        <w:tabs>
          <w:tab w:leader="none" w:pos="1258"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7"/>
          <w:szCs w:val="17"/>
          <w:color w:val="auto"/>
        </w:rPr>
      </w:pPr>
    </w:p>
    <w:p>
      <w:pPr>
        <w:ind w:right="140" w:firstLine="634"/>
        <w:spacing w:after="0" w:line="289" w:lineRule="auto"/>
        <w:tabs>
          <w:tab w:leader="none" w:pos="1258"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7"/>
          <w:szCs w:val="17"/>
          <w:color w:val="auto"/>
        </w:rPr>
      </w:pPr>
    </w:p>
    <w:p>
      <w:pPr>
        <w:ind w:right="160" w:firstLine="634"/>
        <w:spacing w:after="0" w:line="360" w:lineRule="auto"/>
        <w:tabs>
          <w:tab w:leader="none" w:pos="1258" w:val="left"/>
        </w:tabs>
        <w:numPr>
          <w:ilvl w:val="0"/>
          <w:numId w:val="250"/>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w:t>
      </w:r>
    </w:p>
    <w:p>
      <w:pPr>
        <w:sectPr>
          <w:pgSz w:w="11900" w:h="16943" w:orient="portrait"/>
          <w:cols w:equalWidth="0" w:num="1">
            <w:col w:w="11460"/>
          </w:cols>
          <w:pgMar w:left="240" w:top="337" w:right="199" w:bottom="0" w:gutter="0" w:footer="0" w:header="0"/>
        </w:sectPr>
      </w:pPr>
    </w:p>
    <w:bookmarkStart w:id="237" w:name="page238"/>
    <w:bookmarkEnd w:id="237"/>
    <w:p>
      <w:pPr>
        <w:ind w:right="80"/>
        <w:spacing w:after="0" w:line="273" w:lineRule="auto"/>
        <w:rPr>
          <w:sz w:val="20"/>
          <w:szCs w:val="20"/>
          <w:color w:val="auto"/>
        </w:rPr>
      </w:pPr>
      <w:r>
        <w:rPr>
          <w:rFonts w:ascii="Arial" w:cs="Arial" w:eastAsia="Arial" w:hAnsi="Arial"/>
          <w:sz w:val="17"/>
          <w:szCs w:val="17"/>
          <w:color w:val="auto"/>
        </w:rPr>
        <w:t>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72" w:lineRule="exact"/>
        <w:rPr>
          <w:sz w:val="20"/>
          <w:szCs w:val="20"/>
          <w:color w:val="auto"/>
        </w:rPr>
      </w:pPr>
    </w:p>
    <w:p>
      <w:pPr>
        <w:ind w:right="140" w:firstLine="634"/>
        <w:spacing w:after="0" w:line="273" w:lineRule="auto"/>
        <w:tabs>
          <w:tab w:leader="none" w:pos="1258"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1" w:lineRule="exact"/>
        <w:rPr>
          <w:rFonts w:ascii="Arial" w:cs="Arial" w:eastAsia="Arial" w:hAnsi="Arial"/>
          <w:sz w:val="17"/>
          <w:szCs w:val="17"/>
          <w:color w:val="auto"/>
        </w:rPr>
      </w:pPr>
    </w:p>
    <w:p>
      <w:pPr>
        <w:ind w:right="420" w:firstLine="1263"/>
        <w:spacing w:after="0" w:line="300" w:lineRule="auto"/>
        <w:tabs>
          <w:tab w:leader="none" w:pos="1885" w:val="left"/>
        </w:tabs>
        <w:numPr>
          <w:ilvl w:val="2"/>
          <w:numId w:val="251"/>
        </w:numPr>
        <w:rPr>
          <w:rFonts w:ascii="Arial" w:cs="Arial" w:eastAsia="Arial" w:hAnsi="Arial"/>
          <w:sz w:val="15"/>
          <w:szCs w:val="15"/>
          <w:color w:val="auto"/>
        </w:rPr>
      </w:pPr>
      <w:r>
        <w:rPr>
          <w:rFonts w:ascii="Arial" w:cs="Arial" w:eastAsia="Arial" w:hAnsi="Arial"/>
          <w:sz w:val="15"/>
          <w:szCs w:val="15"/>
          <w:u w:val="single" w:color="auto"/>
          <w:color w:val="auto"/>
        </w:rPr>
        <w:t>Notice of Proposed Transfer</w:t>
      </w:r>
      <w:r>
        <w:rPr>
          <w:rFonts w:ascii="Arial" w:cs="Arial" w:eastAsia="Arial" w:hAnsi="Arial"/>
          <w:sz w:val="15"/>
          <w:szCs w:val="15"/>
          <w:color w:val="auto"/>
        </w:rPr>
        <w:t>. The Holder of the Shares shall deliver to the Company a written notice (the “Notice”) stating: (i) the Holder’s bona fide intention to sell or otherwise transfer such Shares; (ii) the name of each proposed purchaser or other transferee (“Proposed Transferee”);</w:t>
      </w:r>
    </w:p>
    <w:p>
      <w:pPr>
        <w:ind w:right="140" w:firstLine="5"/>
        <w:spacing w:after="0" w:line="275" w:lineRule="auto"/>
        <w:tabs>
          <w:tab w:leader="none" w:pos="30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4" w:lineRule="exact"/>
        <w:rPr>
          <w:rFonts w:ascii="Arial" w:cs="Arial" w:eastAsia="Arial" w:hAnsi="Arial"/>
          <w:sz w:val="17"/>
          <w:szCs w:val="17"/>
          <w:color w:val="auto"/>
        </w:rPr>
      </w:pPr>
    </w:p>
    <w:p>
      <w:pPr>
        <w:ind w:left="1900" w:hanging="637"/>
        <w:spacing w:after="0"/>
        <w:tabs>
          <w:tab w:leader="none" w:pos="1900" w:val="left"/>
        </w:tabs>
        <w:numPr>
          <w:ilvl w:val="2"/>
          <w:numId w:val="252"/>
        </w:numPr>
        <w:rPr>
          <w:rFonts w:ascii="Arial" w:cs="Arial" w:eastAsia="Arial" w:hAnsi="Arial"/>
          <w:sz w:val="17"/>
          <w:szCs w:val="17"/>
          <w:color w:val="auto"/>
        </w:rPr>
      </w:pP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receipt of the Notice, the Company and/or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69" w:lineRule="exact"/>
        <w:rPr>
          <w:sz w:val="20"/>
          <w:szCs w:val="20"/>
          <w:color w:val="auto"/>
        </w:rPr>
      </w:pPr>
    </w:p>
    <w:p>
      <w:pPr>
        <w:jc w:val="both"/>
        <w:ind w:right="60" w:firstLine="1263"/>
        <w:spacing w:after="0" w:line="273" w:lineRule="auto"/>
        <w:tabs>
          <w:tab w:leader="none" w:pos="1898"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1" w:lineRule="exact"/>
        <w:rPr>
          <w:rFonts w:ascii="Arial" w:cs="Arial" w:eastAsia="Arial" w:hAnsi="Arial"/>
          <w:sz w:val="17"/>
          <w:szCs w:val="17"/>
          <w:color w:val="auto"/>
        </w:rPr>
      </w:pPr>
    </w:p>
    <w:p>
      <w:pPr>
        <w:ind w:right="140" w:firstLine="1263"/>
        <w:spacing w:after="0" w:line="273" w:lineRule="auto"/>
        <w:tabs>
          <w:tab w:leader="none" w:pos="189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71" w:lineRule="exact"/>
        <w:rPr>
          <w:rFonts w:ascii="Arial" w:cs="Arial" w:eastAsia="Arial" w:hAnsi="Arial"/>
          <w:sz w:val="17"/>
          <w:szCs w:val="17"/>
          <w:color w:val="auto"/>
        </w:rPr>
      </w:pPr>
    </w:p>
    <w:p>
      <w:pPr>
        <w:ind w:right="180" w:firstLine="1263"/>
        <w:spacing w:after="0" w:line="281" w:lineRule="auto"/>
        <w:tabs>
          <w:tab w:leader="none" w:pos="1898"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provided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0" w:lineRule="exact"/>
        <w:rPr>
          <w:rFonts w:ascii="Arial" w:cs="Arial" w:eastAsia="Arial" w:hAnsi="Arial"/>
          <w:sz w:val="16"/>
          <w:szCs w:val="16"/>
          <w:color w:val="auto"/>
        </w:rPr>
      </w:pPr>
    </w:p>
    <w:p>
      <w:pPr>
        <w:ind w:right="80" w:firstLine="1263"/>
        <w:spacing w:after="0" w:line="285" w:lineRule="auto"/>
        <w:tabs>
          <w:tab w:leader="none" w:pos="1892"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domestic partner,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6" w:lineRule="exact"/>
        <w:rPr>
          <w:rFonts w:ascii="Arial" w:cs="Arial" w:eastAsia="Arial" w:hAnsi="Arial"/>
          <w:sz w:val="16"/>
          <w:szCs w:val="16"/>
          <w:color w:val="auto"/>
        </w:rPr>
      </w:pPr>
    </w:p>
    <w:p>
      <w:pPr>
        <w:jc w:val="both"/>
        <w:ind w:right="60" w:firstLine="1263"/>
        <w:spacing w:after="0" w:line="360" w:lineRule="auto"/>
        <w:tabs>
          <w:tab w:leader="none" w:pos="1908" w:val="left"/>
        </w:tabs>
        <w:numPr>
          <w:ilvl w:val="0"/>
          <w:numId w:val="253"/>
        </w:numPr>
        <w:rPr>
          <w:rFonts w:ascii="Arial" w:cs="Arial" w:eastAsia="Arial" w:hAnsi="Arial"/>
          <w:sz w:val="15"/>
          <w:szCs w:val="15"/>
          <w:color w:val="auto"/>
        </w:rPr>
      </w:pP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12" w:lineRule="exact"/>
        <w:rPr>
          <w:sz w:val="20"/>
          <w:szCs w:val="20"/>
          <w:color w:val="auto"/>
        </w:rPr>
      </w:pPr>
    </w:p>
    <w:p>
      <w:pPr>
        <w:ind w:right="760" w:firstLine="634"/>
        <w:spacing w:after="0" w:line="322" w:lineRule="auto"/>
        <w:tabs>
          <w:tab w:leader="none" w:pos="1258"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Tax Consultation</w:t>
      </w:r>
      <w:r>
        <w:rPr>
          <w:rFonts w:ascii="Arial" w:cs="Arial" w:eastAsia="Arial" w:hAnsi="Arial"/>
          <w:sz w:val="16"/>
          <w:szCs w:val="16"/>
          <w:color w:val="auto"/>
        </w:rPr>
        <w:t>. Participant understands that Participant may suffer adverse tax consequences as a result of Participant’s purchase or disposition of the Shares. Participant represents that Participant has consulted with any tax consultants Participant deems advisable 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purchase or disposition of the Shares and that Participant is not relying on the Company for any tax advice.</w:t>
      </w:r>
    </w:p>
    <w:p>
      <w:pPr>
        <w:spacing w:after="0" w:line="224" w:lineRule="exact"/>
        <w:rPr>
          <w:sz w:val="20"/>
          <w:szCs w:val="20"/>
          <w:color w:val="auto"/>
        </w:rPr>
      </w:pPr>
    </w:p>
    <w:p>
      <w:pPr>
        <w:ind w:left="1260" w:hanging="626"/>
        <w:spacing w:after="0"/>
        <w:tabs>
          <w:tab w:leader="none" w:pos="126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Restrictive Legends and Stop-Transfer Orders.</w:t>
      </w:r>
    </w:p>
    <w:p>
      <w:pPr>
        <w:spacing w:after="0" w:line="224" w:lineRule="exact"/>
        <w:rPr>
          <w:rFonts w:ascii="Arial" w:cs="Arial" w:eastAsia="Arial" w:hAnsi="Arial"/>
          <w:sz w:val="17"/>
          <w:szCs w:val="17"/>
          <w:color w:val="auto"/>
        </w:rPr>
      </w:pPr>
    </w:p>
    <w:p>
      <w:pPr>
        <w:ind w:right="140" w:firstLine="1263"/>
        <w:spacing w:after="0" w:line="273" w:lineRule="auto"/>
        <w:tabs>
          <w:tab w:leader="none" w:pos="1885"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72" w:lineRule="exact"/>
        <w:rPr>
          <w:sz w:val="20"/>
          <w:szCs w:val="20"/>
          <w:color w:val="auto"/>
        </w:rPr>
      </w:pPr>
    </w:p>
    <w:p>
      <w:pPr>
        <w:ind w:left="1260" w:right="100"/>
        <w:spacing w:after="0" w:line="268"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76" w:lineRule="exact"/>
        <w:rPr>
          <w:sz w:val="20"/>
          <w:szCs w:val="20"/>
          <w:color w:val="auto"/>
        </w:rPr>
      </w:pPr>
    </w:p>
    <w:p>
      <w:pPr>
        <w:ind w:left="1260" w:right="80"/>
        <w:spacing w:after="0" w:line="265" w:lineRule="auto"/>
        <w:rPr>
          <w:sz w:val="20"/>
          <w:szCs w:val="20"/>
          <w:color w:val="auto"/>
        </w:rPr>
      </w:pPr>
      <w:r>
        <w:rPr>
          <w:rFonts w:ascii="Arial" w:cs="Arial" w:eastAsia="Arial" w:hAnsi="Arial"/>
          <w:sz w:val="17"/>
          <w:szCs w:val="17"/>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79" w:lineRule="exact"/>
        <w:rPr>
          <w:sz w:val="20"/>
          <w:szCs w:val="20"/>
          <w:color w:val="auto"/>
        </w:rPr>
      </w:pPr>
    </w:p>
    <w:p>
      <w:pPr>
        <w:ind w:left="1260"/>
        <w:spacing w:after="0" w:line="265" w:lineRule="auto"/>
        <w:rPr>
          <w:sz w:val="20"/>
          <w:szCs w:val="20"/>
          <w:color w:val="auto"/>
        </w:rPr>
      </w:pPr>
      <w:r>
        <w:rPr>
          <w:rFonts w:ascii="Arial" w:cs="Arial" w:eastAsia="Arial" w:hAnsi="Arial"/>
          <w:sz w:val="17"/>
          <w:szCs w:val="17"/>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ectPr>
          <w:pgSz w:w="11900" w:h="16838" w:orient="portrait"/>
          <w:cols w:equalWidth="0" w:num="1">
            <w:col w:w="11420"/>
          </w:cols>
          <w:pgMar w:left="240" w:top="127" w:right="239" w:bottom="43" w:gutter="0" w:footer="0" w:header="0"/>
        </w:sectPr>
      </w:pPr>
    </w:p>
    <w:bookmarkStart w:id="238" w:name="page239"/>
    <w:bookmarkEnd w:id="238"/>
    <w:p>
      <w:pPr>
        <w:ind w:right="120" w:firstLine="1263"/>
        <w:spacing w:after="0" w:line="273" w:lineRule="auto"/>
        <w:tabs>
          <w:tab w:leader="none" w:pos="1895"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80" w:firstLine="1263"/>
        <w:spacing w:after="0" w:line="273" w:lineRule="auto"/>
        <w:tabs>
          <w:tab w:leader="none" w:pos="1898"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71" w:lineRule="exact"/>
        <w:rPr>
          <w:rFonts w:ascii="Arial" w:cs="Arial" w:eastAsia="Arial" w:hAnsi="Arial"/>
          <w:sz w:val="17"/>
          <w:szCs w:val="17"/>
          <w:color w:val="auto"/>
        </w:rPr>
      </w:pPr>
    </w:p>
    <w:p>
      <w:pPr>
        <w:ind w:right="120" w:firstLine="634"/>
        <w:spacing w:after="0" w:line="289" w:lineRule="auto"/>
        <w:tabs>
          <w:tab w:leader="none" w:pos="1258"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successors and assigns of the Company. Subject to the restrictions on transfer herein set forth, this Exercise Notice shall be binding upon Participant and his or her heirs, executors, administrators, successors and assigns.</w:t>
      </w:r>
    </w:p>
    <w:p>
      <w:pPr>
        <w:spacing w:after="0" w:line="158" w:lineRule="exact"/>
        <w:rPr>
          <w:sz w:val="20"/>
          <w:szCs w:val="20"/>
          <w:color w:val="auto"/>
        </w:rPr>
      </w:pPr>
    </w:p>
    <w:p>
      <w:pPr>
        <w:jc w:val="both"/>
        <w:ind w:right="80" w:firstLine="634"/>
        <w:spacing w:after="0" w:line="273" w:lineRule="auto"/>
        <w:tabs>
          <w:tab w:leader="none" w:pos="1258"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1" w:lineRule="exact"/>
        <w:rPr>
          <w:rFonts w:ascii="Arial" w:cs="Arial" w:eastAsia="Arial" w:hAnsi="Arial"/>
          <w:sz w:val="17"/>
          <w:szCs w:val="17"/>
          <w:color w:val="auto"/>
        </w:rPr>
      </w:pPr>
    </w:p>
    <w:p>
      <w:pPr>
        <w:ind w:right="240" w:firstLine="634"/>
        <w:spacing w:after="0" w:line="273" w:lineRule="auto"/>
        <w:tabs>
          <w:tab w:leader="none" w:pos="1254"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1" w:lineRule="exact"/>
        <w:rPr>
          <w:rFonts w:ascii="Arial" w:cs="Arial" w:eastAsia="Arial" w:hAnsi="Arial"/>
          <w:sz w:val="17"/>
          <w:szCs w:val="17"/>
          <w:color w:val="auto"/>
        </w:rPr>
      </w:pPr>
    </w:p>
    <w:p>
      <w:pPr>
        <w:ind w:right="140" w:firstLine="634"/>
        <w:spacing w:after="0" w:line="290" w:lineRule="auto"/>
        <w:tabs>
          <w:tab w:leader="none" w:pos="1248"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gridSpan w:val="2"/>
          </w:tcPr>
          <w:p>
            <w:pPr>
              <w:spacing w:after="0"/>
              <w:rPr>
                <w:sz w:val="20"/>
                <w:szCs w:val="20"/>
                <w:color w:val="auto"/>
              </w:rPr>
            </w:pPr>
            <w:r>
              <w:rPr>
                <w:rFonts w:ascii="Arial" w:cs="Arial" w:eastAsia="Arial" w:hAnsi="Arial"/>
                <w:sz w:val="17"/>
                <w:szCs w:val="17"/>
                <w:color w:val="auto"/>
              </w:rPr>
              <w:t>Submitted by:</w:t>
            </w: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Accepted by:</w:t>
            </w:r>
          </w:p>
        </w:tc>
        <w:tc>
          <w:tcPr>
            <w:tcW w:w="40" w:type="dxa"/>
            <w:vAlign w:val="bottom"/>
          </w:tcPr>
          <w:p>
            <w:pPr>
              <w:spacing w:after="0"/>
              <w:rPr>
                <w:sz w:val="18"/>
                <w:szCs w:val="18"/>
                <w:color w:val="auto"/>
              </w:rPr>
            </w:pPr>
          </w:p>
        </w:tc>
      </w:tr>
      <w:tr>
        <w:trPr>
          <w:trHeight w:val="222"/>
        </w:trPr>
        <w:tc>
          <w:tcPr>
            <w:tcW w:w="152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15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6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15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Print Name</w:t>
            </w:r>
          </w:p>
        </w:tc>
        <w:tc>
          <w:tcPr>
            <w:tcW w:w="6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4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7000 Shoreline Court, Suite 250</w:t>
            </w:r>
          </w:p>
        </w:tc>
        <w:tc>
          <w:tcPr>
            <w:tcW w:w="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South San Francisco, CA 94080</w:t>
            </w:r>
          </w:p>
        </w:tc>
        <w:tc>
          <w:tcPr>
            <w:tcW w:w="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Date Received</w:t>
            </w: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3"/>
          </w:tcPr>
          <w:p>
            <w:pPr>
              <w:jc w:val="center"/>
              <w:ind w:left="3253"/>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4"/>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160" w:type="dxa"/>
            <w:vAlign w:val="bottom"/>
            <w:gridSpan w:val="5"/>
          </w:tcPr>
          <w:p>
            <w:pPr>
              <w:jc w:val="center"/>
              <w:ind w:right="5173"/>
              <w:spacing w:after="0"/>
              <w:rPr>
                <w:sz w:val="20"/>
                <w:szCs w:val="20"/>
                <w:color w:val="auto"/>
              </w:rPr>
            </w:pPr>
            <w:r>
              <w:rPr>
                <w:rFonts w:ascii="Arial" w:cs="Arial" w:eastAsia="Arial" w:hAnsi="Arial"/>
                <w:sz w:val="17"/>
                <w:szCs w:val="17"/>
                <w:b w:val="1"/>
                <w:bCs w:val="1"/>
                <w:color w:val="auto"/>
              </w:rPr>
              <w:t>EXHIBIT B</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gridSpan w:val="6"/>
          </w:tcPr>
          <w:p>
            <w:pPr>
              <w:jc w:val="center"/>
              <w:ind w:right="2073"/>
              <w:spacing w:after="0"/>
              <w:rPr>
                <w:sz w:val="20"/>
                <w:szCs w:val="20"/>
                <w:color w:val="auto"/>
              </w:rPr>
            </w:pPr>
            <w:r>
              <w:rPr>
                <w:rFonts w:ascii="Arial" w:cs="Arial" w:eastAsia="Arial" w:hAnsi="Arial"/>
                <w:sz w:val="17"/>
                <w:szCs w:val="17"/>
                <w:b w:val="1"/>
                <w:bCs w:val="1"/>
                <w:color w:val="auto"/>
              </w:rPr>
              <w:t>INVESTMENT REPRESENTATION STATEMENT</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KAREN WRIGHT</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COMPANY</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SECURITY</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COMMON STOCK</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DATE</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-2107565</wp:posOffset>
            </wp:positionV>
            <wp:extent cx="12700"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-2107565</wp:posOffset>
            </wp:positionV>
            <wp:extent cx="12700"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purchase of the above-listed Securities, the undersigned Participant represents to the Company the following:</w:t>
      </w:r>
    </w:p>
    <w:p>
      <w:pPr>
        <w:spacing w:after="0" w:line="224" w:lineRule="exact"/>
        <w:rPr>
          <w:sz w:val="20"/>
          <w:szCs w:val="20"/>
          <w:color w:val="auto"/>
        </w:rPr>
      </w:pPr>
    </w:p>
    <w:p>
      <w:pPr>
        <w:ind w:right="80" w:firstLine="1263"/>
        <w:spacing w:after="0" w:line="268" w:lineRule="auto"/>
        <w:tabs>
          <w:tab w:leader="none" w:pos="188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ectPr>
          <w:pgSz w:w="11900" w:h="16838" w:orient="portrait"/>
          <w:cols w:equalWidth="0" w:num="1">
            <w:col w:w="11460"/>
          </w:cols>
          <w:pgMar w:left="240" w:top="127" w:right="199" w:bottom="0" w:gutter="0" w:footer="0" w:header="0"/>
        </w:sectPr>
      </w:pPr>
    </w:p>
    <w:bookmarkStart w:id="239" w:name="page240"/>
    <w:bookmarkEnd w:id="239"/>
    <w:p>
      <w:pPr>
        <w:spacing w:after="0" w:line="6" w:lineRule="exact"/>
        <w:rPr>
          <w:sz w:val="20"/>
          <w:szCs w:val="20"/>
          <w:color w:val="auto"/>
        </w:rPr>
      </w:pPr>
    </w:p>
    <w:p>
      <w:pPr>
        <w:ind w:right="60" w:firstLine="1263"/>
        <w:spacing w:after="0" w:line="261" w:lineRule="auto"/>
        <w:tabs>
          <w:tab w:leader="none" w:pos="189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4" w:lineRule="exact"/>
        <w:rPr>
          <w:rFonts w:ascii="Arial" w:cs="Arial" w:eastAsia="Arial" w:hAnsi="Arial"/>
          <w:sz w:val="17"/>
          <w:szCs w:val="17"/>
          <w:color w:val="auto"/>
        </w:rPr>
      </w:pPr>
    </w:p>
    <w:p>
      <w:pPr>
        <w:ind w:right="220" w:firstLine="1263"/>
        <w:spacing w:after="0" w:line="265" w:lineRule="auto"/>
        <w:tabs>
          <w:tab w:leader="none" w:pos="189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9" w:lineRule="exact"/>
        <w:rPr>
          <w:sz w:val="20"/>
          <w:szCs w:val="20"/>
          <w:color w:val="auto"/>
        </w:rPr>
      </w:pPr>
    </w:p>
    <w:p>
      <w:pPr>
        <w:ind w:right="120" w:firstLine="1259"/>
        <w:spacing w:after="0" w:line="290"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59" w:lineRule="exact"/>
        <w:rPr>
          <w:sz w:val="20"/>
          <w:szCs w:val="20"/>
          <w:color w:val="auto"/>
        </w:rPr>
      </w:pPr>
    </w:p>
    <w:p>
      <w:pPr>
        <w:ind w:right="180" w:firstLine="1263"/>
        <w:spacing w:after="0" w:line="283" w:lineRule="auto"/>
        <w:tabs>
          <w:tab w:leader="none" w:pos="189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Date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6240" w:type="dxa"/>
            <w:vAlign w:val="bottom"/>
            <w:gridSpan w:val="3"/>
          </w:tcPr>
          <w:p>
            <w:pPr>
              <w:jc w:val="center"/>
              <w:ind w:left="5113"/>
              <w:spacing w:after="0"/>
              <w:rPr>
                <w:sz w:val="20"/>
                <w:szCs w:val="20"/>
                <w:color w:val="auto"/>
              </w:rPr>
            </w:pPr>
            <w:r>
              <w:rPr>
                <w:rFonts w:ascii="Arial" w:cs="Arial" w:eastAsia="Arial" w:hAnsi="Arial"/>
                <w:sz w:val="17"/>
                <w:szCs w:val="17"/>
                <w:color w:val="auto"/>
                <w:w w:val="84"/>
              </w:rPr>
              <w:t>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180" w:type="dxa"/>
            <w:vAlign w:val="bottom"/>
          </w:tcPr>
          <w:p>
            <w:pPr>
              <w:spacing w:after="0"/>
              <w:rPr>
                <w:sz w:val="24"/>
                <w:szCs w:val="2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EXHIBIT C-1</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6600" w:type="dxa"/>
            <w:vAlign w:val="bottom"/>
            <w:gridSpan w:val="4"/>
          </w:tcPr>
          <w:p>
            <w:pPr>
              <w:jc w:val="center"/>
              <w:ind w:left="4753"/>
              <w:spacing w:after="0"/>
              <w:rPr>
                <w:sz w:val="20"/>
                <w:szCs w:val="20"/>
                <w:color w:val="auto"/>
              </w:rPr>
            </w:pPr>
            <w:r>
              <w:rPr>
                <w:rFonts w:ascii="Arial" w:cs="Arial" w:eastAsia="Arial" w:hAnsi="Arial"/>
                <w:sz w:val="17"/>
                <w:szCs w:val="17"/>
                <w:b w:val="1"/>
                <w:bCs w:val="1"/>
                <w:color w:val="auto"/>
              </w:rPr>
              <w:t>VERACYTE, INC.</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600" w:type="dxa"/>
            <w:vAlign w:val="bottom"/>
            <w:gridSpan w:val="4"/>
          </w:tcPr>
          <w:p>
            <w:pPr>
              <w:jc w:val="center"/>
              <w:ind w:left="4753"/>
              <w:spacing w:after="0"/>
              <w:rPr>
                <w:sz w:val="20"/>
                <w:szCs w:val="20"/>
                <w:color w:val="auto"/>
              </w:rPr>
            </w:pPr>
            <w:r>
              <w:rPr>
                <w:rFonts w:ascii="Arial" w:cs="Arial" w:eastAsia="Arial" w:hAnsi="Arial"/>
                <w:sz w:val="17"/>
                <w:szCs w:val="17"/>
                <w:b w:val="1"/>
                <w:bCs w:val="1"/>
                <w:color w:val="auto"/>
                <w:w w:val="99"/>
              </w:rPr>
              <w:t>2008 STOCK PLAN</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1420" w:type="dxa"/>
            <w:vAlign w:val="bottom"/>
            <w:gridSpan w:val="6"/>
          </w:tcPr>
          <w:p>
            <w:pPr>
              <w:jc w:val="center"/>
              <w:spacing w:after="0"/>
              <w:rPr>
                <w:sz w:val="20"/>
                <w:szCs w:val="20"/>
                <w:color w:val="auto"/>
              </w:rPr>
            </w:pPr>
            <w:r>
              <w:rPr>
                <w:rFonts w:ascii="Arial" w:cs="Arial" w:eastAsia="Arial" w:hAnsi="Arial"/>
                <w:sz w:val="17"/>
                <w:szCs w:val="17"/>
                <w:b w:val="1"/>
                <w:bCs w:val="1"/>
                <w:color w:val="auto"/>
              </w:rPr>
              <w:t>RESTRICTED STOCK PURCHASE AGREEMENT</w:t>
            </w:r>
          </w:p>
        </w:tc>
        <w:tc>
          <w:tcPr>
            <w:tcW w:w="40" w:type="dxa"/>
            <w:vAlign w:val="bottom"/>
          </w:tcPr>
          <w:p>
            <w:pPr>
              <w:spacing w:after="0"/>
              <w:rPr>
                <w:sz w:val="24"/>
                <w:szCs w:val="24"/>
                <w:color w:val="auto"/>
              </w:rPr>
            </w:pPr>
          </w:p>
        </w:tc>
      </w:tr>
      <w:tr>
        <w:trPr>
          <w:trHeight w:val="408"/>
        </w:trPr>
        <w:tc>
          <w:tcPr>
            <w:tcW w:w="7100" w:type="dxa"/>
            <w:vAlign w:val="bottom"/>
            <w:gridSpan w:val="5"/>
          </w:tcPr>
          <w:p>
            <w:pPr>
              <w:jc w:val="right"/>
              <w:spacing w:after="0"/>
              <w:rPr>
                <w:sz w:val="20"/>
                <w:szCs w:val="20"/>
                <w:color w:val="auto"/>
              </w:rPr>
            </w:pPr>
            <w:r>
              <w:rPr>
                <w:rFonts w:ascii="Arial" w:cs="Arial" w:eastAsia="Arial" w:hAnsi="Arial"/>
                <w:sz w:val="17"/>
                <w:szCs w:val="17"/>
                <w:color w:val="auto"/>
              </w:rPr>
              <w:t>THIS RESTRICTED STOCK AWARD AGREEMENT (the “Agreement”) is made between</w:t>
            </w:r>
          </w:p>
        </w:tc>
        <w:tc>
          <w:tcPr>
            <w:tcW w:w="4320" w:type="dxa"/>
            <w:vAlign w:val="bottom"/>
          </w:tcPr>
          <w:p>
            <w:pPr>
              <w:jc w:val="right"/>
              <w:ind w:right="113"/>
              <w:spacing w:after="0"/>
              <w:rPr>
                <w:sz w:val="20"/>
                <w:szCs w:val="20"/>
                <w:color w:val="auto"/>
              </w:rPr>
            </w:pPr>
            <w:r>
              <w:rPr>
                <w:rFonts w:ascii="Arial" w:cs="Arial" w:eastAsia="Arial" w:hAnsi="Arial"/>
                <w:sz w:val="17"/>
                <w:szCs w:val="17"/>
                <w:color w:val="auto"/>
              </w:rPr>
              <w:t>(the “Purchaser”) and</w:t>
            </w:r>
          </w:p>
        </w:tc>
        <w:tc>
          <w:tcPr>
            <w:tcW w:w="40" w:type="dxa"/>
            <w:vAlign w:val="bottom"/>
          </w:tcPr>
          <w:p>
            <w:pPr>
              <w:spacing w:after="0"/>
              <w:rPr>
                <w:sz w:val="24"/>
                <w:szCs w:val="24"/>
                <w:color w:val="auto"/>
              </w:rPr>
            </w:pPr>
          </w:p>
        </w:tc>
      </w:tr>
      <w:tr>
        <w:trPr>
          <w:trHeight w:val="222"/>
        </w:trPr>
        <w:tc>
          <w:tcPr>
            <w:tcW w:w="6600" w:type="dxa"/>
            <w:vAlign w:val="bottom"/>
            <w:gridSpan w:val="4"/>
          </w:tcPr>
          <w:p>
            <w:pPr>
              <w:spacing w:after="0"/>
              <w:rPr>
                <w:sz w:val="20"/>
                <w:szCs w:val="20"/>
                <w:color w:val="auto"/>
              </w:rPr>
            </w:pPr>
            <w:r>
              <w:rPr>
                <w:rFonts w:ascii="Arial" w:cs="Arial" w:eastAsia="Arial" w:hAnsi="Arial"/>
                <w:sz w:val="17"/>
                <w:szCs w:val="17"/>
                <w:color w:val="auto"/>
              </w:rPr>
              <w:t>Veracyte, Inc. (the “Company”) or its assignees of rights hereunder as of</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4320" w:type="dxa"/>
            <w:vAlign w:val="bottom"/>
          </w:tcPr>
          <w:p>
            <w:pPr>
              <w:jc w:val="right"/>
              <w:ind w:right="415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-1707515</wp:posOffset>
            </wp:positionV>
            <wp:extent cx="12700"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-1707515</wp:posOffset>
            </wp:positionV>
            <wp:extent cx="12700"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defined herein, the terms defined in the 2008 Stock Plan shall have the same defined meanings in this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RECITALS</w:t>
      </w:r>
    </w:p>
    <w:p>
      <w:pPr>
        <w:spacing w:after="0" w:line="43" w:lineRule="exact"/>
        <w:rPr>
          <w:sz w:val="20"/>
          <w:szCs w:val="20"/>
          <w:color w:val="auto"/>
        </w:rPr>
      </w:pPr>
    </w:p>
    <w:p>
      <w:pPr>
        <w:ind w:left="1280" w:hanging="646"/>
        <w:spacing w:after="0"/>
        <w:tabs>
          <w:tab w:leader="none" w:pos="12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Pursuant to the exercise of the option granted to Purchaser under the Plan and pursuant to the Stock Option Agreement (the “Option</w:t>
      </w:r>
    </w:p>
    <w:p>
      <w:pPr>
        <w:spacing w:after="0" w:line="196"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Agreement”) dated , by and between the Company and Purchaser with respect to such grant (the “Option”), which Plan and Option Agreement are hereby incorporated by reference, Purchaser has elected to purchase of those shares of Common Stock which have not become vested</w:t>
      </w:r>
    </w:p>
    <w:p>
      <w:pPr>
        <w:spacing w:after="0" w:line="1"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color w:val="auto"/>
        </w:rPr>
        <w:t>under the vesting schedule set forth in the Option Agreement (“Unvested Shares”). The Unvested Shares and the shares subject to the Option Agreement, which have become vested are sometimes collectively referred to herein as the “Shares.”</w:t>
      </w:r>
    </w:p>
    <w:p>
      <w:pPr>
        <w:spacing w:after="0" w:line="169" w:lineRule="exact"/>
        <w:rPr>
          <w:sz w:val="20"/>
          <w:szCs w:val="20"/>
          <w:color w:val="auto"/>
        </w:rPr>
      </w:pPr>
    </w:p>
    <w:p>
      <w:pPr>
        <w:ind w:right="420" w:firstLine="634"/>
        <w:spacing w:after="0" w:line="289" w:lineRule="auto"/>
        <w:tabs>
          <w:tab w:leader="none" w:pos="126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58" w:lineRule="exact"/>
        <w:rPr>
          <w:sz w:val="20"/>
          <w:szCs w:val="20"/>
          <w:color w:val="auto"/>
        </w:rPr>
      </w:pPr>
    </w:p>
    <w:p>
      <w:pPr>
        <w:ind w:left="1260" w:hanging="626"/>
        <w:spacing w:after="0"/>
        <w:tabs>
          <w:tab w:leader="none" w:pos="1260"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Repurchase Option</w:t>
      </w:r>
      <w:r>
        <w:rPr>
          <w:rFonts w:ascii="Arial" w:cs="Arial" w:eastAsia="Arial" w:hAnsi="Arial"/>
          <w:sz w:val="17"/>
          <w:szCs w:val="17"/>
          <w:color w:val="auto"/>
        </w:rPr>
        <w:t>.</w:t>
      </w:r>
    </w:p>
    <w:p>
      <w:pPr>
        <w:sectPr>
          <w:pgSz w:w="11900" w:h="16844" w:orient="portrait"/>
          <w:cols w:equalWidth="0" w:num="1">
            <w:col w:w="11460"/>
          </w:cols>
          <w:pgMar w:left="240" w:top="127" w:right="199" w:bottom="0" w:gutter="0" w:footer="0" w:header="0"/>
        </w:sectPr>
      </w:pPr>
    </w:p>
    <w:bookmarkStart w:id="240" w:name="page241"/>
    <w:bookmarkEnd w:id="240"/>
    <w:p>
      <w:pPr>
        <w:spacing w:after="0" w:line="28" w:lineRule="exact"/>
        <w:rPr>
          <w:sz w:val="20"/>
          <w:szCs w:val="20"/>
          <w:color w:val="auto"/>
        </w:rPr>
      </w:pPr>
    </w:p>
    <w:p>
      <w:pPr>
        <w:jc w:val="both"/>
        <w:ind w:right="140" w:firstLine="1263"/>
        <w:spacing w:after="0" w:line="298" w:lineRule="auto"/>
        <w:tabs>
          <w:tab w:leader="none" w:pos="188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53" w:lineRule="exact"/>
        <w:rPr>
          <w:rFonts w:ascii="Arial" w:cs="Arial" w:eastAsia="Arial" w:hAnsi="Arial"/>
          <w:sz w:val="16"/>
          <w:szCs w:val="16"/>
          <w:color w:val="auto"/>
        </w:rPr>
      </w:pPr>
    </w:p>
    <w:p>
      <w:pPr>
        <w:ind w:right="200" w:firstLine="1263"/>
        <w:spacing w:after="0" w:line="283" w:lineRule="auto"/>
        <w:tabs>
          <w:tab w:leader="none" w:pos="189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 cancellation of indebtedness equals such aggregate repurchase price. Upon delivery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72" w:lineRule="exact"/>
        <w:rPr>
          <w:sz w:val="20"/>
          <w:szCs w:val="20"/>
          <w:color w:val="auto"/>
        </w:rPr>
      </w:pPr>
    </w:p>
    <w:p>
      <w:pPr>
        <w:ind w:firstLine="1263"/>
        <w:spacing w:after="0" w:line="273" w:lineRule="auto"/>
        <w:tabs>
          <w:tab w:leader="none" w:pos="1898" w:val="left"/>
        </w:tabs>
        <w:numPr>
          <w:ilvl w:val="1"/>
          <w:numId w:val="266"/>
        </w:numPr>
        <w:rPr>
          <w:rFonts w:ascii="Arial" w:cs="Arial" w:eastAsia="Arial" w:hAnsi="Arial"/>
          <w:sz w:val="17"/>
          <w:szCs w:val="17"/>
          <w:color w:val="auto"/>
        </w:rPr>
      </w:pPr>
      <w:r>
        <w:rPr>
          <w:rFonts w:ascii="Arial" w:cs="Arial" w:eastAsia="Arial" w:hAnsi="Arial"/>
          <w:sz w:val="17"/>
          <w:szCs w:val="17"/>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71" w:lineRule="exact"/>
        <w:rPr>
          <w:rFonts w:ascii="Arial" w:cs="Arial" w:eastAsia="Arial" w:hAnsi="Arial"/>
          <w:sz w:val="17"/>
          <w:szCs w:val="17"/>
          <w:color w:val="auto"/>
        </w:rPr>
      </w:pPr>
    </w:p>
    <w:p>
      <w:pPr>
        <w:ind w:right="60" w:firstLine="1263"/>
        <w:spacing w:after="0" w:line="289" w:lineRule="auto"/>
        <w:tabs>
          <w:tab w:leader="none" w:pos="1895"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If the Company does not elect to exercise the Repurchase Option conferred above by giving the requisite notice within ninety (90) days following the termination, the Repurchase Option shall terminate.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Repurchase Option shall terminate in accordance with the vesting schedule contained in Purchaser’s Option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Transferability of the Shares; Escrow</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89" w:lineRule="auto"/>
        <w:tabs>
          <w:tab w:leader="none" w:pos="1885" w:val="left"/>
        </w:tabs>
        <w:numPr>
          <w:ilvl w:val="1"/>
          <w:numId w:val="267"/>
        </w:numPr>
        <w:rPr>
          <w:rFonts w:ascii="Arial" w:cs="Arial" w:eastAsia="Arial" w:hAnsi="Arial"/>
          <w:sz w:val="17"/>
          <w:szCs w:val="17"/>
          <w:color w:val="auto"/>
        </w:rPr>
      </w:pPr>
      <w:r>
        <w:rPr>
          <w:rFonts w:ascii="Arial" w:cs="Arial" w:eastAsia="Arial" w:hAnsi="Arial"/>
          <w:sz w:val="17"/>
          <w:szCs w:val="17"/>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58" w:lineRule="exact"/>
        <w:rPr>
          <w:rFonts w:ascii="Arial" w:cs="Arial" w:eastAsia="Arial" w:hAnsi="Arial"/>
          <w:sz w:val="17"/>
          <w:szCs w:val="17"/>
          <w:color w:val="auto"/>
        </w:rPr>
      </w:pPr>
    </w:p>
    <w:p>
      <w:pPr>
        <w:ind w:right="20" w:firstLine="1263"/>
        <w:spacing w:after="0" w:line="279" w:lineRule="auto"/>
        <w:tabs>
          <w:tab w:leader="none" w:pos="189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6"/>
          <w:szCs w:val="16"/>
          <w:u w:val="single" w:color="auto"/>
          <w:color w:val="auto"/>
        </w:rPr>
        <w:t>Exhibit C-3</w:t>
      </w:r>
      <w:r>
        <w:rPr>
          <w:rFonts w:ascii="Arial" w:cs="Arial" w:eastAsia="Arial" w:hAnsi="Arial"/>
          <w:sz w:val="16"/>
          <w:szCs w:val="16"/>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8" w:lineRule="exact"/>
        <w:rPr>
          <w:rFonts w:ascii="Arial" w:cs="Arial" w:eastAsia="Arial" w:hAnsi="Arial"/>
          <w:sz w:val="16"/>
          <w:szCs w:val="16"/>
          <w:color w:val="auto"/>
        </w:rPr>
      </w:pPr>
    </w:p>
    <w:p>
      <w:pPr>
        <w:ind w:right="380" w:firstLine="1263"/>
        <w:spacing w:after="0" w:line="289" w:lineRule="auto"/>
        <w:tabs>
          <w:tab w:leader="none" w:pos="1898" w:val="left"/>
        </w:tabs>
        <w:numPr>
          <w:ilvl w:val="1"/>
          <w:numId w:val="267"/>
        </w:numPr>
        <w:rPr>
          <w:rFonts w:ascii="Arial" w:cs="Arial" w:eastAsia="Arial" w:hAnsi="Arial"/>
          <w:sz w:val="17"/>
          <w:szCs w:val="17"/>
          <w:color w:val="auto"/>
        </w:rPr>
      </w:pPr>
      <w:r>
        <w:rPr>
          <w:rFonts w:ascii="Arial" w:cs="Arial" w:eastAsia="Arial" w:hAnsi="Arial"/>
          <w:sz w:val="17"/>
          <w:szCs w:val="17"/>
          <w:color w:val="auto"/>
        </w:rPr>
        <w:t>Neither the Company nor the Escrow Agent shall be liable for any act it may do or omit to do with respect to holding the Shares in escrow and while acting in good faith and in the exercise of its judgment.</w:t>
      </w:r>
    </w:p>
    <w:p>
      <w:pPr>
        <w:spacing w:after="0" w:line="158" w:lineRule="exact"/>
        <w:rPr>
          <w:rFonts w:ascii="Arial" w:cs="Arial" w:eastAsia="Arial" w:hAnsi="Arial"/>
          <w:sz w:val="17"/>
          <w:szCs w:val="17"/>
          <w:color w:val="auto"/>
        </w:rPr>
      </w:pPr>
    </w:p>
    <w:p>
      <w:pPr>
        <w:ind w:right="380" w:firstLine="1263"/>
        <w:spacing w:after="0" w:line="322" w:lineRule="auto"/>
        <w:tabs>
          <w:tab w:leader="none" w:pos="189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Transfer or sale of the Shares is subject to restrictions on transfer imposed by any applicable state and federal securities laws. Any transferee shall hold such Shares subject to all the provisions hereof and the Exercise Notice executed by the Purchaser with respect to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Unvested Shares purchased by Purchaser and shall acknowledge the same by signing a copy of this Agreement.</w:t>
      </w:r>
    </w:p>
    <w:p>
      <w:pPr>
        <w:spacing w:after="0" w:line="224" w:lineRule="exact"/>
        <w:rPr>
          <w:sz w:val="20"/>
          <w:szCs w:val="20"/>
          <w:color w:val="auto"/>
        </w:rPr>
      </w:pPr>
    </w:p>
    <w:p>
      <w:pPr>
        <w:ind w:firstLine="634"/>
        <w:spacing w:after="0" w:line="289" w:lineRule="auto"/>
        <w:tabs>
          <w:tab w:leader="none" w:pos="1258"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Ownership, Voting Rights, Duties</w:t>
      </w:r>
      <w:r>
        <w:rPr>
          <w:rFonts w:ascii="Arial" w:cs="Arial" w:eastAsia="Arial" w:hAnsi="Arial"/>
          <w:sz w:val="17"/>
          <w:szCs w:val="17"/>
          <w:color w:val="auto"/>
        </w:rPr>
        <w:t>. This Agreement shall not affect in any way the ownership, voting rights or other rights or duties of Purchaser, except as specifically provided herein.</w:t>
      </w:r>
    </w:p>
    <w:p>
      <w:pPr>
        <w:spacing w:after="0" w:line="158" w:lineRule="exact"/>
        <w:rPr>
          <w:rFonts w:ascii="Arial" w:cs="Arial" w:eastAsia="Arial" w:hAnsi="Arial"/>
          <w:sz w:val="17"/>
          <w:szCs w:val="17"/>
          <w:color w:val="auto"/>
        </w:rPr>
      </w:pPr>
    </w:p>
    <w:p>
      <w:pPr>
        <w:ind w:right="260" w:firstLine="634"/>
        <w:spacing w:after="0" w:line="289" w:lineRule="auto"/>
        <w:tabs>
          <w:tab w:leader="none" w:pos="1258"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share certificate evidencing the Shares issued hereunder shall be endorsed with the following legend (in addition to any legend required under applicable federal and state securities laws):</w:t>
      </w:r>
    </w:p>
    <w:p>
      <w:pPr>
        <w:spacing w:after="0" w:line="158"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72" w:lineRule="exact"/>
        <w:rPr>
          <w:sz w:val="20"/>
          <w:szCs w:val="20"/>
          <w:color w:val="auto"/>
        </w:rPr>
      </w:pPr>
    </w:p>
    <w:p>
      <w:pPr>
        <w:ind w:right="40" w:firstLine="634"/>
        <w:spacing w:after="0" w:line="273"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w:t>
      </w:r>
      <w:r>
        <w:rPr>
          <w:rFonts w:ascii="Arial" w:cs="Arial" w:eastAsia="Arial" w:hAnsi="Arial"/>
          <w:sz w:val="17"/>
          <w:szCs w:val="17"/>
          <w:color w:val="auto"/>
        </w:rPr>
        <w:t>. All references to the number of Shares and the purchase price of the Shares in this Agreement shall be appropriately adjusted to reflect any stock split, stock dividend or other change in the Shares, which may be made by the Company pursuant to Section 12 of the Plan after the date of this Agreement.</w:t>
      </w:r>
    </w:p>
    <w:p>
      <w:pPr>
        <w:spacing w:after="0" w:line="171" w:lineRule="exact"/>
        <w:rPr>
          <w:rFonts w:ascii="Arial" w:cs="Arial" w:eastAsia="Arial" w:hAnsi="Arial"/>
          <w:sz w:val="17"/>
          <w:szCs w:val="17"/>
          <w:color w:val="auto"/>
        </w:rPr>
      </w:pPr>
    </w:p>
    <w:p>
      <w:pPr>
        <w:ind w:right="480" w:firstLine="634"/>
        <w:spacing w:after="0" w:line="289"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required hereunder shall be given in person or by registered mail to the address of Purchaser shown on the records of the Company, and to the Company at their respective principal executive offices.</w:t>
      </w:r>
    </w:p>
    <w:p>
      <w:pPr>
        <w:spacing w:after="0" w:line="158" w:lineRule="exact"/>
        <w:rPr>
          <w:rFonts w:ascii="Arial" w:cs="Arial" w:eastAsia="Arial" w:hAnsi="Arial"/>
          <w:sz w:val="17"/>
          <w:szCs w:val="17"/>
          <w:color w:val="auto"/>
        </w:rPr>
      </w:pPr>
    </w:p>
    <w:p>
      <w:pPr>
        <w:ind w:right="20" w:firstLine="634"/>
        <w:spacing w:after="0" w:line="289"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Survival of Terms</w:t>
      </w:r>
      <w:r>
        <w:rPr>
          <w:rFonts w:ascii="Arial" w:cs="Arial" w:eastAsia="Arial" w:hAnsi="Arial"/>
          <w:sz w:val="17"/>
          <w:szCs w:val="17"/>
          <w:color w:val="auto"/>
        </w:rPr>
        <w:t>. This Agreement shall apply to and bind Purchaser and the Company and their respective permitted assignees and transferees, heirs, legatees, executors, administrators and legal successors.</w:t>
      </w:r>
    </w:p>
    <w:p>
      <w:pPr>
        <w:spacing w:after="0" w:line="158" w:lineRule="exact"/>
        <w:rPr>
          <w:rFonts w:ascii="Arial" w:cs="Arial" w:eastAsia="Arial" w:hAnsi="Arial"/>
          <w:sz w:val="17"/>
          <w:szCs w:val="17"/>
          <w:color w:val="auto"/>
        </w:rPr>
      </w:pPr>
    </w:p>
    <w:p>
      <w:pPr>
        <w:jc w:val="both"/>
        <w:ind w:right="280" w:firstLine="634"/>
        <w:spacing w:after="0" w:line="326" w:lineRule="auto"/>
        <w:tabs>
          <w:tab w:leader="none" w:pos="1258" w:val="left"/>
        </w:tabs>
        <w:numPr>
          <w:ilvl w:val="0"/>
          <w:numId w:val="269"/>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Purchaser hereby acknowledges that he or she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w:t>
      </w:r>
    </w:p>
    <w:p>
      <w:pPr>
        <w:sectPr>
          <w:pgSz w:w="11900" w:h="16867" w:orient="portrait"/>
          <w:cols w:equalWidth="0" w:num="1">
            <w:col w:w="11420"/>
          </w:cols>
          <w:pgMar w:left="240" w:top="337" w:right="239" w:bottom="0" w:gutter="0" w:footer="0" w:header="0"/>
        </w:sectPr>
      </w:pPr>
    </w:p>
    <w:bookmarkStart w:id="241" w:name="page242"/>
    <w:bookmarkEnd w:id="241"/>
    <w:p>
      <w:pPr>
        <w:ind w:right="60"/>
        <w:spacing w:after="0" w:line="262" w:lineRule="auto"/>
        <w:rPr>
          <w:sz w:val="20"/>
          <w:szCs w:val="20"/>
          <w:color w:val="auto"/>
        </w:rPr>
      </w:pPr>
      <w:r>
        <w:rPr>
          <w:rFonts w:ascii="Arial" w:cs="Arial" w:eastAsia="Arial" w:hAnsi="Arial"/>
          <w:sz w:val="17"/>
          <w:szCs w:val="17"/>
          <w:color w:val="auto"/>
        </w:rPr>
        <w:t>their Fair Market Value on the date of purchase. In the case of a Nonstatutory Stock Option, this will result in the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17"/>
          <w:szCs w:val="17"/>
          <w:u w:val="single" w:color="auto"/>
          <w:color w:val="auto"/>
        </w:rPr>
        <w:t>Exhibit C-4</w:t>
      </w:r>
      <w:r>
        <w:rPr>
          <w:rFonts w:ascii="Arial" w:cs="Arial" w:eastAsia="Arial" w:hAnsi="Arial"/>
          <w:sz w:val="17"/>
          <w:szCs w:val="17"/>
          <w:color w:val="auto"/>
        </w:rPr>
        <w:t xml:space="preserve"> for reference.</w:t>
      </w:r>
    </w:p>
    <w:p>
      <w:pPr>
        <w:spacing w:after="0" w:line="179"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72" w:lineRule="exact"/>
        <w:rPr>
          <w:sz w:val="20"/>
          <w:szCs w:val="20"/>
          <w:color w:val="auto"/>
        </w:rPr>
      </w:pPr>
    </w:p>
    <w:p>
      <w:pPr>
        <w:ind w:right="160" w:firstLine="634"/>
        <w:spacing w:after="0" w:line="268" w:lineRule="auto"/>
        <w:tabs>
          <w:tab w:leader="none" w:pos="1258"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75" w:lineRule="exact"/>
        <w:rPr>
          <w:rFonts w:ascii="Arial" w:cs="Arial" w:eastAsia="Arial" w:hAnsi="Arial"/>
          <w:sz w:val="17"/>
          <w:szCs w:val="17"/>
          <w:color w:val="auto"/>
        </w:rPr>
      </w:pPr>
    </w:p>
    <w:p>
      <w:pPr>
        <w:ind w:right="80" w:firstLine="634"/>
        <w:spacing w:after="0" w:line="265" w:lineRule="auto"/>
        <w:tabs>
          <w:tab w:leader="none" w:pos="1254"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Option Agreement are incorporated herein by reference. The Plan, the Option Agreement, the Exercise Notice, this Agreement, and the Investment Representation Statement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79"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this Agreement is deemed made as of the date first set forth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1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0"/>
        </w:trPr>
        <w:tc>
          <w:tcPr>
            <w:tcW w:w="156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1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156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1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auto"/>
              </w:rPr>
              <w:t>Title</w:t>
            </w:r>
          </w:p>
        </w:tc>
        <w:tc>
          <w:tcPr>
            <w:tcW w:w="1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56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7"/>
        </w:trPr>
        <w:tc>
          <w:tcPr>
            <w:tcW w:w="700" w:type="dxa"/>
            <w:vAlign w:val="bottom"/>
            <w:gridSpan w:val="2"/>
          </w:tcPr>
          <w:p>
            <w:pPr>
              <w:spacing w:after="0"/>
              <w:rPr>
                <w:sz w:val="20"/>
                <w:szCs w:val="20"/>
                <w:color w:val="auto"/>
              </w:rPr>
            </w:pPr>
            <w:r>
              <w:rPr>
                <w:rFonts w:ascii="Arial" w:cs="Arial" w:eastAsia="Arial" w:hAnsi="Arial"/>
                <w:sz w:val="17"/>
                <w:szCs w:val="17"/>
                <w:color w:val="auto"/>
              </w:rPr>
              <w:t>Dated:</w:t>
            </w: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0" w:type="dxa"/>
            <w:vAlign w:val="bottom"/>
            <w:gridSpan w:val="3"/>
          </w:tcPr>
          <w:p>
            <w:pPr>
              <w:jc w:val="center"/>
              <w:ind w:left="2233"/>
              <w:spacing w:after="0"/>
              <w:rPr>
                <w:sz w:val="20"/>
                <w:szCs w:val="20"/>
                <w:color w:val="auto"/>
              </w:rPr>
            </w:pPr>
            <w:r>
              <w:rPr>
                <w:rFonts w:ascii="Arial" w:cs="Arial" w:eastAsia="Arial" w:hAnsi="Arial"/>
                <w:sz w:val="17"/>
                <w:szCs w:val="17"/>
                <w:color w:val="auto"/>
                <w:w w:val="84"/>
              </w:rPr>
              <w:t>5</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3"/>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80" w:type="dxa"/>
            <w:vAlign w:val="bottom"/>
            <w:gridSpan w:val="4"/>
          </w:tcPr>
          <w:p>
            <w:pPr>
              <w:jc w:val="center"/>
              <w:ind w:right="1620"/>
              <w:spacing w:after="0"/>
              <w:rPr>
                <w:sz w:val="20"/>
                <w:szCs w:val="20"/>
                <w:color w:val="auto"/>
              </w:rPr>
            </w:pPr>
            <w:r>
              <w:rPr>
                <w:rFonts w:ascii="Arial" w:cs="Arial" w:eastAsia="Arial" w:hAnsi="Arial"/>
                <w:sz w:val="17"/>
                <w:szCs w:val="17"/>
                <w:b w:val="1"/>
                <w:bCs w:val="1"/>
                <w:color w:val="auto"/>
              </w:rPr>
              <w:t>EXHIBIT C-2</w:t>
            </w: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00" w:type="dxa"/>
            <w:vAlign w:val="bottom"/>
            <w:gridSpan w:val="5"/>
          </w:tcPr>
          <w:p>
            <w:pPr>
              <w:jc w:val="center"/>
              <w:ind w:left="313"/>
              <w:spacing w:after="0"/>
              <w:rPr>
                <w:sz w:val="20"/>
                <w:szCs w:val="20"/>
                <w:color w:val="auto"/>
              </w:rPr>
            </w:pPr>
            <w:r>
              <w:rPr>
                <w:rFonts w:ascii="Arial" w:cs="Arial" w:eastAsia="Arial" w:hAnsi="Arial"/>
                <w:sz w:val="17"/>
                <w:szCs w:val="17"/>
                <w:b w:val="1"/>
                <w:bCs w:val="1"/>
                <w:color w:val="auto"/>
              </w:rPr>
              <w:t>ASSIGNMENT SEPARATE FROM CERTIFICATE</w:t>
            </w: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3140" w:type="dxa"/>
            <w:vAlign w:val="bottom"/>
            <w:gridSpan w:val="3"/>
          </w:tcPr>
          <w:p>
            <w:pPr>
              <w:ind w:left="620"/>
              <w:spacing w:after="0"/>
              <w:rPr>
                <w:sz w:val="20"/>
                <w:szCs w:val="20"/>
                <w:color w:val="auto"/>
              </w:rPr>
            </w:pPr>
            <w:r>
              <w:rPr>
                <w:rFonts w:ascii="Arial" w:cs="Arial" w:eastAsia="Arial" w:hAnsi="Arial"/>
                <w:sz w:val="17"/>
                <w:szCs w:val="17"/>
                <w:color w:val="auto"/>
              </w:rPr>
              <w:t>FOR VALUE RECEIVED I,</w:t>
            </w:r>
          </w:p>
        </w:tc>
        <w:tc>
          <w:tcPr>
            <w:tcW w:w="6020" w:type="dxa"/>
            <w:vAlign w:val="bottom"/>
            <w:gridSpan w:val="6"/>
          </w:tcPr>
          <w:p>
            <w:pPr>
              <w:ind w:left="1800"/>
              <w:spacing w:after="0"/>
              <w:rPr>
                <w:sz w:val="20"/>
                <w:szCs w:val="20"/>
                <w:color w:val="auto"/>
              </w:rPr>
            </w:pPr>
            <w:r>
              <w:rPr>
                <w:rFonts w:ascii="Arial" w:cs="Arial" w:eastAsia="Arial" w:hAnsi="Arial"/>
                <w:sz w:val="17"/>
                <w:szCs w:val="17"/>
                <w:color w:val="auto"/>
              </w:rPr>
              <w:t>, hereby sell, assign and transfer unto Veracyte, Inc.</w:t>
            </w:r>
          </w:p>
        </w:tc>
        <w:tc>
          <w:tcPr>
            <w:tcW w:w="2240" w:type="dxa"/>
            <w:vAlign w:val="bottom"/>
          </w:tcPr>
          <w:p>
            <w:pPr>
              <w:ind w:left="600"/>
              <w:spacing w:after="0"/>
              <w:rPr>
                <w:sz w:val="20"/>
                <w:szCs w:val="20"/>
                <w:color w:val="auto"/>
              </w:rPr>
            </w:pPr>
            <w:r>
              <w:rPr>
                <w:rFonts w:ascii="Arial" w:cs="Arial" w:eastAsia="Arial" w:hAnsi="Arial"/>
                <w:sz w:val="17"/>
                <w:szCs w:val="17"/>
                <w:color w:val="auto"/>
                <w:w w:val="94"/>
              </w:rPr>
              <w:t>shares of the Common</w:t>
            </w:r>
          </w:p>
        </w:tc>
        <w:tc>
          <w:tcPr>
            <w:tcW w:w="40" w:type="dxa"/>
            <w:vAlign w:val="bottom"/>
          </w:tcPr>
          <w:p>
            <w:pPr>
              <w:spacing w:after="0"/>
              <w:rPr>
                <w:sz w:val="24"/>
                <w:szCs w:val="24"/>
                <w:color w:val="auto"/>
              </w:rPr>
            </w:pPr>
          </w:p>
        </w:tc>
      </w:tr>
      <w:tr>
        <w:trPr>
          <w:trHeight w:val="210"/>
        </w:trPr>
        <w:tc>
          <w:tcPr>
            <w:tcW w:w="7860" w:type="dxa"/>
            <w:vAlign w:val="bottom"/>
            <w:gridSpan w:val="9"/>
          </w:tcPr>
          <w:p>
            <w:pPr>
              <w:spacing w:after="0"/>
              <w:rPr>
                <w:sz w:val="20"/>
                <w:szCs w:val="20"/>
                <w:color w:val="auto"/>
              </w:rPr>
            </w:pPr>
            <w:r>
              <w:rPr>
                <w:rFonts w:ascii="Arial" w:cs="Arial" w:eastAsia="Arial" w:hAnsi="Arial"/>
                <w:sz w:val="17"/>
                <w:szCs w:val="17"/>
                <w:color w:val="auto"/>
                <w:w w:val="97"/>
              </w:rPr>
              <w:t>Stock of Veracyte, Inc. standing in my name of the books of said corporation represented by Certificate No.</w:t>
            </w:r>
          </w:p>
        </w:tc>
        <w:tc>
          <w:tcPr>
            <w:tcW w:w="3560" w:type="dxa"/>
            <w:vAlign w:val="bottom"/>
            <w:gridSpan w:val="2"/>
          </w:tcPr>
          <w:p>
            <w:pPr>
              <w:ind w:left="180"/>
              <w:spacing w:after="0"/>
              <w:rPr>
                <w:sz w:val="20"/>
                <w:szCs w:val="20"/>
                <w:color w:val="auto"/>
              </w:rPr>
            </w:pPr>
            <w:r>
              <w:rPr>
                <w:rFonts w:ascii="Arial" w:cs="Arial" w:eastAsia="Arial" w:hAnsi="Arial"/>
                <w:sz w:val="17"/>
                <w:szCs w:val="17"/>
                <w:color w:val="auto"/>
                <w:w w:val="98"/>
              </w:rPr>
              <w:t>herewith and do hereby irrevocably constitute</w:t>
            </w:r>
          </w:p>
        </w:tc>
        <w:tc>
          <w:tcPr>
            <w:tcW w:w="40" w:type="dxa"/>
            <w:vAlign w:val="bottom"/>
          </w:tcPr>
          <w:p>
            <w:pPr>
              <w:spacing w:after="0"/>
              <w:rPr>
                <w:sz w:val="18"/>
                <w:szCs w:val="18"/>
                <w:color w:val="auto"/>
              </w:rPr>
            </w:pPr>
          </w:p>
        </w:tc>
      </w:tr>
      <w:tr>
        <w:trPr>
          <w:trHeight w:val="210"/>
        </w:trPr>
        <w:tc>
          <w:tcPr>
            <w:tcW w:w="1560" w:type="dxa"/>
            <w:vAlign w:val="bottom"/>
            <w:gridSpan w:val="3"/>
          </w:tcPr>
          <w:p>
            <w:pPr>
              <w:spacing w:after="0"/>
              <w:rPr>
                <w:sz w:val="20"/>
                <w:szCs w:val="20"/>
                <w:color w:val="auto"/>
              </w:rPr>
            </w:pPr>
            <w:r>
              <w:rPr>
                <w:rFonts w:ascii="Arial" w:cs="Arial" w:eastAsia="Arial" w:hAnsi="Arial"/>
                <w:sz w:val="17"/>
                <w:szCs w:val="17"/>
                <w:color w:val="auto"/>
              </w:rPr>
              <w:t>and appoint</w:t>
            </w:r>
          </w:p>
        </w:tc>
        <w:tc>
          <w:tcPr>
            <w:tcW w:w="1600" w:type="dxa"/>
            <w:vAlign w:val="bottom"/>
          </w:tcPr>
          <w:p>
            <w:pPr>
              <w:spacing w:after="0"/>
              <w:rPr>
                <w:sz w:val="18"/>
                <w:szCs w:val="18"/>
                <w:color w:val="auto"/>
              </w:rPr>
            </w:pPr>
          </w:p>
        </w:tc>
        <w:tc>
          <w:tcPr>
            <w:tcW w:w="8260" w:type="dxa"/>
            <w:vAlign w:val="bottom"/>
            <w:gridSpan w:val="7"/>
          </w:tcPr>
          <w:p>
            <w:pPr>
              <w:ind w:left="20"/>
              <w:spacing w:after="0"/>
              <w:rPr>
                <w:sz w:val="20"/>
                <w:szCs w:val="20"/>
                <w:color w:val="auto"/>
              </w:rPr>
            </w:pPr>
            <w:r>
              <w:rPr>
                <w:rFonts w:ascii="Arial" w:cs="Arial" w:eastAsia="Arial" w:hAnsi="Arial"/>
                <w:sz w:val="17"/>
                <w:szCs w:val="17"/>
                <w:color w:val="auto"/>
              </w:rPr>
              <w:t>to transfer the said stock on the books of the within named corporation with full power of substitution in the</w:t>
            </w:r>
          </w:p>
        </w:tc>
        <w:tc>
          <w:tcPr>
            <w:tcW w:w="40" w:type="dxa"/>
            <w:vAlign w:val="bottom"/>
          </w:tcPr>
          <w:p>
            <w:pPr>
              <w:spacing w:after="0"/>
              <w:rPr>
                <w:sz w:val="18"/>
                <w:szCs w:val="18"/>
                <w:color w:val="auto"/>
              </w:rPr>
            </w:pPr>
          </w:p>
        </w:tc>
      </w:tr>
      <w:tr>
        <w:trPr>
          <w:trHeight w:val="222"/>
        </w:trPr>
        <w:tc>
          <w:tcPr>
            <w:tcW w:w="1560" w:type="dxa"/>
            <w:vAlign w:val="bottom"/>
            <w:gridSpan w:val="3"/>
          </w:tcPr>
          <w:p>
            <w:pPr>
              <w:spacing w:after="0"/>
              <w:rPr>
                <w:sz w:val="20"/>
                <w:szCs w:val="20"/>
                <w:color w:val="auto"/>
              </w:rPr>
            </w:pPr>
            <w:r>
              <w:rPr>
                <w:rFonts w:ascii="Arial" w:cs="Arial" w:eastAsia="Arial" w:hAnsi="Arial"/>
                <w:sz w:val="17"/>
                <w:szCs w:val="17"/>
                <w:color w:val="auto"/>
              </w:rPr>
              <w:t>premises.</w:t>
            </w:r>
          </w:p>
        </w:tc>
        <w:tc>
          <w:tcPr>
            <w:tcW w:w="1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20" w:type="dxa"/>
            <w:vAlign w:val="bottom"/>
          </w:tcPr>
          <w:p>
            <w:pPr>
              <w:spacing w:after="0"/>
              <w:rPr>
                <w:sz w:val="24"/>
                <w:szCs w:val="24"/>
                <w:color w:val="auto"/>
              </w:rPr>
            </w:pPr>
          </w:p>
        </w:tc>
        <w:tc>
          <w:tcPr>
            <w:tcW w:w="11400" w:type="dxa"/>
            <w:vAlign w:val="bottom"/>
            <w:gridSpan w:val="10"/>
          </w:tcPr>
          <w:p>
            <w:pPr>
              <w:ind w:left="620"/>
              <w:spacing w:after="0"/>
              <w:rPr>
                <w:sz w:val="20"/>
                <w:szCs w:val="20"/>
                <w:color w:val="auto"/>
              </w:rPr>
            </w:pPr>
            <w:r>
              <w:rPr>
                <w:rFonts w:ascii="Arial" w:cs="Arial" w:eastAsia="Arial" w:hAnsi="Arial"/>
                <w:sz w:val="17"/>
                <w:szCs w:val="17"/>
                <w:color w:val="auto"/>
                <w:w w:val="92"/>
              </w:rPr>
              <w:t>This Stock Assignment may be used only in accordance with the Restricted Stock Purchase Agreement between Veracyte, Inc. and the undersigned dated</w:t>
            </w:r>
          </w:p>
        </w:tc>
        <w:tc>
          <w:tcPr>
            <w:tcW w:w="40" w:type="dxa"/>
            <w:vAlign w:val="bottom"/>
          </w:tcPr>
          <w:p>
            <w:pPr>
              <w:spacing w:after="0"/>
              <w:rPr>
                <w:sz w:val="24"/>
                <w:szCs w:val="24"/>
                <w:color w:val="auto"/>
              </w:rPr>
            </w:pPr>
          </w:p>
        </w:tc>
      </w:tr>
      <w:tr>
        <w:trPr>
          <w:trHeight w:val="222"/>
        </w:trPr>
        <w:tc>
          <w:tcPr>
            <w:tcW w:w="1560" w:type="dxa"/>
            <w:vAlign w:val="bottom"/>
            <w:gridSpan w:val="3"/>
          </w:tcPr>
          <w:p>
            <w:pPr>
              <w:ind w:left="12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(the “Agreement”).</w:t>
            </w: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-1840865</wp:posOffset>
            </wp:positionV>
            <wp:extent cx="12700"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-1840865</wp:posOffset>
            </wp:positionV>
            <wp:extent cx="12700"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42" w:name="page243"/>
    <w:bookmarkEnd w:id="242"/>
    <w:p>
      <w:pPr>
        <w:spacing w:after="0"/>
        <w:tabs>
          <w:tab w:leader="none" w:pos="1820" w:val="left"/>
          <w:tab w:leader="none" w:pos="59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17145</wp:posOffset>
            </wp:positionV>
            <wp:extent cx="68091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9105" cy="8255"/>
                    </a:xfrm>
                    <a:prstGeom prst="rect">
                      <a:avLst/>
                    </a:prstGeom>
                    <a:noFill/>
                  </pic:spPr>
                </pic:pic>
              </a:graphicData>
            </a:graphic>
          </wp:anchor>
        </w:drawing>
      </w:r>
    </w:p>
    <w:p>
      <w:pPr>
        <w:spacing w:after="0" w:line="217"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C-3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JOINT ESCROW INSTRUCTIONS</w:t>
      </w:r>
    </w:p>
    <w:p>
      <w:pPr>
        <w:spacing w:after="0" w:line="230"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Corporate Secretary:</w:t>
      </w:r>
    </w:p>
    <w:p>
      <w:pPr>
        <w:spacing w:after="0" w:line="224"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As Escrow Agent for both Veracyte, Inc.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72" w:lineRule="exact"/>
        <w:rPr>
          <w:sz w:val="20"/>
          <w:szCs w:val="20"/>
          <w:color w:val="auto"/>
        </w:rPr>
      </w:pPr>
    </w:p>
    <w:p>
      <w:pPr>
        <w:ind w:firstLine="634"/>
        <w:spacing w:after="0" w:line="290" w:lineRule="auto"/>
        <w:tabs>
          <w:tab w:leader="none" w:pos="125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59" w:lineRule="exact"/>
        <w:rPr>
          <w:rFonts w:ascii="Arial" w:cs="Arial" w:eastAsia="Arial" w:hAnsi="Arial"/>
          <w:sz w:val="16"/>
          <w:szCs w:val="16"/>
          <w:color w:val="auto"/>
        </w:rPr>
      </w:pPr>
    </w:p>
    <w:p>
      <w:pPr>
        <w:jc w:val="both"/>
        <w:ind w:right="140" w:firstLine="634"/>
        <w:spacing w:after="0" w:line="268" w:lineRule="auto"/>
        <w:tabs>
          <w:tab w:leader="none" w:pos="125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75" w:lineRule="exact"/>
        <w:rPr>
          <w:rFonts w:ascii="Arial" w:cs="Arial" w:eastAsia="Arial" w:hAnsi="Arial"/>
          <w:sz w:val="17"/>
          <w:szCs w:val="17"/>
          <w:color w:val="auto"/>
        </w:rPr>
      </w:pPr>
    </w:p>
    <w:p>
      <w:pPr>
        <w:ind w:right="40" w:firstLine="634"/>
        <w:spacing w:after="0" w:line="263" w:lineRule="auto"/>
        <w:tabs>
          <w:tab w:leader="none" w:pos="125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83" w:lineRule="exact"/>
        <w:rPr>
          <w:rFonts w:ascii="Arial" w:cs="Arial" w:eastAsia="Arial" w:hAnsi="Arial"/>
          <w:sz w:val="17"/>
          <w:szCs w:val="17"/>
          <w:color w:val="auto"/>
        </w:rPr>
      </w:pPr>
    </w:p>
    <w:p>
      <w:pPr>
        <w:ind w:firstLine="634"/>
        <w:spacing w:after="0" w:line="289" w:lineRule="auto"/>
        <w:tabs>
          <w:tab w:leader="none" w:pos="125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Upon written request of the Purchaser, but no more than once per calendar year, unless the Company’s repurchase option has been exercised, you shall deliver to Purchaser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certificate or certificates representing so many shares of stock as are not then subject to the Company’s repurchase option. Within one hundred and twenty (120) days after cessation of 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76" w:lineRule="exact"/>
        <w:rPr>
          <w:sz w:val="20"/>
          <w:szCs w:val="20"/>
          <w:color w:val="auto"/>
        </w:rPr>
      </w:pPr>
    </w:p>
    <w:p>
      <w:pPr>
        <w:ind w:right="640" w:firstLine="634"/>
        <w:spacing w:after="0" w:line="289" w:lineRule="auto"/>
        <w:tabs>
          <w:tab w:leader="none" w:pos="125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224" w:lineRule="exact"/>
        <w:rPr>
          <w:rFonts w:ascii="Arial" w:cs="Arial" w:eastAsia="Arial" w:hAnsi="Arial"/>
          <w:sz w:val="17"/>
          <w:szCs w:val="17"/>
          <w:color w:val="auto"/>
        </w:rPr>
      </w:pPr>
    </w:p>
    <w:p>
      <w:pPr>
        <w:ind w:right="160" w:firstLine="634"/>
        <w:spacing w:after="0" w:line="290" w:lineRule="auto"/>
        <w:tabs>
          <w:tab w:leader="none" w:pos="125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59" w:lineRule="exact"/>
        <w:rPr>
          <w:rFonts w:ascii="Arial" w:cs="Arial" w:eastAsia="Arial" w:hAnsi="Arial"/>
          <w:sz w:val="16"/>
          <w:szCs w:val="16"/>
          <w:color w:val="auto"/>
        </w:rPr>
      </w:pPr>
    </w:p>
    <w:p>
      <w:pPr>
        <w:ind w:right="100" w:firstLine="634"/>
        <w:spacing w:after="0" w:line="265" w:lineRule="auto"/>
        <w:tabs>
          <w:tab w:leader="none" w:pos="125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9" w:lineRule="exact"/>
        <w:rPr>
          <w:rFonts w:ascii="Arial" w:cs="Arial" w:eastAsia="Arial" w:hAnsi="Arial"/>
          <w:sz w:val="17"/>
          <w:szCs w:val="17"/>
          <w:color w:val="auto"/>
        </w:rPr>
      </w:pPr>
    </w:p>
    <w:p>
      <w:pPr>
        <w:ind w:right="540" w:firstLine="634"/>
        <w:spacing w:after="0" w:line="289" w:lineRule="auto"/>
        <w:tabs>
          <w:tab w:leader="none" w:pos="125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58" w:lineRule="exact"/>
        <w:rPr>
          <w:rFonts w:ascii="Arial" w:cs="Arial" w:eastAsia="Arial" w:hAnsi="Arial"/>
          <w:sz w:val="17"/>
          <w:szCs w:val="17"/>
          <w:color w:val="auto"/>
        </w:rPr>
      </w:pPr>
    </w:p>
    <w:p>
      <w:pPr>
        <w:ind w:right="380" w:firstLine="634"/>
        <w:spacing w:after="0" w:line="289" w:lineRule="auto"/>
        <w:tabs>
          <w:tab w:leader="none" w:pos="125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shall not be liable for the outlawing of any rights under the Statute of Limitations with respect to these Joint Escrow Instructions or any documents deposited with you.</w:t>
      </w:r>
    </w:p>
    <w:p>
      <w:pPr>
        <w:spacing w:after="0" w:line="158" w:lineRule="exact"/>
        <w:rPr>
          <w:rFonts w:ascii="Arial" w:cs="Arial" w:eastAsia="Arial" w:hAnsi="Arial"/>
          <w:sz w:val="17"/>
          <w:szCs w:val="17"/>
          <w:color w:val="auto"/>
        </w:rPr>
      </w:pPr>
    </w:p>
    <w:p>
      <w:pPr>
        <w:ind w:right="120" w:firstLine="634"/>
        <w:spacing w:after="0" w:line="289" w:lineRule="auto"/>
        <w:tabs>
          <w:tab w:leader="none" w:pos="124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ectPr>
          <w:pgSz w:w="11900" w:h="16838" w:orient="portrait"/>
          <w:cols w:equalWidth="0" w:num="1">
            <w:col w:w="11420"/>
          </w:cols>
          <w:pgMar w:left="240" w:top="127" w:right="239" w:bottom="0" w:gutter="0" w:footer="0" w:header="0"/>
        </w:sectPr>
      </w:pPr>
    </w:p>
    <w:bookmarkStart w:id="243" w:name="page244"/>
    <w:bookmarkEnd w:id="243"/>
    <w:p>
      <w:pPr>
        <w:spacing w:after="0" w:line="72" w:lineRule="exact"/>
        <w:rPr>
          <w:sz w:val="20"/>
          <w:szCs w:val="20"/>
          <w:color w:val="auto"/>
        </w:rPr>
      </w:pPr>
    </w:p>
    <w:p>
      <w:pPr>
        <w:ind w:right="80" w:firstLine="634"/>
        <w:spacing w:after="0" w:line="289" w:lineRule="auto"/>
        <w:tabs>
          <w:tab w:leader="none" w:pos="125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58" w:lineRule="exact"/>
        <w:rPr>
          <w:rFonts w:ascii="Arial" w:cs="Arial" w:eastAsia="Arial" w:hAnsi="Arial"/>
          <w:sz w:val="17"/>
          <w:szCs w:val="17"/>
          <w:color w:val="auto"/>
        </w:rPr>
      </w:pPr>
    </w:p>
    <w:p>
      <w:pPr>
        <w:ind w:right="400" w:firstLine="634"/>
        <w:spacing w:after="0" w:line="289" w:lineRule="auto"/>
        <w:tabs>
          <w:tab w:leader="none" w:pos="125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you reasonably require other or further instruments in connection with these Joint Escrow Instructions or obligations in respect hereto, the necessary parties hereto shall join in furnishing such instruments.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90" w:lineRule="auto"/>
        <w:tabs>
          <w:tab w:leader="none" w:pos="125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59" w:lineRule="exact"/>
        <w:rPr>
          <w:rFonts w:ascii="Arial" w:cs="Arial" w:eastAsia="Arial" w:hAnsi="Arial"/>
          <w:sz w:val="16"/>
          <w:szCs w:val="16"/>
          <w:color w:val="auto"/>
        </w:rPr>
      </w:pPr>
    </w:p>
    <w:p>
      <w:pPr>
        <w:ind w:right="40" w:firstLine="634"/>
        <w:spacing w:after="0" w:line="298" w:lineRule="auto"/>
        <w:tabs>
          <w:tab w:leader="none" w:pos="125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53" w:lineRule="exact"/>
        <w:rPr>
          <w:rFonts w:ascii="Arial" w:cs="Arial" w:eastAsia="Arial" w:hAnsi="Arial"/>
          <w:sz w:val="16"/>
          <w:szCs w:val="16"/>
          <w:color w:val="auto"/>
        </w:rPr>
      </w:pPr>
    </w:p>
    <w:p>
      <w:pPr>
        <w:ind w:right="60" w:firstLine="634"/>
        <w:spacing w:after="0" w:line="289" w:lineRule="auto"/>
        <w:tabs>
          <w:tab w:leader="none" w:pos="125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By signing these Joint Escrow Instructions, you become a party hereto only for the purpose of said Joint Escrow Instructions; you do not become a party to the Agreement.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These Joint Escrow Instructions shall be governed by the internal substantive laws, but not the choice of law rules, of California.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gridSpan w:val="3"/>
          </w:tcPr>
          <w:p>
            <w:pPr>
              <w:spacing w:after="0"/>
              <w:rPr>
                <w:sz w:val="20"/>
                <w:szCs w:val="20"/>
                <w:color w:val="auto"/>
              </w:rPr>
            </w:pPr>
            <w:r>
              <w:rPr>
                <w:rFonts w:ascii="Arial" w:cs="Arial" w:eastAsia="Arial" w:hAnsi="Arial"/>
                <w:sz w:val="17"/>
                <w:szCs w:val="17"/>
                <w:color w:val="auto"/>
              </w:rPr>
              <w:t>PURCHASER</w:t>
            </w:r>
          </w:p>
        </w:tc>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408"/>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7"/>
        </w:trPr>
        <w:tc>
          <w:tcPr>
            <w:tcW w:w="2620" w:type="dxa"/>
            <w:vAlign w:val="bottom"/>
            <w:gridSpan w:val="3"/>
          </w:tcPr>
          <w:p>
            <w:pPr>
              <w:spacing w:after="0"/>
              <w:rPr>
                <w:sz w:val="20"/>
                <w:szCs w:val="20"/>
                <w:color w:val="auto"/>
              </w:rPr>
            </w:pPr>
            <w:r>
              <w:rPr>
                <w:rFonts w:ascii="Arial" w:cs="Arial" w:eastAsia="Arial" w:hAnsi="Arial"/>
                <w:sz w:val="17"/>
                <w:szCs w:val="17"/>
                <w:color w:val="auto"/>
              </w:rPr>
              <w:t>ESCROW AGENT</w:t>
            </w: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620" w:type="dxa"/>
            <w:vAlign w:val="bottom"/>
            <w:gridSpan w:val="3"/>
          </w:tcPr>
          <w:p>
            <w:pPr>
              <w:spacing w:after="0"/>
              <w:rPr>
                <w:sz w:val="20"/>
                <w:szCs w:val="20"/>
                <w:color w:val="auto"/>
              </w:rPr>
            </w:pPr>
            <w:r>
              <w:rPr>
                <w:rFonts w:ascii="Arial" w:cs="Arial" w:eastAsia="Arial" w:hAnsi="Arial"/>
                <w:sz w:val="17"/>
                <w:szCs w:val="17"/>
                <w:color w:val="auto"/>
              </w:rPr>
              <w:t>Corporate Secretary</w:t>
            </w:r>
          </w:p>
        </w:tc>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740" w:type="dxa"/>
            <w:vAlign w:val="bottom"/>
            <w:gridSpan w:val="2"/>
          </w:tcPr>
          <w:p>
            <w:pPr>
              <w:spacing w:after="0"/>
              <w:rPr>
                <w:sz w:val="20"/>
                <w:szCs w:val="20"/>
                <w:color w:val="auto"/>
              </w:rPr>
            </w:pPr>
            <w:r>
              <w:rPr>
                <w:rFonts w:ascii="Arial" w:cs="Arial" w:eastAsia="Arial" w:hAnsi="Arial"/>
                <w:sz w:val="17"/>
                <w:szCs w:val="17"/>
                <w:color w:val="auto"/>
              </w:rPr>
              <w:t>Dated:</w:t>
            </w:r>
          </w:p>
        </w:tc>
        <w:tc>
          <w:tcPr>
            <w:tcW w:w="1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40" w:type="dxa"/>
            <w:vAlign w:val="bottom"/>
            <w:gridSpan w:val="3"/>
          </w:tcPr>
          <w:p>
            <w:pPr>
              <w:jc w:val="center"/>
              <w:ind w:left="2773"/>
              <w:spacing w:after="0"/>
              <w:rPr>
                <w:sz w:val="20"/>
                <w:szCs w:val="20"/>
                <w:color w:val="auto"/>
              </w:rPr>
            </w:pPr>
            <w:r>
              <w:rPr>
                <w:rFonts w:ascii="Arial" w:cs="Arial" w:eastAsia="Arial" w:hAnsi="Arial"/>
                <w:sz w:val="17"/>
                <w:szCs w:val="17"/>
                <w:color w:val="auto"/>
                <w:w w:val="84"/>
              </w:rPr>
              <w:t>3</w:t>
            </w: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3"/>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240" w:type="dxa"/>
            <w:vAlign w:val="bottom"/>
            <w:gridSpan w:val="4"/>
          </w:tcPr>
          <w:p>
            <w:pPr>
              <w:jc w:val="center"/>
              <w:ind w:right="5180"/>
              <w:spacing w:after="0"/>
              <w:rPr>
                <w:sz w:val="20"/>
                <w:szCs w:val="20"/>
                <w:color w:val="auto"/>
              </w:rPr>
            </w:pPr>
            <w:r>
              <w:rPr>
                <w:rFonts w:ascii="Arial" w:cs="Arial" w:eastAsia="Arial" w:hAnsi="Arial"/>
                <w:sz w:val="17"/>
                <w:szCs w:val="17"/>
                <w:b w:val="1"/>
                <w:bCs w:val="1"/>
                <w:color w:val="auto"/>
              </w:rPr>
              <w:t>EXHIBIT C-4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0" w:type="dxa"/>
            <w:vAlign w:val="bottom"/>
            <w:gridSpan w:val="5"/>
          </w:tcPr>
          <w:p>
            <w:pPr>
              <w:jc w:val="center"/>
              <w:ind w:right="2620"/>
              <w:spacing w:after="0"/>
              <w:rPr>
                <w:sz w:val="20"/>
                <w:szCs w:val="20"/>
                <w:color w:val="auto"/>
              </w:rPr>
            </w:pPr>
            <w:r>
              <w:rPr>
                <w:rFonts w:ascii="Arial" w:cs="Arial" w:eastAsia="Arial" w:hAnsi="Arial"/>
                <w:sz w:val="17"/>
                <w:szCs w:val="17"/>
                <w:b w:val="1"/>
                <w:bCs w:val="1"/>
                <w:color w:val="auto"/>
              </w:rPr>
              <w:t>ELECTION UNDER SECTION 83(b)</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0" w:type="dxa"/>
            <w:vAlign w:val="bottom"/>
            <w:gridSpan w:val="5"/>
          </w:tcPr>
          <w:p>
            <w:pPr>
              <w:jc w:val="center"/>
              <w:ind w:right="2620"/>
              <w:spacing w:after="0"/>
              <w:rPr>
                <w:sz w:val="20"/>
                <w:szCs w:val="20"/>
                <w:color w:val="auto"/>
              </w:rPr>
            </w:pPr>
            <w:r>
              <w:rPr>
                <w:rFonts w:ascii="Arial" w:cs="Arial" w:eastAsia="Arial" w:hAnsi="Arial"/>
                <w:sz w:val="17"/>
                <w:szCs w:val="17"/>
                <w:b w:val="1"/>
                <w:bCs w:val="1"/>
                <w:color w:val="auto"/>
              </w:rPr>
              <w:t>OF THE INTERNAL REVENUE CODE OF 1986</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-908685</wp:posOffset>
            </wp:positionV>
            <wp:extent cx="12700"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-908685</wp:posOffset>
            </wp:positionV>
            <wp:extent cx="12700"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72" w:lineRule="exact"/>
        <w:rPr>
          <w:sz w:val="20"/>
          <w:szCs w:val="20"/>
          <w:color w:val="auto"/>
        </w:rPr>
      </w:pPr>
    </w:p>
    <w:p>
      <w:pPr>
        <w:ind w:left="640" w:hanging="635"/>
        <w:spacing w:after="0"/>
        <w:tabs>
          <w:tab w:leader="none" w:pos="6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6300" w:type="dxa"/>
            <w:vAlign w:val="bottom"/>
          </w:tcPr>
          <w:p>
            <w:pPr>
              <w:ind w:left="2520"/>
              <w:spacing w:after="0"/>
              <w:rPr>
                <w:sz w:val="20"/>
                <w:szCs w:val="20"/>
                <w:color w:val="auto"/>
              </w:rPr>
            </w:pPr>
            <w:r>
              <w:rPr>
                <w:rFonts w:ascii="Arial" w:cs="Arial" w:eastAsia="Arial" w:hAnsi="Arial"/>
                <w:sz w:val="17"/>
                <w:szCs w:val="17"/>
                <w:color w:val="auto"/>
              </w:rPr>
              <w:t>TAXPAYER</w:t>
            </w:r>
          </w:p>
        </w:tc>
        <w:tc>
          <w:tcPr>
            <w:tcW w:w="4740" w:type="dxa"/>
            <w:vAlign w:val="bottom"/>
          </w:tcPr>
          <w:p>
            <w:pPr>
              <w:ind w:left="960"/>
              <w:spacing w:after="0"/>
              <w:rPr>
                <w:sz w:val="20"/>
                <w:szCs w:val="20"/>
                <w:color w:val="auto"/>
              </w:rPr>
            </w:pPr>
            <w:r>
              <w:rPr>
                <w:rFonts w:ascii="Arial" w:cs="Arial" w:eastAsia="Arial" w:hAnsi="Arial"/>
                <w:sz w:val="17"/>
                <w:szCs w:val="17"/>
                <w:color w:val="auto"/>
              </w:rPr>
              <w:t>SPOUSE</w:t>
            </w: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NAME:</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ADDRESS:</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TAX ID NO.:</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TAXABLE YEAR:</w:t>
            </w:r>
          </w:p>
        </w:tc>
        <w:tc>
          <w:tcPr>
            <w:tcW w:w="4740" w:type="dxa"/>
            <w:vAlign w:val="bottom"/>
          </w:tcPr>
          <w:p>
            <w:pPr>
              <w:spacing w:after="0"/>
              <w:rPr>
                <w:sz w:val="24"/>
                <w:szCs w:val="24"/>
                <w:color w:val="auto"/>
              </w:rPr>
            </w:pPr>
          </w:p>
        </w:tc>
      </w:tr>
      <w:tr>
        <w:trPr>
          <w:trHeight w:val="408"/>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2.</w:t>
            </w:r>
          </w:p>
        </w:tc>
        <w:tc>
          <w:tcPr>
            <w:tcW w:w="6300" w:type="dxa"/>
            <w:vAlign w:val="bottom"/>
          </w:tcPr>
          <w:p>
            <w:pPr>
              <w:ind w:left="260"/>
              <w:spacing w:after="0"/>
              <w:rPr>
                <w:sz w:val="20"/>
                <w:szCs w:val="20"/>
                <w:color w:val="auto"/>
              </w:rPr>
            </w:pPr>
            <w:r>
              <w:rPr>
                <w:rFonts w:ascii="Arial" w:cs="Arial" w:eastAsia="Arial" w:hAnsi="Arial"/>
                <w:sz w:val="17"/>
                <w:szCs w:val="17"/>
                <w:color w:val="auto"/>
              </w:rPr>
              <w:t>The property with respect to which the election is made is described as follows:</w:t>
            </w:r>
          </w:p>
        </w:tc>
        <w:tc>
          <w:tcPr>
            <w:tcW w:w="4740" w:type="dxa"/>
            <w:vAlign w:val="bottom"/>
          </w:tcPr>
          <w:p>
            <w:pPr>
              <w:ind w:left="480"/>
              <w:spacing w:after="0"/>
              <w:rPr>
                <w:sz w:val="20"/>
                <w:szCs w:val="20"/>
                <w:color w:val="auto"/>
              </w:rPr>
            </w:pPr>
            <w:r>
              <w:rPr>
                <w:rFonts w:ascii="Arial" w:cs="Arial" w:eastAsia="Arial" w:hAnsi="Arial"/>
                <w:sz w:val="17"/>
                <w:szCs w:val="17"/>
                <w:color w:val="auto"/>
                <w:w w:val="92"/>
              </w:rPr>
              <w:t>shares (the “Shares”) of the Common Stock of Veracyte, Inc.</w:t>
            </w:r>
          </w:p>
        </w:tc>
      </w:tr>
      <w:tr>
        <w:trPr>
          <w:trHeight w:val="222"/>
        </w:trPr>
        <w:tc>
          <w:tcPr>
            <w:tcW w:w="380" w:type="dxa"/>
            <w:vAlign w:val="bottom"/>
          </w:tcPr>
          <w:p>
            <w:pPr>
              <w:spacing w:after="0"/>
              <w:rPr>
                <w:sz w:val="19"/>
                <w:szCs w:val="19"/>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(the “Company”).</w:t>
            </w:r>
          </w:p>
        </w:tc>
        <w:tc>
          <w:tcPr>
            <w:tcW w:w="4740" w:type="dxa"/>
            <w:vAlign w:val="bottom"/>
          </w:tcPr>
          <w:p>
            <w:pPr>
              <w:spacing w:after="0"/>
              <w:rPr>
                <w:sz w:val="19"/>
                <w:szCs w:val="19"/>
                <w:color w:val="auto"/>
              </w:rPr>
            </w:pPr>
          </w:p>
        </w:tc>
      </w:tr>
    </w:tbl>
    <w:p>
      <w:pPr>
        <w:sectPr>
          <w:pgSz w:w="11900" w:h="16910" w:orient="portrait"/>
          <w:cols w:equalWidth="0" w:num="1">
            <w:col w:w="11460"/>
          </w:cols>
          <w:pgMar w:left="240" w:top="127" w:right="199" w:bottom="0" w:gutter="0" w:footer="0" w:header="0"/>
        </w:sectPr>
      </w:pPr>
    </w:p>
    <w:bookmarkStart w:id="244" w:name="page245"/>
    <w:bookmarkEnd w:id="244"/>
    <w:p>
      <w:pPr>
        <w:spacing w:after="0"/>
        <w:tabs>
          <w:tab w:leader="none" w:pos="620" w:val="left"/>
          <w:tab w:leader="none" w:pos="5840" w:val="left"/>
          <w:tab w:leader="none" w:pos="640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The date on which the property was transferred is: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left="640" w:hanging="635"/>
        <w:spacing w:after="0"/>
        <w:tabs>
          <w:tab w:leader="none" w:pos="6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224" w:lineRule="exact"/>
        <w:rPr>
          <w:rFonts w:ascii="Arial" w:cs="Arial" w:eastAsia="Arial" w:hAnsi="Arial"/>
          <w:sz w:val="17"/>
          <w:szCs w:val="17"/>
          <w:color w:val="auto"/>
        </w:rPr>
      </w:pPr>
    </w:p>
    <w:p>
      <w:pPr>
        <w:ind w:left="640" w:right="660"/>
        <w:spacing w:after="0" w:line="289" w:lineRule="auto"/>
        <w:rPr>
          <w:rFonts w:ascii="Arial" w:cs="Arial" w:eastAsia="Arial" w:hAnsi="Arial"/>
          <w:sz w:val="17"/>
          <w:szCs w:val="17"/>
          <w:color w:val="auto"/>
        </w:rPr>
      </w:pPr>
      <w:r>
        <w:rPr>
          <w:rFonts w:ascii="Arial" w:cs="Arial" w:eastAsia="Arial" w:hAnsi="Arial"/>
          <w:sz w:val="17"/>
          <w:szCs w:val="17"/>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shall never lapse,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Arial" w:cs="Arial" w:eastAsia="Arial" w:hAnsi="Arial"/>
                <w:sz w:val="17"/>
                <w:szCs w:val="17"/>
                <w:color w:val="auto"/>
              </w:rPr>
              <w:t>such property is: $</w:t>
            </w:r>
          </w:p>
        </w:tc>
        <w:tc>
          <w:tcPr>
            <w:tcW w:w="2040" w:type="dxa"/>
            <w:vAlign w:val="bottom"/>
          </w:tcPr>
          <w:p>
            <w:pPr>
              <w:jc w:val="right"/>
              <w:ind w:right="1173"/>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r>
      <w:tr>
        <w:trPr>
          <w:trHeight w:val="408"/>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6.</w:t>
            </w:r>
          </w:p>
        </w:tc>
        <w:tc>
          <w:tcPr>
            <w:tcW w:w="4380" w:type="dxa"/>
            <w:vAlign w:val="bottom"/>
            <w:gridSpan w:val="2"/>
          </w:tcPr>
          <w:p>
            <w:pPr>
              <w:ind w:left="260"/>
              <w:spacing w:after="0"/>
              <w:rPr>
                <w:sz w:val="20"/>
                <w:szCs w:val="20"/>
                <w:color w:val="auto"/>
              </w:rPr>
            </w:pPr>
            <w:r>
              <w:rPr>
                <w:rFonts w:ascii="Arial" w:cs="Arial" w:eastAsia="Arial" w:hAnsi="Arial"/>
                <w:sz w:val="17"/>
                <w:szCs w:val="17"/>
                <w:color w:val="auto"/>
              </w:rPr>
              <w:t>The amount (if any) paid for such property is: $</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r>
        <w:rPr>
          <w:rFonts w:ascii="Arial" w:cs="Arial" w:eastAsia="Arial" w:hAnsi="Arial"/>
          <w:sz w:val="17"/>
          <w:szCs w:val="17"/>
          <w:color w:val="auto"/>
        </w:rPr>
        <w:t>.</w:t>
      </w:r>
    </w:p>
    <w:p>
      <w:pPr>
        <w:spacing w:after="0" w:line="224"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17145</wp:posOffset>
            </wp:positionV>
            <wp:extent cx="34798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Taxpayer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spouse of taxpayer joins in this election.</w:t>
      </w:r>
    </w:p>
    <w:p>
      <w:pPr>
        <w:spacing w:after="0" w:line="224"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17145</wp:posOffset>
            </wp:positionV>
            <wp:extent cx="34798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STOCK OPTION AGREEMENT</w:t>
      </w:r>
    </w:p>
    <w:p>
      <w:pPr>
        <w:spacing w:after="0" w:line="23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Unless otherwise defined herein, the terms defined in the Veracyte, Inc. 2008 Stock Plan (the “Plan”) shall have the same defined meanings in this Stock Option Agreement (the “Option Agreement”).</w:t>
      </w:r>
    </w:p>
    <w:p>
      <w:pPr>
        <w:spacing w:after="0" w:line="152" w:lineRule="exact"/>
        <w:rPr>
          <w:sz w:val="20"/>
          <w:szCs w:val="20"/>
          <w:color w:val="auto"/>
        </w:rPr>
      </w:pPr>
    </w:p>
    <w:p>
      <w:pPr>
        <w:ind w:left="780" w:hanging="775"/>
        <w:spacing w:after="0"/>
        <w:tabs>
          <w:tab w:leader="none" w:pos="780"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STOCK OPTION GRANT</w:t>
      </w:r>
    </w:p>
    <w:p>
      <w:pPr>
        <w:spacing w:after="0" w:line="224" w:lineRule="exact"/>
        <w:rPr>
          <w:rFonts w:ascii="Arial" w:cs="Arial" w:eastAsia="Arial" w:hAnsi="Arial"/>
          <w:sz w:val="17"/>
          <w:szCs w:val="17"/>
          <w:b w:val="1"/>
          <w:bCs w:val="1"/>
          <w:color w:val="auto"/>
        </w:rPr>
      </w:pPr>
    </w:p>
    <w:p>
      <w:pPr>
        <w:ind w:left="780" w:right="8820"/>
        <w:spacing w:after="0" w:line="554" w:lineRule="auto"/>
        <w:rPr>
          <w:rFonts w:ascii="Arial" w:cs="Arial" w:eastAsia="Arial" w:hAnsi="Arial"/>
          <w:sz w:val="17"/>
          <w:szCs w:val="17"/>
          <w:b w:val="1"/>
          <w:bCs w:val="1"/>
          <w:color w:val="auto"/>
        </w:rPr>
      </w:pPr>
      <w:r>
        <w:rPr>
          <w:rFonts w:ascii="Arial" w:cs="Arial" w:eastAsia="Arial" w:hAnsi="Arial"/>
          <w:sz w:val="17"/>
          <w:szCs w:val="17"/>
          <w:b w:val="1"/>
          <w:bCs w:val="1"/>
          <w:color w:val="auto"/>
        </w:rPr>
        <w:t>Name: «NAME» Address:</w:t>
      </w:r>
    </w:p>
    <w:p>
      <w:pPr>
        <w:spacing w:after="0" w:line="15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7"/>
                <w:szCs w:val="17"/>
                <w:color w:val="auto"/>
              </w:rPr>
              <w:t>Date of Grant: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81"/>
        </w:trPr>
        <w:tc>
          <w:tcPr>
            <w:tcW w:w="332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8"/>
              </w:rPr>
              <w:t>«VCD»</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8"/>
        </w:trPr>
        <w:tc>
          <w:tcPr>
            <w:tcW w:w="332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81"/>
        </w:trPr>
        <w:tc>
          <w:tcPr>
            <w:tcW w:w="3320" w:type="dxa"/>
            <w:vAlign w:val="bottom"/>
          </w:tcPr>
          <w:p>
            <w:pPr>
              <w:spacing w:after="0"/>
              <w:rPr>
                <w:sz w:val="20"/>
                <w:szCs w:val="20"/>
                <w:color w:val="auto"/>
              </w:rPr>
            </w:pPr>
            <w:r>
              <w:rPr>
                <w:rFonts w:ascii="Arial" w:cs="Arial" w:eastAsia="Arial" w:hAnsi="Arial"/>
                <w:sz w:val="17"/>
                <w:szCs w:val="17"/>
                <w:color w:val="auto"/>
              </w:rPr>
              <w:t>Total Number of Shares Granted:</w:t>
            </w:r>
          </w:p>
        </w:tc>
        <w:tc>
          <w:tcPr>
            <w:tcW w:w="2440" w:type="dxa"/>
            <w:vAlign w:val="bottom"/>
            <w:gridSpan w:val="4"/>
          </w:tcPr>
          <w:p>
            <w:pPr>
              <w:spacing w:after="0"/>
              <w:rPr>
                <w:sz w:val="20"/>
                <w:szCs w:val="20"/>
                <w:color w:val="auto"/>
              </w:rPr>
            </w:pPr>
            <w:r>
              <w:rPr>
                <w:rFonts w:ascii="Arial" w:cs="Arial" w:eastAsia="Arial" w:hAnsi="Arial"/>
                <w:sz w:val="17"/>
                <w:szCs w:val="17"/>
                <w:color w:val="auto"/>
              </w:rPr>
              <w:t>«Shares»</w:t>
            </w:r>
          </w:p>
        </w:tc>
      </w:tr>
      <w:tr>
        <w:trPr>
          <w:trHeight w:val="399"/>
        </w:trPr>
        <w:tc>
          <w:tcPr>
            <w:tcW w:w="3320" w:type="dxa"/>
            <w:vAlign w:val="bottom"/>
          </w:tcPr>
          <w:p>
            <w:pPr>
              <w:spacing w:after="0"/>
              <w:rPr>
                <w:sz w:val="20"/>
                <w:szCs w:val="20"/>
                <w:color w:val="auto"/>
              </w:rPr>
            </w:pPr>
            <w:r>
              <w:rPr>
                <w:rFonts w:ascii="Arial" w:cs="Arial" w:eastAsia="Arial" w:hAnsi="Arial"/>
                <w:sz w:val="17"/>
                <w:szCs w:val="17"/>
                <w:color w:val="auto"/>
              </w:rPr>
              <w:t>Total Exercise Price :</w:t>
            </w: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90"/>
              </w:rPr>
              <w:t>«Price»</w:t>
            </w: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438"/>
        </w:trPr>
        <w:tc>
          <w:tcPr>
            <w:tcW w:w="3320" w:type="dxa"/>
            <w:vAlign w:val="bottom"/>
          </w:tcPr>
          <w:p>
            <w:pPr>
              <w:spacing w:after="0"/>
              <w:rPr>
                <w:sz w:val="20"/>
                <w:szCs w:val="20"/>
                <w:color w:val="auto"/>
              </w:rPr>
            </w:pPr>
            <w:r>
              <w:rPr>
                <w:rFonts w:ascii="Arial" w:cs="Arial" w:eastAsia="Arial" w:hAnsi="Arial"/>
                <w:sz w:val="17"/>
                <w:szCs w:val="17"/>
                <w:color w:val="auto"/>
              </w:rPr>
              <w:t>Type of Option:</w:t>
            </w:r>
          </w:p>
        </w:tc>
        <w:tc>
          <w:tcPr>
            <w:tcW w:w="560" w:type="dxa"/>
            <w:vAlign w:val="bottom"/>
            <w:gridSpan w:val="2"/>
          </w:tcPr>
          <w:p>
            <w:pPr>
              <w:spacing w:after="0"/>
              <w:rPr>
                <w:sz w:val="20"/>
                <w:szCs w:val="20"/>
                <w:color w:val="auto"/>
              </w:rPr>
            </w:pPr>
            <w:r>
              <w:rPr>
                <w:rFonts w:ascii="Arial" w:cs="Arial" w:eastAsia="Arial" w:hAnsi="Arial"/>
                <w:sz w:val="17"/>
                <w:szCs w:val="17"/>
                <w:color w:val="auto"/>
              </w:rPr>
              <w:t>o</w:t>
            </w:r>
          </w:p>
        </w:tc>
        <w:tc>
          <w:tcPr>
            <w:tcW w:w="1880" w:type="dxa"/>
            <w:vAlign w:val="bottom"/>
            <w:gridSpan w:val="2"/>
          </w:tcPr>
          <w:p>
            <w:pPr>
              <w:spacing w:after="0"/>
              <w:rPr>
                <w:sz w:val="20"/>
                <w:szCs w:val="20"/>
                <w:color w:val="auto"/>
              </w:rPr>
            </w:pPr>
            <w:r>
              <w:rPr>
                <w:rFonts w:ascii="Arial" w:cs="Arial" w:eastAsia="Arial" w:hAnsi="Arial"/>
                <w:sz w:val="17"/>
                <w:szCs w:val="17"/>
                <w:color w:val="auto"/>
              </w:rPr>
              <w:t>Incentive Stock Option</w:t>
            </w:r>
          </w:p>
        </w:tc>
      </w:tr>
      <w:tr>
        <w:trPr>
          <w:trHeight w:val="419"/>
        </w:trPr>
        <w:tc>
          <w:tcPr>
            <w:tcW w:w="33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o</w:t>
            </w:r>
          </w:p>
        </w:tc>
        <w:tc>
          <w:tcPr>
            <w:tcW w:w="1880" w:type="dxa"/>
            <w:vAlign w:val="bottom"/>
            <w:gridSpan w:val="2"/>
          </w:tcPr>
          <w:p>
            <w:pPr>
              <w:spacing w:after="0"/>
              <w:rPr>
                <w:sz w:val="20"/>
                <w:szCs w:val="20"/>
                <w:color w:val="auto"/>
              </w:rPr>
            </w:pPr>
            <w:r>
              <w:rPr>
                <w:rFonts w:ascii="Arial" w:cs="Arial" w:eastAsia="Arial" w:hAnsi="Arial"/>
                <w:sz w:val="17"/>
                <w:szCs w:val="17"/>
                <w:color w:val="auto"/>
                <w:w w:val="93"/>
              </w:rPr>
              <w:t>Nonstatutory Stock Option</w:t>
            </w:r>
          </w:p>
        </w:tc>
      </w:tr>
      <w:tr>
        <w:trPr>
          <w:trHeight w:val="419"/>
        </w:trPr>
        <w:tc>
          <w:tcPr>
            <w:tcW w:w="3320" w:type="dxa"/>
            <w:vAlign w:val="bottom"/>
          </w:tcPr>
          <w:p>
            <w:pPr>
              <w:spacing w:after="0"/>
              <w:rPr>
                <w:sz w:val="20"/>
                <w:szCs w:val="20"/>
                <w:color w:val="auto"/>
              </w:rPr>
            </w:pPr>
            <w:r>
              <w:rPr>
                <w:rFonts w:ascii="Arial" w:cs="Arial" w:eastAsia="Arial" w:hAnsi="Arial"/>
                <w:sz w:val="17"/>
                <w:szCs w:val="17"/>
                <w:color w:val="auto"/>
              </w:rPr>
              <w:t>Term/Expiration Date: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Option shall be exercisable, in whole or in part, according to the following vesting schedule:</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20"/>
          <w:szCs w:val="20"/>
          <w:color w:val="auto"/>
          <w:vertAlign w:val="superscript"/>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7271385"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ectPr>
          <w:pgSz w:w="11900" w:h="16838" w:orient="portrait"/>
          <w:cols w:equalWidth="0" w:num="1">
            <w:col w:w="11320"/>
          </w:cols>
          <w:pgMar w:left="240" w:top="337" w:right="339" w:bottom="88" w:gutter="0" w:footer="0" w:header="0"/>
        </w:sectPr>
      </w:pPr>
    </w:p>
    <w:bookmarkStart w:id="245" w:name="page246"/>
    <w:bookmarkEnd w:id="245"/>
    <w:p>
      <w:pPr>
        <w:ind w:firstLine="629"/>
        <w:spacing w:after="0" w:line="268" w:lineRule="auto"/>
        <w:rPr>
          <w:sz w:val="20"/>
          <w:szCs w:val="20"/>
          <w:color w:val="auto"/>
        </w:rPr>
      </w:pPr>
      <w:r>
        <w:rPr>
          <w:rFonts w:ascii="Arial" w:cs="Arial" w:eastAsia="Arial" w:hAnsi="Arial"/>
          <w:sz w:val="17"/>
          <w:szCs w:val="17"/>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11(c) of the Plan.</w:t>
      </w:r>
    </w:p>
    <w:p>
      <w:pPr>
        <w:spacing w:after="0" w:line="170" w:lineRule="exact"/>
        <w:rPr>
          <w:sz w:val="20"/>
          <w:szCs w:val="20"/>
          <w:color w:val="auto"/>
        </w:rPr>
      </w:pPr>
    </w:p>
    <w:p>
      <w:pPr>
        <w:ind w:left="640" w:hanging="635"/>
        <w:spacing w:after="0"/>
        <w:tabs>
          <w:tab w:leader="none" w:pos="640"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AGREEMENT</w:t>
      </w:r>
    </w:p>
    <w:p>
      <w:pPr>
        <w:spacing w:after="0" w:line="230" w:lineRule="exact"/>
        <w:rPr>
          <w:rFonts w:ascii="Arial" w:cs="Arial" w:eastAsia="Arial" w:hAnsi="Arial"/>
          <w:sz w:val="17"/>
          <w:szCs w:val="17"/>
          <w:b w:val="1"/>
          <w:bCs w:val="1"/>
          <w:color w:val="auto"/>
        </w:rPr>
      </w:pPr>
    </w:p>
    <w:p>
      <w:pPr>
        <w:jc w:val="both"/>
        <w:ind w:right="20" w:firstLine="634"/>
        <w:spacing w:after="0" w:line="265" w:lineRule="auto"/>
        <w:tabs>
          <w:tab w:leader="none" w:pos="1258"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19(c) of the Plan, in the event of a conflict between the terms and conditions of the Plan and this Option Agreement, the terms and conditions of the Plan shall prevail.</w:t>
      </w:r>
    </w:p>
    <w:p>
      <w:pPr>
        <w:spacing w:after="0" w:line="179"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left="1260" w:hanging="626"/>
        <w:spacing w:after="0"/>
        <w:tabs>
          <w:tab w:leader="none" w:pos="1260"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89" w:lineRule="auto"/>
        <w:tabs>
          <w:tab w:leader="none" w:pos="1885"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shall be exercisable during its term in accordance with the Vesting Schedule set out in the Notice of Stock Option Grant and with the applicable provisions of the Plan and this Option Agreement.</w:t>
      </w:r>
    </w:p>
    <w:p>
      <w:pPr>
        <w:spacing w:after="0" w:line="158" w:lineRule="exact"/>
        <w:rPr>
          <w:rFonts w:ascii="Arial" w:cs="Arial" w:eastAsia="Arial" w:hAnsi="Arial"/>
          <w:sz w:val="17"/>
          <w:szCs w:val="17"/>
          <w:color w:val="auto"/>
        </w:rPr>
      </w:pPr>
    </w:p>
    <w:p>
      <w:pPr>
        <w:ind w:right="60" w:firstLine="1263"/>
        <w:spacing w:after="0" w:line="263" w:lineRule="auto"/>
        <w:tabs>
          <w:tab w:leader="none" w:pos="1895"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or in a manner and pursuant to such procedures as the Administrator may determine, which shall state the election to exercise the Option, the number of Shares with respect to which the Option is being exercised,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3" w:lineRule="exact"/>
        <w:rPr>
          <w:sz w:val="20"/>
          <w:szCs w:val="20"/>
          <w:color w:val="auto"/>
        </w:rPr>
      </w:pPr>
    </w:p>
    <w:p>
      <w:pPr>
        <w:ind w:right="800" w:firstLine="1259"/>
        <w:spacing w:after="0" w:line="289" w:lineRule="auto"/>
        <w:rPr>
          <w:sz w:val="20"/>
          <w:szCs w:val="20"/>
          <w:color w:val="auto"/>
        </w:rPr>
      </w:pPr>
      <w:r>
        <w:rPr>
          <w:rFonts w:ascii="Arial" w:cs="Arial" w:eastAsia="Arial" w:hAnsi="Arial"/>
          <w:sz w:val="17"/>
          <w:szCs w:val="17"/>
          <w:color w:val="auto"/>
        </w:rPr>
        <w:t>No Shares shall be issued pursuant to the exercise of an Option unless such issuance and such exercise comply with Applicable Laws. Assuming such compliance, for income 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purposes the Shares shall be considered transferred to Participant on the date on which the Option is exercised with respect to such Shares.</w:t>
      </w:r>
    </w:p>
    <w:p>
      <w:pPr>
        <w:spacing w:after="0" w:line="224" w:lineRule="exact"/>
        <w:rPr>
          <w:sz w:val="20"/>
          <w:szCs w:val="20"/>
          <w:color w:val="auto"/>
        </w:rPr>
      </w:pPr>
    </w:p>
    <w:p>
      <w:pPr>
        <w:ind w:right="20" w:firstLine="634"/>
        <w:spacing w:after="0" w:line="273" w:lineRule="auto"/>
        <w:tabs>
          <w:tab w:leader="none" w:pos="1258"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xml:space="preserve">. In the event the Shares have not been registered under the Securities Act of 1933, as amended,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634"/>
        <w:spacing w:after="0" w:line="261" w:lineRule="auto"/>
        <w:tabs>
          <w:tab w:leader="none" w:pos="1258"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4"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(or other) period. Participant agrees that any transferee of the Option or shares acquired pursuant to the Option shall be bound by this Section 4.</w:t>
      </w:r>
    </w:p>
    <w:p>
      <w:pPr>
        <w:spacing w:after="0" w:line="173" w:lineRule="exact"/>
        <w:rPr>
          <w:sz w:val="20"/>
          <w:szCs w:val="20"/>
          <w:color w:val="auto"/>
        </w:rPr>
      </w:pPr>
    </w:p>
    <w:p>
      <w:pPr>
        <w:ind w:left="1260" w:hanging="626"/>
        <w:spacing w:after="0"/>
        <w:tabs>
          <w:tab w:leader="none" w:pos="126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cash;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check;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420"/>
          </w:cols>
          <w:pgMar w:left="240" w:top="127" w:right="239" w:bottom="0" w:gutter="0" w:footer="0" w:header="0"/>
        </w:sectPr>
      </w:pPr>
    </w:p>
    <w:bookmarkStart w:id="246" w:name="page247"/>
    <w:bookmarkEnd w:id="246"/>
    <w:p>
      <w:pPr>
        <w:ind w:right="220" w:firstLine="1263"/>
        <w:spacing w:after="0" w:line="273" w:lineRule="auto"/>
        <w:tabs>
          <w:tab w:leader="none" w:pos="1895" w:val="left"/>
        </w:tabs>
        <w:numPr>
          <w:ilvl w:val="2"/>
          <w:numId w:val="283"/>
        </w:numPr>
        <w:rPr>
          <w:rFonts w:ascii="Arial" w:cs="Arial" w:eastAsia="Arial" w:hAnsi="Arial"/>
          <w:sz w:val="17"/>
          <w:szCs w:val="17"/>
          <w:color w:val="auto"/>
        </w:rPr>
      </w:pPr>
      <w:r>
        <w:rPr>
          <w:rFonts w:ascii="Arial" w:cs="Arial" w:eastAsia="Arial" w:hAnsi="Arial"/>
          <w:sz w:val="17"/>
          <w:szCs w:val="17"/>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1" w:lineRule="exact"/>
        <w:rPr>
          <w:rFonts w:ascii="Arial" w:cs="Arial" w:eastAsia="Arial" w:hAnsi="Arial"/>
          <w:sz w:val="17"/>
          <w:szCs w:val="17"/>
          <w:color w:val="auto"/>
        </w:rPr>
      </w:pPr>
    </w:p>
    <w:p>
      <w:pPr>
        <w:ind w:firstLine="634"/>
        <w:spacing w:after="0" w:line="360" w:lineRule="auto"/>
        <w:tabs>
          <w:tab w:leader="none" w:pos="1258"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Restrictions on Exercise</w:t>
      </w:r>
      <w:r>
        <w:rPr>
          <w:rFonts w:ascii="Arial" w:cs="Arial" w:eastAsia="Arial" w:hAnsi="Arial"/>
          <w:sz w:val="15"/>
          <w:szCs w:val="15"/>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11" w:lineRule="exact"/>
        <w:rPr>
          <w:rFonts w:ascii="Arial" w:cs="Arial" w:eastAsia="Arial" w:hAnsi="Arial"/>
          <w:sz w:val="15"/>
          <w:szCs w:val="15"/>
          <w:color w:val="auto"/>
        </w:rPr>
      </w:pPr>
    </w:p>
    <w:p>
      <w:pPr>
        <w:ind w:right="220" w:firstLine="634"/>
        <w:spacing w:after="0" w:line="273" w:lineRule="auto"/>
        <w:tabs>
          <w:tab w:leader="none" w:pos="1258"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1" w:lineRule="exact"/>
        <w:rPr>
          <w:rFonts w:ascii="Arial" w:cs="Arial" w:eastAsia="Arial" w:hAnsi="Arial"/>
          <w:sz w:val="17"/>
          <w:szCs w:val="17"/>
          <w:color w:val="auto"/>
        </w:rPr>
      </w:pPr>
    </w:p>
    <w:p>
      <w:pPr>
        <w:ind w:right="240" w:firstLine="634"/>
        <w:spacing w:after="0" w:line="289" w:lineRule="auto"/>
        <w:tabs>
          <w:tab w:leader="none" w:pos="1258"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This Option may be exercised only within the term set out in the Notice of Stock Option Grant, and may be exercised during such term only in accordance with the Plan and the terms of this Option.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85" w:val="left"/>
        </w:tabs>
        <w:numPr>
          <w:ilvl w:val="2"/>
          <w:numId w:val="284"/>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5" w:lineRule="exact"/>
        <w:rPr>
          <w:rFonts w:ascii="Arial" w:cs="Arial" w:eastAsia="Arial" w:hAnsi="Arial"/>
          <w:sz w:val="17"/>
          <w:szCs w:val="17"/>
          <w:color w:val="auto"/>
        </w:rPr>
      </w:pPr>
    </w:p>
    <w:p>
      <w:pPr>
        <w:ind w:right="140" w:firstLine="1263"/>
        <w:spacing w:after="0" w:line="300" w:lineRule="auto"/>
        <w:tabs>
          <w:tab w:leader="none" w:pos="1895" w:val="left"/>
        </w:tabs>
        <w:numPr>
          <w:ilvl w:val="2"/>
          <w:numId w:val="284"/>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w:t>
      </w:r>
    </w:p>
    <w:p>
      <w:pPr>
        <w:ind w:right="400" w:firstLine="5"/>
        <w:spacing w:after="0" w:line="275" w:lineRule="auto"/>
        <w:tabs>
          <w:tab w:leader="none" w:pos="24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69" w:lineRule="exact"/>
        <w:rPr>
          <w:rFonts w:ascii="Arial" w:cs="Arial" w:eastAsia="Arial" w:hAnsi="Arial"/>
          <w:sz w:val="17"/>
          <w:szCs w:val="17"/>
          <w:color w:val="auto"/>
        </w:rPr>
      </w:pPr>
    </w:p>
    <w:p>
      <w:pPr>
        <w:ind w:right="40" w:firstLine="1263"/>
        <w:spacing w:after="0" w:line="262" w:lineRule="auto"/>
        <w:tabs>
          <w:tab w:leader="none" w:pos="1898" w:val="left"/>
        </w:tabs>
        <w:numPr>
          <w:ilvl w:val="2"/>
          <w:numId w:val="285"/>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360" w:lineRule="auto"/>
        <w:rPr>
          <w:sz w:val="20"/>
          <w:szCs w:val="20"/>
          <w:color w:val="auto"/>
        </w:rPr>
      </w:pPr>
      <w:r>
        <w:rPr>
          <w:rFonts w:ascii="Arial" w:cs="Arial" w:eastAsia="Arial" w:hAnsi="Arial"/>
          <w:sz w:val="15"/>
          <w:szCs w:val="15"/>
          <w:color w:val="auto"/>
        </w:rPr>
        <w:t>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12" w:lineRule="exact"/>
        <w:rPr>
          <w:sz w:val="20"/>
          <w:szCs w:val="20"/>
          <w:color w:val="auto"/>
        </w:rPr>
      </w:pPr>
    </w:p>
    <w:p>
      <w:pPr>
        <w:ind w:right="300" w:firstLine="634"/>
        <w:spacing w:after="0" w:line="290" w:lineRule="auto"/>
        <w:tabs>
          <w:tab w:leader="none" w:pos="1254"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California.</w:t>
      </w:r>
    </w:p>
    <w:p>
      <w:pPr>
        <w:spacing w:after="0" w:line="159" w:lineRule="exact"/>
        <w:rPr>
          <w:rFonts w:ascii="Arial" w:cs="Arial" w:eastAsia="Arial" w:hAnsi="Arial"/>
          <w:sz w:val="16"/>
          <w:szCs w:val="16"/>
          <w:color w:val="auto"/>
        </w:rPr>
      </w:pPr>
    </w:p>
    <w:p>
      <w:pPr>
        <w:ind w:right="20" w:firstLine="634"/>
        <w:spacing w:after="0" w:line="261" w:lineRule="auto"/>
        <w:tabs>
          <w:tab w:leader="none" w:pos="1248"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Please sign below and return a copy of this agreement to the Company by January 31, 2013.</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38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r>
      <w:tr>
        <w:trPr>
          <w:trHeight w:val="420"/>
        </w:trPr>
        <w:tc>
          <w:tcPr>
            <w:tcW w:w="5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38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r>
      <w:tr>
        <w:trPr>
          <w:trHeight w:val="407"/>
        </w:trPr>
        <w:tc>
          <w:tcPr>
            <w:tcW w:w="20" w:type="dxa"/>
            <w:vAlign w:val="bottom"/>
          </w:tcPr>
          <w:p>
            <w:pPr>
              <w:spacing w:after="0"/>
              <w:rPr>
                <w:sz w:val="24"/>
                <w:szCs w:val="24"/>
                <w:color w:val="auto"/>
              </w:rPr>
            </w:pP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«Name»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Print Name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Print Name</w:t>
            </w:r>
          </w:p>
        </w:tc>
      </w:tr>
    </w:tbl>
    <w:p>
      <w:pPr>
        <w:sectPr>
          <w:pgSz w:w="11900" w:h="16838" w:orient="portrait"/>
          <w:cols w:equalWidth="0" w:num="1">
            <w:col w:w="11420"/>
          </w:cols>
          <w:pgMar w:left="240" w:top="337" w:right="239" w:bottom="0" w:gutter="0" w:footer="0" w:header="0"/>
        </w:sectPr>
      </w:pPr>
    </w:p>
    <w:bookmarkStart w:id="247" w:name="page248"/>
    <w:bookmarkEnd w:id="247"/>
    <w:p>
      <w:pPr>
        <w:ind w:left="5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222250</wp:posOffset>
            </wp:positionV>
            <wp:extent cx="72504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8255"/>
                    </a:xfrm>
                    <a:prstGeom prst="rect">
                      <a:avLst/>
                    </a:prstGeom>
                    <a:noFill/>
                  </pic:spPr>
                </pic:pic>
              </a:graphicData>
            </a:graphic>
          </wp:anchor>
        </w:drawing>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35464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EXERCISE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jc w:val="right"/>
              <w:ind w:right="413"/>
              <w:spacing w:after="0"/>
              <w:rPr>
                <w:sz w:val="20"/>
                <w:szCs w:val="20"/>
                <w:color w:val="auto"/>
              </w:rPr>
            </w:pPr>
            <w:r>
              <w:rPr>
                <w:rFonts w:ascii="Arial" w:cs="Arial" w:eastAsia="Arial" w:hAnsi="Arial"/>
                <w:sz w:val="17"/>
                <w:szCs w:val="17"/>
                <w:color w:val="auto"/>
              </w:rPr>
              <w:t>1.</w:t>
            </w:r>
          </w:p>
        </w:tc>
        <w:tc>
          <w:tcPr>
            <w:tcW w:w="1420" w:type="dxa"/>
            <w:vAlign w:val="bottom"/>
            <w:gridSpan w:val="2"/>
          </w:tcPr>
          <w:p>
            <w:pPr>
              <w:spacing w:after="0"/>
              <w:rPr>
                <w:sz w:val="20"/>
                <w:szCs w:val="20"/>
                <w:color w:val="auto"/>
              </w:rPr>
            </w:pPr>
            <w:r>
              <w:rPr>
                <w:rFonts w:ascii="Arial" w:cs="Arial" w:eastAsia="Arial" w:hAnsi="Arial"/>
                <w:sz w:val="17"/>
                <w:szCs w:val="17"/>
                <w:color w:val="auto"/>
                <w:w w:val="97"/>
              </w:rPr>
              <w:t>Exercise of Option.</w:t>
            </w:r>
          </w:p>
        </w:tc>
        <w:tc>
          <w:tcPr>
            <w:tcW w:w="2540" w:type="dxa"/>
            <w:vAlign w:val="bottom"/>
          </w:tcPr>
          <w:p>
            <w:pPr>
              <w:ind w:left="40"/>
              <w:spacing w:after="0"/>
              <w:rPr>
                <w:sz w:val="20"/>
                <w:szCs w:val="20"/>
                <w:color w:val="auto"/>
              </w:rPr>
            </w:pPr>
            <w:r>
              <w:rPr>
                <w:rFonts w:ascii="Arial" w:cs="Arial" w:eastAsia="Arial" w:hAnsi="Arial"/>
                <w:sz w:val="17"/>
                <w:szCs w:val="17"/>
                <w:color w:val="auto"/>
              </w:rPr>
              <w:t>Effective as of today,</w:t>
            </w:r>
          </w:p>
        </w:tc>
        <w:tc>
          <w:tcPr>
            <w:tcW w:w="6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5280" w:type="dxa"/>
            <w:vAlign w:val="bottom"/>
            <w:gridSpan w:val="2"/>
          </w:tcPr>
          <w:p>
            <w:pPr>
              <w:ind w:left="200"/>
              <w:spacing w:after="0"/>
              <w:rPr>
                <w:sz w:val="20"/>
                <w:szCs w:val="20"/>
                <w:color w:val="auto"/>
              </w:rPr>
            </w:pPr>
            <w:r>
              <w:rPr>
                <w:rFonts w:ascii="Arial" w:cs="Arial" w:eastAsia="Arial" w:hAnsi="Arial"/>
                <w:sz w:val="17"/>
                <w:szCs w:val="17"/>
                <w:color w:val="auto"/>
                <w:w w:val="95"/>
              </w:rPr>
              <w:t>, the undersigned (“Participant”) hereby elects to exercise Participant’s</w:t>
            </w:r>
          </w:p>
        </w:tc>
      </w:tr>
      <w:tr>
        <w:trPr>
          <w:trHeight w:val="20"/>
        </w:trPr>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r>
      <w:tr>
        <w:trPr>
          <w:trHeight w:val="217"/>
        </w:trPr>
        <w:tc>
          <w:tcPr>
            <w:tcW w:w="2680" w:type="dxa"/>
            <w:vAlign w:val="bottom"/>
            <w:gridSpan w:val="3"/>
          </w:tcPr>
          <w:p>
            <w:pPr>
              <w:spacing w:after="0"/>
              <w:rPr>
                <w:sz w:val="20"/>
                <w:szCs w:val="20"/>
                <w:color w:val="auto"/>
              </w:rPr>
            </w:pPr>
            <w:r>
              <w:rPr>
                <w:rFonts w:ascii="Arial" w:cs="Arial" w:eastAsia="Arial" w:hAnsi="Arial"/>
                <w:sz w:val="17"/>
                <w:szCs w:val="17"/>
                <w:color w:val="auto"/>
              </w:rPr>
              <w:t>option (the “Option”) to purchase</w:t>
            </w:r>
          </w:p>
        </w:tc>
        <w:tc>
          <w:tcPr>
            <w:tcW w:w="8480" w:type="dxa"/>
            <w:vAlign w:val="bottom"/>
            <w:gridSpan w:val="4"/>
          </w:tcPr>
          <w:p>
            <w:pPr>
              <w:ind w:left="1160"/>
              <w:spacing w:after="0"/>
              <w:rPr>
                <w:sz w:val="20"/>
                <w:szCs w:val="20"/>
                <w:color w:val="auto"/>
              </w:rPr>
            </w:pPr>
            <w:r>
              <w:rPr>
                <w:rFonts w:ascii="Arial" w:cs="Arial" w:eastAsia="Arial" w:hAnsi="Arial"/>
                <w:sz w:val="17"/>
                <w:szCs w:val="17"/>
                <w:color w:val="auto"/>
                <w:w w:val="93"/>
              </w:rPr>
              <w:t>shares of the Common Stock (the “Shares”) of Veracyte, Inc. (the “Company”) under and pursuant to the</w:t>
            </w:r>
          </w:p>
        </w:tc>
      </w:tr>
      <w:tr>
        <w:trPr>
          <w:trHeight w:val="222"/>
        </w:trPr>
        <w:tc>
          <w:tcPr>
            <w:tcW w:w="5220" w:type="dxa"/>
            <w:vAlign w:val="bottom"/>
            <w:gridSpan w:val="4"/>
          </w:tcPr>
          <w:p>
            <w:pPr>
              <w:spacing w:after="0"/>
              <w:rPr>
                <w:sz w:val="20"/>
                <w:szCs w:val="20"/>
                <w:color w:val="auto"/>
              </w:rPr>
            </w:pPr>
            <w:r>
              <w:rPr>
                <w:rFonts w:ascii="Arial" w:cs="Arial" w:eastAsia="Arial" w:hAnsi="Arial"/>
                <w:sz w:val="17"/>
                <w:szCs w:val="17"/>
                <w:color w:val="auto"/>
              </w:rPr>
              <w:t>2008 Stock Plan (the “Plan”) and the Stock Option Agreement dated</w:t>
            </w:r>
          </w:p>
        </w:tc>
        <w:tc>
          <w:tcPr>
            <w:tcW w:w="66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7"/>
                <w:szCs w:val="17"/>
                <w:color w:val="auto"/>
              </w:rPr>
              <w:t>,</w:t>
            </w:r>
          </w:p>
        </w:tc>
        <w:tc>
          <w:tcPr>
            <w:tcW w:w="4780" w:type="dxa"/>
            <w:vAlign w:val="bottom"/>
          </w:tcPr>
          <w:p>
            <w:pPr>
              <w:ind w:left="260"/>
              <w:spacing w:after="0"/>
              <w:rPr>
                <w:sz w:val="20"/>
                <w:szCs w:val="20"/>
                <w:color w:val="auto"/>
              </w:rPr>
            </w:pPr>
            <w:r>
              <w:rPr>
                <w:rFonts w:ascii="Arial" w:cs="Arial" w:eastAsia="Arial" w:hAnsi="Arial"/>
                <w:sz w:val="17"/>
                <w:szCs w:val="17"/>
                <w:color w:val="auto"/>
              </w:rPr>
              <w:t>(the “Option Agreement”).</w:t>
            </w:r>
          </w:p>
        </w:tc>
      </w:tr>
    </w:tbl>
    <w:p>
      <w:pPr>
        <w:spacing w:after="0" w:line="198" w:lineRule="exact"/>
        <w:rPr>
          <w:sz w:val="20"/>
          <w:szCs w:val="20"/>
          <w:color w:val="auto"/>
        </w:rPr>
      </w:pPr>
    </w:p>
    <w:p>
      <w:pPr>
        <w:ind w:right="100" w:firstLine="634"/>
        <w:spacing w:after="0" w:line="289" w:lineRule="auto"/>
        <w:tabs>
          <w:tab w:leader="none" w:pos="1258"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7"/>
          <w:szCs w:val="17"/>
          <w:color w:val="auto"/>
        </w:rPr>
      </w:pPr>
    </w:p>
    <w:p>
      <w:pPr>
        <w:ind w:right="40" w:firstLine="634"/>
        <w:spacing w:after="0" w:line="289" w:lineRule="auto"/>
        <w:tabs>
          <w:tab w:leader="none" w:pos="1258"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7"/>
          <w:szCs w:val="17"/>
          <w:color w:val="auto"/>
        </w:rPr>
      </w:pPr>
    </w:p>
    <w:p>
      <w:pPr>
        <w:ind w:right="20" w:firstLine="634"/>
        <w:spacing w:after="0" w:line="265" w:lineRule="auto"/>
        <w:tabs>
          <w:tab w:leader="none" w:pos="1258"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11 of the Plan.</w:t>
      </w:r>
    </w:p>
    <w:p>
      <w:pPr>
        <w:spacing w:after="0" w:line="179" w:lineRule="exact"/>
        <w:rPr>
          <w:rFonts w:ascii="Arial" w:cs="Arial" w:eastAsia="Arial" w:hAnsi="Arial"/>
          <w:sz w:val="17"/>
          <w:szCs w:val="17"/>
          <w:color w:val="auto"/>
        </w:rPr>
      </w:pPr>
    </w:p>
    <w:p>
      <w:pPr>
        <w:ind w:right="80" w:firstLine="634"/>
        <w:spacing w:after="0" w:line="273" w:lineRule="auto"/>
        <w:tabs>
          <w:tab w:leader="none" w:pos="1258"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1" w:lineRule="exact"/>
        <w:rPr>
          <w:rFonts w:ascii="Arial" w:cs="Arial" w:eastAsia="Arial" w:hAnsi="Arial"/>
          <w:sz w:val="17"/>
          <w:szCs w:val="17"/>
          <w:color w:val="auto"/>
        </w:rPr>
      </w:pPr>
    </w:p>
    <w:p>
      <w:pPr>
        <w:ind w:right="360" w:firstLine="1263"/>
        <w:spacing w:after="0" w:line="300" w:lineRule="auto"/>
        <w:tabs>
          <w:tab w:leader="none" w:pos="1885" w:val="left"/>
        </w:tabs>
        <w:numPr>
          <w:ilvl w:val="2"/>
          <w:numId w:val="287"/>
        </w:numPr>
        <w:rPr>
          <w:rFonts w:ascii="Arial" w:cs="Arial" w:eastAsia="Arial" w:hAnsi="Arial"/>
          <w:sz w:val="15"/>
          <w:szCs w:val="15"/>
          <w:color w:val="auto"/>
        </w:rPr>
      </w:pPr>
      <w:r>
        <w:rPr>
          <w:rFonts w:ascii="Arial" w:cs="Arial" w:eastAsia="Arial" w:hAnsi="Arial"/>
          <w:sz w:val="15"/>
          <w:szCs w:val="15"/>
          <w:u w:val="single" w:color="auto"/>
          <w:color w:val="auto"/>
        </w:rPr>
        <w:t>Notice of Proposed Transfer</w:t>
      </w:r>
      <w:r>
        <w:rPr>
          <w:rFonts w:ascii="Arial" w:cs="Arial" w:eastAsia="Arial" w:hAnsi="Arial"/>
          <w:sz w:val="15"/>
          <w:szCs w:val="15"/>
          <w:color w:val="auto"/>
        </w:rPr>
        <w:t>. The Holder of the Shares shall deliver to the Company a written notice (the “Notice”) stating: (i) the Holder’s bona fide intention to sell or otherwise transfer such Shares; (ii) the name of each proposed purchaser or other transferee (“Proposed Transferee”);</w:t>
      </w:r>
    </w:p>
    <w:p>
      <w:pPr>
        <w:ind w:right="80" w:firstLine="5"/>
        <w:spacing w:after="0" w:line="275" w:lineRule="auto"/>
        <w:tabs>
          <w:tab w:leader="none" w:pos="30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number of Shares to be transferred to each Proposed Transferee; and (iv) the bona fide cash price or other consideration for which the Holder proposes to transfer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Shares (the “Offered Price”), and the Holder shall offer the Shares at the Offered Price to the Company or its assignee(s).</w:t>
      </w:r>
    </w:p>
    <w:p>
      <w:pPr>
        <w:spacing w:after="0" w:line="224" w:lineRule="exact"/>
        <w:rPr>
          <w:sz w:val="20"/>
          <w:szCs w:val="20"/>
          <w:color w:val="auto"/>
        </w:rPr>
      </w:pPr>
    </w:p>
    <w:p>
      <w:pPr>
        <w:ind w:right="180" w:firstLine="1263"/>
        <w:spacing w:after="0" w:line="273" w:lineRule="auto"/>
        <w:tabs>
          <w:tab w:leader="none" w:pos="189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71" w:lineRule="exact"/>
        <w:rPr>
          <w:rFonts w:ascii="Arial" w:cs="Arial" w:eastAsia="Arial" w:hAnsi="Arial"/>
          <w:sz w:val="17"/>
          <w:szCs w:val="17"/>
          <w:color w:val="auto"/>
        </w:rPr>
      </w:pPr>
    </w:p>
    <w:p>
      <w:pPr>
        <w:jc w:val="both"/>
        <w:ind w:firstLine="1263"/>
        <w:spacing w:after="0" w:line="273" w:lineRule="auto"/>
        <w:tabs>
          <w:tab w:leader="none" w:pos="1898"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1"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71" w:lineRule="exact"/>
        <w:rPr>
          <w:rFonts w:ascii="Arial" w:cs="Arial" w:eastAsia="Arial" w:hAnsi="Arial"/>
          <w:sz w:val="17"/>
          <w:szCs w:val="17"/>
          <w:color w:val="auto"/>
        </w:rPr>
      </w:pPr>
    </w:p>
    <w:p>
      <w:pPr>
        <w:ind w:right="120" w:firstLine="1263"/>
        <w:spacing w:after="0" w:line="281" w:lineRule="auto"/>
        <w:tabs>
          <w:tab w:leader="none" w:pos="1898"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0" w:lineRule="exact"/>
        <w:rPr>
          <w:rFonts w:ascii="Arial" w:cs="Arial" w:eastAsia="Arial" w:hAnsi="Arial"/>
          <w:sz w:val="16"/>
          <w:szCs w:val="16"/>
          <w:color w:val="auto"/>
        </w:rPr>
      </w:pPr>
    </w:p>
    <w:p>
      <w:pPr>
        <w:jc w:val="both"/>
        <w:ind w:right="20" w:firstLine="1263"/>
        <w:spacing w:after="0" w:line="285" w:lineRule="auto"/>
        <w:tabs>
          <w:tab w:leader="none" w:pos="1892"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6" w:lineRule="exact"/>
        <w:rPr>
          <w:rFonts w:ascii="Arial" w:cs="Arial" w:eastAsia="Arial" w:hAnsi="Arial"/>
          <w:sz w:val="16"/>
          <w:szCs w:val="16"/>
          <w:color w:val="auto"/>
        </w:rPr>
      </w:pPr>
    </w:p>
    <w:p>
      <w:pPr>
        <w:jc w:val="both"/>
        <w:ind w:firstLine="1263"/>
        <w:spacing w:after="0" w:line="360" w:lineRule="auto"/>
        <w:tabs>
          <w:tab w:leader="none" w:pos="1908"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ectPr>
          <w:pgSz w:w="11900" w:h="16838" w:orient="portrait"/>
          <w:cols w:equalWidth="0" w:num="1">
            <w:col w:w="11360"/>
          </w:cols>
          <w:pgMar w:left="240" w:top="350" w:right="299" w:bottom="0" w:gutter="0" w:footer="0" w:header="0"/>
        </w:sectPr>
      </w:pPr>
    </w:p>
    <w:bookmarkStart w:id="248" w:name="page249"/>
    <w:bookmarkEnd w:id="248"/>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34"/>
        <w:spacing w:after="0" w:line="273" w:lineRule="auto"/>
        <w:tabs>
          <w:tab w:leader="none" w:pos="1258"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Restrictive Legends and Stop-Transfer Orders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73" w:lineRule="auto"/>
        <w:tabs>
          <w:tab w:leader="none" w:pos="1885"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72" w:lineRule="exact"/>
        <w:rPr>
          <w:sz w:val="20"/>
          <w:szCs w:val="20"/>
          <w:color w:val="auto"/>
        </w:rPr>
      </w:pPr>
    </w:p>
    <w:p>
      <w:pPr>
        <w:ind w:left="1260" w:right="120" w:hanging="15"/>
        <w:spacing w:after="0" w:line="268"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76" w:lineRule="exact"/>
        <w:rPr>
          <w:sz w:val="20"/>
          <w:szCs w:val="20"/>
          <w:color w:val="auto"/>
        </w:rPr>
      </w:pPr>
    </w:p>
    <w:p>
      <w:pPr>
        <w:ind w:left="1260" w:right="80" w:hanging="15"/>
        <w:spacing w:after="0" w:line="265" w:lineRule="auto"/>
        <w:rPr>
          <w:sz w:val="20"/>
          <w:szCs w:val="20"/>
          <w:color w:val="auto"/>
        </w:rPr>
      </w:pPr>
      <w:r>
        <w:rPr>
          <w:rFonts w:ascii="Arial" w:cs="Arial" w:eastAsia="Arial" w:hAnsi="Arial"/>
          <w:sz w:val="17"/>
          <w:szCs w:val="17"/>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79" w:lineRule="exact"/>
        <w:rPr>
          <w:sz w:val="20"/>
          <w:szCs w:val="20"/>
          <w:color w:val="auto"/>
        </w:rPr>
      </w:pPr>
    </w:p>
    <w:p>
      <w:pPr>
        <w:ind w:left="1260" w:hanging="15"/>
        <w:spacing w:after="0" w:line="265" w:lineRule="auto"/>
        <w:rPr>
          <w:sz w:val="20"/>
          <w:szCs w:val="20"/>
          <w:color w:val="auto"/>
        </w:rPr>
      </w:pPr>
      <w:r>
        <w:rPr>
          <w:rFonts w:ascii="Arial" w:cs="Arial" w:eastAsia="Arial" w:hAnsi="Arial"/>
          <w:sz w:val="17"/>
          <w:szCs w:val="17"/>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9" w:lineRule="exact"/>
        <w:rPr>
          <w:sz w:val="20"/>
          <w:szCs w:val="20"/>
          <w:color w:val="auto"/>
        </w:rPr>
      </w:pPr>
    </w:p>
    <w:p>
      <w:pPr>
        <w:ind w:right="80" w:firstLine="1263"/>
        <w:spacing w:after="0" w:line="273" w:lineRule="auto"/>
        <w:tabs>
          <w:tab w:leader="none" w:pos="1895"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620" w:firstLine="1263"/>
        <w:spacing w:after="0" w:line="289" w:lineRule="auto"/>
        <w:tabs>
          <w:tab w:leader="none" w:pos="1898"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this Exercise Notice, or (ii) to treat as owner of such Shares or to accord the right to vote or pay dividends to any purchaser or other transferee to whom such Shares shall have been so transferred.</w:t>
      </w:r>
    </w:p>
    <w:p>
      <w:pPr>
        <w:spacing w:after="0" w:line="158" w:lineRule="exact"/>
        <w:rPr>
          <w:sz w:val="20"/>
          <w:szCs w:val="20"/>
          <w:color w:val="auto"/>
        </w:rPr>
      </w:pPr>
    </w:p>
    <w:p>
      <w:pPr>
        <w:jc w:val="both"/>
        <w:ind w:right="80" w:firstLine="634"/>
        <w:spacing w:after="0" w:line="273" w:lineRule="auto"/>
        <w:tabs>
          <w:tab w:leader="none" w:pos="1258"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71" w:lineRule="exact"/>
        <w:rPr>
          <w:rFonts w:ascii="Arial" w:cs="Arial" w:eastAsia="Arial" w:hAnsi="Arial"/>
          <w:sz w:val="17"/>
          <w:szCs w:val="17"/>
          <w:color w:val="auto"/>
        </w:rPr>
      </w:pPr>
    </w:p>
    <w:p>
      <w:pPr>
        <w:ind w:right="40" w:firstLine="634"/>
        <w:spacing w:after="0" w:line="273" w:lineRule="auto"/>
        <w:tabs>
          <w:tab w:leader="none" w:pos="1258"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1" w:lineRule="exact"/>
        <w:rPr>
          <w:rFonts w:ascii="Arial" w:cs="Arial" w:eastAsia="Arial" w:hAnsi="Arial"/>
          <w:sz w:val="17"/>
          <w:szCs w:val="17"/>
          <w:color w:val="auto"/>
        </w:rPr>
      </w:pPr>
    </w:p>
    <w:p>
      <w:pPr>
        <w:ind w:firstLine="634"/>
        <w:spacing w:after="0" w:line="273" w:lineRule="auto"/>
        <w:tabs>
          <w:tab w:leader="none" w:pos="1254"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1" w:lineRule="exact"/>
        <w:rPr>
          <w:rFonts w:ascii="Arial" w:cs="Arial" w:eastAsia="Arial" w:hAnsi="Arial"/>
          <w:sz w:val="17"/>
          <w:szCs w:val="17"/>
          <w:color w:val="auto"/>
        </w:rPr>
      </w:pPr>
    </w:p>
    <w:p>
      <w:pPr>
        <w:ind w:right="40" w:firstLine="634"/>
        <w:spacing w:after="0" w:line="268" w:lineRule="auto"/>
        <w:tabs>
          <w:tab w:leader="none" w:pos="1248"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gridSpan w:val="2"/>
          </w:tcPr>
          <w:p>
            <w:pPr>
              <w:spacing w:after="0"/>
              <w:rPr>
                <w:sz w:val="20"/>
                <w:szCs w:val="20"/>
                <w:color w:val="auto"/>
              </w:rPr>
            </w:pPr>
            <w:r>
              <w:rPr>
                <w:rFonts w:ascii="Arial" w:cs="Arial" w:eastAsia="Arial" w:hAnsi="Arial"/>
                <w:sz w:val="17"/>
                <w:szCs w:val="17"/>
                <w:color w:val="auto"/>
              </w:rPr>
              <w:t>Submitted by:</w:t>
            </w:r>
          </w:p>
        </w:tc>
        <w:tc>
          <w:tcPr>
            <w:tcW w:w="3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Accepted by:</w:t>
            </w:r>
          </w:p>
        </w:tc>
      </w:tr>
      <w:tr>
        <w:trPr>
          <w:trHeight w:val="222"/>
        </w:trPr>
        <w:tc>
          <w:tcPr>
            <w:tcW w:w="558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38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r>
      <w:tr>
        <w:trPr>
          <w:trHeight w:val="420"/>
        </w:trPr>
        <w:tc>
          <w:tcPr>
            <w:tcW w:w="5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38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r>
      <w:tr>
        <w:trPr>
          <w:trHeight w:val="407"/>
        </w:trPr>
        <w:tc>
          <w:tcPr>
            <w:tcW w:w="20" w:type="dxa"/>
            <w:vAlign w:val="bottom"/>
          </w:tcPr>
          <w:p>
            <w:pPr>
              <w:spacing w:after="0"/>
              <w:rPr>
                <w:sz w:val="24"/>
                <w:szCs w:val="24"/>
                <w:color w:val="auto"/>
              </w:rPr>
            </w:pP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«Name»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Print Name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Print Name</w:t>
            </w:r>
          </w:p>
        </w:tc>
      </w:tr>
      <w:tr>
        <w:trPr>
          <w:trHeight w:val="40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Title</w:t>
            </w:r>
          </w:p>
        </w:tc>
      </w:tr>
      <w:tr>
        <w:trPr>
          <w:trHeight w:val="407"/>
        </w:trPr>
        <w:tc>
          <w:tcPr>
            <w:tcW w:w="55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3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Address:</w:t>
            </w:r>
          </w:p>
        </w:tc>
      </w:tr>
      <w:tr>
        <w:trPr>
          <w:trHeight w:val="420"/>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7000 Shoreline Court, Suite 250</w:t>
            </w:r>
          </w:p>
        </w:tc>
      </w:tr>
    </w:tbl>
    <w:p>
      <w:pPr>
        <w:sectPr>
          <w:pgSz w:w="11900" w:h="16838" w:orient="portrait"/>
          <w:cols w:equalWidth="0" w:num="1">
            <w:col w:w="11420"/>
          </w:cols>
          <w:pgMar w:left="240" w:top="127" w:right="239" w:bottom="0" w:gutter="0" w:footer="0" w:header="0"/>
        </w:sectPr>
      </w:pPr>
    </w:p>
    <w:bookmarkStart w:id="249" w:name="page250"/>
    <w:bookmarkEnd w:id="249"/>
    <w:p>
      <w:pPr>
        <w:ind w:left="6240"/>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291465</wp:posOffset>
            </wp:positionV>
            <wp:extent cx="34626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626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72504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Date Received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20" w:type="dxa"/>
            <w:vAlign w:val="bottom"/>
            <w:gridSpan w:val="2"/>
          </w:tcPr>
          <w:p>
            <w:pPr>
              <w:jc w:val="center"/>
              <w:ind w:right="1520"/>
              <w:spacing w:after="0"/>
              <w:rPr>
                <w:sz w:val="20"/>
                <w:szCs w:val="20"/>
                <w:color w:val="auto"/>
              </w:rPr>
            </w:pPr>
            <w:r>
              <w:rPr>
                <w:rFonts w:ascii="Arial" w:cs="Arial" w:eastAsia="Arial" w:hAnsi="Arial"/>
                <w:sz w:val="17"/>
                <w:szCs w:val="17"/>
                <w:b w:val="1"/>
                <w:bCs w:val="1"/>
                <w:color w:val="auto"/>
              </w:rPr>
              <w:t>EXHIBIT B</w:t>
            </w:r>
          </w:p>
        </w:tc>
      </w:tr>
      <w:tr>
        <w:trPr>
          <w:trHeight w:val="20"/>
        </w:trPr>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8"/>
        </w:trPr>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80" w:type="dxa"/>
            <w:vAlign w:val="bottom"/>
            <w:gridSpan w:val="3"/>
          </w:tcPr>
          <w:p>
            <w:pPr>
              <w:jc w:val="center"/>
              <w:ind w:left="753"/>
              <w:spacing w:after="0"/>
              <w:rPr>
                <w:sz w:val="20"/>
                <w:szCs w:val="20"/>
                <w:color w:val="auto"/>
              </w:rPr>
            </w:pPr>
            <w:r>
              <w:rPr>
                <w:rFonts w:ascii="Arial" w:cs="Arial" w:eastAsia="Arial" w:hAnsi="Arial"/>
                <w:sz w:val="17"/>
                <w:szCs w:val="17"/>
                <w:b w:val="1"/>
                <w:bCs w:val="1"/>
                <w:color w:val="auto"/>
              </w:rPr>
              <w:t>INVESTMENT REPRESENTATION STATEMENT</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PARTICIPANT</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«NAME»</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COMPANY</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VERACYTE, INC.</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SECURITY</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COMMON STOCK</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AMOUNT</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DATE</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purchase of the above-listed Securities, the undersigned Participant represents to the Company the following:</w:t>
      </w:r>
    </w:p>
    <w:p>
      <w:pPr>
        <w:spacing w:after="0" w:line="224" w:lineRule="exact"/>
        <w:rPr>
          <w:sz w:val="20"/>
          <w:szCs w:val="20"/>
          <w:color w:val="auto"/>
        </w:rPr>
      </w:pPr>
    </w:p>
    <w:p>
      <w:pPr>
        <w:ind w:firstLine="634"/>
        <w:spacing w:after="0" w:line="268" w:lineRule="auto"/>
        <w:tabs>
          <w:tab w:leader="none" w:pos="125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75" w:lineRule="exact"/>
        <w:rPr>
          <w:rFonts w:ascii="Arial" w:cs="Arial" w:eastAsia="Arial" w:hAnsi="Arial"/>
          <w:sz w:val="17"/>
          <w:szCs w:val="17"/>
          <w:color w:val="auto"/>
        </w:rPr>
      </w:pPr>
    </w:p>
    <w:p>
      <w:pPr>
        <w:ind w:right="60" w:firstLine="634"/>
        <w:spacing w:after="0" w:line="261" w:lineRule="auto"/>
        <w:tabs>
          <w:tab w:leader="none" w:pos="126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4" w:lineRule="exact"/>
        <w:rPr>
          <w:rFonts w:ascii="Arial" w:cs="Arial" w:eastAsia="Arial" w:hAnsi="Arial"/>
          <w:sz w:val="17"/>
          <w:szCs w:val="17"/>
          <w:color w:val="auto"/>
        </w:rPr>
      </w:pPr>
    </w:p>
    <w:p>
      <w:pPr>
        <w:ind w:right="180" w:firstLine="634"/>
        <w:spacing w:after="0" w:line="265" w:lineRule="auto"/>
        <w:tabs>
          <w:tab w:leader="none" w:pos="126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9" w:lineRule="exact"/>
        <w:rPr>
          <w:sz w:val="20"/>
          <w:szCs w:val="20"/>
          <w:color w:val="auto"/>
        </w:rPr>
      </w:pPr>
    </w:p>
    <w:p>
      <w:pPr>
        <w:ind w:right="80" w:firstLine="1259"/>
        <w:spacing w:after="0" w:line="290"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59" w:lineRule="exact"/>
        <w:rPr>
          <w:sz w:val="20"/>
          <w:szCs w:val="20"/>
          <w:color w:val="auto"/>
        </w:rPr>
      </w:pPr>
    </w:p>
    <w:p>
      <w:pPr>
        <w:ind w:right="140" w:firstLine="634"/>
        <w:spacing w:after="0" w:line="283" w:lineRule="auto"/>
        <w:tabs>
          <w:tab w:leader="none" w:pos="126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420"/>
          </w:cols>
          <w:pgMar w:left="240" w:top="127" w:right="239" w:bottom="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103505</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1" w:name="page252"/>
    <w:bookmarkEnd w:id="251"/>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Multi-Tenant Laboratory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7000 Shoreline/Veracyte</w:t>
      </w:r>
    </w:p>
    <w:p>
      <w:pPr>
        <w:spacing w:after="0" w:line="211" w:lineRule="exact"/>
        <w:rPr>
          <w:sz w:val="20"/>
          <w:szCs w:val="20"/>
          <w:color w:val="auto"/>
        </w:rPr>
      </w:pPr>
    </w:p>
    <w:p>
      <w:pPr>
        <w:sectPr>
          <w:pgSz w:w="11900" w:h="16869" w:orient="portrait"/>
          <w:cols w:equalWidth="0" w:num="2">
            <w:col w:w="8900" w:space="720"/>
            <w:col w:w="1800"/>
          </w:cols>
          <w:pgMar w:left="240" w:top="357" w:right="239" w:bottom="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LEASE AGREEMENT</w:t>
      </w:r>
    </w:p>
    <w:p>
      <w:pPr>
        <w:sectPr>
          <w:pgSz w:w="11900" w:h="16869" w:orient="portrait"/>
          <w:cols w:equalWidth="0" w:num="1">
            <w:col w:w="11420"/>
          </w:cols>
          <w:pgMar w:left="240" w:top="357" w:right="239" w:bottom="0" w:gutter="0" w:footer="0" w:header="0"/>
          <w:type w:val="continuous"/>
        </w:sectPr>
      </w:pP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is made as of this 10 day of February, 2010 (the “</w:t>
      </w:r>
      <w:r>
        <w:rPr>
          <w:rFonts w:ascii="Arial" w:cs="Arial" w:eastAsia="Arial" w:hAnsi="Arial"/>
          <w:sz w:val="17"/>
          <w:szCs w:val="17"/>
          <w:b w:val="1"/>
          <w:bCs w:val="1"/>
          <w:color w:val="auto"/>
        </w:rPr>
        <w:t>Lease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 FRANCISCO NO. 17,</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180" w:firstLine="5"/>
        <w:spacing w:after="0" w:line="277" w:lineRule="auto"/>
        <w:tabs>
          <w:tab w:leader="none" w:pos="64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As of the Lease Date, Nodality, Inc., a Delaware corporation (“</w:t>
      </w:r>
      <w:r>
        <w:rPr>
          <w:rFonts w:ascii="Arial" w:cs="Arial" w:eastAsia="Arial" w:hAnsi="Arial"/>
          <w:sz w:val="17"/>
          <w:szCs w:val="17"/>
          <w:b w:val="1"/>
          <w:bCs w:val="1"/>
          <w:color w:val="auto"/>
        </w:rPr>
        <w:t>Nodality</w:t>
      </w:r>
      <w:r>
        <w:rPr>
          <w:rFonts w:ascii="Arial" w:cs="Arial" w:eastAsia="Arial" w:hAnsi="Arial"/>
          <w:sz w:val="17"/>
          <w:szCs w:val="17"/>
          <w:color w:val="auto"/>
        </w:rPr>
        <w:t>”), and Landlord are parties to that certain Lease Agreement dated as of March 2,2007 (as the same may be amended from time to time, the “</w:t>
      </w:r>
      <w:r>
        <w:rPr>
          <w:rFonts w:ascii="Arial" w:cs="Arial" w:eastAsia="Arial" w:hAnsi="Arial"/>
          <w:sz w:val="17"/>
          <w:szCs w:val="17"/>
          <w:b w:val="1"/>
          <w:bCs w:val="1"/>
          <w:color w:val="auto"/>
        </w:rPr>
        <w:t>Nodality Lease</w:t>
      </w:r>
      <w:r>
        <w:rPr>
          <w:rFonts w:ascii="Arial" w:cs="Arial" w:eastAsia="Arial" w:hAnsi="Arial"/>
          <w:sz w:val="17"/>
          <w:szCs w:val="17"/>
          <w:color w:val="auto"/>
        </w:rPr>
        <w:t>”) whereby Landlord leases to Nodality the Current Premises (as hereinafter defined).</w:t>
      </w:r>
    </w:p>
    <w:p>
      <w:pPr>
        <w:spacing w:after="0" w:line="168" w:lineRule="exact"/>
        <w:rPr>
          <w:rFonts w:ascii="Arial" w:cs="Arial" w:eastAsia="Arial" w:hAnsi="Arial"/>
          <w:sz w:val="17"/>
          <w:szCs w:val="17"/>
          <w:color w:val="auto"/>
        </w:rPr>
      </w:pPr>
    </w:p>
    <w:p>
      <w:pPr>
        <w:ind w:left="640" w:hanging="635"/>
        <w:spacing w:after="0"/>
        <w:tabs>
          <w:tab w:leader="none" w:pos="64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As of the Lease Date, Tenant subleases the Current Premises from Nodality pursuant to that certain Sublease Agreement dated April 21, 2008 (the</w:t>
      </w:r>
    </w:p>
    <w:p>
      <w:pPr>
        <w:spacing w:after="0" w:line="38"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Nodality Sublease</w:t>
      </w:r>
      <w:r>
        <w:rPr>
          <w:rFonts w:ascii="Arial" w:cs="Arial" w:eastAsia="Arial" w:hAnsi="Arial"/>
          <w:sz w:val="17"/>
          <w:szCs w:val="17"/>
          <w:color w:val="auto"/>
        </w:rPr>
        <w:t>”). Landlord, Tenant and Nodality entered into that certain Consent to Sublease dated June 6, 2008 whereby Landlord consented to the Nodality Sublease (the “</w:t>
      </w:r>
      <w:r>
        <w:rPr>
          <w:rFonts w:ascii="Arial" w:cs="Arial" w:eastAsia="Arial" w:hAnsi="Arial"/>
          <w:sz w:val="17"/>
          <w:szCs w:val="17"/>
          <w:b w:val="1"/>
          <w:bCs w:val="1"/>
          <w:color w:val="auto"/>
        </w:rPr>
        <w:t>Current Premises Consent Agreement</w:t>
      </w:r>
      <w:r>
        <w:rPr>
          <w:rFonts w:ascii="Arial" w:cs="Arial" w:eastAsia="Arial" w:hAnsi="Arial"/>
          <w:sz w:val="17"/>
          <w:szCs w:val="17"/>
          <w:color w:val="auto"/>
        </w:rPr>
        <w:t>”).</w:t>
      </w:r>
    </w:p>
    <w:p>
      <w:pPr>
        <w:spacing w:after="0" w:line="169" w:lineRule="exact"/>
        <w:rPr>
          <w:sz w:val="20"/>
          <w:szCs w:val="20"/>
          <w:color w:val="auto"/>
        </w:rPr>
      </w:pPr>
    </w:p>
    <w:p>
      <w:pPr>
        <w:ind w:left="640" w:hanging="635"/>
        <w:spacing w:after="0"/>
        <w:tabs>
          <w:tab w:leader="none" w:pos="6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Upon the expiration or earlier termination of the Nodality Lease, Tenant desires to lease the Current Premises under a direct lease between Landlord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Tenant.</w:t>
      </w:r>
    </w:p>
    <w:p>
      <w:pPr>
        <w:spacing w:after="0" w:line="206" w:lineRule="exact"/>
        <w:rPr>
          <w:rFonts w:ascii="Arial" w:cs="Arial" w:eastAsia="Arial" w:hAnsi="Arial"/>
          <w:sz w:val="15"/>
          <w:szCs w:val="15"/>
          <w:color w:val="auto"/>
        </w:rPr>
      </w:pPr>
    </w:p>
    <w:p>
      <w:pPr>
        <w:ind w:right="120" w:firstLine="5"/>
        <w:spacing w:after="0" w:line="277" w:lineRule="auto"/>
        <w:tabs>
          <w:tab w:leader="none" w:pos="64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As of the Lease Date, Poniard Pharmaceuticals, Inc., a Washington corporation (“</w:t>
      </w:r>
      <w:r>
        <w:rPr>
          <w:rFonts w:ascii="Arial" w:cs="Arial" w:eastAsia="Arial" w:hAnsi="Arial"/>
          <w:sz w:val="17"/>
          <w:szCs w:val="17"/>
          <w:b w:val="1"/>
          <w:bCs w:val="1"/>
          <w:color w:val="auto"/>
        </w:rPr>
        <w:t>Poniard</w:t>
      </w:r>
      <w:r>
        <w:rPr>
          <w:rFonts w:ascii="Arial" w:cs="Arial" w:eastAsia="Arial" w:hAnsi="Arial"/>
          <w:sz w:val="17"/>
          <w:szCs w:val="17"/>
          <w:color w:val="auto"/>
        </w:rPr>
        <w:t>”), and Landlord are parties to that certain Lease dated as of July 10, 2006 (as the same may be amended from time to time, the “</w:t>
      </w:r>
      <w:r>
        <w:rPr>
          <w:rFonts w:ascii="Arial" w:cs="Arial" w:eastAsia="Arial" w:hAnsi="Arial"/>
          <w:sz w:val="17"/>
          <w:szCs w:val="17"/>
          <w:b w:val="1"/>
          <w:bCs w:val="1"/>
          <w:color w:val="auto"/>
        </w:rPr>
        <w:t>Poniard Lease</w:t>
      </w:r>
      <w:r>
        <w:rPr>
          <w:rFonts w:ascii="Arial" w:cs="Arial" w:eastAsia="Arial" w:hAnsi="Arial"/>
          <w:sz w:val="17"/>
          <w:szCs w:val="17"/>
          <w:color w:val="auto"/>
        </w:rPr>
        <w:t>”) whereby Landlord leases to Poniard the Expansion Premises (as hereinafter defined).</w:t>
      </w:r>
    </w:p>
    <w:p>
      <w:pPr>
        <w:spacing w:after="0" w:line="162" w:lineRule="exact"/>
        <w:rPr>
          <w:rFonts w:ascii="Arial" w:cs="Arial" w:eastAsia="Arial" w:hAnsi="Arial"/>
          <w:sz w:val="17"/>
          <w:szCs w:val="17"/>
          <w:color w:val="auto"/>
        </w:rPr>
      </w:pPr>
    </w:p>
    <w:p>
      <w:pPr>
        <w:ind w:right="140" w:firstLine="5"/>
        <w:spacing w:after="0" w:line="277" w:lineRule="auto"/>
        <w:tabs>
          <w:tab w:leader="none" w:pos="63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As of the Lease Date, Tenant subleases the Expansion Premises from Poniard pursuant to that certain Sublease dated as of the Lease Date (the “</w:t>
      </w:r>
      <w:r>
        <w:rPr>
          <w:rFonts w:ascii="Arial" w:cs="Arial" w:eastAsia="Arial" w:hAnsi="Arial"/>
          <w:sz w:val="17"/>
          <w:szCs w:val="17"/>
          <w:b w:val="1"/>
          <w:bCs w:val="1"/>
          <w:color w:val="auto"/>
        </w:rPr>
        <w:t>Poniard</w:t>
      </w:r>
      <w:r>
        <w:rPr>
          <w:rFonts w:ascii="Arial" w:cs="Arial" w:eastAsia="Arial" w:hAnsi="Arial"/>
          <w:sz w:val="17"/>
          <w:szCs w:val="17"/>
          <w:color w:val="auto"/>
        </w:rPr>
        <w:t xml:space="preserve"> </w:t>
      </w:r>
      <w:r>
        <w:rPr>
          <w:rFonts w:ascii="Arial" w:cs="Arial" w:eastAsia="Arial" w:hAnsi="Arial"/>
          <w:sz w:val="17"/>
          <w:szCs w:val="17"/>
          <w:b w:val="1"/>
          <w:bCs w:val="1"/>
          <w:color w:val="auto"/>
        </w:rPr>
        <w:t>Sublease</w:t>
      </w:r>
      <w:r>
        <w:rPr>
          <w:rFonts w:ascii="Arial" w:cs="Arial" w:eastAsia="Arial" w:hAnsi="Arial"/>
          <w:sz w:val="17"/>
          <w:szCs w:val="17"/>
          <w:color w:val="auto"/>
        </w:rPr>
        <w:t>”). Landlord, Tenant and Poniard entered into that certain Consent to Sublease dated as of the Lease Date whereby Landlord consented to the Poniard</w:t>
      </w:r>
      <w:r>
        <w:rPr>
          <w:rFonts w:ascii="Arial" w:cs="Arial" w:eastAsia="Arial" w:hAnsi="Arial"/>
          <w:sz w:val="17"/>
          <w:szCs w:val="17"/>
          <w:b w:val="1"/>
          <w:bCs w:val="1"/>
          <w:color w:val="auto"/>
        </w:rPr>
        <w:t xml:space="preserve"> </w:t>
      </w:r>
      <w:r>
        <w:rPr>
          <w:rFonts w:ascii="Arial" w:cs="Arial" w:eastAsia="Arial" w:hAnsi="Arial"/>
          <w:sz w:val="17"/>
          <w:szCs w:val="17"/>
          <w:color w:val="auto"/>
        </w:rPr>
        <w:t>Sublease (the “</w:t>
      </w:r>
      <w:r>
        <w:rPr>
          <w:rFonts w:ascii="Arial" w:cs="Arial" w:eastAsia="Arial" w:hAnsi="Arial"/>
          <w:sz w:val="17"/>
          <w:szCs w:val="17"/>
          <w:b w:val="1"/>
          <w:bCs w:val="1"/>
          <w:color w:val="auto"/>
        </w:rPr>
        <w:t>Expansion Premises Consent Agreement</w:t>
      </w:r>
      <w:r>
        <w:rPr>
          <w:rFonts w:ascii="Arial" w:cs="Arial" w:eastAsia="Arial" w:hAnsi="Arial"/>
          <w:sz w:val="17"/>
          <w:szCs w:val="17"/>
          <w:color w:val="auto"/>
        </w:rPr>
        <w:t>”).</w:t>
      </w:r>
    </w:p>
    <w:p>
      <w:pPr>
        <w:spacing w:after="0" w:line="168" w:lineRule="exact"/>
        <w:rPr>
          <w:sz w:val="20"/>
          <w:szCs w:val="20"/>
          <w:color w:val="auto"/>
        </w:rPr>
      </w:pPr>
    </w:p>
    <w:p>
      <w:pPr>
        <w:ind w:right="280" w:firstLine="5"/>
        <w:spacing w:after="0" w:line="289" w:lineRule="auto"/>
        <w:tabs>
          <w:tab w:leader="none" w:pos="64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Upon the expiration or earlier termination of the Poniard Lease, Tenant desires to lease the Expansion Premises under a direct lease between Landlord and Tenant.</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BASIC LEASE PROVISIONS</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7000 Shoreline Court, South San Francisco, California</w:t>
      </w:r>
    </w:p>
    <w:p>
      <w:pPr>
        <w:spacing w:after="0" w:line="224" w:lineRule="exact"/>
        <w:rPr>
          <w:sz w:val="20"/>
          <w:szCs w:val="20"/>
          <w:color w:val="auto"/>
        </w:rPr>
      </w:pPr>
    </w:p>
    <w:p>
      <w:pPr>
        <w:ind w:left="940" w:right="340" w:hanging="943"/>
        <w:spacing w:after="0" w:line="277" w:lineRule="auto"/>
        <w:tabs>
          <w:tab w:leader="none" w:pos="92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That portion of the Project, containing approximately 24,039 rentable square feet (“</w:t>
      </w:r>
      <w:r>
        <w:rPr>
          <w:rFonts w:ascii="Arial" w:cs="Arial" w:eastAsia="Arial" w:hAnsi="Arial"/>
          <w:sz w:val="17"/>
          <w:szCs w:val="17"/>
          <w:b w:val="1"/>
          <w:bCs w:val="1"/>
          <w:color w:val="auto"/>
        </w:rPr>
        <w:t>RSF</w:t>
      </w:r>
      <w:r>
        <w:rPr>
          <w:rFonts w:ascii="Arial" w:cs="Arial" w:eastAsia="Arial" w:hAnsi="Arial"/>
          <w:sz w:val="17"/>
          <w:szCs w:val="17"/>
          <w:color w:val="auto"/>
        </w:rPr>
        <w:t xml:space="preserve">”), consisting of (a) a portion of the Project containing approximately 6,994 RSF, as shown on </w:t>
      </w:r>
      <w:r>
        <w:rPr>
          <w:rFonts w:ascii="Arial" w:cs="Arial" w:eastAsia="Arial" w:hAnsi="Arial"/>
          <w:sz w:val="17"/>
          <w:szCs w:val="17"/>
          <w:b w:val="1"/>
          <w:bCs w:val="1"/>
          <w:u w:val="single" w:color="auto"/>
          <w:color w:val="auto"/>
        </w:rPr>
        <w:t>Exhibit A-1</w:t>
      </w:r>
      <w:r>
        <w:rPr>
          <w:rFonts w:ascii="Arial" w:cs="Arial" w:eastAsia="Arial" w:hAnsi="Arial"/>
          <w:sz w:val="17"/>
          <w:szCs w:val="17"/>
          <w:color w:val="auto"/>
        </w:rPr>
        <w:t xml:space="preserve"> (the “</w:t>
      </w:r>
      <w:r>
        <w:rPr>
          <w:rFonts w:ascii="Arial" w:cs="Arial" w:eastAsia="Arial" w:hAnsi="Arial"/>
          <w:sz w:val="17"/>
          <w:szCs w:val="17"/>
          <w:b w:val="1"/>
          <w:bCs w:val="1"/>
          <w:color w:val="auto"/>
        </w:rPr>
        <w:t>Current Premises</w:t>
      </w:r>
      <w:r>
        <w:rPr>
          <w:rFonts w:ascii="Arial" w:cs="Arial" w:eastAsia="Arial" w:hAnsi="Arial"/>
          <w:sz w:val="17"/>
          <w:szCs w:val="17"/>
          <w:color w:val="auto"/>
        </w:rPr>
        <w:t xml:space="preserve">”), and (b) a portion of the Project containing approximately 17,045 RSF, as determined by Landlord, as shown on </w:t>
      </w:r>
      <w:r>
        <w:rPr>
          <w:rFonts w:ascii="Arial" w:cs="Arial" w:eastAsia="Arial" w:hAnsi="Arial"/>
          <w:sz w:val="17"/>
          <w:szCs w:val="17"/>
          <w:b w:val="1"/>
          <w:bCs w:val="1"/>
          <w:u w:val="single" w:color="auto"/>
          <w:color w:val="auto"/>
        </w:rPr>
        <w:t>Exhibit A-2</w:t>
      </w:r>
      <w:r>
        <w:rPr>
          <w:rFonts w:ascii="Arial" w:cs="Arial" w:eastAsia="Arial" w:hAnsi="Arial"/>
          <w:sz w:val="17"/>
          <w:szCs w:val="17"/>
          <w:color w:val="auto"/>
        </w:rPr>
        <w:t xml:space="preserve">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2" w:lineRule="exact"/>
        <w:rPr>
          <w:sz w:val="20"/>
          <w:szCs w:val="20"/>
          <w:color w:val="auto"/>
        </w:rPr>
      </w:pPr>
    </w:p>
    <w:p>
      <w:pPr>
        <w:ind w:left="940" w:right="940" w:hanging="943"/>
        <w:spacing w:after="0" w:line="297" w:lineRule="auto"/>
        <w:tabs>
          <w:tab w:leader="none" w:pos="920" w:val="left"/>
        </w:tabs>
        <w:rPr>
          <w:sz w:val="20"/>
          <w:szCs w:val="20"/>
          <w:color w:val="auto"/>
        </w:rPr>
      </w:pPr>
      <w:r>
        <w:rPr>
          <w:rFonts w:ascii="Arial" w:cs="Arial" w:eastAsia="Arial" w:hAnsi="Arial"/>
          <w:sz w:val="17"/>
          <w:szCs w:val="17"/>
          <w:b w:val="1"/>
          <w:bCs w:val="1"/>
          <w:color w:val="auto"/>
        </w:rPr>
        <w:t>Project:</w:t>
      </w:r>
      <w:r>
        <w:rPr>
          <w:sz w:val="20"/>
          <w:szCs w:val="20"/>
          <w:color w:val="auto"/>
        </w:rPr>
        <w:tab/>
      </w:r>
      <w:r>
        <w:rPr>
          <w:rFonts w:ascii="Arial" w:cs="Arial" w:eastAsia="Arial" w:hAnsi="Arial"/>
          <w:sz w:val="17"/>
          <w:szCs w:val="17"/>
          <w:color w:val="auto"/>
        </w:rPr>
        <w:t>The real property on which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in which the Premises are located, together with all improvements thereon and appurtenances thereto as described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Rent: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Base Rent per</w:t>
            </w:r>
          </w:p>
        </w:tc>
        <w:tc>
          <w:tcPr>
            <w:tcW w:w="300" w:type="dxa"/>
            <w:vAlign w:val="bottom"/>
          </w:tcPr>
          <w:p>
            <w:pPr>
              <w:spacing w:after="0"/>
              <w:rPr>
                <w:sz w:val="14"/>
                <w:szCs w:val="14"/>
                <w:color w:val="auto"/>
              </w:rPr>
            </w:pPr>
          </w:p>
        </w:tc>
        <w:tc>
          <w:tcPr>
            <w:tcW w:w="2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Base Rent per RSF per Month</w:t>
            </w:r>
          </w:p>
        </w:tc>
        <w:tc>
          <w:tcPr>
            <w:tcW w:w="0" w:type="dxa"/>
            <w:vAlign w:val="bottom"/>
          </w:tcPr>
          <w:p>
            <w:pPr>
              <w:spacing w:after="0"/>
              <w:rPr>
                <w:sz w:val="1"/>
                <w:szCs w:val="1"/>
                <w:color w:val="auto"/>
              </w:rPr>
            </w:pPr>
          </w:p>
        </w:tc>
      </w:tr>
      <w:tr>
        <w:trPr>
          <w:trHeight w:val="167"/>
        </w:trPr>
        <w:tc>
          <w:tcPr>
            <w:tcW w:w="5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Month</w:t>
            </w:r>
          </w:p>
        </w:tc>
        <w:tc>
          <w:tcPr>
            <w:tcW w:w="3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April 1,2010 – April 30, 2010</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jc w:val="center"/>
              <w:spacing w:after="0"/>
              <w:rPr>
                <w:sz w:val="20"/>
                <w:szCs w:val="20"/>
                <w:color w:val="auto"/>
              </w:rPr>
            </w:pPr>
            <w:r>
              <w:rPr>
                <w:rFonts w:ascii="Arial" w:cs="Arial" w:eastAsia="Arial" w:hAnsi="Arial"/>
                <w:sz w:val="17"/>
                <w:szCs w:val="17"/>
                <w:color w:val="auto"/>
                <w:w w:val="93"/>
              </w:rPr>
              <w:t>May 1,2010 – July 11, 2011</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17,205.24</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July 12,2011- April 30, 2012</w:t>
            </w:r>
          </w:p>
        </w:tc>
        <w:tc>
          <w:tcPr>
            <w:tcW w:w="840" w:type="dxa"/>
            <w:vAlign w:val="bottom"/>
            <w:gridSpan w:val="2"/>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63,943.74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2"/>
        </w:trPr>
        <w:tc>
          <w:tcPr>
            <w:tcW w:w="5040" w:type="dxa"/>
            <w:vAlign w:val="bottom"/>
          </w:tcPr>
          <w:p>
            <w:pPr>
              <w:jc w:val="center"/>
              <w:spacing w:after="0"/>
              <w:rPr>
                <w:sz w:val="20"/>
                <w:szCs w:val="20"/>
                <w:color w:val="auto"/>
              </w:rPr>
            </w:pPr>
            <w:r>
              <w:rPr>
                <w:rFonts w:ascii="Arial" w:cs="Arial" w:eastAsia="Arial" w:hAnsi="Arial"/>
                <w:sz w:val="17"/>
                <w:szCs w:val="17"/>
                <w:color w:val="auto"/>
                <w:w w:val="94"/>
              </w:rPr>
              <w:t>May 1, 2012 – Expiration of the Base Term</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68,751.54</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Premises: </w:t>
      </w:r>
      <w:r>
        <w:rPr>
          <w:rFonts w:ascii="Arial" w:cs="Arial" w:eastAsia="Arial" w:hAnsi="Arial"/>
          <w:sz w:val="17"/>
          <w:szCs w:val="17"/>
          <w:color w:val="auto"/>
        </w:rPr>
        <w:t>24,039 RSF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Project: </w:t>
      </w:r>
      <w:r>
        <w:rPr>
          <w:rFonts w:ascii="Arial" w:cs="Arial" w:eastAsia="Arial" w:hAnsi="Arial"/>
          <w:sz w:val="17"/>
          <w:szCs w:val="17"/>
          <w:color w:val="auto"/>
        </w:rPr>
        <w:t>136,691 RSF</w:t>
      </w:r>
    </w:p>
    <w:p>
      <w:pPr>
        <w:spacing w:after="0" w:line="224" w:lineRule="exact"/>
        <w:rPr>
          <w:sz w:val="20"/>
          <w:szCs w:val="20"/>
          <w:color w:val="auto"/>
        </w:rPr>
      </w:pPr>
    </w:p>
    <w:p>
      <w:pPr>
        <w:spacing w:after="0"/>
        <w:tabs>
          <w:tab w:leader="none" w:pos="3160" w:val="left"/>
        </w:tabs>
        <w:rPr>
          <w:sz w:val="20"/>
          <w:szCs w:val="20"/>
          <w:color w:val="auto"/>
        </w:rPr>
      </w:pPr>
      <w:r>
        <w:rPr>
          <w:rFonts w:ascii="Arial" w:cs="Arial" w:eastAsia="Arial" w:hAnsi="Arial"/>
          <w:sz w:val="17"/>
          <w:szCs w:val="17"/>
          <w:b w:val="1"/>
          <w:bCs w:val="1"/>
          <w:color w:val="auto"/>
        </w:rPr>
        <w:t>Tenant’s Share of Operating Expenses:</w:t>
      </w:r>
      <w:r>
        <w:rPr>
          <w:sz w:val="20"/>
          <w:szCs w:val="20"/>
          <w:color w:val="auto"/>
        </w:rPr>
        <w:tab/>
      </w:r>
      <w:r>
        <w:rPr>
          <w:rFonts w:ascii="Arial" w:cs="Arial" w:eastAsia="Arial" w:hAnsi="Arial"/>
          <w:sz w:val="15"/>
          <w:szCs w:val="15"/>
          <w:color w:val="auto"/>
        </w:rPr>
        <w:t>5.12% as to the Current Premises and 12.47% as to the Expansion Premises, collectively 17.59%</w:t>
      </w:r>
    </w:p>
    <w:p>
      <w:pPr>
        <w:spacing w:after="0" w:line="224"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Security Deposit:</w:t>
      </w:r>
      <w:r>
        <w:rPr>
          <w:sz w:val="20"/>
          <w:szCs w:val="20"/>
          <w:color w:val="auto"/>
        </w:rPr>
        <w:tab/>
      </w:r>
      <w:r>
        <w:rPr>
          <w:rFonts w:ascii="Arial" w:cs="Arial" w:eastAsia="Arial" w:hAnsi="Arial"/>
          <w:sz w:val="15"/>
          <w:szCs w:val="15"/>
          <w:color w:val="auto"/>
        </w:rPr>
        <w:t>$34,270.60, until January 1, 2011, at which time, the amount shall increase to $117,791.10 (the “</w:t>
      </w:r>
      <w:r>
        <w:rPr>
          <w:rFonts w:ascii="Arial" w:cs="Arial" w:eastAsia="Arial" w:hAnsi="Arial"/>
          <w:sz w:val="15"/>
          <w:szCs w:val="15"/>
          <w:b w:val="1"/>
          <w:bCs w:val="1"/>
          <w:color w:val="auto"/>
        </w:rPr>
        <w:t>Increased Security Deposit Amount</w:t>
      </w:r>
      <w:r>
        <w:rPr>
          <w:rFonts w:ascii="Arial" w:cs="Arial" w:eastAsia="Arial" w:hAnsi="Arial"/>
          <w:sz w:val="15"/>
          <w:szCs w:val="15"/>
          <w:color w:val="auto"/>
        </w:rPr>
        <w:t>”)</w:t>
      </w:r>
    </w:p>
    <w:p>
      <w:pPr>
        <w:spacing w:after="0" w:line="224" w:lineRule="exact"/>
        <w:rPr>
          <w:sz w:val="20"/>
          <w:szCs w:val="20"/>
          <w:color w:val="auto"/>
        </w:rPr>
      </w:pPr>
    </w:p>
    <w:p>
      <w:pPr>
        <w:ind w:left="1120" w:right="260" w:hanging="1132"/>
        <w:spacing w:after="0" w:line="360" w:lineRule="auto"/>
        <w:tabs>
          <w:tab w:leader="none" w:pos="1100" w:val="left"/>
        </w:tabs>
        <w:rPr>
          <w:sz w:val="20"/>
          <w:szCs w:val="20"/>
          <w:color w:val="auto"/>
        </w:rPr>
      </w:pPr>
      <w:r>
        <w:rPr>
          <w:rFonts w:ascii="Arial" w:cs="Arial" w:eastAsia="Arial" w:hAnsi="Arial"/>
          <w:sz w:val="17"/>
          <w:szCs w:val="17"/>
          <w:b w:val="1"/>
          <w:bCs w:val="1"/>
          <w:color w:val="auto"/>
        </w:rPr>
        <w:t>Base Term:</w:t>
      </w:r>
      <w:r>
        <w:rPr>
          <w:sz w:val="20"/>
          <w:szCs w:val="20"/>
          <w:color w:val="auto"/>
        </w:rPr>
        <w:tab/>
      </w:r>
      <w:r>
        <w:rPr>
          <w:rFonts w:ascii="Arial" w:cs="Arial" w:eastAsia="Arial" w:hAnsi="Arial"/>
          <w:sz w:val="15"/>
          <w:szCs w:val="15"/>
          <w:color w:val="auto"/>
        </w:rPr>
        <w:t xml:space="preserve">A term beginning on the first to occur of the Current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or the Expansion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and ending March 31, 2013 (as may be adjusted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below).</w:t>
      </w:r>
    </w:p>
    <w:p>
      <w:pPr>
        <w:spacing w:after="0" w:line="112" w:lineRule="exact"/>
        <w:rPr>
          <w:sz w:val="20"/>
          <w:szCs w:val="20"/>
          <w:color w:val="auto"/>
        </w:rPr>
      </w:pPr>
    </w:p>
    <w:p>
      <w:pPr>
        <w:ind w:left="1200" w:right="760" w:hanging="1194"/>
        <w:spacing w:after="0" w:line="297" w:lineRule="auto"/>
        <w:rPr>
          <w:sz w:val="20"/>
          <w:szCs w:val="20"/>
          <w:color w:val="auto"/>
        </w:rPr>
      </w:pPr>
      <w:r>
        <w:rPr>
          <w:rFonts w:ascii="Arial" w:cs="Arial" w:eastAsia="Arial" w:hAnsi="Arial"/>
          <w:sz w:val="17"/>
          <w:szCs w:val="17"/>
          <w:b w:val="1"/>
          <w:bCs w:val="1"/>
          <w:color w:val="auto"/>
        </w:rPr>
        <w:t xml:space="preserve">Permitted Use: </w:t>
      </w:r>
      <w:r>
        <w:rPr>
          <w:rFonts w:ascii="Arial" w:cs="Arial" w:eastAsia="Arial" w:hAnsi="Arial"/>
          <w:sz w:val="17"/>
          <w:szCs w:val="17"/>
          <w:color w:val="auto"/>
        </w:rPr>
        <w:t>Research and development laboratory, related office and other related uses consistent with the character of the Project and otherwise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compliance with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ectPr>
          <w:pgSz w:w="11900" w:h="16869" w:orient="portrait"/>
          <w:cols w:equalWidth="0" w:num="1">
            <w:col w:w="11420"/>
          </w:cols>
          <w:pgMar w:left="240" w:top="357" w:right="239" w:bottom="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Rent Payment: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P.O. Box 51783</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Los Angeles, CA 90051-6083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Landlord’s Notice Address: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385 E. Colorado Boulevard, Suite 299</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Pasadena, CA 91101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ectPr>
          <w:pgSz w:w="11900" w:h="16869" w:orient="portrait"/>
          <w:cols w:equalWidth="0" w:num="2">
            <w:col w:w="3880" w:space="720"/>
            <w:col w:w="6820"/>
          </w:cols>
          <w:pgMar w:left="240" w:top="357" w:right="23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Tenant’s Notice Address: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w:t>
      </w:r>
    </w:p>
    <w:p>
      <w:pPr>
        <w:sectPr>
          <w:pgSz w:w="11900" w:h="16869" w:orient="portrait"/>
          <w:cols w:equalWidth="0" w:num="1">
            <w:col w:w="11420"/>
          </w:cols>
          <w:pgMar w:left="240" w:top="357" w:right="239" w:bottom="0" w:gutter="0" w:footer="0" w:header="0"/>
          <w:type w:val="continuous"/>
        </w:sectPr>
      </w:pPr>
    </w:p>
    <w:bookmarkStart w:id="252" w:name="page253"/>
    <w:bookmarkEnd w:id="252"/>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and Addenda are attached hereto and incorporated herein by this reference:</w:t>
      </w:r>
    </w:p>
    <w:p>
      <w:pPr>
        <w:spacing w:after="0" w:line="218" w:lineRule="exact"/>
        <w:rPr>
          <w:sz w:val="20"/>
          <w:szCs w:val="20"/>
          <w:color w:val="auto"/>
        </w:rPr>
      </w:pPr>
    </w:p>
    <w:p>
      <w:pPr>
        <w:ind w:left="460" w:hanging="455"/>
        <w:spacing w:after="0"/>
        <w:tabs>
          <w:tab w:leader="none" w:pos="460" w:val="left"/>
        </w:tabs>
        <w:numPr>
          <w:ilvl w:val="0"/>
          <w:numId w:val="298"/>
        </w:numPr>
        <w:rPr>
          <w:rFonts w:ascii="Arial" w:cs="Arial" w:eastAsia="Arial" w:hAnsi="Arial"/>
          <w:sz w:val="17"/>
          <w:szCs w:val="17"/>
          <w:color w:val="auto"/>
        </w:rPr>
      </w:pPr>
      <w:r>
        <w:rPr>
          <w:rFonts w:ascii="Arial" w:cs="Arial" w:eastAsia="Arial" w:hAnsi="Arial"/>
          <w:sz w:val="17"/>
          <w:szCs w:val="17"/>
          <w:b w:val="1"/>
          <w:bCs w:val="1"/>
          <w:color w:val="auto"/>
        </w:rPr>
        <w:t>EXHIBIT A-1 –</w:t>
      </w:r>
      <w:r>
        <w:rPr>
          <w:rFonts w:ascii="Arial" w:cs="Arial" w:eastAsia="Arial" w:hAnsi="Arial"/>
          <w:sz w:val="16"/>
          <w:szCs w:val="16"/>
          <w:color w:val="auto"/>
        </w:rPr>
        <w:t>CURRENT PREMISES DESCRIPTION</w:t>
      </w:r>
    </w:p>
    <w:p>
      <w:pPr>
        <w:spacing w:after="0" w:line="32" w:lineRule="exact"/>
        <w:rPr>
          <w:rFonts w:ascii="Arial" w:cs="Arial" w:eastAsia="Arial" w:hAnsi="Arial"/>
          <w:sz w:val="17"/>
          <w:szCs w:val="17"/>
          <w:color w:val="auto"/>
        </w:rPr>
      </w:pPr>
    </w:p>
    <w:p>
      <w:pPr>
        <w:ind w:left="460" w:hanging="455"/>
        <w:spacing w:after="0"/>
        <w:tabs>
          <w:tab w:leader="none" w:pos="460" w:val="left"/>
        </w:tabs>
        <w:numPr>
          <w:ilvl w:val="0"/>
          <w:numId w:val="298"/>
        </w:numPr>
        <w:rPr>
          <w:rFonts w:ascii="Arial" w:cs="Arial" w:eastAsia="Arial" w:hAnsi="Arial"/>
          <w:sz w:val="17"/>
          <w:szCs w:val="17"/>
          <w:color w:val="auto"/>
        </w:rPr>
      </w:pPr>
      <w:r>
        <w:rPr>
          <w:rFonts w:ascii="Arial" w:cs="Arial" w:eastAsia="Arial" w:hAnsi="Arial"/>
          <w:sz w:val="17"/>
          <w:szCs w:val="17"/>
          <w:b w:val="1"/>
          <w:bCs w:val="1"/>
          <w:color w:val="auto"/>
        </w:rPr>
        <w:t>EXHIBIT A-2 –</w:t>
      </w:r>
      <w:r>
        <w:rPr>
          <w:rFonts w:ascii="Arial" w:cs="Arial" w:eastAsia="Arial" w:hAnsi="Arial"/>
          <w:sz w:val="16"/>
          <w:szCs w:val="16"/>
          <w:color w:val="auto"/>
        </w:rPr>
        <w:t>EXPANSION PREMISES DESCRIPTION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98"/>
        </w:numPr>
        <w:rPr>
          <w:rFonts w:ascii="Arial" w:cs="Arial" w:eastAsia="Arial" w:hAnsi="Arial"/>
          <w:sz w:val="17"/>
          <w:szCs w:val="17"/>
          <w:color w:val="auto"/>
        </w:rPr>
      </w:pPr>
      <w:r>
        <w:rPr>
          <w:rFonts w:ascii="Arial" w:cs="Arial" w:eastAsia="Arial" w:hAnsi="Arial"/>
          <w:sz w:val="17"/>
          <w:szCs w:val="17"/>
          <w:b w:val="1"/>
          <w:bCs w:val="1"/>
          <w:color w:val="auto"/>
        </w:rPr>
        <w:t>EXHIBIT B –</w:t>
      </w:r>
      <w:r>
        <w:rPr>
          <w:rFonts w:ascii="Arial" w:cs="Arial" w:eastAsia="Arial" w:hAnsi="Arial"/>
          <w:sz w:val="16"/>
          <w:szCs w:val="16"/>
          <w:color w:val="auto"/>
        </w:rPr>
        <w:t>DESCRIPTION OF PROJECT</w:t>
      </w:r>
    </w:p>
    <w:p>
      <w:pPr>
        <w:spacing w:after="0" w:line="14" w:lineRule="exact"/>
        <w:rPr>
          <w:sz w:val="20"/>
          <w:szCs w:val="20"/>
          <w:color w:val="auto"/>
        </w:rPr>
      </w:pPr>
    </w:p>
    <w:p>
      <w:pPr>
        <w:spacing w:after="0"/>
        <w:tabs>
          <w:tab w:leader="none" w:pos="440" w:val="left"/>
          <w:tab w:leader="none" w:pos="206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b w:val="1"/>
          <w:bCs w:val="1"/>
          <w:color w:val="auto"/>
        </w:rPr>
        <w:t>EXHIBIT C –</w:t>
      </w:r>
      <w:r>
        <w:rPr>
          <w:sz w:val="20"/>
          <w:szCs w:val="20"/>
          <w:color w:val="auto"/>
        </w:rPr>
        <w:tab/>
      </w:r>
      <w:r>
        <w:rPr>
          <w:rFonts w:ascii="Arial" w:cs="Arial" w:eastAsia="Arial" w:hAnsi="Arial"/>
          <w:sz w:val="16"/>
          <w:szCs w:val="16"/>
          <w:color w:val="auto"/>
        </w:rPr>
        <w:t>WORK LETTER</w:t>
      </w:r>
    </w:p>
    <w:p>
      <w:pPr>
        <w:spacing w:after="0" w:line="14" w:lineRule="exact"/>
        <w:rPr>
          <w:sz w:val="20"/>
          <w:szCs w:val="20"/>
          <w:color w:val="auto"/>
        </w:rPr>
      </w:pPr>
    </w:p>
    <w:p>
      <w:pPr>
        <w:ind w:left="460" w:hanging="455"/>
        <w:spacing w:after="0"/>
        <w:tabs>
          <w:tab w:leader="none" w:pos="460" w:val="left"/>
        </w:tabs>
        <w:numPr>
          <w:ilvl w:val="0"/>
          <w:numId w:val="299"/>
        </w:numPr>
        <w:rPr>
          <w:rFonts w:ascii="Arial" w:cs="Arial" w:eastAsia="Arial" w:hAnsi="Arial"/>
          <w:sz w:val="17"/>
          <w:szCs w:val="17"/>
          <w:color w:val="auto"/>
        </w:rPr>
      </w:pPr>
      <w:r>
        <w:rPr>
          <w:rFonts w:ascii="Arial" w:cs="Arial" w:eastAsia="Arial" w:hAnsi="Arial"/>
          <w:sz w:val="17"/>
          <w:szCs w:val="17"/>
          <w:b w:val="1"/>
          <w:bCs w:val="1"/>
          <w:color w:val="auto"/>
        </w:rPr>
        <w:t>EXHIBIT D –</w:t>
      </w:r>
      <w:r>
        <w:rPr>
          <w:rFonts w:ascii="Arial" w:cs="Arial" w:eastAsia="Arial" w:hAnsi="Arial"/>
          <w:sz w:val="17"/>
          <w:szCs w:val="17"/>
          <w:color w:val="auto"/>
        </w:rPr>
        <w:t>ACKNOWLEDGEMENT OF COMMENCEMENT DATE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99"/>
        </w:numPr>
        <w:rPr>
          <w:rFonts w:ascii="Arial" w:cs="Arial" w:eastAsia="Arial" w:hAnsi="Arial"/>
          <w:sz w:val="17"/>
          <w:szCs w:val="17"/>
          <w:color w:val="auto"/>
        </w:rPr>
      </w:pPr>
      <w:r>
        <w:rPr>
          <w:rFonts w:ascii="Arial" w:cs="Arial" w:eastAsia="Arial" w:hAnsi="Arial"/>
          <w:sz w:val="17"/>
          <w:szCs w:val="17"/>
          <w:b w:val="1"/>
          <w:bCs w:val="1"/>
          <w:color w:val="auto"/>
        </w:rPr>
        <w:t>EXHIBIT E –</w:t>
      </w:r>
      <w:r>
        <w:rPr>
          <w:rFonts w:ascii="Arial" w:cs="Arial" w:eastAsia="Arial" w:hAnsi="Arial"/>
          <w:sz w:val="16"/>
          <w:szCs w:val="16"/>
          <w:color w:val="auto"/>
        </w:rPr>
        <w:t>RULES AND REGULATIONS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99"/>
        </w:numPr>
        <w:rPr>
          <w:rFonts w:ascii="Arial" w:cs="Arial" w:eastAsia="Arial" w:hAnsi="Arial"/>
          <w:sz w:val="17"/>
          <w:szCs w:val="17"/>
          <w:color w:val="auto"/>
        </w:rPr>
      </w:pPr>
      <w:r>
        <w:rPr>
          <w:rFonts w:ascii="Arial" w:cs="Arial" w:eastAsia="Arial" w:hAnsi="Arial"/>
          <w:sz w:val="17"/>
          <w:szCs w:val="17"/>
          <w:b w:val="1"/>
          <w:bCs w:val="1"/>
          <w:color w:val="auto"/>
        </w:rPr>
        <w:t>EXHIBIT F –</w:t>
      </w:r>
      <w:r>
        <w:rPr>
          <w:rFonts w:ascii="Arial" w:cs="Arial" w:eastAsia="Arial" w:hAnsi="Arial"/>
          <w:sz w:val="16"/>
          <w:szCs w:val="16"/>
          <w:color w:val="auto"/>
        </w:rPr>
        <w:t>TENANT’S PERSONAL PROPERTY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99"/>
        </w:numPr>
        <w:rPr>
          <w:rFonts w:ascii="Arial" w:cs="Arial" w:eastAsia="Arial" w:hAnsi="Arial"/>
          <w:sz w:val="17"/>
          <w:szCs w:val="17"/>
          <w:color w:val="auto"/>
        </w:rPr>
      </w:pPr>
      <w:r>
        <w:rPr>
          <w:rFonts w:ascii="Arial" w:cs="Arial" w:eastAsia="Arial" w:hAnsi="Arial"/>
          <w:sz w:val="17"/>
          <w:szCs w:val="17"/>
          <w:b w:val="1"/>
          <w:bCs w:val="1"/>
          <w:color w:val="auto"/>
        </w:rPr>
        <w:t>EXHIBIT G –</w:t>
      </w:r>
      <w:r>
        <w:rPr>
          <w:rFonts w:ascii="Arial" w:cs="Arial" w:eastAsia="Arial" w:hAnsi="Arial"/>
          <w:sz w:val="16"/>
          <w:szCs w:val="16"/>
          <w:color w:val="auto"/>
        </w:rPr>
        <w:t>LANDLORD’S PROPERTY</w:t>
      </w:r>
    </w:p>
    <w:p>
      <w:pPr>
        <w:spacing w:after="0" w:line="206" w:lineRule="exact"/>
        <w:rPr>
          <w:rFonts w:ascii="Arial" w:cs="Arial" w:eastAsia="Arial" w:hAnsi="Arial"/>
          <w:sz w:val="17"/>
          <w:szCs w:val="17"/>
          <w:color w:val="auto"/>
        </w:rPr>
      </w:pPr>
    </w:p>
    <w:p>
      <w:pPr>
        <w:ind w:right="20" w:firstLine="760"/>
        <w:spacing w:after="0" w:line="277" w:lineRule="auto"/>
        <w:tabs>
          <w:tab w:leader="none" w:pos="1253" w:val="left"/>
        </w:tabs>
        <w:numPr>
          <w:ilvl w:val="1"/>
          <w:numId w:val="299"/>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leases the Premises from Landlord. The portions of the Project which are for the non-exclusive use of tenants of the Project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Landlord reserves the right to modify Common Areas,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provided that such modifications do not materially adversely affect Tenant’s use of the Premises for the Permitted Use and provided that such modifications do not materially increase the obligations or materially decrease the rights of Tenant under this Lease.</w:t>
      </w:r>
    </w:p>
    <w:p>
      <w:pPr>
        <w:spacing w:after="0" w:line="152" w:lineRule="exact"/>
        <w:rPr>
          <w:sz w:val="20"/>
          <w:szCs w:val="20"/>
          <w:color w:val="auto"/>
        </w:rPr>
      </w:pPr>
    </w:p>
    <w:p>
      <w:pPr>
        <w:ind w:left="1260" w:hanging="626"/>
        <w:spacing w:after="0"/>
        <w:tabs>
          <w:tab w:leader="none" w:pos="1260" w:val="left"/>
        </w:tabs>
        <w:numPr>
          <w:ilvl w:val="0"/>
          <w:numId w:val="300"/>
        </w:numPr>
        <w:rPr>
          <w:rFonts w:ascii="Arial" w:cs="Arial" w:eastAsia="Arial" w:hAnsi="Arial"/>
          <w:sz w:val="17"/>
          <w:szCs w:val="17"/>
          <w:color w:val="auto"/>
        </w:rPr>
      </w:pPr>
      <w:r>
        <w:rPr>
          <w:rFonts w:ascii="Arial" w:cs="Arial" w:eastAsia="Arial" w:hAnsi="Arial"/>
          <w:sz w:val="17"/>
          <w:szCs w:val="17"/>
          <w:b w:val="1"/>
          <w:bCs w:val="1"/>
          <w:color w:val="auto"/>
        </w:rPr>
        <w:t>Prior Lease; Commencement Date; Term; Acceptance of Premises</w:t>
      </w:r>
      <w:r>
        <w:rPr>
          <w:rFonts w:ascii="Arial" w:cs="Arial" w:eastAsia="Arial" w:hAnsi="Arial"/>
          <w:sz w:val="17"/>
          <w:szCs w:val="17"/>
          <w:color w:val="auto"/>
        </w:rPr>
        <w:t>.</w:t>
      </w:r>
    </w:p>
    <w:p>
      <w:pPr>
        <w:spacing w:after="0" w:line="224" w:lineRule="exact"/>
        <w:rPr>
          <w:sz w:val="20"/>
          <w:szCs w:val="20"/>
          <w:color w:val="auto"/>
        </w:rPr>
      </w:pPr>
    </w:p>
    <w:p>
      <w:pPr>
        <w:ind w:left="1260" w:hanging="626"/>
        <w:spacing w:after="0"/>
        <w:tabs>
          <w:tab w:leader="none" w:pos="1260" w:val="left"/>
        </w:tabs>
        <w:numPr>
          <w:ilvl w:val="0"/>
          <w:numId w:val="301"/>
        </w:numPr>
        <w:rPr>
          <w:rFonts w:ascii="Arial" w:cs="Arial" w:eastAsia="Arial" w:hAnsi="Arial"/>
          <w:sz w:val="17"/>
          <w:szCs w:val="17"/>
          <w:color w:val="auto"/>
        </w:rPr>
      </w:pPr>
      <w:r>
        <w:rPr>
          <w:rFonts w:ascii="Arial" w:cs="Arial" w:eastAsia="Arial" w:hAnsi="Arial"/>
          <w:sz w:val="17"/>
          <w:szCs w:val="17"/>
          <w:b w:val="1"/>
          <w:bCs w:val="1"/>
          <w:color w:val="auto"/>
        </w:rPr>
        <w:t>Prior Lease; Term</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firstLine="560"/>
        <w:spacing w:after="0" w:line="268" w:lineRule="auto"/>
        <w:tabs>
          <w:tab w:leader="none" w:pos="1922" w:val="left"/>
        </w:tabs>
        <w:numPr>
          <w:ilvl w:val="1"/>
          <w:numId w:val="301"/>
        </w:numPr>
        <w:rPr>
          <w:rFonts w:ascii="Arial" w:cs="Arial" w:eastAsia="Arial" w:hAnsi="Arial"/>
          <w:sz w:val="17"/>
          <w:szCs w:val="17"/>
          <w:color w:val="auto"/>
        </w:rPr>
      </w:pPr>
      <w:r>
        <w:rPr>
          <w:rFonts w:ascii="Arial" w:cs="Arial" w:eastAsia="Arial" w:hAnsi="Arial"/>
          <w:sz w:val="17"/>
          <w:szCs w:val="17"/>
          <w:color w:val="auto"/>
        </w:rPr>
        <w:t>Landlord and Tenant hereby acknowledge and agree that, as of the Lease Date (A) the Current Premises Consent Agreement contains the complete agreement between Landlord and Tenant with respect to the Current Premises, (B) the Expansion Premises Consent Agreement contains the complete agreement between Landlord and Tenant with respect to the Expansion Premises, and (C) both the Current Premises Consent Agreement and the Expansion Premises Consent Agreement are in full force and effect.</w:t>
      </w:r>
    </w:p>
    <w:p>
      <w:pPr>
        <w:spacing w:after="0" w:line="175" w:lineRule="exact"/>
        <w:rPr>
          <w:rFonts w:ascii="Arial" w:cs="Arial" w:eastAsia="Arial" w:hAnsi="Arial"/>
          <w:sz w:val="17"/>
          <w:szCs w:val="17"/>
          <w:color w:val="auto"/>
        </w:rPr>
      </w:pPr>
    </w:p>
    <w:p>
      <w:pPr>
        <w:ind w:left="640" w:right="120" w:firstLine="560"/>
        <w:spacing w:after="0" w:line="285" w:lineRule="auto"/>
        <w:tabs>
          <w:tab w:leader="none" w:pos="193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Tenant hereby certifies to Landlord (and its successors and assigns) that, as of the Lease Date except as granted herein, (A) Tenant has no right, title, or interest in or to the Premises or the Project other than as a sublessee of the Current Premises under the Nodality Sublease and as a sublessee of the Expansion Premises under the Poniard Sublease, (B) Tenant has no option, right of first refusal, right of first offer, or other right to acquire or purchase all or any portion of, or interest in, the Premises or the Project and (C) Tenant is not currently subletting any portion of the Premises to any sublessee nor has it assigned any portion of the Nodality Sublease or the Poniard Sublease to any assignee.</w:t>
      </w:r>
    </w:p>
    <w:p>
      <w:pPr>
        <w:spacing w:after="0" w:line="160" w:lineRule="exact"/>
        <w:rPr>
          <w:rFonts w:ascii="Arial" w:cs="Arial" w:eastAsia="Arial" w:hAnsi="Arial"/>
          <w:sz w:val="16"/>
          <w:szCs w:val="16"/>
          <w:color w:val="auto"/>
        </w:rPr>
      </w:pPr>
    </w:p>
    <w:p>
      <w:pPr>
        <w:ind w:left="640" w:right="40" w:firstLine="560"/>
        <w:spacing w:after="0" w:line="277" w:lineRule="auto"/>
        <w:tabs>
          <w:tab w:leader="none" w:pos="194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Current Premises Commencement Date</w:t>
      </w:r>
      <w:r>
        <w:rPr>
          <w:rFonts w:ascii="Arial" w:cs="Arial" w:eastAsia="Arial" w:hAnsi="Arial"/>
          <w:sz w:val="16"/>
          <w:szCs w:val="16"/>
          <w:color w:val="auto"/>
        </w:rPr>
        <w:t>” shall be the earlier to occur of (i) April 1, 2010 and (ii) the termination of the Nodality Lease.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xml:space="preserve">” shall be the earlier to occur of (x) July 12, 2011 and (y) the termination of the Poniard Lease. From time to time, upon request of Landlord, Tenant shall execute and deliver a written acknowledgment of the Current Premises Commencement Date, the Expansion Premises Commencement Date and the expiration date of the Term, or whichever of such dates have then been established, when such are established in the form of the “Acknowledgement of Commencement Date” attached to this Lease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in the Basic Lease Provisions and any Extension Term which Tenant may elect pursuant to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hereof. Notwithstanding anything to the contrary herein, (a) until the Current Premises Commencement Date, the “Premises” shall not include the Current Premises and Tenant’s Share of Operating Expenses shall not include the share allocated to the Current Premises and (b) until the Expansion Premises Commencement Date, the “Premises” shall not include the Expansion Premises and Tenant’s Share of Operating Expenses shall not include the share allocable to the Expansion Premises. Notwithstanding anything to the contrary in this Lease, if the Current Premises Commencement Date occurs before April 1, 2010 or the Expansion Premises Commencement Date occurs before July 12, 2011, Tenant shall not be required to pay rent under this Lease with respect to the Current Premises or the Expansion Premises, as applicable, for any period for which Tenant paid rent for the same under the Poniard Sublease or the Nodality Sublease, as applicable.</w:t>
      </w:r>
    </w:p>
    <w:p>
      <w:pPr>
        <w:spacing w:after="0" w:line="179" w:lineRule="exact"/>
        <w:rPr>
          <w:rFonts w:ascii="Arial" w:cs="Arial" w:eastAsia="Arial" w:hAnsi="Arial"/>
          <w:sz w:val="16"/>
          <w:szCs w:val="16"/>
          <w:color w:val="auto"/>
        </w:rPr>
      </w:pPr>
    </w:p>
    <w:p>
      <w:pPr>
        <w:ind w:left="640" w:right="40" w:firstLine="560"/>
        <w:spacing w:after="0" w:line="265" w:lineRule="auto"/>
        <w:tabs>
          <w:tab w:leader="none" w:pos="1917" w:val="left"/>
        </w:tabs>
        <w:numPr>
          <w:ilvl w:val="1"/>
          <w:numId w:val="301"/>
        </w:numPr>
        <w:rPr>
          <w:rFonts w:ascii="Arial" w:cs="Arial" w:eastAsia="Arial" w:hAnsi="Arial"/>
          <w:sz w:val="17"/>
          <w:szCs w:val="17"/>
          <w:color w:val="auto"/>
        </w:rPr>
      </w:pPr>
      <w:r>
        <w:rPr>
          <w:rFonts w:ascii="Arial" w:cs="Arial" w:eastAsia="Arial" w:hAnsi="Arial"/>
          <w:sz w:val="17"/>
          <w:szCs w:val="17"/>
          <w:color w:val="auto"/>
        </w:rPr>
        <w:t>As of the Current Premises Commencement Date, the Nodality Sublease and the Current Premises Consent Agreement shall expire and be of no further force or effect. As of the Expansion Premises Commencement Date, the Poniard Sublease and the Expansion Premises Consent Agreement shall expire and be of no further force or effect. Landlord may terminate the Nodality Lease prior to the natural expiration thereof, on terms and conditions acceptable to Landlord in its sole and absolute discretion. Landlord may terminate the Poniard Lease prior to the natural expiration thereof, on terms and conditions acceptable to Landlord in its sole and absolute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firstLine="566"/>
        <w:spacing w:after="0" w:line="262" w:lineRule="auto"/>
        <w:rPr>
          <w:sz w:val="20"/>
          <w:szCs w:val="20"/>
          <w:color w:val="auto"/>
        </w:rPr>
      </w:pPr>
      <w:r>
        <w:rPr>
          <w:rFonts w:ascii="Arial" w:cs="Arial" w:eastAsia="Arial" w:hAnsi="Arial"/>
          <w:sz w:val="17"/>
          <w:szCs w:val="17"/>
          <w:color w:val="auto"/>
        </w:rPr>
        <w:t>Upon the expiration or earlier termination of the Nodality Lease, Tenant shall have no other right, title, or interest, of any kind, direct or indirect, in any portion of the Current Premises, except as expressly provided in this Lease. All obligations of the parties under the Current Premises Consent Agreement which are by their terms intended to survive the termination of the Nodality Lease, the Nodality Sublease and the Current Premises Consent Agreement (including, without limitation, indemnity obligations and obligations concerning the condition and repair of the Current Premises and/or the Project) (the “</w:t>
      </w:r>
      <w:r>
        <w:rPr>
          <w:rFonts w:ascii="Arial" w:cs="Arial" w:eastAsia="Arial" w:hAnsi="Arial"/>
          <w:sz w:val="17"/>
          <w:szCs w:val="17"/>
          <w:b w:val="1"/>
          <w:bCs w:val="1"/>
          <w:color w:val="auto"/>
        </w:rPr>
        <w:t>Nodality Prior Lease Obligations</w:t>
      </w:r>
      <w:r>
        <w:rPr>
          <w:rFonts w:ascii="Arial" w:cs="Arial" w:eastAsia="Arial" w:hAnsi="Arial"/>
          <w:sz w:val="17"/>
          <w:szCs w:val="17"/>
          <w:color w:val="auto"/>
        </w:rPr>
        <w:t>”) shall survive such termination of the Nodality Lease, the Nodality Sublease and the Current Premises Consent Agreement for the benefit of Landlord (and its successors and assigns) and Tenant. Landlord hereby reserves all rights and claims that Landlord may have against Tenant for any such Nodality Prior Lease Obligations.</w:t>
      </w:r>
    </w:p>
    <w:p>
      <w:pPr>
        <w:spacing w:after="0" w:line="184" w:lineRule="exact"/>
        <w:rPr>
          <w:sz w:val="20"/>
          <w:szCs w:val="20"/>
          <w:color w:val="auto"/>
        </w:rPr>
      </w:pPr>
    </w:p>
    <w:p>
      <w:pPr>
        <w:ind w:left="640" w:firstLine="566"/>
        <w:spacing w:after="0" w:line="308" w:lineRule="auto"/>
        <w:rPr>
          <w:sz w:val="20"/>
          <w:szCs w:val="20"/>
          <w:color w:val="auto"/>
        </w:rPr>
      </w:pPr>
      <w:r>
        <w:rPr>
          <w:rFonts w:ascii="Arial" w:cs="Arial" w:eastAsia="Arial" w:hAnsi="Arial"/>
          <w:sz w:val="15"/>
          <w:szCs w:val="15"/>
          <w:color w:val="auto"/>
        </w:rPr>
        <w:t>Upon the expiration or earlier termination of the Poniard Lease, Tenant shall have no other right, title, or interest, of any kind, direct or indirect, in any portion of the Expansion Premises, except as expressly provided in this Lease. All obligations of the parties under the Expansion Premises Consent Agreement which are by their terms intended to survive the termination of the Poniard Lease, the Poniard Sublease and the Expansion Premises Consent Agreement (including, without limitation, indemnity obligations and obligations concerning the condition and repair of the Expansion Premises and/or the Project) (the “</w:t>
      </w:r>
      <w:r>
        <w:rPr>
          <w:rFonts w:ascii="Arial" w:cs="Arial" w:eastAsia="Arial" w:hAnsi="Arial"/>
          <w:sz w:val="15"/>
          <w:szCs w:val="15"/>
          <w:b w:val="1"/>
          <w:bCs w:val="1"/>
          <w:color w:val="auto"/>
        </w:rPr>
        <w:t>Poniard Prior Lease Obligations</w:t>
      </w:r>
      <w:r>
        <w:rPr>
          <w:rFonts w:ascii="Arial" w:cs="Arial" w:eastAsia="Arial" w:hAnsi="Arial"/>
          <w:sz w:val="15"/>
          <w:szCs w:val="15"/>
          <w:color w:val="auto"/>
        </w:rPr>
        <w:t>”) shall survive such termination of the Poniard Lease, the Poniard Sublease and the Expansion</w:t>
      </w:r>
    </w:p>
    <w:p>
      <w:pPr>
        <w:sectPr>
          <w:pgSz w:w="11900" w:h="16878" w:orient="portrait"/>
          <w:cols w:equalWidth="0" w:num="1">
            <w:col w:w="11420"/>
          </w:cols>
          <w:pgMar w:left="240" w:top="128" w:right="239" w:bottom="0" w:gutter="0" w:footer="0" w:header="0"/>
        </w:sectPr>
      </w:pPr>
    </w:p>
    <w:bookmarkStart w:id="253" w:name="page254"/>
    <w:bookmarkEnd w:id="253"/>
    <w:p>
      <w:pPr>
        <w:ind w:left="640" w:right="120"/>
        <w:spacing w:after="0" w:line="289" w:lineRule="auto"/>
        <w:rPr>
          <w:sz w:val="20"/>
          <w:szCs w:val="20"/>
          <w:color w:val="auto"/>
        </w:rPr>
      </w:pPr>
      <w:r>
        <w:rPr>
          <w:rFonts w:ascii="Arial" w:cs="Arial" w:eastAsia="Arial" w:hAnsi="Arial"/>
          <w:sz w:val="17"/>
          <w:szCs w:val="17"/>
          <w:color w:val="auto"/>
        </w:rPr>
        <w:t>Premises Consent Agreement for the benefit of Landlord (and its successors and assigns) and Tenant. Landlord hereby reserves all rights and claims that Landlord may have against Tenant for any such Poniard Prior Lease Obligations.</w:t>
      </w:r>
    </w:p>
    <w:p>
      <w:pPr>
        <w:spacing w:after="0" w:line="158" w:lineRule="exact"/>
        <w:rPr>
          <w:sz w:val="20"/>
          <w:szCs w:val="20"/>
          <w:color w:val="auto"/>
        </w:rPr>
      </w:pPr>
    </w:p>
    <w:p>
      <w:pPr>
        <w:ind w:left="640" w:right="140" w:firstLine="566"/>
        <w:spacing w:after="0" w:line="268" w:lineRule="auto"/>
        <w:rPr>
          <w:sz w:val="20"/>
          <w:szCs w:val="20"/>
          <w:color w:val="auto"/>
        </w:rPr>
      </w:pPr>
      <w:r>
        <w:rPr>
          <w:rFonts w:ascii="Arial" w:cs="Arial" w:eastAsia="Arial" w:hAnsi="Arial"/>
          <w:sz w:val="17"/>
          <w:szCs w:val="17"/>
          <w:color w:val="auto"/>
        </w:rPr>
        <w:t>This Lease constitutes the complete agreement of Landlord and Tenant with respect to the subject matter hereof and supersedes any and all prior representations, inducements, promises, agreements, understandings, and negotiations that are not contained herein including, without limitation, the Nodality Lease, the Poniard Lease, the Nodality Sublease, the Poniard Sublease, the Current Premises Consent Agreement and the Expansion Premises Consent Agreement.</w:t>
      </w:r>
    </w:p>
    <w:p>
      <w:pPr>
        <w:spacing w:after="0" w:line="170" w:lineRule="exact"/>
        <w:rPr>
          <w:sz w:val="20"/>
          <w:szCs w:val="20"/>
          <w:color w:val="auto"/>
        </w:rPr>
      </w:pPr>
    </w:p>
    <w:p>
      <w:pPr>
        <w:ind w:firstLine="634"/>
        <w:spacing w:after="0" w:line="277" w:lineRule="auto"/>
        <w:tabs>
          <w:tab w:leader="none" w:pos="1266"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Acceptance of Premises</w:t>
      </w:r>
      <w:r>
        <w:rPr>
          <w:rFonts w:ascii="Arial" w:cs="Arial" w:eastAsia="Arial" w:hAnsi="Arial"/>
          <w:sz w:val="16"/>
          <w:szCs w:val="16"/>
          <w:color w:val="auto"/>
        </w:rPr>
        <w:t>. Tenant has been in possession of, and conducting business in, the Current Premises under the Nodality Sublease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expects to be in possession of the Expansion Premises under the Poniard Sublease as of the Lease Date, and intends to continue conducting business in the Premises, without interruption, from and after the Lease Date. Further, since (i) the Current Premises will not be empty and/or unoccupied at any time prior to the Current Premises Commencement Date and Landlord will have no opportunity to inspect, examine, and/or audit the Current Premises in order to establish the condition of the Current Premises as of the Current Premises Commencement Date, Landlord shall have no liability for any defects in the Current Premises (whether latent or. patent) and, except as set forth in the Work Letter, shall have no obligation to perform any work or to refurbish, finish, or otherwise alter the Current Premises in order to prepare the Current Premises for Tenant’s use or occupancy and (ii) the Expansion Premises will not be empty and/or unoccupied at any time prior to the Expansion Premises Commencement Date and Landlord will have no opportunity to inspect, examine, and/or audit the Expansion Premises in order to establish the condition of the Expansion Premises as of the Expansion Premises Commencement Date, Landlord shall have no liability for any defects in the Expansion Premises (whether latent or patent) and, except as set forth in the Work Letter, shall have no obligation to perform any work or to refurbish, finish, or otherwise alter the Expansion Premises in order to prepare the Expansion Premises for Tenant’s use or occupancy. As a result, as conclusively evidenced by Tenant’s execution and delivery of this Lease, Tenant accepts the Premises “as is”, in their condition as of the Lease Date, without any qualifications, restrictions, or limitations, subject to all applicable Legal Requirements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Landlord in executing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does so in reliance upon Tenant’s representations, warranties, acknowledgments and agreements contained herein.</w:t>
      </w:r>
    </w:p>
    <w:p>
      <w:pPr>
        <w:spacing w:after="0" w:line="224"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Notwithstanding anything to the contrary in this Lease, Landlord agrees that (a) Tenant’s continued occupancy of the Current Premises following the Current Premises Commencement Date or the Expansion Premises following the Expansion Premises Commencement Date, shall be pursuant to this Lease and shall not constitute a holdover under the Nodality Lease or Poniard Lease and (b) neither Nodality nor Poniard shall have any obligation to remove or restore any existing alterations in the Premises or to remove or restore Landlord’s Work.</w:t>
      </w:r>
    </w:p>
    <w:p>
      <w:pPr>
        <w:spacing w:after="0" w:line="17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If the Poniard Lease or the Nodality Lease has terminated due to a casualty or Taking (as hereinafter defined), such casualty or Taking shall be deemed to have occurred during the Term of this Lease and the rights and obligations of Landlord and Tenant with respect to this Lease shall be governed by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this Lease, as applicable.</w:t>
      </w:r>
    </w:p>
    <w:p>
      <w:pPr>
        <w:spacing w:after="0" w:line="172" w:lineRule="exact"/>
        <w:rPr>
          <w:sz w:val="20"/>
          <w:szCs w:val="20"/>
          <w:color w:val="auto"/>
        </w:rPr>
      </w:pPr>
    </w:p>
    <w:p>
      <w:pPr>
        <w:ind w:right="180" w:firstLine="629"/>
        <w:spacing w:after="0" w:line="295" w:lineRule="auto"/>
        <w:rPr>
          <w:sz w:val="20"/>
          <w:szCs w:val="20"/>
          <w:color w:val="auto"/>
        </w:rPr>
      </w:pPr>
      <w:r>
        <w:rPr>
          <w:rFonts w:ascii="Arial" w:cs="Arial" w:eastAsia="Arial" w:hAnsi="Arial"/>
          <w:sz w:val="15"/>
          <w:szCs w:val="15"/>
          <w:color w:val="auto"/>
        </w:rPr>
        <w:t>Subject to delays resulting from Force Majeure and Tenant Delay (as defined in the Work Letter), Landlord shall use reasonable efforts to cause Landlord’s Work to be Substantially Complete (as defined in the Work Letter) on or before the date which is 56 days after the Lease Date (“</w:t>
      </w:r>
      <w:r>
        <w:rPr>
          <w:rFonts w:ascii="Arial" w:cs="Arial" w:eastAsia="Arial" w:hAnsi="Arial"/>
          <w:sz w:val="15"/>
          <w:szCs w:val="15"/>
          <w:b w:val="1"/>
          <w:bCs w:val="1"/>
          <w:color w:val="auto"/>
        </w:rPr>
        <w:t>Target Completion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If Landlord fails to complete Landlord’s Work by the Target Completion Date, Landlord shall not be liable to Tenant for any loss or damage resulting</w:t>
      </w:r>
      <w:r>
        <w:rPr>
          <w:rFonts w:ascii="Arial" w:cs="Arial" w:eastAsia="Arial" w:hAnsi="Arial"/>
          <w:sz w:val="15"/>
          <w:szCs w:val="15"/>
          <w:b w:val="1"/>
          <w:bCs w:val="1"/>
          <w:color w:val="auto"/>
        </w:rPr>
        <w:t xml:space="preserve"> </w:t>
      </w:r>
      <w:r>
        <w:rPr>
          <w:rFonts w:ascii="Arial" w:cs="Arial" w:eastAsia="Arial" w:hAnsi="Arial"/>
          <w:sz w:val="15"/>
          <w:szCs w:val="15"/>
          <w:color w:val="auto"/>
        </w:rPr>
        <w:t>therefrom, and this Lease shall not be void or voidable. If Landlord fails to Substantially Complete Landlord’s Work by the date which is 70 days after the Lease Date (which date shall be extended for delays resulting from Force Majeure and Tenant Delay) (such date, as so extended, the “</w:t>
      </w:r>
      <w:r>
        <w:rPr>
          <w:rFonts w:ascii="Arial" w:cs="Arial" w:eastAsia="Arial" w:hAnsi="Arial"/>
          <w:sz w:val="15"/>
          <w:szCs w:val="15"/>
          <w:b w:val="1"/>
          <w:bCs w:val="1"/>
          <w:color w:val="auto"/>
        </w:rPr>
        <w:t>Outside Delivery Date</w:t>
      </w:r>
      <w:r>
        <w:rPr>
          <w:rFonts w:ascii="Arial" w:cs="Arial" w:eastAsia="Arial" w:hAnsi="Arial"/>
          <w:sz w:val="15"/>
          <w:szCs w:val="15"/>
          <w:color w:val="auto"/>
        </w:rPr>
        <w:t>”), then</w:t>
      </w:r>
    </w:p>
    <w:p>
      <w:pPr>
        <w:spacing w:after="0" w:line="1" w:lineRule="exact"/>
        <w:rPr>
          <w:sz w:val="20"/>
          <w:szCs w:val="20"/>
          <w:color w:val="auto"/>
        </w:rPr>
      </w:pPr>
    </w:p>
    <w:p>
      <w:pPr>
        <w:ind w:left="220" w:hanging="215"/>
        <w:spacing w:after="0"/>
        <w:tabs>
          <w:tab w:leader="none" w:pos="2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Base Rent under this Lease shall abate by one day for each day of delay in Substantial Completion of Landlord’s Work beyond the Outside Delivery Date and</w:t>
      </w:r>
    </w:p>
    <w:p>
      <w:pPr>
        <w:spacing w:after="0" w:line="25" w:lineRule="exact"/>
        <w:rPr>
          <w:rFonts w:ascii="Arial" w:cs="Arial" w:eastAsia="Arial" w:hAnsi="Arial"/>
          <w:sz w:val="16"/>
          <w:szCs w:val="16"/>
          <w:color w:val="auto"/>
        </w:rPr>
      </w:pPr>
    </w:p>
    <w:p>
      <w:pPr>
        <w:ind w:right="120" w:firstLine="5"/>
        <w:spacing w:after="0" w:line="261" w:lineRule="auto"/>
        <w:tabs>
          <w:tab w:leader="none" w:pos="25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Base Term shall be extended by one day for each day of delay in Substantial Completion of Landlord’s Work beyond the Outside Delivery Date. Landlord agrees to use reasonable efforts to perform Landlord’s Work in a manner which does not unreasonably interfere with Tenant’s use and enjoyment of the Premises under the Nodality Sublease and the Poniard Sublease. Without limiting the foregoing, Landlord agrees that it shall endeavor to schedule any utility interruptions related to the performance of Landlord’s Work on weekends and shall endeavor to provide Tenant with at least 5 business days prior notice of any such interruption; provided, however, that notwithstanding anything to the contrary contained herein, in no event shall Landlord have any obligation to incur any additional or overtime costs to complete Landlord’s Work.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contained herein, for the period of 60 consecutive days after (i) the Lease Date, as to the Current Premises and</w:t>
      </w:r>
    </w:p>
    <w:p>
      <w:pPr>
        <w:spacing w:after="0" w:line="38" w:lineRule="exact"/>
        <w:rPr>
          <w:sz w:val="20"/>
          <w:szCs w:val="20"/>
          <w:color w:val="auto"/>
        </w:rPr>
      </w:pPr>
    </w:p>
    <w:p>
      <w:pPr>
        <w:ind w:right="360" w:firstLine="5"/>
        <w:spacing w:after="0" w:line="266" w:lineRule="auto"/>
        <w:tabs>
          <w:tab w:leader="none" w:pos="25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Substantial Completion of Landlord’s Work, as to the Expansion Premises, Landlord shall, at its sole cost and expense (which shall not constitute an Operating Expense), be responsible for any repairs that are required to be made to the Building and Building Systems serving the Premises, unless Tenant was responsible for the cause of such repair, in which case Tenant shall pay the cost.</w:t>
      </w:r>
    </w:p>
    <w:p>
      <w:pPr>
        <w:spacing w:after="0" w:line="177"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Tenant shall have the right during the Term to use all the office furniture and equipment located within the Premises as of the date hereof that is owned by Landlord, as more specifically described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w:t>
      </w:r>
      <w:r>
        <w:rPr>
          <w:rFonts w:ascii="Arial" w:cs="Arial" w:eastAsia="Arial" w:hAnsi="Arial"/>
          <w:sz w:val="16"/>
          <w:szCs w:val="16"/>
          <w:b w:val="1"/>
          <w:bCs w:val="1"/>
          <w:color w:val="auto"/>
        </w:rPr>
        <w:t>Landlord’s Property</w:t>
      </w:r>
      <w:r>
        <w:rPr>
          <w:rFonts w:ascii="Arial" w:cs="Arial" w:eastAsia="Arial" w:hAnsi="Arial"/>
          <w:sz w:val="16"/>
          <w:szCs w:val="16"/>
          <w:color w:val="auto"/>
        </w:rPr>
        <w:t>”). Tenant shall accept Landlord’s Property in its “as is” condition as of the Lease Date and shall return all of Landlord’s Property located in the Premises as of the Lease Date to Landlord upon the expiration or earlier termination of this Lease in the same condition as received, ordinary wear and tear excepted; provided, however, Tenant shall have the right to remove the 3, 8-foot chemical fume hoods in the chemistry lab of the Premises (the “</w:t>
      </w:r>
      <w:r>
        <w:rPr>
          <w:rFonts w:ascii="Arial" w:cs="Arial" w:eastAsia="Arial" w:hAnsi="Arial"/>
          <w:sz w:val="16"/>
          <w:szCs w:val="16"/>
          <w:b w:val="1"/>
          <w:bCs w:val="1"/>
          <w:color w:val="auto"/>
        </w:rPr>
        <w:t>Existing Fume Hoods</w:t>
      </w:r>
      <w:r>
        <w:rPr>
          <w:rFonts w:ascii="Arial" w:cs="Arial" w:eastAsia="Arial" w:hAnsi="Arial"/>
          <w:sz w:val="16"/>
          <w:szCs w:val="16"/>
          <w:color w:val="auto"/>
        </w:rPr>
        <w:t>”) provided that (i) Tenant removes the Existing Fume Hoods in a manner reasonably calculated to avoid damage to both the Existing Fume Hoods and the Premises, (ii) Tenant delivers the Existing Fume Hoods to Landlord after removal and (iii) Tenant repairs any damage to the Premises caused by the removal of the Existing Fume Hoods.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305"/>
        </w:numPr>
        <w:rPr>
          <w:rFonts w:ascii="Arial" w:cs="Arial" w:eastAsia="Arial" w:hAnsi="Arial"/>
          <w:sz w:val="17"/>
          <w:szCs w:val="17"/>
          <w:color w:val="auto"/>
        </w:rPr>
      </w:pPr>
      <w:r>
        <w:rPr>
          <w:rFonts w:ascii="Arial" w:cs="Arial" w:eastAsia="Arial" w:hAnsi="Arial"/>
          <w:sz w:val="17"/>
          <w:szCs w:val="17"/>
          <w:b w:val="1"/>
          <w:bCs w:val="1"/>
          <w:color w:val="auto"/>
        </w:rPr>
        <w:t>Rent.</w:t>
      </w:r>
    </w:p>
    <w:p>
      <w:pPr>
        <w:spacing w:after="0" w:line="224" w:lineRule="exact"/>
        <w:rPr>
          <w:sz w:val="20"/>
          <w:szCs w:val="20"/>
          <w:color w:val="auto"/>
        </w:rPr>
      </w:pPr>
    </w:p>
    <w:p>
      <w:pPr>
        <w:ind w:right="60" w:firstLine="634"/>
        <w:spacing w:after="0" w:line="311" w:lineRule="auto"/>
        <w:tabs>
          <w:tab w:leader="none" w:pos="1256" w:val="left"/>
        </w:tabs>
        <w:numPr>
          <w:ilvl w:val="0"/>
          <w:numId w:val="306"/>
        </w:numPr>
        <w:rPr>
          <w:rFonts w:ascii="Arial" w:cs="Arial" w:eastAsia="Arial" w:hAnsi="Arial"/>
          <w:sz w:val="15"/>
          <w:szCs w:val="15"/>
          <w:color w:val="auto"/>
        </w:rPr>
      </w:pPr>
      <w:r>
        <w:rPr>
          <w:rFonts w:ascii="Arial" w:cs="Arial" w:eastAsia="Arial" w:hAnsi="Arial"/>
          <w:sz w:val="15"/>
          <w:szCs w:val="15"/>
          <w:b w:val="1"/>
          <w:bCs w:val="1"/>
          <w:color w:val="auto"/>
        </w:rPr>
        <w:t>Base Rent</w:t>
      </w:r>
      <w:r>
        <w:rPr>
          <w:rFonts w:ascii="Arial" w:cs="Arial" w:eastAsia="Arial" w:hAnsi="Arial"/>
          <w:sz w:val="15"/>
          <w:szCs w:val="15"/>
          <w:color w:val="auto"/>
        </w:rPr>
        <w:t>. The second month’s Base Rent and the Security Deposit shall be due and payable on delivery of an executed copy of this Lease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w:t>
      </w:r>
    </w:p>
    <w:p>
      <w:pPr>
        <w:sectPr>
          <w:pgSz w:w="11900" w:h="16838" w:orient="portrait"/>
          <w:cols w:equalWidth="0" w:num="1">
            <w:col w:w="11420"/>
          </w:cols>
          <w:pgMar w:left="240" w:top="127" w:right="239" w:bottom="0" w:gutter="0" w:footer="0" w:header="0"/>
        </w:sectPr>
      </w:pPr>
    </w:p>
    <w:bookmarkStart w:id="254" w:name="page255"/>
    <w:bookmarkEnd w:id="254"/>
    <w:p>
      <w:pPr>
        <w:ind w:right="200"/>
        <w:spacing w:after="0" w:line="289" w:lineRule="auto"/>
        <w:rPr>
          <w:sz w:val="20"/>
          <w:szCs w:val="20"/>
          <w:color w:val="auto"/>
        </w:rPr>
      </w:pPr>
      <w:r>
        <w:rPr>
          <w:rFonts w:ascii="Arial" w:cs="Arial" w:eastAsia="Arial" w:hAnsi="Arial"/>
          <w:sz w:val="17"/>
          <w:szCs w:val="17"/>
          <w:color w:val="auto"/>
        </w:rPr>
        <w:t xml:space="preserve">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58"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Notwithstanding anything to the contrary contained in this Lease, if the Current Premises Commencement Date occurs prior to April 1, 2010, Tenant shall only be required to pay Base Rent for the Current Premises in the amount of $25,969.77 per month commencing on the Current Premises Commencement Date through March 31, 2010. Notwithstanding anything to the contrary contained in this Lease, if the Expansion Premises Commencement Date occurs prior to</w:t>
      </w:r>
    </w:p>
    <w:p>
      <w:pPr>
        <w:spacing w:after="0" w:line="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July 12, 2011, Tenant shall be required to pay Base Rent for the Expansion Premises in the amount of $17,600.00 per month, if prior to September 1, 2010, and otherwise $28,124.25 per month commencing on the Expansion Premises Commencement Date through July 11, 2011.</w:t>
      </w:r>
    </w:p>
    <w:p>
      <w:pPr>
        <w:spacing w:after="0" w:line="163" w:lineRule="exact"/>
        <w:rPr>
          <w:sz w:val="20"/>
          <w:szCs w:val="20"/>
          <w:color w:val="auto"/>
        </w:rPr>
      </w:pPr>
    </w:p>
    <w:p>
      <w:pPr>
        <w:ind w:right="20" w:firstLine="634"/>
        <w:spacing w:after="0" w:line="267" w:lineRule="auto"/>
        <w:tabs>
          <w:tab w:leader="none" w:pos="1266" w:val="left"/>
        </w:tabs>
        <w:numPr>
          <w:ilvl w:val="0"/>
          <w:numId w:val="307"/>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commencing on the earlier to occur of (A) the Current Premises Commencement Date and (B)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Premises Commencement Date,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xml:space="preserve">”): (i) Tenant’s Share of “Operating 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1" w:lineRule="exact"/>
        <w:rPr>
          <w:sz w:val="20"/>
          <w:szCs w:val="20"/>
          <w:color w:val="auto"/>
        </w:rPr>
      </w:pPr>
    </w:p>
    <w:p>
      <w:pPr>
        <w:ind w:left="1260" w:hanging="626"/>
        <w:spacing w:after="0"/>
        <w:tabs>
          <w:tab w:leader="none" w:pos="1260" w:val="left"/>
        </w:tabs>
        <w:numPr>
          <w:ilvl w:val="0"/>
          <w:numId w:val="308"/>
        </w:numPr>
        <w:rPr>
          <w:rFonts w:ascii="Arial" w:cs="Arial" w:eastAsia="Arial" w:hAnsi="Arial"/>
          <w:sz w:val="17"/>
          <w:szCs w:val="17"/>
          <w:color w:val="auto"/>
        </w:rPr>
      </w:pPr>
      <w:r>
        <w:rPr>
          <w:rFonts w:ascii="Arial" w:cs="Arial" w:eastAsia="Arial" w:hAnsi="Arial"/>
          <w:sz w:val="17"/>
          <w:szCs w:val="17"/>
          <w:b w:val="1"/>
          <w:bCs w:val="1"/>
          <w:color w:val="auto"/>
        </w:rPr>
        <w:t>Intentionally Deleted</w:t>
      </w:r>
    </w:p>
    <w:p>
      <w:pPr>
        <w:spacing w:after="0" w:line="224" w:lineRule="exact"/>
        <w:rPr>
          <w:rFonts w:ascii="Arial" w:cs="Arial" w:eastAsia="Arial" w:hAnsi="Arial"/>
          <w:sz w:val="17"/>
          <w:szCs w:val="17"/>
          <w:color w:val="auto"/>
        </w:rPr>
      </w:pPr>
    </w:p>
    <w:p>
      <w:pPr>
        <w:ind w:right="40" w:firstLine="634"/>
        <w:spacing w:after="0" w:line="247" w:lineRule="auto"/>
        <w:tabs>
          <w:tab w:leader="none" w:pos="1258" w:val="left"/>
        </w:tabs>
        <w:numPr>
          <w:ilvl w:val="0"/>
          <w:numId w:val="308"/>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 calendar year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During each month of the Term, on the same date that Base Rent is due, Tenant shall pay Landlord an amount equal to 1/12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Tenant’s Share of the Annual Estimate. Payments for any fractional calendar month shall be prorated.</w:t>
      </w:r>
    </w:p>
    <w:p>
      <w:pPr>
        <w:spacing w:after="0" w:line="185"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capital repairs and improvements amortized over the lesser of 10 years and the useful life of such capital items as reasonably determined by Landlord (“</w:t>
      </w:r>
      <w:r>
        <w:rPr>
          <w:rFonts w:ascii="Arial" w:cs="Arial" w:eastAsia="Arial" w:hAnsi="Arial"/>
          <w:sz w:val="17"/>
          <w:szCs w:val="17"/>
          <w:b w:val="1"/>
          <w:bCs w:val="1"/>
          <w:color w:val="auto"/>
        </w:rPr>
        <w:t>Approved Capital Expenses</w:t>
      </w:r>
      <w:r>
        <w:rPr>
          <w:rFonts w:ascii="Arial" w:cs="Arial" w:eastAsia="Arial" w:hAnsi="Arial"/>
          <w:sz w:val="17"/>
          <w:szCs w:val="17"/>
          <w:color w:val="auto"/>
        </w:rPr>
        <w:t>”), and the costs of Landlord’s third party property manager (not to exceed 3.0% of Base Rent) or, if there is no third party property manager, administration rent in the amount of 3.0% of Base Rent), excluding only:</w:t>
      </w:r>
    </w:p>
    <w:p>
      <w:pPr>
        <w:spacing w:after="0" w:line="177" w:lineRule="exact"/>
        <w:rPr>
          <w:sz w:val="20"/>
          <w:szCs w:val="20"/>
          <w:color w:val="auto"/>
        </w:rPr>
      </w:pPr>
    </w:p>
    <w:p>
      <w:pPr>
        <w:ind w:right="640" w:firstLine="634"/>
        <w:spacing w:after="0" w:line="289" w:lineRule="auto"/>
        <w:tabs>
          <w:tab w:leader="none" w:pos="1256"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capital expenditures for expansion of the Project and other capital expenditures to the extent not Approved Capital Expenses;</w:t>
      </w:r>
    </w:p>
    <w:p>
      <w:pPr>
        <w:spacing w:after="0" w:line="224" w:lineRule="exact"/>
        <w:rPr>
          <w:rFonts w:ascii="Arial" w:cs="Arial" w:eastAsia="Arial" w:hAnsi="Arial"/>
          <w:sz w:val="17"/>
          <w:szCs w:val="17"/>
          <w:color w:val="auto"/>
        </w:rPr>
      </w:pPr>
    </w:p>
    <w:p>
      <w:pPr>
        <w:ind w:right="200" w:firstLine="634"/>
        <w:spacing w:after="0" w:line="322" w:lineRule="auto"/>
        <w:tabs>
          <w:tab w:leader="none" w:pos="126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any costs incurred to remove, study, test, remediate or otherwise related to the presence of Hazardous Materials in or about the Building or the Project, which Hazardous Materials Tenant proves (i) existed prior to the Lease Date, except to the extent caused by or contributed to by Tenant or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Tenant Party, (ii) originated from any separately demised tenant space within the Project other than the Premises, except to the extent caused by or contributed to by Tenant or any Tenant Party, or (iii) were not brought upon, kept, used, stored, handled, treated, generated in, or released or disposed of from, the Project by Tenant or any Tenant Party;</w:t>
      </w:r>
    </w:p>
    <w:p>
      <w:pPr>
        <w:spacing w:after="0" w:line="172" w:lineRule="exact"/>
        <w:rPr>
          <w:sz w:val="20"/>
          <w:szCs w:val="20"/>
          <w:color w:val="auto"/>
        </w:rPr>
      </w:pPr>
    </w:p>
    <w:p>
      <w:pPr>
        <w:ind w:right="40" w:firstLine="634"/>
        <w:spacing w:after="0" w:line="273"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depreciation of the Project and capital expense reserves (except for capital improvements, the cost of which are includable in Operating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Expenses);</w:t>
      </w:r>
    </w:p>
    <w:p>
      <w:pPr>
        <w:spacing w:after="0" w:line="212" w:lineRule="exact"/>
        <w:rPr>
          <w:rFonts w:ascii="Arial" w:cs="Arial" w:eastAsia="Arial" w:hAnsi="Arial"/>
          <w:sz w:val="16"/>
          <w:szCs w:val="16"/>
          <w:color w:val="auto"/>
        </w:rPr>
      </w:pPr>
    </w:p>
    <w:p>
      <w:pPr>
        <w:ind w:right="60" w:firstLine="634"/>
        <w:spacing w:after="0" w:line="289" w:lineRule="auto"/>
        <w:tabs>
          <w:tab w:leader="none" w:pos="1263"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224" w:lineRule="exact"/>
        <w:rPr>
          <w:rFonts w:ascii="Arial" w:cs="Arial" w:eastAsia="Arial" w:hAnsi="Arial"/>
          <w:sz w:val="17"/>
          <w:szCs w:val="17"/>
          <w:color w:val="auto"/>
        </w:rPr>
      </w:pPr>
    </w:p>
    <w:p>
      <w:pPr>
        <w:ind w:right="40" w:firstLine="634"/>
        <w:spacing w:after="0" w:line="289"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costs of utilities outside normal business hours sold to tenants of the Project;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actually paid;</w:t>
      </w:r>
    </w:p>
    <w:p>
      <w:pPr>
        <w:spacing w:after="0" w:line="212" w:lineRule="exact"/>
        <w:rPr>
          <w:rFonts w:ascii="Arial" w:cs="Arial" w:eastAsia="Arial" w:hAnsi="Arial"/>
          <w:sz w:val="16"/>
          <w:szCs w:val="16"/>
          <w:color w:val="auto"/>
        </w:rPr>
      </w:pPr>
    </w:p>
    <w:p>
      <w:pPr>
        <w:ind w:right="400" w:firstLine="634"/>
        <w:spacing w:after="0" w:line="289"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w:t>
      </w:r>
    </w:p>
    <w:p>
      <w:pPr>
        <w:spacing w:after="0" w:line="158" w:lineRule="exact"/>
        <w:rPr>
          <w:rFonts w:ascii="Arial" w:cs="Arial" w:eastAsia="Arial" w:hAnsi="Arial"/>
          <w:sz w:val="17"/>
          <w:szCs w:val="17"/>
          <w:color w:val="auto"/>
        </w:rPr>
      </w:pPr>
    </w:p>
    <w:p>
      <w:pPr>
        <w:ind w:right="240" w:firstLine="634"/>
        <w:spacing w:after="0" w:line="289" w:lineRule="auto"/>
        <w:tabs>
          <w:tab w:leader="none" w:pos="127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6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1" w:lineRule="exact"/>
        <w:rPr>
          <w:rFonts w:ascii="Arial" w:cs="Arial" w:eastAsia="Arial" w:hAnsi="Arial"/>
          <w:sz w:val="17"/>
          <w:szCs w:val="17"/>
          <w:color w:val="auto"/>
        </w:rPr>
      </w:pPr>
    </w:p>
    <w:p>
      <w:pPr>
        <w:ind w:firstLine="634"/>
        <w:spacing w:after="0" w:line="289"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ectPr>
          <w:pgSz w:w="11900" w:h="16838" w:orient="portrait"/>
          <w:cols w:equalWidth="0" w:num="1">
            <w:col w:w="11420"/>
          </w:cols>
          <w:pgMar w:left="240" w:top="127" w:right="239" w:bottom="88" w:gutter="0" w:footer="0" w:header="0"/>
        </w:sectPr>
      </w:pPr>
    </w:p>
    <w:bookmarkStart w:id="255" w:name="page256"/>
    <w:bookmarkEnd w:id="255"/>
    <w:p>
      <w:pPr>
        <w:spacing w:after="0" w:line="31" w:lineRule="exact"/>
        <w:rPr>
          <w:sz w:val="20"/>
          <w:szCs w:val="20"/>
          <w:color w:val="auto"/>
        </w:rPr>
      </w:pPr>
    </w:p>
    <w:p>
      <w:pPr>
        <w:ind w:right="120" w:firstLine="634"/>
        <w:spacing w:after="0" w:line="322" w:lineRule="auto"/>
        <w:tabs>
          <w:tab w:leader="none" w:pos="126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35" w:lineRule="exact"/>
        <w:rPr>
          <w:rFonts w:ascii="Arial" w:cs="Arial" w:eastAsia="Arial" w:hAnsi="Arial"/>
          <w:sz w:val="16"/>
          <w:szCs w:val="16"/>
          <w:color w:val="auto"/>
        </w:rPr>
      </w:pPr>
    </w:p>
    <w:p>
      <w:pPr>
        <w:ind w:right="300" w:firstLine="634"/>
        <w:spacing w:after="0" w:line="289" w:lineRule="auto"/>
        <w:tabs>
          <w:tab w:leader="none" w:pos="126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3" w:lineRule="auto"/>
        <w:tabs>
          <w:tab w:leader="none" w:pos="127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224" w:lineRule="exact"/>
        <w:rPr>
          <w:rFonts w:ascii="Arial" w:cs="Arial" w:eastAsia="Arial" w:hAnsi="Arial"/>
          <w:sz w:val="17"/>
          <w:szCs w:val="17"/>
          <w:color w:val="auto"/>
        </w:rPr>
      </w:pPr>
    </w:p>
    <w:p>
      <w:pPr>
        <w:ind w:right="180" w:firstLine="634"/>
        <w:spacing w:after="0" w:line="289" w:lineRule="auto"/>
        <w:tabs>
          <w:tab w:leader="none" w:pos="126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58" w:lineRule="exact"/>
        <w:rPr>
          <w:rFonts w:ascii="Arial" w:cs="Arial" w:eastAsia="Arial" w:hAnsi="Arial"/>
          <w:sz w:val="17"/>
          <w:szCs w:val="17"/>
          <w:color w:val="auto"/>
        </w:rPr>
      </w:pPr>
    </w:p>
    <w:p>
      <w:pPr>
        <w:ind w:right="400" w:firstLine="634"/>
        <w:spacing w:after="0" w:line="289" w:lineRule="auto"/>
        <w:tabs>
          <w:tab w:leader="none" w:pos="126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 and</w:t>
      </w:r>
    </w:p>
    <w:p>
      <w:pPr>
        <w:spacing w:after="0" w:line="158" w:lineRule="exact"/>
        <w:rPr>
          <w:rFonts w:ascii="Arial" w:cs="Arial" w:eastAsia="Arial" w:hAnsi="Arial"/>
          <w:sz w:val="17"/>
          <w:szCs w:val="17"/>
          <w:color w:val="auto"/>
        </w:rPr>
      </w:pPr>
    </w:p>
    <w:p>
      <w:pPr>
        <w:ind w:right="180" w:firstLine="634"/>
        <w:spacing w:after="0" w:line="273" w:lineRule="auto"/>
        <w:tabs>
          <w:tab w:leader="none" w:pos="126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costs incurred in connection with the performance of alterations or modifications to the Project (other than the Premises for which Tenant shall be solely responsible for) that are required solely due to the non-compliance of the Project with Legal Requirements applicable to the Project (other than the Premises for which Tenant shall be solely responsible for) as of the Lease Date.</w:t>
      </w:r>
    </w:p>
    <w:p>
      <w:pPr>
        <w:spacing w:after="0" w:line="172"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Notwithstanding anything to the contrary contained in this Lease, Tenant’s Share of each earthquake deductible or occurrence of uninsured earthquake damage affecting the Premises shall not exceed $4.50 per rentable square foot of the Premises (the “</w:t>
      </w:r>
      <w:r>
        <w:rPr>
          <w:rFonts w:ascii="Arial" w:cs="Arial" w:eastAsia="Arial" w:hAnsi="Arial"/>
          <w:sz w:val="15"/>
          <w:szCs w:val="15"/>
          <w:b w:val="1"/>
          <w:bCs w:val="1"/>
          <w:color w:val="auto"/>
        </w:rPr>
        <w:t>Initial Cap</w:t>
      </w:r>
      <w:r>
        <w:rPr>
          <w:rFonts w:ascii="Arial" w:cs="Arial" w:eastAsia="Arial" w:hAnsi="Arial"/>
          <w:sz w:val="15"/>
          <w:szCs w:val="15"/>
          <w:color w:val="auto"/>
        </w:rPr>
        <w:t>”). On May 1, 2010, and on the first day of each month thereafter, the Initial Cap shall be reduced by $0,125 per rentable square foot of the Premises. Following earthquake damage to the Project, Tenant shall pay Tenant’s Share of any such deductible or uninsured damage in equal monthly installments amortized over the remaining balance of the Base Term of the Lease.</w:t>
      </w:r>
    </w:p>
    <w:p>
      <w:pPr>
        <w:spacing w:after="0" w:line="146"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0"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The Annual Statement shall be final and binding upon Tenant unless Tenant, within 45 days after Tenant’s receipt thereof, shall contest any item therein by giving written notice to Landlord, specifying each item contested and the reason therefor. If, during such 45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If after Tenant’s review of such Expense Information, Landlord and Tenant cannot agree upon the amount of Tenant’s Share of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Tenant shall treat the results of each Independent Review as confidential and shall not disclose any information regarding such Independent Review to any other tenants; provided, however, that Tenant may disclose such information to its accountants, attorneys and real estate consultants and to governmental authorities as required by Legal Requirements and in connection with any litigation, arbitration or similar proceeding.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52" w:lineRule="exact"/>
        <w:rPr>
          <w:sz w:val="20"/>
          <w:szCs w:val="20"/>
          <w:color w:val="auto"/>
        </w:rPr>
      </w:pPr>
    </w:p>
    <w:p>
      <w:pPr>
        <w:ind w:right="80" w:firstLine="629"/>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in the Basic Lease Provisions as Tenant’s Share as reasonably adjusted by Landlord for changes in the physical size of the Premises or the Project occurring thereafter. The rentable area of the Premises shall not be subjected to re-measurement by either party. If Landlord has a reasonable basis for doing so,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41" w:lineRule="exact"/>
        <w:rPr>
          <w:sz w:val="20"/>
          <w:szCs w:val="20"/>
          <w:color w:val="auto"/>
        </w:rPr>
      </w:pPr>
    </w:p>
    <w:p>
      <w:pPr>
        <w:ind w:right="40" w:firstLine="634"/>
        <w:spacing w:after="0" w:line="292" w:lineRule="auto"/>
        <w:tabs>
          <w:tab w:leader="none" w:pos="1258" w:val="left"/>
        </w:tabs>
        <w:numPr>
          <w:ilvl w:val="0"/>
          <w:numId w:val="313"/>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within thirty (30) days after delivery of an executed copy of this Lease to Landlord, a</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(i) in form and substance satisfactory to Landlord, (ii) naming Landlord as beneficiary, (iii) expressly allowing Landlord to draw upon it at any time from time to time by delivering to the issuer notice</w:t>
      </w:r>
    </w:p>
    <w:p>
      <w:pPr>
        <w:sectPr>
          <w:pgSz w:w="11900" w:h="16870" w:orient="portrait"/>
          <w:cols w:equalWidth="0" w:num="1">
            <w:col w:w="11420"/>
          </w:cols>
          <w:pgMar w:left="240" w:top="127" w:right="239" w:bottom="0" w:gutter="0" w:footer="0" w:header="0"/>
        </w:sectPr>
      </w:pPr>
    </w:p>
    <w:bookmarkStart w:id="256" w:name="page257"/>
    <w:bookmarkEnd w:id="256"/>
    <w:p>
      <w:pPr>
        <w:spacing w:after="0" w:line="276" w:lineRule="auto"/>
        <w:rPr>
          <w:sz w:val="20"/>
          <w:szCs w:val="20"/>
          <w:color w:val="auto"/>
        </w:rPr>
      </w:pPr>
      <w:r>
        <w:rPr>
          <w:rFonts w:ascii="Arial" w:cs="Arial" w:eastAsia="Arial" w:hAnsi="Arial"/>
          <w:sz w:val="16"/>
          <w:szCs w:val="16"/>
          <w:color w:val="auto"/>
        </w:rPr>
        <w:t xml:space="preserve">that Landlord is entitled to draw thereunder, (iv) 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on demand the amount that will restore the Security Deposit to the amount set forth in the Basic Lease Provisions.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 On or before January 1, 2011, Tenant shall deliver to Landlord either (A) a substitute Letter of Credit complying with all of the requirements hereof in the amount of the Increased Security Deposit Amount or (B) an amendment to the existing Letter of Credit increasing the existing Letter of Credit to the Increased Security Deposit Amount, and the failure to do so shall immediately be a Default after the expiration of applicable notice and cure periods.</w:t>
      </w:r>
    </w:p>
    <w:p>
      <w:pPr>
        <w:spacing w:after="0" w:line="17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77" w:lineRule="exact"/>
        <w:rPr>
          <w:sz w:val="20"/>
          <w:szCs w:val="20"/>
          <w:color w:val="auto"/>
        </w:rPr>
      </w:pPr>
    </w:p>
    <w:p>
      <w:pPr>
        <w:ind w:firstLine="634"/>
        <w:spacing w:after="0" w:line="276" w:lineRule="auto"/>
        <w:tabs>
          <w:tab w:leader="none" w:pos="1258"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To Landlord’s actual knowledge, the Permitted Use will not result in the voidance of or an increase in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which shall not be unreasonably withheld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9" w:lineRule="exact"/>
        <w:rPr>
          <w:sz w:val="20"/>
          <w:szCs w:val="20"/>
          <w:color w:val="auto"/>
        </w:rPr>
      </w:pPr>
    </w:p>
    <w:p>
      <w:pPr>
        <w:ind w:right="160" w:firstLine="629"/>
        <w:spacing w:after="0" w:line="322" w:lineRule="auto"/>
        <w:rPr>
          <w:sz w:val="20"/>
          <w:szCs w:val="20"/>
          <w:color w:val="auto"/>
        </w:rPr>
      </w:pPr>
      <w:r>
        <w:rPr>
          <w:rFonts w:ascii="Arial" w:cs="Arial" w:eastAsia="Arial" w:hAnsi="Arial"/>
          <w:sz w:val="16"/>
          <w:szCs w:val="16"/>
          <w:color w:val="auto"/>
        </w:rPr>
        <w:t>Landlord has received no written notice from any Governmental Authority (as defined in Section 9 below) that the Project is not in compliance with the applicable provisions of the Americans With Disabilities Act, 42 U.S.C. § 12101, et seq. (together with regulations promulgated pursuant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6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ADA</w:t>
      </w:r>
      <w:r>
        <w:rPr>
          <w:rFonts w:ascii="Arial" w:cs="Arial" w:eastAsia="Arial" w:hAnsi="Arial"/>
          <w:sz w:val="17"/>
          <w:szCs w:val="17"/>
          <w:color w:val="auto"/>
        </w:rPr>
        <w:t>”). Landlord shall be responsible, at Landlord’s sole cost and expense (and not as an Operating Expense) for the compliance of the Common Areas of the Project with the ADA as of the Lease Date.</w:t>
      </w:r>
    </w:p>
    <w:p>
      <w:pPr>
        <w:spacing w:after="0" w:line="151" w:lineRule="exact"/>
        <w:rPr>
          <w:sz w:val="20"/>
          <w:szCs w:val="20"/>
          <w:color w:val="auto"/>
        </w:rPr>
      </w:pPr>
    </w:p>
    <w:p>
      <w:pPr>
        <w:ind w:right="100" w:firstLine="629"/>
        <w:spacing w:after="0" w:line="278" w:lineRule="auto"/>
        <w:rPr>
          <w:sz w:val="20"/>
          <w:szCs w:val="20"/>
          <w:color w:val="auto"/>
        </w:rPr>
      </w:pPr>
      <w:r>
        <w:rPr>
          <w:rFonts w:ascii="Arial" w:cs="Arial" w:eastAsia="Arial" w:hAnsi="Arial"/>
          <w:sz w:val="16"/>
          <w:szCs w:val="16"/>
          <w:color w:val="auto"/>
        </w:rPr>
        <w:t>To the extent arising after the Lease Date, Landlord shall, as an Operating Expense (to the extent such Legal Requirement is generally applicable to similar buildings in the area in which the Project is located) or at Tenant’s expense (to the extent such Legal Requirement is applicable solely by reason of Tenant’s, as compared to other tenants of the Project, particular use of the Premises or any alterations or modifications made by Tenant) make any alterations or modifications to the Common Areas or the exterior of the Building that are required by Legal Requirements, including the ADA. In addition, Landlord shall, at Landlord’s expense, make any alterations or modifications to the Premises that are required due to the non compliance of the Premises with Legal Requirements applicable to the Premises as of the Substantial Completion of Landlord’s Work, except to the extent such alterations or modifications are required by Legal Requirements (including, without limitation, compliance of the Premises with ADA) related to Tenant’s particular use of the Premises. Notwithstanding any other provision herein to the contrary, subject to the first two sentences of this paragraph,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any failure of the Premises to comply with Legal Requirements, and Tenant shall indemnify, defend, hold and save Landlord harmless from and against any and all Claims arising out of or in connection with any failure of the Premises to comply with any Legal Requirement.</w:t>
      </w:r>
    </w:p>
    <w:p>
      <w:pPr>
        <w:sectPr>
          <w:pgSz w:w="11900" w:h="16838" w:orient="portrait"/>
          <w:cols w:equalWidth="0" w:num="1">
            <w:col w:w="11420"/>
          </w:cols>
          <w:pgMar w:left="240" w:top="127" w:right="239" w:bottom="0" w:gutter="0" w:footer="0" w:header="0"/>
        </w:sectPr>
      </w:pPr>
    </w:p>
    <w:bookmarkStart w:id="257" w:name="page258"/>
    <w:bookmarkEnd w:id="257"/>
    <w:p>
      <w:pPr>
        <w:spacing w:after="0" w:line="33" w:lineRule="exact"/>
        <w:rPr>
          <w:sz w:val="20"/>
          <w:szCs w:val="20"/>
          <w:color w:val="auto"/>
        </w:rPr>
      </w:pPr>
    </w:p>
    <w:p>
      <w:pPr>
        <w:ind w:right="120" w:firstLine="634"/>
        <w:spacing w:after="0" w:line="298" w:lineRule="auto"/>
        <w:tabs>
          <w:tab w:leader="none" w:pos="1328" w:val="left"/>
        </w:tabs>
        <w:numPr>
          <w:ilvl w:val="0"/>
          <w:numId w:val="315"/>
        </w:numPr>
        <w:rPr>
          <w:rFonts w:ascii="Arial" w:cs="Arial" w:eastAsia="Arial" w:hAnsi="Arial"/>
          <w:sz w:val="15"/>
          <w:szCs w:val="15"/>
          <w:color w:val="auto"/>
        </w:rPr>
      </w:pPr>
      <w:r>
        <w:rPr>
          <w:rFonts w:ascii="Arial" w:cs="Arial" w:eastAsia="Arial" w:hAnsi="Arial"/>
          <w:sz w:val="15"/>
          <w:szCs w:val="15"/>
          <w:b w:val="1"/>
          <w:bCs w:val="1"/>
          <w:color w:val="auto"/>
        </w:rPr>
        <w:t>Holding Over</w:t>
      </w:r>
      <w:r>
        <w:rPr>
          <w:rFonts w:ascii="Arial" w:cs="Arial" w:eastAsia="Arial" w:hAnsi="Arial"/>
          <w:sz w:val="15"/>
          <w:szCs w:val="15"/>
          <w:color w:val="auto"/>
        </w:rPr>
        <w:t>. If, with Landlord’s express written consent, Tenant retains possession of the Premises after the termination of the Term, (i)</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for the first 90 days of such tenancy at sufferance and thereafter 200%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56" w:lineRule="exact"/>
        <w:rPr>
          <w:rFonts w:ascii="Arial" w:cs="Arial" w:eastAsia="Arial" w:hAnsi="Arial"/>
          <w:sz w:val="15"/>
          <w:szCs w:val="15"/>
          <w:color w:val="auto"/>
        </w:rPr>
      </w:pPr>
    </w:p>
    <w:p>
      <w:pPr>
        <w:ind w:firstLine="634"/>
        <w:spacing w:after="0" w:line="280" w:lineRule="auto"/>
        <w:tabs>
          <w:tab w:leader="none" w:pos="1328"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herein,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Landlord shall only charge Tenant for such assessments existing as of the Commencement Date as if those assessments were paid by Landlord over the longest possible term which Landlord is permitted to pay for the applicable assessments without additional charge other than interest, if any, provided under the terms of the underlying assessments. Notwithstanding anything to the contrary contained in this Lease, Taxes shall not include any net income taxes, estate taxes or inheritance taxes imposed on Landlord except to the extent such net income taxes are in substitution for any Taxes payable hereunder, or any late penalties, interest or fines imposed due to Landlord’s failure to pay any Taxes prior to delinquency.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51" w:lineRule="exact"/>
        <w:rPr>
          <w:sz w:val="20"/>
          <w:szCs w:val="20"/>
          <w:color w:val="auto"/>
        </w:rPr>
      </w:pPr>
    </w:p>
    <w:p>
      <w:pPr>
        <w:ind w:right="140" w:firstLine="634"/>
        <w:spacing w:after="0" w:line="285" w:lineRule="auto"/>
        <w:tabs>
          <w:tab w:leader="none" w:pos="1284" w:val="left"/>
        </w:tabs>
        <w:numPr>
          <w:ilvl w:val="0"/>
          <w:numId w:val="316"/>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Tenant shall have the right,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As of the Lease Date, Tenant’s pro rata share of parking equates to 2.8 parking spaces per 1,000 RSF of the Premises.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w:t>
      </w:r>
    </w:p>
    <w:p>
      <w:pPr>
        <w:spacing w:after="0" w:line="157" w:lineRule="exact"/>
        <w:rPr>
          <w:rFonts w:ascii="Arial" w:cs="Arial" w:eastAsia="Arial" w:hAnsi="Arial"/>
          <w:sz w:val="16"/>
          <w:szCs w:val="16"/>
          <w:color w:val="auto"/>
        </w:rPr>
      </w:pPr>
    </w:p>
    <w:p>
      <w:pPr>
        <w:ind w:right="120" w:firstLine="634"/>
        <w:spacing w:after="0" w:line="279" w:lineRule="auto"/>
        <w:tabs>
          <w:tab w:leader="none" w:pos="1278" w:val="left"/>
        </w:tabs>
        <w:numPr>
          <w:ilvl w:val="0"/>
          <w:numId w:val="316"/>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telephone, sewer,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utilities (including gas and fire sprinklers to the extent the Project is plumbed for such services),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68" w:lineRule="exact"/>
        <w:rPr>
          <w:rFonts w:ascii="Arial" w:cs="Arial" w:eastAsia="Arial" w:hAnsi="Arial"/>
          <w:sz w:val="16"/>
          <w:szCs w:val="16"/>
          <w:color w:val="auto"/>
        </w:rPr>
      </w:pPr>
    </w:p>
    <w:p>
      <w:pPr>
        <w:ind w:right="100" w:firstLine="634"/>
        <w:spacing w:after="0" w:line="285" w:lineRule="auto"/>
        <w:tabs>
          <w:tab w:leader="none" w:pos="1284" w:val="left"/>
        </w:tabs>
        <w:numPr>
          <w:ilvl w:val="0"/>
          <w:numId w:val="316"/>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nonstructural Alterations in the Premises without Landlord’s prior approval if the aggregate cost of all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work in any 12 month period does not exceed $50,000 (a “</w:t>
      </w:r>
      <w:r>
        <w:rPr>
          <w:rFonts w:ascii="Arial" w:cs="Arial" w:eastAsia="Arial" w:hAnsi="Arial"/>
          <w:sz w:val="15"/>
          <w:szCs w:val="15"/>
          <w:b w:val="1"/>
          <w:bCs w:val="1"/>
          <w:color w:val="auto"/>
        </w:rPr>
        <w:t>Notice-Only Alteration</w:t>
      </w:r>
      <w:r>
        <w:rPr>
          <w:rFonts w:ascii="Arial" w:cs="Arial" w:eastAsia="Arial" w:hAnsi="Arial"/>
          <w:sz w:val="15"/>
          <w:szCs w:val="15"/>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w:t>
      </w:r>
    </w:p>
    <w:p>
      <w:pPr>
        <w:sectPr>
          <w:pgSz w:w="11900" w:h="16872" w:orient="portrait"/>
          <w:cols w:equalWidth="0" w:num="1">
            <w:col w:w="11420"/>
          </w:cols>
          <w:pgMar w:left="240" w:top="331" w:right="239" w:bottom="0" w:gutter="0" w:footer="0" w:header="0"/>
        </w:sectPr>
      </w:pPr>
    </w:p>
    <w:bookmarkStart w:id="258" w:name="page259"/>
    <w:bookmarkEnd w:id="258"/>
    <w:p>
      <w:pPr>
        <w:ind w:right="40"/>
        <w:spacing w:after="0" w:line="303" w:lineRule="auto"/>
        <w:rPr>
          <w:sz w:val="20"/>
          <w:szCs w:val="20"/>
          <w:color w:val="auto"/>
        </w:rPr>
      </w:pPr>
      <w:r>
        <w:rPr>
          <w:rFonts w:ascii="Arial" w:cs="Arial" w:eastAsia="Arial" w:hAnsi="Arial"/>
          <w:sz w:val="15"/>
          <w:szCs w:val="15"/>
          <w:color w:val="auto"/>
        </w:rPr>
        <w:t>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54"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6" w:lineRule="exact"/>
        <w:rPr>
          <w:sz w:val="20"/>
          <w:szCs w:val="20"/>
          <w:color w:val="auto"/>
        </w:rPr>
      </w:pPr>
    </w:p>
    <w:p>
      <w:pPr>
        <w:ind w:right="40" w:firstLine="629"/>
        <w:spacing w:after="0" w:line="297" w:lineRule="auto"/>
        <w:rPr>
          <w:sz w:val="20"/>
          <w:szCs w:val="20"/>
          <w:color w:val="auto"/>
        </w:rPr>
      </w:pPr>
      <w:r>
        <w:rPr>
          <w:rFonts w:ascii="Arial" w:cs="Arial" w:eastAsia="Arial" w:hAnsi="Arial"/>
          <w:sz w:val="15"/>
          <w:szCs w:val="15"/>
          <w:color w:val="auto"/>
        </w:rPr>
        <w:t>Except for Removable Installations (as hereinafter defined), all Installations (as hereinafter defined) shall be and shall remain the property of Landlord following the expiration or earlier termination of the Term, shall not be removed by Tenant at any time during the Term, and shall remain upon and be surrendered with the Premises as a part thereof. Notwithstanding the foregoing, Landlord shall if requested by Tenant, at the time its approval of any such Installation is requested, notify Tenant if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Notwithstanding anything to the contrary contained herein, Tenant shall have no obligation to remove Landlord’s Work.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83"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in the future, (y) “</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by Landlord,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59" w:lineRule="exact"/>
        <w:rPr>
          <w:sz w:val="20"/>
          <w:szCs w:val="20"/>
          <w:color w:val="auto"/>
        </w:rPr>
      </w:pPr>
    </w:p>
    <w:p>
      <w:pPr>
        <w:ind w:right="40" w:firstLine="634"/>
        <w:spacing w:after="0" w:line="276" w:lineRule="auto"/>
        <w:tabs>
          <w:tab w:leader="none" w:pos="1284" w:val="left"/>
        </w:tabs>
        <w:numPr>
          <w:ilvl w:val="0"/>
          <w:numId w:val="317"/>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expressly excluded from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(unless such losses or damages would have been insured losses or expenses if the insurance Landlord is required to maintain hereunder had been obtained) caused by Tenant, or by any of Tenant’s agents, servants, employees, invitees and contractors (collectively,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excluded. Subject to the provisions of the penultimate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17, losses and damages caused by Tenant or any Tenant Party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repaired by Landlord, at Tenant’s sole cost and expense, to the extent not covered by insurance Landlord is required to maintain hereunder (or to the extent such losses or damages would have been covered by insurance Landlord is required to maintain hereunder if such insurance had been maintained).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provided Landlord shall use commercially reasonable efforts to minimize interference with Tenant’s Permitted Use of the Premises. Landlord shall have no responsibility or liability for failure to supply Building Systems services during any such period of interruption; provided, however, that Landlord shall, except in case of emergency, make a commercially reasonable effort to give Tenant 24 hours advance notice of any planned stoppage of Building Systems services for routine maintenance, repairs, alterations or improvements and shall in all events use commercially reasonable efforts to perform any repairs in a manner that will minimize interference with Tenant’s use of the Premises.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as provided in this Lease.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right="60" w:firstLine="634"/>
        <w:spacing w:after="0" w:line="263" w:lineRule="auto"/>
        <w:tabs>
          <w:tab w:leader="none" w:pos="1284"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including, without limitation, entries, doors, ceilings, interior windows, interior walls, and the interior side of demising walls; provided, however, that Landlord shall be responsible, as part of Operating Expenses, for repairs, replacements and maintenance that could constitute capital expenditures.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the full uninsured cost of any repair or replacement to any part of the Project that results from damage caused by Tenant or any Tenant Party and any repair that benefits only the Premises.</w:t>
      </w:r>
    </w:p>
    <w:p>
      <w:pPr>
        <w:sectPr>
          <w:pgSz w:w="11900" w:h="16838" w:orient="portrait"/>
          <w:cols w:equalWidth="0" w:num="1">
            <w:col w:w="11400"/>
          </w:cols>
          <w:pgMar w:left="240" w:top="127" w:right="259" w:bottom="23" w:gutter="0" w:footer="0" w:header="0"/>
        </w:sectPr>
      </w:pPr>
    </w:p>
    <w:bookmarkStart w:id="259" w:name="page260"/>
    <w:bookmarkEnd w:id="259"/>
    <w:p>
      <w:pPr>
        <w:ind w:right="60" w:firstLine="634"/>
        <w:spacing w:after="0" w:line="279" w:lineRule="auto"/>
        <w:tabs>
          <w:tab w:leader="none" w:pos="1284"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68" w:lineRule="exact"/>
        <w:rPr>
          <w:rFonts w:ascii="Arial" w:cs="Arial" w:eastAsia="Arial" w:hAnsi="Arial"/>
          <w:sz w:val="16"/>
          <w:szCs w:val="16"/>
          <w:color w:val="auto"/>
        </w:rPr>
      </w:pPr>
    </w:p>
    <w:p>
      <w:pPr>
        <w:ind w:right="20" w:firstLine="634"/>
        <w:spacing w:after="0" w:line="264" w:lineRule="auto"/>
        <w:tabs>
          <w:tab w:leader="none" w:pos="1284"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harmless from and against any and all Claims for</w:t>
      </w:r>
      <w:r>
        <w:rPr>
          <w:rFonts w:ascii="Arial" w:cs="Arial" w:eastAsia="Arial" w:hAnsi="Arial"/>
          <w:sz w:val="17"/>
          <w:szCs w:val="17"/>
          <w:b w:val="1"/>
          <w:bCs w:val="1"/>
          <w:color w:val="auto"/>
        </w:rPr>
        <w:t xml:space="preserve"> </w:t>
      </w:r>
      <w:r>
        <w:rPr>
          <w:rFonts w:ascii="Arial" w:cs="Arial" w:eastAsia="Arial" w:hAnsi="Arial"/>
          <w:sz w:val="17"/>
          <w:szCs w:val="17"/>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72" w:lineRule="exact"/>
        <w:rPr>
          <w:rFonts w:ascii="Arial" w:cs="Arial" w:eastAsia="Arial" w:hAnsi="Arial"/>
          <w:sz w:val="17"/>
          <w:szCs w:val="17"/>
          <w:color w:val="auto"/>
        </w:rPr>
      </w:pPr>
    </w:p>
    <w:p>
      <w:pPr>
        <w:ind w:right="60" w:firstLine="634"/>
        <w:spacing w:after="0" w:line="279" w:lineRule="auto"/>
        <w:tabs>
          <w:tab w:leader="none" w:pos="1284"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or such 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4"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basis; be issued by insurance companies which have a rating of not less than policyholder rating of A and financial category rating of at least Class X in “Best’s Insurance Guide”; shall not be cancelable for nonpayment of premium unless 10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7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46"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regardless of the negligence of the party to the Lease receiving the benefit of the waiver,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1"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48" w:lineRule="exact"/>
        <w:rPr>
          <w:sz w:val="20"/>
          <w:szCs w:val="20"/>
          <w:color w:val="auto"/>
        </w:rPr>
      </w:pPr>
    </w:p>
    <w:p>
      <w:pPr>
        <w:ind w:right="40" w:firstLine="634"/>
        <w:spacing w:after="0" w:line="281" w:lineRule="auto"/>
        <w:tabs>
          <w:tab w:leader="none" w:pos="1284" w:val="left"/>
        </w:tabs>
        <w:numPr>
          <w:ilvl w:val="0"/>
          <w:numId w:val="319"/>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provided, however, that notwithstanding Landlord’s election to restore, Tenant may elect to terminate this Lease by written notice to Landlord delivered within 5 business days of receipt of notice from Landlord estimating a Restoration Period for the Premises longer than the Maximum Restoration Period. Unless Landlord so elects to terminate this Lease, Landlord shall, subject to receipt of sufficient insurance proceeds (with any deductible to be treated as an Operating Expense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promptly restore the Premises (excluding the improvements installed by Tenant or by</w:t>
      </w:r>
    </w:p>
    <w:p>
      <w:pPr>
        <w:sectPr>
          <w:pgSz w:w="11900" w:h="16838" w:orient="portrait"/>
          <w:cols w:equalWidth="0" w:num="1">
            <w:col w:w="11420"/>
          </w:cols>
          <w:pgMar w:left="240" w:top="121" w:right="239" w:bottom="0" w:gutter="0" w:footer="0" w:header="0"/>
        </w:sectPr>
      </w:pPr>
    </w:p>
    <w:bookmarkStart w:id="260" w:name="page261"/>
    <w:bookmarkEnd w:id="260"/>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 Notwithstanding the foregoing, if a portion of the Project not including the Premises is damaged, Landlord may not terminate this Lease on the basis that the Restoration Period will exceed the Maximum Restoration Period if Landlord elects to merely repair the damage rather than redevelop or improve the Project as a whole, and Landlord actually commences construction of the repair of such damage. The Restoration Period and the Maximum Restoration Period shall not be extended by Force Majeure. In the event that the Lease terminates pursuant to the provisions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as a result of an earthquake, Tenant shall not be required to pay any deductibles as part of Operating Expenses in connection with such earthquake.</w:t>
      </w:r>
    </w:p>
    <w:p>
      <w:pPr>
        <w:spacing w:after="0" w:line="173"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 xml:space="preserve">Tenant may, at Tenant’s option, promptly re-enter the Premises and commence doing business in accordance with this Lease upon Landlord’s completion of all repairs or restoration required to be done, by Landlord pursuant to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provided, however, that Tenant shall nonetheless (and even if Tenant does not re-enter the Premises) continue to be responsible for all of its obligations under this Lease. Notwithstanding the foregoing, Landlord may terminate this Lease if the Premises are damaged during the last 1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in the Project during the period of repair that is suitable for the temporary conduct of Tenant’s business. Such abatement shall be the sole remedy of Tenant, and except as provided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Tenant waives any right to terminate the Lease by reason of damage or casualty loss.</w:t>
      </w:r>
    </w:p>
    <w:p>
      <w:pPr>
        <w:spacing w:after="0" w:line="18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pacing w:after="0" w:line="170" w:lineRule="exact"/>
        <w:rPr>
          <w:sz w:val="20"/>
          <w:szCs w:val="20"/>
          <w:color w:val="auto"/>
        </w:rPr>
      </w:pPr>
    </w:p>
    <w:p>
      <w:pPr>
        <w:ind w:right="20" w:firstLine="634"/>
        <w:spacing w:after="0" w:line="281" w:lineRule="auto"/>
        <w:tabs>
          <w:tab w:leader="none" w:pos="1284" w:val="left"/>
        </w:tabs>
        <w:numPr>
          <w:ilvl w:val="0"/>
          <w:numId w:val="320"/>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or the Project is taken for any public or quasi-public use under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73" w:lineRule="exact"/>
        <w:rPr>
          <w:sz w:val="20"/>
          <w:szCs w:val="20"/>
          <w:color w:val="auto"/>
        </w:rPr>
      </w:pPr>
    </w:p>
    <w:p>
      <w:pPr>
        <w:ind w:left="1280" w:hanging="646"/>
        <w:spacing w:after="0"/>
        <w:tabs>
          <w:tab w:leader="none" w:pos="1280" w:val="left"/>
        </w:tabs>
        <w:numPr>
          <w:ilvl w:val="0"/>
          <w:numId w:val="321"/>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224" w:lineRule="exact"/>
        <w:rPr>
          <w:sz w:val="20"/>
          <w:szCs w:val="20"/>
          <w:color w:val="auto"/>
        </w:rPr>
      </w:pPr>
    </w:p>
    <w:p>
      <w:pPr>
        <w:ind w:firstLine="634"/>
        <w:spacing w:after="0" w:line="270" w:lineRule="auto"/>
        <w:tabs>
          <w:tab w:leader="none" w:pos="1304"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failure to pay any installment of Rent or any other payment hereunder otherwise due in any 12 calendar month period shall not constitute a Default unless such payment is not made within 5 days after written notice from Landlord to Tenant and Tenant agrees that such notice shall be in lieu of and not in addition to, or shall be deemed to be, any notice required by law.</w:t>
      </w:r>
    </w:p>
    <w:p>
      <w:pPr>
        <w:spacing w:after="0" w:line="169" w:lineRule="exact"/>
        <w:rPr>
          <w:rFonts w:ascii="Arial" w:cs="Arial" w:eastAsia="Arial" w:hAnsi="Arial"/>
          <w:sz w:val="17"/>
          <w:szCs w:val="17"/>
          <w:color w:val="auto"/>
        </w:rPr>
      </w:pPr>
    </w:p>
    <w:p>
      <w:pPr>
        <w:ind w:right="80" w:firstLine="634"/>
        <w:spacing w:after="0" w:line="277" w:lineRule="auto"/>
        <w:tabs>
          <w:tab w:leader="none" w:pos="1313"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 expire 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or materially changed, or Landlord shall receive a notice of nonrenewal of any such insurance and Tenant shall fail to obtain replacement insurance at least 20 days before the expiration of the current coverage.</w:t>
      </w:r>
    </w:p>
    <w:p>
      <w:pPr>
        <w:spacing w:after="0" w:line="162" w:lineRule="exact"/>
        <w:rPr>
          <w:rFonts w:ascii="Arial" w:cs="Arial" w:eastAsia="Arial" w:hAnsi="Arial"/>
          <w:sz w:val="17"/>
          <w:szCs w:val="17"/>
          <w:color w:val="auto"/>
        </w:rPr>
      </w:pPr>
    </w:p>
    <w:p>
      <w:pPr>
        <w:ind w:left="1300" w:hanging="666"/>
        <w:spacing w:after="0"/>
        <w:tabs>
          <w:tab w:leader="none" w:pos="1300"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w:t>
      </w:r>
    </w:p>
    <w:p>
      <w:pPr>
        <w:spacing w:after="0" w:line="224" w:lineRule="exact"/>
        <w:rPr>
          <w:rFonts w:ascii="Arial" w:cs="Arial" w:eastAsia="Arial" w:hAnsi="Arial"/>
          <w:sz w:val="17"/>
          <w:szCs w:val="17"/>
          <w:color w:val="auto"/>
        </w:rPr>
      </w:pPr>
    </w:p>
    <w:p>
      <w:pPr>
        <w:ind w:right="40" w:firstLine="634"/>
        <w:spacing w:after="0" w:line="277" w:lineRule="auto"/>
        <w:tabs>
          <w:tab w:leader="none" w:pos="1313"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 interest in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or the Premises except as expressly permitted herein, or Tenant’s interest in this Lease shall be attached, executed upon, or otherwise judicially seized and such action is not released within 90 days of the action.</w:t>
      </w:r>
    </w:p>
    <w:p>
      <w:pPr>
        <w:spacing w:after="0" w:line="162" w:lineRule="exact"/>
        <w:rPr>
          <w:rFonts w:ascii="Arial" w:cs="Arial" w:eastAsia="Arial" w:hAnsi="Arial"/>
          <w:sz w:val="17"/>
          <w:szCs w:val="17"/>
          <w:color w:val="auto"/>
        </w:rPr>
      </w:pPr>
    </w:p>
    <w:p>
      <w:pPr>
        <w:ind w:right="320" w:firstLine="634"/>
        <w:spacing w:after="0" w:line="297" w:lineRule="auto"/>
        <w:tabs>
          <w:tab w:leader="none" w:pos="1304"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 violation of this Lease within 10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any such lien is filed against the Premises.</w:t>
      </w:r>
    </w:p>
    <w:p>
      <w:pPr>
        <w:spacing w:after="0" w:line="145" w:lineRule="exact"/>
        <w:rPr>
          <w:rFonts w:ascii="Arial" w:cs="Arial" w:eastAsia="Arial" w:hAnsi="Arial"/>
          <w:sz w:val="17"/>
          <w:szCs w:val="17"/>
          <w:color w:val="auto"/>
        </w:rPr>
      </w:pPr>
    </w:p>
    <w:p>
      <w:pPr>
        <w:ind w:right="80" w:firstLine="634"/>
        <w:spacing w:after="0" w:line="317" w:lineRule="auto"/>
        <w:tabs>
          <w:tab w:leader="none" w:pos="1328" w:val="left"/>
        </w:tabs>
        <w:numPr>
          <w:ilvl w:val="0"/>
          <w:numId w:val="322"/>
        </w:numPr>
        <w:rPr>
          <w:rFonts w:ascii="Arial" w:cs="Arial" w:eastAsia="Arial" w:hAnsi="Arial"/>
          <w:sz w:val="15"/>
          <w:szCs w:val="15"/>
          <w:color w:val="auto"/>
        </w:rPr>
      </w:pPr>
      <w:r>
        <w:rPr>
          <w:rFonts w:ascii="Arial" w:cs="Arial" w:eastAsia="Arial" w:hAnsi="Arial"/>
          <w:sz w:val="15"/>
          <w:szCs w:val="15"/>
          <w:b w:val="1"/>
          <w:bCs w:val="1"/>
          <w:color w:val="auto"/>
        </w:rPr>
        <w:t>Insolvency Events</w:t>
      </w:r>
      <w:r>
        <w:rPr>
          <w:rFonts w:ascii="Arial" w:cs="Arial" w:eastAsia="Arial" w:hAnsi="Arial"/>
          <w:sz w:val="15"/>
          <w:szCs w:val="15"/>
          <w:color w:val="auto"/>
        </w:rPr>
        <w:t>. Tenant or any guarantor or surety of Tenant’s obligations hereunder shall: (A) make a general assignment for the benefit of</w:t>
      </w:r>
      <w:r>
        <w:rPr>
          <w:rFonts w:ascii="Arial" w:cs="Arial" w:eastAsia="Arial" w:hAnsi="Arial"/>
          <w:sz w:val="15"/>
          <w:szCs w:val="15"/>
          <w:b w:val="1"/>
          <w:bCs w:val="1"/>
          <w:color w:val="auto"/>
        </w:rPr>
        <w:t xml:space="preserve"> </w:t>
      </w:r>
      <w:r>
        <w:rPr>
          <w:rFonts w:ascii="Arial" w:cs="Arial" w:eastAsia="Arial" w:hAnsi="Arial"/>
          <w:sz w:val="15"/>
          <w:szCs w:val="15"/>
          <w:color w:val="auto"/>
        </w:rPr>
        <w:t>creditors; (B) commence any case, proceeding or other action seeking to have an order for relief entered on its behalf as a debtor or to adjudicate it a bankrupt or insolvent, or seeking, reorganization, arrangement, adjustment, liquidations,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5"/>
          <w:szCs w:val="15"/>
          <w:b w:val="1"/>
          <w:bCs w:val="1"/>
          <w:color w:val="auto"/>
        </w:rPr>
        <w:t>Proceeding for Relief</w:t>
      </w:r>
      <w:r>
        <w:rPr>
          <w:rFonts w:ascii="Arial" w:cs="Arial" w:eastAsia="Arial" w:hAnsi="Arial"/>
          <w:sz w:val="15"/>
          <w:szCs w:val="15"/>
          <w:color w:val="auto"/>
        </w:rPr>
        <w:t>”); (C) become the subject</w:t>
      </w:r>
    </w:p>
    <w:p>
      <w:pPr>
        <w:sectPr>
          <w:pgSz w:w="11900" w:h="16886" w:orient="portrait"/>
          <w:cols w:equalWidth="0" w:num="1">
            <w:col w:w="11420"/>
          </w:cols>
          <w:pgMar w:left="240" w:top="337" w:right="239" w:bottom="0" w:gutter="0" w:footer="0" w:header="0"/>
        </w:sectPr>
      </w:pPr>
    </w:p>
    <w:bookmarkStart w:id="261" w:name="page262"/>
    <w:bookmarkEnd w:id="261"/>
    <w:p>
      <w:pPr>
        <w:ind w:right="140"/>
        <w:spacing w:after="0" w:line="322" w:lineRule="auto"/>
        <w:rPr>
          <w:sz w:val="20"/>
          <w:szCs w:val="20"/>
          <w:color w:val="auto"/>
        </w:rPr>
      </w:pPr>
      <w:r>
        <w:rPr>
          <w:rFonts w:ascii="Arial" w:cs="Arial" w:eastAsia="Arial" w:hAnsi="Arial"/>
          <w:sz w:val="16"/>
          <w:szCs w:val="16"/>
          <w:color w:val="auto"/>
        </w:rPr>
        <w:t>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30" w:lineRule="exact"/>
        <w:rPr>
          <w:sz w:val="20"/>
          <w:szCs w:val="20"/>
          <w:color w:val="auto"/>
        </w:rPr>
      </w:pPr>
    </w:p>
    <w:p>
      <w:pPr>
        <w:ind w:firstLine="634"/>
        <w:spacing w:after="0" w:line="297" w:lineRule="auto"/>
        <w:tabs>
          <w:tab w:leader="none" w:pos="1313" w:val="left"/>
        </w:tabs>
        <w:numPr>
          <w:ilvl w:val="0"/>
          <w:numId w:val="323"/>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b w:val="1"/>
          <w:bCs w:val="1"/>
          <w:color w:val="auto"/>
        </w:rPr>
        <w:t xml:space="preserve"> </w:t>
      </w:r>
      <w:r>
        <w:rPr>
          <w:rFonts w:ascii="Arial" w:cs="Arial" w:eastAsia="Arial" w:hAnsi="Arial"/>
          <w:sz w:val="17"/>
          <w:szCs w:val="17"/>
          <w:color w:val="auto"/>
        </w:rPr>
        <w:t>within</w:t>
      </w:r>
      <w:r>
        <w:rPr>
          <w:rFonts w:ascii="Arial" w:cs="Arial" w:eastAsia="Arial" w:hAnsi="Arial"/>
          <w:sz w:val="17"/>
          <w:szCs w:val="17"/>
          <w:b w:val="1"/>
          <w:bCs w:val="1"/>
          <w:color w:val="auto"/>
        </w:rPr>
        <w:t xml:space="preserve"> </w:t>
      </w:r>
      <w:r>
        <w:rPr>
          <w:rFonts w:ascii="Arial" w:cs="Arial" w:eastAsia="Arial" w:hAnsi="Arial"/>
          <w:sz w:val="17"/>
          <w:szCs w:val="17"/>
          <w:color w:val="auto"/>
        </w:rPr>
        <w:t>5 days after a second notice requesting such document.</w:t>
      </w:r>
    </w:p>
    <w:p>
      <w:pPr>
        <w:spacing w:after="0" w:line="145" w:lineRule="exact"/>
        <w:rPr>
          <w:rFonts w:ascii="Arial" w:cs="Arial" w:eastAsia="Arial" w:hAnsi="Arial"/>
          <w:sz w:val="17"/>
          <w:szCs w:val="17"/>
          <w:color w:val="auto"/>
        </w:rPr>
      </w:pPr>
    </w:p>
    <w:p>
      <w:pPr>
        <w:ind w:right="320" w:firstLine="634"/>
        <w:spacing w:after="0" w:line="330" w:lineRule="auto"/>
        <w:tabs>
          <w:tab w:leader="none" w:pos="1313" w:val="left"/>
        </w:tabs>
        <w:numPr>
          <w:ilvl w:val="0"/>
          <w:numId w:val="323"/>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10 days after written notice thereof from Landlord to Tenant.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634"/>
        <w:spacing w:after="0" w:line="297" w:lineRule="auto"/>
        <w:tabs>
          <w:tab w:leader="none" w:pos="1318"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Nodality Sublease</w:t>
      </w:r>
      <w:r>
        <w:rPr>
          <w:rFonts w:ascii="Arial" w:cs="Arial" w:eastAsia="Arial" w:hAnsi="Arial"/>
          <w:sz w:val="17"/>
          <w:szCs w:val="17"/>
          <w:color w:val="auto"/>
        </w:rPr>
        <w:t>. A default beyond applicable cure periods by Tenant under the Nodality Sublease and/or the Current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Current Premises Commencement Date which remains uncured.</w:t>
      </w:r>
    </w:p>
    <w:p>
      <w:pPr>
        <w:spacing w:after="0" w:line="145" w:lineRule="exact"/>
        <w:rPr>
          <w:rFonts w:ascii="Arial" w:cs="Arial" w:eastAsia="Arial" w:hAnsi="Arial"/>
          <w:sz w:val="17"/>
          <w:szCs w:val="17"/>
          <w:color w:val="auto"/>
        </w:rPr>
      </w:pPr>
    </w:p>
    <w:p>
      <w:pPr>
        <w:ind w:right="340" w:firstLine="634"/>
        <w:spacing w:after="0" w:line="297" w:lineRule="auto"/>
        <w:tabs>
          <w:tab w:leader="none" w:pos="1318"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Poniard Sublease</w:t>
      </w:r>
      <w:r>
        <w:rPr>
          <w:rFonts w:ascii="Arial" w:cs="Arial" w:eastAsia="Arial" w:hAnsi="Arial"/>
          <w:sz w:val="17"/>
          <w:szCs w:val="17"/>
          <w:color w:val="auto"/>
        </w:rPr>
        <w:t>. A default beyond applicable cure periods by Tenant under the Poniard Sublease and/or the Expansion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Expansion Premises Commencement Date which remains uncured.</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(it)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30 days from the date of Landlord’s notice.</w:t>
      </w:r>
    </w:p>
    <w:p>
      <w:pPr>
        <w:spacing w:after="0" w:line="177" w:lineRule="exact"/>
        <w:rPr>
          <w:sz w:val="20"/>
          <w:szCs w:val="20"/>
          <w:color w:val="auto"/>
        </w:rPr>
      </w:pPr>
    </w:p>
    <w:p>
      <w:pPr>
        <w:ind w:left="1280" w:hanging="646"/>
        <w:spacing w:after="0"/>
        <w:tabs>
          <w:tab w:leader="none" w:pos="1280" w:val="left"/>
        </w:tabs>
        <w:numPr>
          <w:ilvl w:val="0"/>
          <w:numId w:val="325"/>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267" w:lineRule="auto"/>
        <w:tabs>
          <w:tab w:leader="none" w:pos="1304"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Payment By Landlord; Interest</w:t>
      </w:r>
      <w:r>
        <w:rPr>
          <w:rFonts w:ascii="Arial" w:cs="Arial" w:eastAsia="Arial" w:hAnsi="Arial"/>
          <w:sz w:val="17"/>
          <w:szCs w:val="17"/>
          <w:color w:val="auto"/>
        </w:rPr>
        <w:t>. Upon a Default by Tenant hereunder, Landlord may, without waiving or releasing any obligation of Tenant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7"/>
          <w:szCs w:val="17"/>
          <w:b w:val="1"/>
          <w:bCs w:val="1"/>
          <w:color w:val="auto"/>
        </w:rPr>
        <w:t>Default Rate</w:t>
      </w:r>
      <w:r>
        <w:rPr>
          <w:rFonts w:ascii="Arial" w:cs="Arial" w:eastAsia="Arial" w:hAnsi="Arial"/>
          <w:sz w:val="17"/>
          <w:szCs w:val="17"/>
          <w:color w:val="auto"/>
        </w:rPr>
        <w:t>”), whichever is less, shall be payable to Landlord on demand as Additional Rent. Nothing herein shall be construed to create or impose a duty on Landlord to mitigate any damages resulting from Tenant’s Default hereunder.</w:t>
      </w:r>
    </w:p>
    <w:p>
      <w:pPr>
        <w:spacing w:after="0" w:line="171" w:lineRule="exact"/>
        <w:rPr>
          <w:rFonts w:ascii="Arial" w:cs="Arial" w:eastAsia="Arial" w:hAnsi="Arial"/>
          <w:sz w:val="17"/>
          <w:szCs w:val="17"/>
          <w:color w:val="auto"/>
        </w:rPr>
      </w:pPr>
    </w:p>
    <w:p>
      <w:pPr>
        <w:ind w:right="180" w:firstLine="634"/>
        <w:spacing w:after="0" w:line="281" w:lineRule="auto"/>
        <w:tabs>
          <w:tab w:leader="none" w:pos="1313" w:val="left"/>
        </w:tabs>
        <w:numPr>
          <w:ilvl w:val="0"/>
          <w:numId w:val="326"/>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64" w:lineRule="exact"/>
        <w:rPr>
          <w:rFonts w:ascii="Arial" w:cs="Arial" w:eastAsia="Arial" w:hAnsi="Arial"/>
          <w:sz w:val="16"/>
          <w:szCs w:val="16"/>
          <w:color w:val="auto"/>
        </w:rPr>
      </w:pPr>
    </w:p>
    <w:p>
      <w:pPr>
        <w:ind w:right="40" w:firstLine="634"/>
        <w:spacing w:after="0" w:line="277" w:lineRule="auto"/>
        <w:tabs>
          <w:tab w:leader="none" w:pos="1304"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168" w:lineRule="exact"/>
        <w:rPr>
          <w:rFonts w:ascii="Arial" w:cs="Arial" w:eastAsia="Arial" w:hAnsi="Arial"/>
          <w:sz w:val="17"/>
          <w:szCs w:val="17"/>
          <w:color w:val="auto"/>
        </w:rPr>
      </w:pPr>
    </w:p>
    <w:p>
      <w:pPr>
        <w:jc w:val="both"/>
        <w:ind w:left="640" w:right="20" w:firstLine="623"/>
        <w:spacing w:after="0" w:line="268" w:lineRule="auto"/>
        <w:tabs>
          <w:tab w:leader="none" w:pos="1958"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175" w:lineRule="exact"/>
        <w:rPr>
          <w:rFonts w:ascii="Arial" w:cs="Arial" w:eastAsia="Arial" w:hAnsi="Arial"/>
          <w:sz w:val="17"/>
          <w:szCs w:val="17"/>
          <w:color w:val="auto"/>
        </w:rPr>
      </w:pPr>
    </w:p>
    <w:p>
      <w:pPr>
        <w:ind w:left="640" w:right="460" w:firstLine="623"/>
        <w:spacing w:after="0" w:line="289" w:lineRule="auto"/>
        <w:tabs>
          <w:tab w:leader="none" w:pos="1963"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Upon any termination of this Lease, whether pursuant to the foregoing </w:t>
      </w:r>
      <w:r>
        <w:rPr>
          <w:rFonts w:ascii="Arial" w:cs="Arial" w:eastAsia="Arial" w:hAnsi="Arial"/>
          <w:sz w:val="17"/>
          <w:szCs w:val="17"/>
          <w:u w:val="single" w:color="auto"/>
          <w:color w:val="auto"/>
        </w:rPr>
        <w:t>Section 21(c)(i)</w:t>
      </w:r>
      <w:r>
        <w:rPr>
          <w:rFonts w:ascii="Arial" w:cs="Arial" w:eastAsia="Arial" w:hAnsi="Arial"/>
          <w:sz w:val="17"/>
          <w:szCs w:val="17"/>
          <w:color w:val="auto"/>
        </w:rPr>
        <w:t xml:space="preserve"> or otherwise, Landlord may recover from Tenant the following: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0" w:hanging="770"/>
        <w:spacing w:after="0"/>
        <w:tabs>
          <w:tab w:leader="none" w:pos="26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224" w:lineRule="exact"/>
        <w:rPr>
          <w:rFonts w:ascii="Arial" w:cs="Arial" w:eastAsia="Arial" w:hAnsi="Arial"/>
          <w:sz w:val="17"/>
          <w:szCs w:val="17"/>
          <w:color w:val="auto"/>
        </w:rPr>
      </w:pPr>
    </w:p>
    <w:p>
      <w:pPr>
        <w:ind w:left="1200" w:right="100" w:firstLine="630"/>
        <w:spacing w:after="0" w:line="322" w:lineRule="auto"/>
        <w:tabs>
          <w:tab w:leader="none" w:pos="258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35" w:lineRule="exact"/>
        <w:rPr>
          <w:rFonts w:ascii="Arial" w:cs="Arial" w:eastAsia="Arial" w:hAnsi="Arial"/>
          <w:sz w:val="16"/>
          <w:szCs w:val="16"/>
          <w:color w:val="auto"/>
        </w:rPr>
      </w:pPr>
    </w:p>
    <w:p>
      <w:pPr>
        <w:ind w:left="1200" w:right="300" w:firstLine="630"/>
        <w:spacing w:after="0" w:line="289" w:lineRule="auto"/>
        <w:tabs>
          <w:tab w:leader="none" w:pos="2586"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58" w:lineRule="exact"/>
        <w:rPr>
          <w:rFonts w:ascii="Arial" w:cs="Arial" w:eastAsia="Arial" w:hAnsi="Arial"/>
          <w:sz w:val="17"/>
          <w:szCs w:val="17"/>
          <w:color w:val="auto"/>
        </w:rPr>
      </w:pPr>
    </w:p>
    <w:p>
      <w:pPr>
        <w:ind w:left="1200" w:right="120" w:firstLine="630"/>
        <w:spacing w:after="0" w:line="290" w:lineRule="auto"/>
        <w:tabs>
          <w:tab w:leader="none" w:pos="259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59" w:lineRule="exact"/>
        <w:rPr>
          <w:rFonts w:ascii="Arial" w:cs="Arial" w:eastAsia="Arial" w:hAnsi="Arial"/>
          <w:sz w:val="16"/>
          <w:szCs w:val="16"/>
          <w:color w:val="auto"/>
        </w:rPr>
      </w:pPr>
    </w:p>
    <w:p>
      <w:pPr>
        <w:ind w:left="2580" w:hanging="750"/>
        <w:spacing w:after="0"/>
        <w:tabs>
          <w:tab w:leader="none" w:pos="2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w:t>
      </w:r>
    </w:p>
    <w:p>
      <w:pPr>
        <w:spacing w:after="0" w:line="3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7"/>
          <w:szCs w:val="17"/>
          <w:color w:val="auto"/>
        </w:rPr>
        <w:t>applicable law.</w:t>
      </w:r>
    </w:p>
    <w:p>
      <w:pPr>
        <w:spacing w:after="0" w:line="206"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allowing</w:t>
      </w:r>
    </w:p>
    <w:p>
      <w:pPr>
        <w:sectPr>
          <w:pgSz w:w="11900" w:h="16838" w:orient="portrait"/>
          <w:cols w:equalWidth="0" w:num="1">
            <w:col w:w="11420"/>
          </w:cols>
          <w:pgMar w:left="240" w:top="127" w:right="239" w:bottom="0" w:gutter="0" w:footer="0" w:header="0"/>
        </w:sectPr>
      </w:pPr>
    </w:p>
    <w:bookmarkStart w:id="262" w:name="page263"/>
    <w:bookmarkEnd w:id="262"/>
    <w:p>
      <w:pPr>
        <w:spacing w:after="0" w:line="21" w:lineRule="exact"/>
        <w:rPr>
          <w:sz w:val="20"/>
          <w:szCs w:val="20"/>
          <w:color w:val="auto"/>
        </w:rPr>
      </w:pPr>
    </w:p>
    <w:p>
      <w:pPr>
        <w:ind w:right="580"/>
        <w:spacing w:after="0" w:line="297" w:lineRule="auto"/>
        <w:rPr>
          <w:sz w:val="20"/>
          <w:szCs w:val="20"/>
          <w:color w:val="auto"/>
        </w:rPr>
      </w:pPr>
      <w:r>
        <w:rPr>
          <w:rFonts w:ascii="Arial" w:cs="Arial" w:eastAsia="Arial" w:hAnsi="Arial"/>
          <w:sz w:val="17"/>
          <w:szCs w:val="17"/>
          <w:color w:val="auto"/>
        </w:rPr>
        <w:t xml:space="preserve">interest at the Default Rate. As used in </w:t>
      </w:r>
      <w:r>
        <w:rPr>
          <w:rFonts w:ascii="Arial" w:cs="Arial" w:eastAsia="Arial" w:hAnsi="Arial"/>
          <w:sz w:val="17"/>
          <w:szCs w:val="17"/>
          <w:u w:val="single" w:color="auto"/>
          <w:color w:val="auto"/>
        </w:rPr>
        <w:t>Section 21(c)(ii)(C)</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shall be computed by discounting such amount at the discount rate of the Federal Reserve Bank of San Francisco at the time of award plus 1%.</w:t>
      </w:r>
    </w:p>
    <w:p>
      <w:pPr>
        <w:spacing w:after="0" w:line="151" w:lineRule="exact"/>
        <w:rPr>
          <w:sz w:val="20"/>
          <w:szCs w:val="20"/>
          <w:color w:val="auto"/>
        </w:rPr>
      </w:pPr>
    </w:p>
    <w:p>
      <w:pPr>
        <w:ind w:left="640" w:firstLine="623"/>
        <w:spacing w:after="0" w:line="268" w:lineRule="auto"/>
        <w:tabs>
          <w:tab w:leader="none" w:pos="196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175" w:lineRule="exact"/>
        <w:rPr>
          <w:rFonts w:ascii="Arial" w:cs="Arial" w:eastAsia="Arial" w:hAnsi="Arial"/>
          <w:sz w:val="17"/>
          <w:szCs w:val="17"/>
          <w:color w:val="auto"/>
        </w:rPr>
      </w:pPr>
    </w:p>
    <w:p>
      <w:pPr>
        <w:ind w:left="640" w:right="60" w:firstLine="623"/>
        <w:spacing w:after="0" w:line="265" w:lineRule="auto"/>
        <w:tabs>
          <w:tab w:leader="none" w:pos="195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rFonts w:ascii="Arial" w:cs="Arial" w:eastAsia="Arial" w:hAnsi="Arial"/>
          <w:sz w:val="17"/>
          <w:szCs w:val="17"/>
          <w:color w:val="auto"/>
        </w:rPr>
      </w:pPr>
    </w:p>
    <w:p>
      <w:pPr>
        <w:ind w:left="640" w:right="920" w:firstLine="623"/>
        <w:spacing w:after="0" w:line="289" w:lineRule="auto"/>
        <w:tabs>
          <w:tab w:leader="none" w:pos="195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30(d)</w:t>
      </w:r>
      <w:r>
        <w:rPr>
          <w:rFonts w:ascii="Arial" w:cs="Arial" w:eastAsia="Arial" w:hAnsi="Arial"/>
          <w:sz w:val="17"/>
          <w:szCs w:val="17"/>
          <w:color w:val="auto"/>
        </w:rPr>
        <w:t xml:space="preserve"> hereof, at Tenant’s expense.</w:t>
      </w:r>
    </w:p>
    <w:p>
      <w:pPr>
        <w:spacing w:after="0" w:line="152" w:lineRule="exact"/>
        <w:rPr>
          <w:sz w:val="20"/>
          <w:szCs w:val="20"/>
          <w:color w:val="auto"/>
        </w:rPr>
      </w:pPr>
    </w:p>
    <w:p>
      <w:pPr>
        <w:ind w:right="60" w:firstLine="634"/>
        <w:spacing w:after="0" w:line="292" w:lineRule="auto"/>
        <w:tabs>
          <w:tab w:leader="none" w:pos="1313" w:val="left"/>
        </w:tabs>
        <w:numPr>
          <w:ilvl w:val="0"/>
          <w:numId w:val="329"/>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Following a Default by Tenant under this Lease and Tenant’s failure to cure such Default within the applicable cure period prescribed in this Lease,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62" w:lineRule="exact"/>
        <w:rPr>
          <w:sz w:val="20"/>
          <w:szCs w:val="20"/>
          <w:color w:val="auto"/>
        </w:rPr>
      </w:pPr>
    </w:p>
    <w:p>
      <w:pPr>
        <w:ind w:left="1260" w:hanging="626"/>
        <w:spacing w:after="0"/>
        <w:tabs>
          <w:tab w:leader="none" w:pos="1260" w:val="left"/>
        </w:tabs>
        <w:numPr>
          <w:ilvl w:val="0"/>
          <w:numId w:val="330"/>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p>
    <w:p>
      <w:pPr>
        <w:spacing w:after="0" w:line="224" w:lineRule="exact"/>
        <w:rPr>
          <w:sz w:val="20"/>
          <w:szCs w:val="20"/>
          <w:color w:val="auto"/>
        </w:rPr>
      </w:pPr>
    </w:p>
    <w:p>
      <w:pPr>
        <w:ind w:right="120" w:firstLine="634"/>
        <w:spacing w:after="0" w:line="278" w:lineRule="auto"/>
        <w:tabs>
          <w:tab w:leader="none" w:pos="1256"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General Prohibition. </w:t>
      </w:r>
      <w:r>
        <w:rPr>
          <w:rFonts w:ascii="Arial" w:cs="Arial" w:eastAsia="Arial" w:hAnsi="Arial"/>
          <w:sz w:val="16"/>
          <w:szCs w:val="16"/>
          <w:color w:val="auto"/>
        </w:rPr>
        <w:t>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Notwithstanding the foregoing, (a) any public offering of shares or other ownership interest in Tenant shall not be deemed an assignment and (b) Tenant shall have the right to obtain financing from investors (including venture capital funding and corporate partners) which results in a change in control of Tenant without such change of control constituting an assignment under this Section 22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65" w:lineRule="exact"/>
        <w:rPr>
          <w:rFonts w:ascii="Arial" w:cs="Arial" w:eastAsia="Arial" w:hAnsi="Arial"/>
          <w:sz w:val="16"/>
          <w:szCs w:val="16"/>
          <w:color w:val="auto"/>
        </w:rPr>
      </w:pPr>
    </w:p>
    <w:p>
      <w:pPr>
        <w:ind w:firstLine="634"/>
        <w:spacing w:after="0" w:line="279" w:lineRule="auto"/>
        <w:tabs>
          <w:tab w:leader="none" w:pos="1266"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Among other reasons, it shall be reasonable for Landlord to withhold its consent in any of these circumstances: (1) the proposed assignee or subtenant is a governmental agency; (2) in Landlord’s reasonable judgment,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proposed assignee or subtenant is inconsistent with the desired tenant-mix or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w:t>
      </w:r>
    </w:p>
    <w:p>
      <w:pPr>
        <w:spacing w:after="0" w:line="1" w:lineRule="exact"/>
        <w:rPr>
          <w:sz w:val="20"/>
          <w:szCs w:val="20"/>
          <w:color w:val="auto"/>
        </w:rPr>
      </w:pPr>
    </w:p>
    <w:p>
      <w:pPr>
        <w:ind w:right="280" w:firstLine="5"/>
        <w:spacing w:after="0" w:line="317" w:lineRule="auto"/>
        <w:tabs>
          <w:tab w:leader="none" w:pos="247" w:val="left"/>
        </w:tabs>
        <w:numPr>
          <w:ilvl w:val="0"/>
          <w:numId w:val="332"/>
        </w:numPr>
        <w:rPr>
          <w:rFonts w:ascii="Arial" w:cs="Arial" w:eastAsia="Arial" w:hAnsi="Arial"/>
          <w:sz w:val="15"/>
          <w:szCs w:val="15"/>
          <w:color w:val="auto"/>
        </w:rPr>
      </w:pPr>
      <w:r>
        <w:rPr>
          <w:rFonts w:ascii="Arial" w:cs="Arial" w:eastAsia="Arial" w:hAnsi="Arial"/>
          <w:sz w:val="15"/>
          <w:szCs w:val="15"/>
          <w:color w:val="auto"/>
        </w:rPr>
        <w:t>the use of the Premises by the proposed assignee or subtenant will violate any applicable Legal Requirements; (9) the proposed assignee or subtenant is an entity with whom Landlord has agreed to a letter of intent to lease space in the Project; or (10) the proposed assignment or sublease is prohibited by Landlord’s lender. If Landlord delivers notice of its election to exercise an Assignment Termination, Tenant shall have the right to withdraw such Assignment Notice by</w:t>
      </w:r>
    </w:p>
    <w:p>
      <w:pPr>
        <w:sectPr>
          <w:pgSz w:w="11900" w:h="16859" w:orient="portrait"/>
          <w:cols w:equalWidth="0" w:num="1">
            <w:col w:w="11420"/>
          </w:cols>
          <w:pgMar w:left="240" w:top="121" w:right="239" w:bottom="0" w:gutter="0" w:footer="0" w:header="0"/>
        </w:sectPr>
      </w:pPr>
    </w:p>
    <w:bookmarkStart w:id="263" w:name="page264"/>
    <w:bookmarkEnd w:id="263"/>
    <w:p>
      <w:pPr>
        <w:spacing w:after="0" w:line="263" w:lineRule="auto"/>
        <w:rPr>
          <w:sz w:val="20"/>
          <w:szCs w:val="20"/>
          <w:color w:val="auto"/>
        </w:rPr>
      </w:pPr>
      <w:r>
        <w:rPr>
          <w:rFonts w:ascii="Arial" w:cs="Arial" w:eastAsia="Arial" w:hAnsi="Arial"/>
          <w:sz w:val="17"/>
          <w:szCs w:val="17"/>
          <w:color w:val="auto"/>
        </w:rPr>
        <w:t>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Notwithstanding the foregoing, (i) Landlord’s consent to an assignment of this Lease or a subletting of any portion of the Premises to any entity controlling, controlled by or under common control with Tenant shall not be required, provided that Landlord shall have the right to approve the form of any such sublease or assignment, which consent shall not be unreasonably withheld or delayed, and (ii) Tenant shall have the right to undergo a deemed assignment due to change in control or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(A) such merger or consolidation, or such acquisition or assumption, as the case may be, is for a good business purpose and not principally for the purpose of transferring the Lease, and (B)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date of Tenant’s most current quarterly or annual financial statements, and (C) such assignee shall agree in writing to assume all of the terms, covenants and conditions of this Lease arising after the effective date of the assignment (a “</w:t>
      </w:r>
      <w:r>
        <w:rPr>
          <w:rFonts w:ascii="Arial" w:cs="Arial" w:eastAsia="Arial" w:hAnsi="Arial"/>
          <w:sz w:val="16"/>
          <w:szCs w:val="16"/>
          <w:b w:val="1"/>
          <w:bCs w:val="1"/>
          <w:color w:val="auto"/>
        </w:rPr>
        <w:t>Permitted Assignment</w:t>
      </w:r>
      <w:r>
        <w:rPr>
          <w:rFonts w:ascii="Arial" w:cs="Arial" w:eastAsia="Arial" w:hAnsi="Arial"/>
          <w:sz w:val="16"/>
          <w:szCs w:val="16"/>
          <w:color w:val="auto"/>
        </w:rPr>
        <w:t>”). Notwithstanding anything in this Section 22(b) to the contrary, Landlord shall not have the right to elect an Assignment Termination in connection with a Permitted Assignment.</w:t>
      </w:r>
    </w:p>
    <w:p>
      <w:pPr>
        <w:spacing w:after="0" w:line="167" w:lineRule="exact"/>
        <w:rPr>
          <w:sz w:val="20"/>
          <w:szCs w:val="20"/>
          <w:color w:val="auto"/>
        </w:rPr>
      </w:pPr>
    </w:p>
    <w:p>
      <w:pPr>
        <w:ind w:left="1280" w:hanging="646"/>
        <w:spacing w:after="0"/>
        <w:tabs>
          <w:tab w:leader="none" w:pos="1280" w:val="left"/>
        </w:tabs>
        <w:numPr>
          <w:ilvl w:val="0"/>
          <w:numId w:val="333"/>
        </w:numPr>
        <w:rPr>
          <w:rFonts w:ascii="Arial" w:cs="Arial" w:eastAsia="Arial" w:hAnsi="Arial"/>
          <w:sz w:val="16"/>
          <w:szCs w:val="16"/>
          <w:color w:val="auto"/>
        </w:rPr>
      </w:pPr>
      <w:r>
        <w:rPr>
          <w:rFonts w:ascii="Arial" w:cs="Arial" w:eastAsia="Arial" w:hAnsi="Arial"/>
          <w:sz w:val="16"/>
          <w:szCs w:val="16"/>
          <w:b w:val="1"/>
          <w:bCs w:val="1"/>
          <w:color w:val="auto"/>
        </w:rPr>
        <w:t xml:space="preserve">Additional Conditions. </w:t>
      </w:r>
      <w:r>
        <w:rPr>
          <w:rFonts w:ascii="Arial" w:cs="Arial" w:eastAsia="Arial" w:hAnsi="Arial"/>
          <w:sz w:val="16"/>
          <w:szCs w:val="16"/>
          <w:color w:val="auto"/>
        </w:rPr>
        <w:t>As a condition to any such assignment or subletting, whether or not Landlord’s consent is required, Landlord may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require:</w:t>
      </w:r>
    </w:p>
    <w:p>
      <w:pPr>
        <w:spacing w:after="0" w:line="212" w:lineRule="exact"/>
        <w:rPr>
          <w:sz w:val="20"/>
          <w:szCs w:val="20"/>
          <w:color w:val="auto"/>
        </w:rPr>
      </w:pPr>
    </w:p>
    <w:p>
      <w:pPr>
        <w:ind w:left="640" w:right="180" w:firstLine="623"/>
        <w:spacing w:after="0" w:line="265" w:lineRule="auto"/>
        <w:tabs>
          <w:tab w:leader="none" w:pos="191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79" w:lineRule="exact"/>
        <w:rPr>
          <w:rFonts w:ascii="Arial" w:cs="Arial" w:eastAsia="Arial" w:hAnsi="Arial"/>
          <w:sz w:val="17"/>
          <w:szCs w:val="17"/>
          <w:color w:val="auto"/>
        </w:rPr>
      </w:pPr>
    </w:p>
    <w:p>
      <w:pPr>
        <w:ind w:left="640" w:right="260" w:firstLine="623"/>
        <w:spacing w:after="0" w:line="289" w:lineRule="auto"/>
        <w:tabs>
          <w:tab w:leader="none" w:pos="192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 list of Hazardous Materials, certified by the proposed assignee or sublessee to be true and correct, which the proposed assignee or sublessee intends to use, store, handle,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1" w:lineRule="auto"/>
        <w:rPr>
          <w:sz w:val="20"/>
          <w:szCs w:val="20"/>
          <w:color w:val="auto"/>
        </w:rPr>
      </w:pPr>
      <w:r>
        <w:rPr>
          <w:rFonts w:ascii="Arial" w:cs="Arial" w:eastAsia="Arial" w:hAnsi="Arial"/>
          <w:sz w:val="17"/>
          <w:szCs w:val="17"/>
          <w:color w:val="auto"/>
        </w:rPr>
        <w:t>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78" w:lineRule="exact"/>
        <w:rPr>
          <w:sz w:val="20"/>
          <w:szCs w:val="20"/>
          <w:color w:val="auto"/>
        </w:rPr>
      </w:pPr>
    </w:p>
    <w:p>
      <w:pPr>
        <w:ind w:firstLine="634"/>
        <w:spacing w:after="0" w:line="261" w:lineRule="auto"/>
        <w:tabs>
          <w:tab w:leader="none" w:pos="1266"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 xml:space="preserve">No Release of Tenant, Sharing of Excess Rents. </w:t>
      </w:r>
      <w:r>
        <w:rPr>
          <w:rFonts w:ascii="Arial" w:cs="Arial" w:eastAsia="Arial" w:hAnsi="Arial"/>
          <w:sz w:val="17"/>
          <w:szCs w:val="17"/>
          <w:color w:val="auto"/>
        </w:rPr>
        <w:t>Notwithstanding any assignment or subletting, Tenant and any guarantor or surety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Lease shall at all times remain fully and primarily responsible and liable for the payment of Rent and for compliance with all of Tenant’s other obligations under this Lease. Except with respect to a Permitted Assignment, if the Rent due and payable by a sublessee or assignee (or a combination of the rental payable under such sublease or assignment plus any bonus or other consideration therefor or incident thereto in any form attributable to the assignment of sublease)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78" w:lineRule="exact"/>
        <w:rPr>
          <w:rFonts w:ascii="Arial" w:cs="Arial" w:eastAsia="Arial" w:hAnsi="Arial"/>
          <w:sz w:val="17"/>
          <w:szCs w:val="17"/>
          <w:color w:val="auto"/>
        </w:rPr>
      </w:pPr>
    </w:p>
    <w:p>
      <w:pPr>
        <w:ind w:right="40" w:firstLine="634"/>
        <w:spacing w:after="0" w:line="267" w:lineRule="auto"/>
        <w:tabs>
          <w:tab w:leader="none" w:pos="1269"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The consent by Landlord to an assignment or subletting shall not relieve Tenant or any assignees of this Lease or any sublessees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1" w:lineRule="exact"/>
        <w:rPr>
          <w:rFonts w:ascii="Arial" w:cs="Arial" w:eastAsia="Arial" w:hAnsi="Arial"/>
          <w:sz w:val="17"/>
          <w:szCs w:val="17"/>
          <w:color w:val="auto"/>
        </w:rPr>
      </w:pPr>
    </w:p>
    <w:p>
      <w:pPr>
        <w:ind w:right="20" w:firstLine="634"/>
        <w:spacing w:after="0" w:line="281" w:lineRule="auto"/>
        <w:tabs>
          <w:tab w:leader="none" w:pos="1263" w:val="left"/>
        </w:tabs>
        <w:numPr>
          <w:ilvl w:val="0"/>
          <w:numId w:val="335"/>
        </w:numPr>
        <w:rPr>
          <w:rFonts w:ascii="Arial" w:cs="Arial" w:eastAsia="Arial" w:hAnsi="Arial"/>
          <w:sz w:val="16"/>
          <w:szCs w:val="16"/>
          <w:color w:val="auto"/>
        </w:rPr>
      </w:pPr>
      <w:r>
        <w:rPr>
          <w:rFonts w:ascii="Arial" w:cs="Arial" w:eastAsia="Arial" w:hAnsi="Arial"/>
          <w:sz w:val="16"/>
          <w:szCs w:val="16"/>
          <w:b w:val="1"/>
          <w:bCs w:val="1"/>
          <w:color w:val="auto"/>
        </w:rPr>
        <w:t xml:space="preserve">Prior Conduct of Proposed Transferee. </w:t>
      </w:r>
      <w:r>
        <w:rPr>
          <w:rFonts w:ascii="Arial" w:cs="Arial" w:eastAsia="Arial" w:hAnsi="Arial"/>
          <w:sz w:val="16"/>
          <w:szCs w:val="16"/>
          <w:color w:val="auto"/>
        </w:rPr>
        <w:t>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64" w:lineRule="exact"/>
        <w:rPr>
          <w:sz w:val="20"/>
          <w:szCs w:val="20"/>
          <w:color w:val="auto"/>
        </w:rPr>
      </w:pPr>
    </w:p>
    <w:p>
      <w:pPr>
        <w:ind w:right="200" w:firstLine="634"/>
        <w:spacing w:after="0" w:line="330" w:lineRule="auto"/>
        <w:tabs>
          <w:tab w:leader="none" w:pos="1254" w:val="left"/>
        </w:tabs>
        <w:numPr>
          <w:ilvl w:val="0"/>
          <w:numId w:val="336"/>
        </w:numPr>
        <w:rPr>
          <w:rFonts w:ascii="Arial" w:cs="Arial" w:eastAsia="Arial" w:hAnsi="Arial"/>
          <w:sz w:val="16"/>
          <w:szCs w:val="16"/>
          <w:color w:val="auto"/>
        </w:rPr>
      </w:pPr>
      <w:r>
        <w:rPr>
          <w:rFonts w:ascii="Arial" w:cs="Arial" w:eastAsia="Arial" w:hAnsi="Arial"/>
          <w:sz w:val="16"/>
          <w:szCs w:val="16"/>
          <w:b w:val="1"/>
          <w:bCs w:val="1"/>
          <w:color w:val="auto"/>
        </w:rPr>
        <w:t xml:space="preserve">Estoppel Certificate. </w:t>
      </w:r>
      <w:r>
        <w:rPr>
          <w:rFonts w:ascii="Arial" w:cs="Arial" w:eastAsia="Arial" w:hAnsi="Arial"/>
          <w:sz w:val="16"/>
          <w:szCs w:val="16"/>
          <w:color w:val="auto"/>
        </w:rPr>
        <w:t>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w:t>
      </w:r>
    </w:p>
    <w:p>
      <w:pPr>
        <w:sectPr>
          <w:pgSz w:w="11900" w:h="16838" w:orient="portrait"/>
          <w:cols w:equalWidth="0" w:num="1">
            <w:col w:w="11420"/>
          </w:cols>
          <w:pgMar w:left="240" w:top="128" w:right="239" w:bottom="165"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165" w:gutter="0" w:footer="0" w:header="0"/>
          <w:type w:val="continuous"/>
        </w:sectPr>
      </w:pPr>
    </w:p>
    <w:bookmarkStart w:id="264" w:name="page265"/>
    <w:bookmarkEnd w:id="264"/>
    <w:p>
      <w:pPr>
        <w:spacing w:after="0" w:line="281" w:lineRule="auto"/>
        <w:rPr>
          <w:sz w:val="20"/>
          <w:szCs w:val="20"/>
          <w:color w:val="auto"/>
        </w:rPr>
      </w:pPr>
      <w:r>
        <w:rPr>
          <w:rFonts w:ascii="Arial" w:cs="Arial" w:eastAsia="Arial" w:hAnsi="Arial"/>
          <w:sz w:val="16"/>
          <w:szCs w:val="16"/>
          <w:color w:val="auto"/>
        </w:rPr>
        <w:t xml:space="preserve">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after the expiration of the notice and cure period set forth in </w:t>
      </w:r>
      <w:r>
        <w:rPr>
          <w:rFonts w:ascii="Arial" w:cs="Arial" w:eastAsia="Arial" w:hAnsi="Arial"/>
          <w:sz w:val="16"/>
          <w:szCs w:val="16"/>
          <w:u w:val="single" w:color="auto"/>
          <w:color w:val="auto"/>
        </w:rPr>
        <w:t>Section 20(g)</w:t>
      </w:r>
      <w:r>
        <w:rPr>
          <w:rFonts w:ascii="Arial" w:cs="Arial" w:eastAsia="Arial" w:hAnsi="Arial"/>
          <w:sz w:val="16"/>
          <w:szCs w:val="16"/>
          <w:color w:val="auto"/>
        </w:rPr>
        <w:t>, and, in any event, shall be conclusive upon Tenant that the Lease is in full force and effect and without modification except as may be represented by Landlord in any certificate prepared by Landlord and delivered to Tenant for execution.</w:t>
      </w:r>
    </w:p>
    <w:p>
      <w:pPr>
        <w:spacing w:after="0" w:line="164" w:lineRule="exact"/>
        <w:rPr>
          <w:sz w:val="20"/>
          <w:szCs w:val="20"/>
          <w:color w:val="auto"/>
        </w:rPr>
      </w:pPr>
    </w:p>
    <w:p>
      <w:pPr>
        <w:ind w:right="200" w:firstLine="634"/>
        <w:spacing w:after="0" w:line="297" w:lineRule="auto"/>
        <w:tabs>
          <w:tab w:leader="none" w:pos="1254" w:val="left"/>
        </w:tabs>
        <w:numPr>
          <w:ilvl w:val="0"/>
          <w:numId w:val="337"/>
        </w:numPr>
        <w:rPr>
          <w:rFonts w:ascii="Arial" w:cs="Arial" w:eastAsia="Arial" w:hAnsi="Arial"/>
          <w:sz w:val="17"/>
          <w:szCs w:val="17"/>
          <w:color w:val="auto"/>
        </w:rPr>
      </w:pPr>
      <w:r>
        <w:rPr>
          <w:rFonts w:ascii="Arial" w:cs="Arial" w:eastAsia="Arial" w:hAnsi="Arial"/>
          <w:sz w:val="17"/>
          <w:szCs w:val="17"/>
          <w:b w:val="1"/>
          <w:bCs w:val="1"/>
          <w:color w:val="auto"/>
        </w:rPr>
        <w:t xml:space="preserve">Quiet Enjoyment. </w:t>
      </w:r>
      <w:r>
        <w:rPr>
          <w:rFonts w:ascii="Arial" w:cs="Arial" w:eastAsia="Arial" w:hAnsi="Arial"/>
          <w:sz w:val="17"/>
          <w:szCs w:val="17"/>
          <w:color w:val="auto"/>
        </w:rPr>
        <w:t>So long as Tenant is not in Default under this Lease, Tenant shall, subject to the terms of this Lease, 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have peaceful and quiet enjoyment of the Premises against any person claiming by, through or under Landlord.</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 xml:space="preserve">Prorations. </w:t>
      </w:r>
      <w:r>
        <w:rPr>
          <w:rFonts w:ascii="Arial" w:cs="Arial" w:eastAsia="Arial" w:hAnsi="Arial"/>
          <w:sz w:val="16"/>
          <w:szCs w:val="16"/>
          <w:color w:val="auto"/>
        </w:rPr>
        <w:t>All prorations required or permitted to be made hereunder shall be made on the basis of a 360 day year and 30 day months.</w:t>
      </w:r>
    </w:p>
    <w:p>
      <w:pPr>
        <w:spacing w:after="0" w:line="235" w:lineRule="exact"/>
        <w:rPr>
          <w:rFonts w:ascii="Arial" w:cs="Arial" w:eastAsia="Arial" w:hAnsi="Arial"/>
          <w:sz w:val="16"/>
          <w:szCs w:val="16"/>
          <w:color w:val="auto"/>
        </w:rPr>
      </w:pPr>
    </w:p>
    <w:p>
      <w:pPr>
        <w:ind w:firstLine="634"/>
        <w:spacing w:after="0" w:line="267" w:lineRule="auto"/>
        <w:tabs>
          <w:tab w:leader="none" w:pos="1254" w:val="left"/>
        </w:tabs>
        <w:numPr>
          <w:ilvl w:val="0"/>
          <w:numId w:val="337"/>
        </w:numPr>
        <w:rPr>
          <w:rFonts w:ascii="Arial" w:cs="Arial" w:eastAsia="Arial" w:hAnsi="Arial"/>
          <w:sz w:val="17"/>
          <w:szCs w:val="17"/>
          <w:color w:val="auto"/>
        </w:rPr>
      </w:pPr>
      <w:r>
        <w:rPr>
          <w:rFonts w:ascii="Arial" w:cs="Arial" w:eastAsia="Arial" w:hAnsi="Arial"/>
          <w:sz w:val="17"/>
          <w:szCs w:val="17"/>
          <w:b w:val="1"/>
          <w:bCs w:val="1"/>
          <w:color w:val="auto"/>
        </w:rPr>
        <w:t xml:space="preserve">Rules and Regulations. </w:t>
      </w:r>
      <w:r>
        <w:rPr>
          <w:rFonts w:ascii="Arial" w:cs="Arial" w:eastAsia="Arial" w:hAnsi="Arial"/>
          <w:sz w:val="17"/>
          <w:szCs w:val="17"/>
          <w:color w:val="auto"/>
        </w:rPr>
        <w:t>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The current rules and regulations are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 have any liability or obligation for the breach of any rules or regulations by other tenants in the Project and shall not enforce such rules and regulations in a discriminatory manner.</w:t>
      </w:r>
    </w:p>
    <w:p>
      <w:pPr>
        <w:spacing w:after="0" w:line="171" w:lineRule="exact"/>
        <w:rPr>
          <w:rFonts w:ascii="Arial" w:cs="Arial" w:eastAsia="Arial" w:hAnsi="Arial"/>
          <w:sz w:val="17"/>
          <w:szCs w:val="17"/>
          <w:color w:val="auto"/>
        </w:rPr>
      </w:pPr>
    </w:p>
    <w:p>
      <w:pPr>
        <w:ind w:right="40" w:firstLine="634"/>
        <w:spacing w:after="0" w:line="278" w:lineRule="auto"/>
        <w:tabs>
          <w:tab w:leader="none" w:pos="1254"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69" w:lineRule="exact"/>
        <w:rPr>
          <w:rFonts w:ascii="Arial" w:cs="Arial" w:eastAsia="Arial" w:hAnsi="Arial"/>
          <w:sz w:val="16"/>
          <w:szCs w:val="16"/>
          <w:color w:val="auto"/>
        </w:rPr>
      </w:pPr>
    </w:p>
    <w:p>
      <w:pPr>
        <w:ind w:right="120" w:firstLine="634"/>
        <w:spacing w:after="0" w:line="285" w:lineRule="auto"/>
        <w:tabs>
          <w:tab w:leader="none" w:pos="1254"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 xml:space="preserve">Surrender. </w:t>
      </w:r>
      <w:r>
        <w:rPr>
          <w:rFonts w:ascii="Arial" w:cs="Arial" w:eastAsia="Arial" w:hAnsi="Arial"/>
          <w:sz w:val="16"/>
          <w:szCs w:val="16"/>
          <w:color w:val="auto"/>
        </w:rPr>
        <w:t>Upon the expiration of the Term or earlier termination of Tenant’s right of possession, Tenant shall surrender to Landlord (i)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Premises in the same condition as existed on April 15, 2008 (i.e. the commencement date under the Nodality Sublease), subject to any Alterations or Installations permitted by Landlord to remain in the Current Premises (including Landlord’s Work which may remain in the Current Premises), free of Hazardous Materials brought upon, kept, used, stored, handled, treated, generated in, or released or disposed of from, the Current Premises on or after the April 15, 2008 by any person other than a Landlord Party (collectively, “</w:t>
      </w:r>
      <w:r>
        <w:rPr>
          <w:rFonts w:ascii="Arial" w:cs="Arial" w:eastAsia="Arial" w:hAnsi="Arial"/>
          <w:sz w:val="16"/>
          <w:szCs w:val="16"/>
          <w:b w:val="1"/>
          <w:bCs w:val="1"/>
          <w:color w:val="auto"/>
        </w:rPr>
        <w:t>Current Premises 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and (ii) the Expansion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Premises in the same conditions as existed on the Lease Date (i.e. the commencement date under the Poniard Sublease), subject to any Alterations or Installations permitted by Landlord to remain in the Expansion Premises (including Landlord’s Work which may remain in the Expansion Premises), free of Hazardous Materials brought upon, kept, used, stored, handled, treated, generated in, or released or disposed of from, the Expansion Premises on or after the Lease Date by any person other than a Landlord Party (collectively, “</w:t>
      </w:r>
      <w:r>
        <w:rPr>
          <w:rFonts w:ascii="Arial" w:cs="Arial" w:eastAsia="Arial" w:hAnsi="Arial"/>
          <w:sz w:val="15"/>
          <w:szCs w:val="15"/>
          <w:b w:val="1"/>
          <w:bCs w:val="1"/>
          <w:color w:val="auto"/>
        </w:rPr>
        <w:t>Expansion Premises Tenant HazMat Operations</w:t>
      </w:r>
      <w:r>
        <w:rPr>
          <w:rFonts w:ascii="Arial" w:cs="Arial" w:eastAsia="Arial" w:hAnsi="Arial"/>
          <w:sz w:val="15"/>
          <w:szCs w:val="15"/>
          <w:color w:val="auto"/>
        </w:rPr>
        <w:t>” and together with Current Premises Tenant HazMat operations, “</w:t>
      </w:r>
      <w:r>
        <w:rPr>
          <w:rFonts w:ascii="Arial" w:cs="Arial" w:eastAsia="Arial" w:hAnsi="Arial"/>
          <w:sz w:val="15"/>
          <w:szCs w:val="15"/>
          <w:b w:val="1"/>
          <w:bCs w:val="1"/>
          <w:color w:val="auto"/>
        </w:rPr>
        <w:t>Tenant HazMat Operations</w:t>
      </w:r>
      <w:r>
        <w:rPr>
          <w:rFonts w:ascii="Arial" w:cs="Arial" w:eastAsia="Arial" w:hAnsi="Arial"/>
          <w:sz w:val="15"/>
          <w:szCs w:val="15"/>
          <w:color w:val="auto"/>
        </w:rPr>
        <w:t xml:space="preserve">”) and released of all Hazardous Materials Clearances, broom clean, ordinary wear and tear and casualty loss and condemnation covered by </w:t>
      </w:r>
      <w:r>
        <w:rPr>
          <w:rFonts w:ascii="Arial" w:cs="Arial" w:eastAsia="Arial" w:hAnsi="Arial"/>
          <w:sz w:val="15"/>
          <w:szCs w:val="15"/>
          <w:u w:val="single" w:color="auto"/>
          <w:color w:val="auto"/>
        </w:rPr>
        <w:t>Sections 18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5"/>
          <w:szCs w:val="15"/>
          <w:b w:val="1"/>
          <w:bCs w:val="1"/>
          <w:color w:val="auto"/>
        </w:rPr>
        <w:t>Surrender Plan</w:t>
      </w:r>
      <w:r>
        <w:rPr>
          <w:rFonts w:ascii="Arial" w:cs="Arial" w:eastAsia="Arial" w:hAnsi="Arial"/>
          <w:sz w:val="15"/>
          <w:szCs w:val="15"/>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such approval not to be unreasonably withheld or delayed.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reasonable out-of pocket expense incurred by Landlord for Landlord’s environmental consultant to review and approve the Surrender Plan and to visit the Premises and verify satisfactory completion of the same, which cost shall not exceed $2,500. Landlord shall have the unrestricted right to deliver such Surrender Plan and any report by Landlord’s environmental consultant with respect to the surrender of the Premises to third parties.</w:t>
      </w:r>
    </w:p>
    <w:p>
      <w:pPr>
        <w:spacing w:after="0" w:line="37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color w:val="auto"/>
        </w:rPr>
        <w:t>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w:t>
      </w:r>
    </w:p>
    <w:p>
      <w:pPr>
        <w:sectPr>
          <w:pgSz w:w="11900" w:h="16838" w:orient="portrait"/>
          <w:cols w:equalWidth="0" w:num="1">
            <w:col w:w="11420"/>
          </w:cols>
          <w:pgMar w:left="240" w:top="337" w:right="239" w:bottom="0" w:gutter="0" w:footer="0" w:header="0"/>
        </w:sectPr>
      </w:pPr>
    </w:p>
    <w:bookmarkStart w:id="265" w:name="page266"/>
    <w:bookmarkEnd w:id="265"/>
    <w:p>
      <w:pPr>
        <w:spacing w:after="0" w:line="5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52" w:lineRule="exact"/>
        <w:rPr>
          <w:sz w:val="20"/>
          <w:szCs w:val="20"/>
          <w:color w:val="auto"/>
        </w:rPr>
      </w:pPr>
    </w:p>
    <w:p>
      <w:pPr>
        <w:ind w:right="20" w:firstLine="634"/>
        <w:spacing w:after="0" w:line="297" w:lineRule="auto"/>
        <w:tabs>
          <w:tab w:leader="none" w:pos="1254" w:val="left"/>
        </w:tabs>
        <w:numPr>
          <w:ilvl w:val="0"/>
          <w:numId w:val="338"/>
        </w:numPr>
        <w:rPr>
          <w:rFonts w:ascii="Arial" w:cs="Arial" w:eastAsia="Arial" w:hAnsi="Arial"/>
          <w:sz w:val="17"/>
          <w:szCs w:val="17"/>
          <w:color w:val="auto"/>
        </w:rPr>
      </w:pPr>
      <w:r>
        <w:rPr>
          <w:rFonts w:ascii="Arial" w:cs="Arial" w:eastAsia="Arial" w:hAnsi="Arial"/>
          <w:sz w:val="17"/>
          <w:szCs w:val="17"/>
          <w:b w:val="1"/>
          <w:bCs w:val="1"/>
          <w:color w:val="auto"/>
        </w:rPr>
        <w:t xml:space="preserve">Waiver of Jury Trial. </w:t>
      </w:r>
      <w:r>
        <w:rPr>
          <w:rFonts w:ascii="Arial" w:cs="Arial" w:eastAsia="Arial" w:hAnsi="Arial"/>
          <w:sz w:val="17"/>
          <w:szCs w:val="17"/>
          <w:color w:val="auto"/>
        </w:rPr>
        <w:t>TO THE EXTENT PERMITTED BY LAW, TENANT AND LANDLORD WAIVE ANY RIGHT TO TRIAL BY JURY</w:t>
      </w:r>
      <w:r>
        <w:rPr>
          <w:rFonts w:ascii="Arial" w:cs="Arial" w:eastAsia="Arial" w:hAnsi="Arial"/>
          <w:sz w:val="17"/>
          <w:szCs w:val="17"/>
          <w:b w:val="1"/>
          <w:bCs w:val="1"/>
          <w:color w:val="auto"/>
        </w:rPr>
        <w:t xml:space="preserve"> </w:t>
      </w:r>
      <w:r>
        <w:rPr>
          <w:rFonts w:ascii="Arial" w:cs="Arial" w:eastAsia="Arial" w:hAnsi="Arial"/>
          <w:sz w:val="17"/>
          <w:szCs w:val="17"/>
          <w:color w:val="auto"/>
        </w:rPr>
        <w:t>OR TO HAVE A JURY PARTICIPATE IN RESOLVING ANY DISPUTE, WHETHER SOUNDING IN CONTRACT, TORT,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BETWEEN LANDLORD AND TENANT ARISING OUT OF THIS LEASE OR ANY OTHER INSTRUMENT, DOCUMENT, OR AGREEMENT EXECUTED OR DELIVERED IN CONNECTION HEREWITH OR THE TRANSACTIONS RELATED HERETO.</w:t>
      </w:r>
    </w:p>
    <w:p>
      <w:pPr>
        <w:spacing w:after="0" w:line="152" w:lineRule="exact"/>
        <w:rPr>
          <w:sz w:val="20"/>
          <w:szCs w:val="20"/>
          <w:color w:val="auto"/>
        </w:rPr>
      </w:pPr>
    </w:p>
    <w:p>
      <w:pPr>
        <w:ind w:left="1260" w:hanging="626"/>
        <w:spacing w:after="0"/>
        <w:tabs>
          <w:tab w:leader="none" w:pos="1260" w:val="left"/>
        </w:tabs>
        <w:numPr>
          <w:ilvl w:val="0"/>
          <w:numId w:val="339"/>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p>
    <w:p>
      <w:pPr>
        <w:spacing w:after="0" w:line="224" w:lineRule="exact"/>
        <w:rPr>
          <w:sz w:val="20"/>
          <w:szCs w:val="20"/>
          <w:color w:val="auto"/>
        </w:rPr>
      </w:pPr>
    </w:p>
    <w:p>
      <w:pPr>
        <w:ind w:firstLine="634"/>
        <w:spacing w:after="0" w:line="275" w:lineRule="auto"/>
        <w:tabs>
          <w:tab w:leader="none" w:pos="1256"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 xml:space="preserve">Prohibition/Compliance/Indemnity. </w:t>
      </w:r>
      <w:r>
        <w:rPr>
          <w:rFonts w:ascii="Arial" w:cs="Arial" w:eastAsia="Arial" w:hAnsi="Arial"/>
          <w:sz w:val="16"/>
          <w:szCs w:val="16"/>
          <w:color w:val="auto"/>
        </w:rPr>
        <w:t>Tenant shall not cause or permit any Hazardous Materials (as hereinafter defined) to be brought upon,</w:t>
      </w:r>
      <w:r>
        <w:rPr>
          <w:rFonts w:ascii="Arial" w:cs="Arial" w:eastAsia="Arial" w:hAnsi="Arial"/>
          <w:sz w:val="16"/>
          <w:szCs w:val="16"/>
          <w:b w:val="1"/>
          <w:bCs w:val="1"/>
          <w:color w:val="auto"/>
        </w:rPr>
        <w:t xml:space="preserve"> </w:t>
      </w:r>
      <w:r>
        <w:rPr>
          <w:rFonts w:ascii="Arial" w:cs="Arial" w:eastAsia="Arial" w:hAnsi="Arial"/>
          <w:sz w:val="16"/>
          <w:szCs w:val="16"/>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by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or have any liability to Landlord, and the indemnification and hold harmless obligation set forth in this paragraph shall not apply to Hazardous Materials in the Premises, which Hazardous Materials Tenant proves to Landlord’s reasonable satisfaction (i) existed prior to April 15, 2008 (i.e. the commencement date under the Nodality Sublease), as to the Current Premises, and the Lease Date, as to the Expansion Premises, (ii) originated from any separately demised tenant space within the Project other than the Premises, (iii) were not brought upon, kept, used, stored, handled, treated, generated in, or released or disposed of from, the Project by Tenant or any Tenant Party, or (iv) migrated from outside the Premises into the Premises, unless in each case, to the extent the presence of such Hazardous Materials (x) is the result of a breach by Tenant of any of its obligations under this Lease, or (y) was caused, contributed to or exacerbated by Tenant or any Tenant Party.</w:t>
      </w:r>
    </w:p>
    <w:p>
      <w:pPr>
        <w:spacing w:after="0" w:line="180" w:lineRule="exact"/>
        <w:rPr>
          <w:rFonts w:ascii="Arial" w:cs="Arial" w:eastAsia="Arial" w:hAnsi="Arial"/>
          <w:sz w:val="16"/>
          <w:szCs w:val="16"/>
          <w:color w:val="auto"/>
        </w:rPr>
      </w:pPr>
    </w:p>
    <w:p>
      <w:pPr>
        <w:jc w:val="both"/>
        <w:ind w:right="240" w:firstLine="634"/>
        <w:spacing w:after="0" w:line="267" w:lineRule="auto"/>
        <w:tabs>
          <w:tab w:leader="none" w:pos="1266"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 Premises for the Permitted 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April 1, 2010 a list identifying each type of Hazardous Materials to be brought upon, kept, used, stored, handled, treated, generated on, or released or disposed of from, the Premises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and setting forth any and all governmental approvals or permits required in connection with the presence, use, storage, handling, treatment, generation, release or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List at least once a year and shall also deliver an updated list before any new Hazardous Material is brought onto, kept, used, stored, handled, treated, generated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 or released or disposed of from, the Premises. Tenant shall deliver to Landlord true and correct copies of the following documents (the “</w:t>
      </w:r>
      <w:r>
        <w:rPr>
          <w:rFonts w:ascii="Arial" w:cs="Arial" w:eastAsia="Arial" w:hAnsi="Arial"/>
          <w:sz w:val="17"/>
          <w:szCs w:val="17"/>
          <w:b w:val="1"/>
          <w:bCs w:val="1"/>
          <w:color w:val="auto"/>
        </w:rPr>
        <w:t>Haz Mat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w:t>
      </w:r>
      <w:r>
        <w:rPr>
          <w:rFonts w:ascii="Arial" w:cs="Arial" w:eastAsia="Arial" w:hAnsi="Arial"/>
          <w:sz w:val="15"/>
          <w:szCs w:val="15"/>
          <w:color w:val="auto"/>
        </w:rPr>
        <w:t>”) relating to the use, storage, handling, treatment, generation, release or disposal of Hazardous Materials prior to April 1, 2010 or if unavailable at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time, concurrent with the receipt from or submission to a Governmental Authority: permits; approvals; reports and correspondence; storage and management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plans, notice of violations of any Legal Requirements; plans relating to the installation of any storage tanks to be installed in or under the Project (provided, said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installation of tanks shall only be permitted after Landlord has given Tenant its written consent to do so, which consent may be withheld in Landlord’s sole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absolute discretion); all closure plans or any other documents required by any and all federal, state and local Governmental Authorities for any storage tanks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accomplished in 3 months). Tenant is not required, however, to provide Landlord with any portion(s) of the Haz Mat Documents containing information of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proprietary nature which, in and of themselves, do not contain a reference to any Hazardous Materials or hazardous activities. It is not the intent of this Section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provide Landlord with information which could be detrimental to Tenant’s business should such information become possessed by Tenant’s competitors.</w:t>
      </w:r>
    </w:p>
    <w:p>
      <w:pPr>
        <w:spacing w:after="0" w:line="218" w:lineRule="exact"/>
        <w:rPr>
          <w:sz w:val="20"/>
          <w:szCs w:val="20"/>
          <w:color w:val="auto"/>
        </w:rPr>
      </w:pPr>
    </w:p>
    <w:p>
      <w:pPr>
        <w:ind w:right="120" w:firstLine="634"/>
        <w:spacing w:after="0" w:line="264" w:lineRule="auto"/>
        <w:tabs>
          <w:tab w:leader="none" w:pos="1269"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 xml:space="preserve">Tenant Representation and Warranty. </w:t>
      </w:r>
      <w:r>
        <w:rPr>
          <w:rFonts w:ascii="Arial" w:cs="Arial" w:eastAsia="Arial" w:hAnsi="Arial"/>
          <w:sz w:val="17"/>
          <w:szCs w:val="17"/>
          <w:color w:val="auto"/>
        </w:rPr>
        <w:t>Tenant hereby represents and warrants to Landlord that (i) neither Tenant nor any of its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72" w:lineRule="exact"/>
        <w:rPr>
          <w:rFonts w:ascii="Arial" w:cs="Arial" w:eastAsia="Arial" w:hAnsi="Arial"/>
          <w:sz w:val="17"/>
          <w:szCs w:val="17"/>
          <w:color w:val="auto"/>
        </w:rPr>
      </w:pPr>
    </w:p>
    <w:p>
      <w:pPr>
        <w:ind w:right="20" w:firstLine="634"/>
        <w:spacing w:after="0" w:line="330" w:lineRule="auto"/>
        <w:tabs>
          <w:tab w:leader="none" w:pos="1266" w:val="left"/>
        </w:tabs>
        <w:numPr>
          <w:ilvl w:val="0"/>
          <w:numId w:val="341"/>
        </w:numPr>
        <w:rPr>
          <w:rFonts w:ascii="Arial" w:cs="Arial" w:eastAsia="Arial" w:hAnsi="Arial"/>
          <w:sz w:val="15"/>
          <w:szCs w:val="15"/>
          <w:color w:val="auto"/>
        </w:rPr>
      </w:pPr>
      <w:r>
        <w:rPr>
          <w:rFonts w:ascii="Arial" w:cs="Arial" w:eastAsia="Arial" w:hAnsi="Arial"/>
          <w:sz w:val="15"/>
          <w:szCs w:val="15"/>
          <w:b w:val="1"/>
          <w:bCs w:val="1"/>
          <w:color w:val="auto"/>
        </w:rPr>
        <w:t xml:space="preserve">Testing. </w:t>
      </w:r>
      <w:r>
        <w:rPr>
          <w:rFonts w:ascii="Arial" w:cs="Arial" w:eastAsia="Arial" w:hAnsi="Arial"/>
          <w:sz w:val="15"/>
          <w:szCs w:val="15"/>
          <w:color w:val="auto"/>
        </w:rPr>
        <w:t>In accordance with the provisions of Section 32, Landlord shall have the right to conduct annual tests of the Premises to determine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whether any contamination of the Premises or the Project has occurred as a result of Tenant’s use. Tenant shall be required to pay the cost of such annual test of the Premises if there is a violation of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or if contamination for which Tenant is responsible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is identified; provided, however, that if</w:t>
      </w:r>
    </w:p>
    <w:p>
      <w:pPr>
        <w:sectPr>
          <w:pgSz w:w="11900" w:h="16896" w:orient="portrait"/>
          <w:cols w:equalWidth="0" w:num="1">
            <w:col w:w="11420"/>
          </w:cols>
          <w:pgMar w:left="240" w:top="127" w:right="239" w:bottom="0" w:gutter="0" w:footer="0" w:header="0"/>
        </w:sectPr>
      </w:pPr>
    </w:p>
    <w:bookmarkStart w:id="266" w:name="page267"/>
    <w:bookmarkEnd w:id="266"/>
    <w:p>
      <w:pPr>
        <w:ind w:right="40"/>
        <w:spacing w:after="0" w:line="299" w:lineRule="auto"/>
        <w:rPr>
          <w:sz w:val="20"/>
          <w:szCs w:val="20"/>
          <w:color w:val="auto"/>
        </w:rPr>
      </w:pPr>
      <w:r>
        <w:rPr>
          <w:rFonts w:ascii="Arial" w:cs="Arial" w:eastAsia="Arial" w:hAnsi="Arial"/>
          <w:sz w:val="15"/>
          <w:szCs w:val="15"/>
          <w:color w:val="auto"/>
        </w:rPr>
        <w:t xml:space="preserve">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52" w:lineRule="exact"/>
        <w:rPr>
          <w:sz w:val="20"/>
          <w:szCs w:val="20"/>
          <w:color w:val="auto"/>
        </w:rPr>
      </w:pPr>
    </w:p>
    <w:p>
      <w:pPr>
        <w:ind w:right="340" w:firstLine="634"/>
        <w:spacing w:after="0" w:line="330" w:lineRule="auto"/>
        <w:tabs>
          <w:tab w:leader="none" w:pos="1269"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 xml:space="preserve">Underground Tanks. </w:t>
      </w:r>
      <w:r>
        <w:rPr>
          <w:rFonts w:ascii="Arial" w:cs="Arial" w:eastAsia="Arial" w:hAnsi="Arial"/>
          <w:sz w:val="16"/>
          <w:szCs w:val="16"/>
          <w:color w:val="auto"/>
        </w:rPr>
        <w:t>If underground or other storage tanks storing Hazardous Materials located on the Premises or the Project are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or are hereafter placed on the Premises or the Project by Tenant, Tenant shall install, use, monitor, operate, maintain, upgrade and manage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color w:val="auto"/>
        </w:rPr>
        <w:t>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30" w:lineRule="exact"/>
        <w:rPr>
          <w:sz w:val="20"/>
          <w:szCs w:val="20"/>
          <w:color w:val="auto"/>
        </w:rPr>
      </w:pPr>
    </w:p>
    <w:p>
      <w:pPr>
        <w:ind w:firstLine="634"/>
        <w:spacing w:after="0" w:line="267" w:lineRule="auto"/>
        <w:tabs>
          <w:tab w:leader="none" w:pos="1263"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 xml:space="preserve">Tenant’s Obligations. </w:t>
      </w:r>
      <w:r>
        <w:rPr>
          <w:rFonts w:ascii="Arial" w:cs="Arial" w:eastAsia="Arial" w:hAnsi="Arial"/>
          <w:sz w:val="17"/>
          <w:szCs w:val="17"/>
          <w:color w:val="auto"/>
        </w:rPr>
        <w:t>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71" w:lineRule="exact"/>
        <w:rPr>
          <w:rFonts w:ascii="Arial" w:cs="Arial" w:eastAsia="Arial" w:hAnsi="Arial"/>
          <w:sz w:val="17"/>
          <w:szCs w:val="17"/>
          <w:color w:val="auto"/>
        </w:rPr>
      </w:pPr>
    </w:p>
    <w:p>
      <w:pPr>
        <w:ind w:right="60" w:firstLine="634"/>
        <w:spacing w:after="0" w:line="279" w:lineRule="auto"/>
        <w:tabs>
          <w:tab w:leader="none" w:pos="1279" w:val="left"/>
        </w:tabs>
        <w:numPr>
          <w:ilvl w:val="0"/>
          <w:numId w:val="343"/>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8" w:lineRule="exact"/>
        <w:rPr>
          <w:sz w:val="20"/>
          <w:szCs w:val="20"/>
          <w:color w:val="auto"/>
        </w:rPr>
      </w:pPr>
    </w:p>
    <w:p>
      <w:pPr>
        <w:ind w:right="20" w:firstLine="634"/>
        <w:spacing w:after="0" w:line="281" w:lineRule="auto"/>
        <w:tabs>
          <w:tab w:leader="none" w:pos="1254" w:val="left"/>
        </w:tabs>
        <w:numPr>
          <w:ilvl w:val="0"/>
          <w:numId w:val="344"/>
        </w:numPr>
        <w:rPr>
          <w:rFonts w:ascii="Arial" w:cs="Arial" w:eastAsia="Arial" w:hAnsi="Arial"/>
          <w:sz w:val="16"/>
          <w:szCs w:val="16"/>
          <w:color w:val="auto"/>
        </w:rPr>
      </w:pPr>
      <w:r>
        <w:rPr>
          <w:rFonts w:ascii="Arial" w:cs="Arial" w:eastAsia="Arial" w:hAnsi="Arial"/>
          <w:sz w:val="16"/>
          <w:szCs w:val="16"/>
          <w:b w:val="1"/>
          <w:bCs w:val="1"/>
          <w:color w:val="auto"/>
        </w:rPr>
        <w:t xml:space="preserve">Tenant’s Remedies/Limitation of Liability. </w:t>
      </w:r>
      <w:r>
        <w:rPr>
          <w:rFonts w:ascii="Arial" w:cs="Arial" w:eastAsia="Arial" w:hAnsi="Arial"/>
          <w:sz w:val="16"/>
          <w:szCs w:val="16"/>
          <w:color w:val="auto"/>
        </w:rPr>
        <w:t>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0"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0" w:lineRule="exact"/>
        <w:rPr>
          <w:sz w:val="20"/>
          <w:szCs w:val="20"/>
          <w:color w:val="auto"/>
        </w:rPr>
      </w:pPr>
    </w:p>
    <w:p>
      <w:pPr>
        <w:ind w:right="60" w:firstLine="634"/>
        <w:spacing w:after="0" w:line="292" w:lineRule="auto"/>
        <w:tabs>
          <w:tab w:leader="none" w:pos="1284" w:val="left"/>
        </w:tabs>
        <w:numPr>
          <w:ilvl w:val="0"/>
          <w:numId w:val="345"/>
        </w:numPr>
        <w:rPr>
          <w:rFonts w:ascii="Arial" w:cs="Arial" w:eastAsia="Arial" w:hAnsi="Arial"/>
          <w:sz w:val="16"/>
          <w:szCs w:val="16"/>
          <w:color w:val="auto"/>
        </w:rPr>
      </w:pPr>
      <w:r>
        <w:rPr>
          <w:rFonts w:ascii="Arial" w:cs="Arial" w:eastAsia="Arial" w:hAnsi="Arial"/>
          <w:sz w:val="16"/>
          <w:szCs w:val="16"/>
          <w:b w:val="1"/>
          <w:bCs w:val="1"/>
          <w:color w:val="auto"/>
        </w:rPr>
        <w:t xml:space="preserve">Inspection and Access. </w:t>
      </w:r>
      <w:r>
        <w:rPr>
          <w:rFonts w:ascii="Arial" w:cs="Arial" w:eastAsia="Arial" w:hAnsi="Arial"/>
          <w:sz w:val="16"/>
          <w:szCs w:val="16"/>
          <w:color w:val="auto"/>
        </w:rPr>
        <w:t>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 to make such repairs as may be required or permitted pursuant to this Lease.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or showing the Premises to prospective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purchasers and, during the last year of the Term, to prospective tenants; provided, however, Landlord may show the Premises to prospective tenants only in the last 9 months of the Term.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78" w:lineRule="exact"/>
        <w:rPr>
          <w:sz w:val="20"/>
          <w:szCs w:val="20"/>
          <w:color w:val="auto"/>
        </w:rPr>
      </w:pPr>
    </w:p>
    <w:p>
      <w:pPr>
        <w:ind w:right="140" w:firstLine="634"/>
        <w:spacing w:after="0" w:line="285" w:lineRule="auto"/>
        <w:tabs>
          <w:tab w:leader="none" w:pos="1254" w:val="left"/>
        </w:tabs>
        <w:numPr>
          <w:ilvl w:val="0"/>
          <w:numId w:val="346"/>
        </w:numPr>
        <w:rPr>
          <w:rFonts w:ascii="Arial" w:cs="Arial" w:eastAsia="Arial" w:hAnsi="Arial"/>
          <w:sz w:val="16"/>
          <w:szCs w:val="16"/>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Tenant acknowledges and agrees that security devices and services, if any, while intended to deter crime may not in given instances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ectPr>
          <w:pgSz w:w="11900" w:h="16838" w:orient="portrait"/>
          <w:cols w:equalWidth="0" w:num="1">
            <w:col w:w="11400"/>
          </w:cols>
          <w:pgMar w:left="240" w:top="127" w:right="259" w:bottom="28" w:gutter="0" w:footer="0" w:header="0"/>
        </w:sectPr>
      </w:pPr>
    </w:p>
    <w:bookmarkStart w:id="267" w:name="page268"/>
    <w:bookmarkEnd w:id="267"/>
    <w:p>
      <w:pPr>
        <w:ind w:firstLine="634"/>
        <w:spacing w:after="0" w:line="265" w:lineRule="auto"/>
        <w:tabs>
          <w:tab w:leader="none" w:pos="1254" w:val="left"/>
        </w:tabs>
        <w:numPr>
          <w:ilvl w:val="0"/>
          <w:numId w:val="347"/>
        </w:numPr>
        <w:rPr>
          <w:rFonts w:ascii="Arial" w:cs="Arial" w:eastAsia="Arial" w:hAnsi="Arial"/>
          <w:sz w:val="17"/>
          <w:szCs w:val="17"/>
          <w:color w:val="auto"/>
        </w:rPr>
      </w:pPr>
      <w:r>
        <w:rPr>
          <w:rFonts w:ascii="Arial" w:cs="Arial" w:eastAsia="Arial" w:hAnsi="Arial"/>
          <w:sz w:val="17"/>
          <w:szCs w:val="17"/>
          <w:b w:val="1"/>
          <w:bCs w:val="1"/>
          <w:color w:val="auto"/>
        </w:rPr>
        <w:t xml:space="preserve">Force Majeure. </w:t>
      </w:r>
      <w:r>
        <w:rPr>
          <w:rFonts w:ascii="Arial" w:cs="Arial" w:eastAsia="Arial" w:hAnsi="Arial"/>
          <w:sz w:val="17"/>
          <w:szCs w:val="17"/>
          <w:color w:val="auto"/>
        </w:rPr>
        <w:t>Landlord shall not be responsible or liable for delays in the performance of its obligations hereunder when caused by,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100" w:firstLine="634"/>
        <w:spacing w:after="0" w:line="265" w:lineRule="auto"/>
        <w:tabs>
          <w:tab w:leader="none" w:pos="1254" w:val="left"/>
        </w:tabs>
        <w:numPr>
          <w:ilvl w:val="0"/>
          <w:numId w:val="347"/>
        </w:numPr>
        <w:rPr>
          <w:rFonts w:ascii="Arial" w:cs="Arial" w:eastAsia="Arial" w:hAnsi="Arial"/>
          <w:sz w:val="17"/>
          <w:szCs w:val="17"/>
          <w:color w:val="auto"/>
        </w:rPr>
      </w:pPr>
      <w:r>
        <w:rPr>
          <w:rFonts w:ascii="Arial" w:cs="Arial" w:eastAsia="Arial" w:hAnsi="Arial"/>
          <w:sz w:val="17"/>
          <w:szCs w:val="17"/>
          <w:b w:val="1"/>
          <w:bCs w:val="1"/>
          <w:color w:val="auto"/>
        </w:rPr>
        <w:t xml:space="preserve">Brokers. </w:t>
      </w:r>
      <w:r>
        <w:rPr>
          <w:rFonts w:ascii="Arial" w:cs="Arial" w:eastAsia="Arial" w:hAnsi="Arial"/>
          <w:sz w:val="17"/>
          <w:szCs w:val="17"/>
          <w:color w:val="auto"/>
        </w:rPr>
        <w:t>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connection with this transaction and that no Broker brought about this transaction, other than GVA Kidder Mathews.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 Landlord shall be responsible for all fees of Broker arising out of the execution of this Lease in accordance with the terms of a separate written agreement between Broker and Landlord.</w:t>
      </w:r>
    </w:p>
    <w:p>
      <w:pPr>
        <w:spacing w:after="0" w:line="173" w:lineRule="exact"/>
        <w:rPr>
          <w:rFonts w:ascii="Arial" w:cs="Arial" w:eastAsia="Arial" w:hAnsi="Arial"/>
          <w:sz w:val="17"/>
          <w:szCs w:val="17"/>
          <w:color w:val="auto"/>
        </w:rPr>
      </w:pPr>
    </w:p>
    <w:p>
      <w:pPr>
        <w:ind w:right="40" w:firstLine="634"/>
        <w:spacing w:after="0" w:line="261" w:lineRule="auto"/>
        <w:tabs>
          <w:tab w:leader="none" w:pos="1254" w:val="left"/>
        </w:tabs>
        <w:numPr>
          <w:ilvl w:val="0"/>
          <w:numId w:val="347"/>
        </w:numPr>
        <w:rPr>
          <w:rFonts w:ascii="Arial" w:cs="Arial" w:eastAsia="Arial" w:hAnsi="Arial"/>
          <w:sz w:val="17"/>
          <w:szCs w:val="17"/>
          <w:color w:val="auto"/>
        </w:rPr>
      </w:pPr>
      <w:r>
        <w:rPr>
          <w:rFonts w:ascii="Arial" w:cs="Arial" w:eastAsia="Arial" w:hAnsi="Arial"/>
          <w:sz w:val="17"/>
          <w:szCs w:val="17"/>
          <w:b w:val="1"/>
          <w:bCs w:val="1"/>
          <w:color w:val="auto"/>
        </w:rPr>
        <w:t xml:space="preserve">Limitation on Landlord’s Liability. </w:t>
      </w:r>
      <w:r>
        <w:rPr>
          <w:rFonts w:ascii="Arial" w:cs="Arial" w:eastAsia="Arial" w:hAnsi="Arial"/>
          <w:sz w:val="17"/>
          <w:szCs w:val="17"/>
          <w:color w:val="auto"/>
        </w:rPr>
        <w:t>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77" w:lineRule="exact"/>
        <w:rPr>
          <w:sz w:val="20"/>
          <w:szCs w:val="20"/>
          <w:color w:val="auto"/>
        </w:rPr>
      </w:pPr>
    </w:p>
    <w:p>
      <w:pPr>
        <w:jc w:val="both"/>
        <w:ind w:right="20" w:firstLine="634"/>
        <w:spacing w:after="0" w:line="270" w:lineRule="auto"/>
        <w:tabs>
          <w:tab w:leader="none" w:pos="1254" w:val="left"/>
        </w:tabs>
        <w:numPr>
          <w:ilvl w:val="0"/>
          <w:numId w:val="348"/>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clause or provision of this Lease is illegal, invalid or unenforceable under present or future laws, then and in that event, it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348"/>
        </w:numPr>
        <w:rPr>
          <w:rFonts w:ascii="Arial" w:cs="Arial" w:eastAsia="Arial" w:hAnsi="Arial"/>
          <w:sz w:val="16"/>
          <w:szCs w:val="16"/>
          <w:color w:val="auto"/>
        </w:rPr>
      </w:pPr>
      <w:r>
        <w:rPr>
          <w:rFonts w:ascii="Arial" w:cs="Arial" w:eastAsia="Arial" w:hAnsi="Arial"/>
          <w:sz w:val="16"/>
          <w:szCs w:val="16"/>
          <w:b w:val="1"/>
          <w:bCs w:val="1"/>
          <w:color w:val="auto"/>
        </w:rPr>
        <w:t xml:space="preserve">Signs; Exterior Appearance. </w:t>
      </w:r>
      <w:r>
        <w:rPr>
          <w:rFonts w:ascii="Arial" w:cs="Arial" w:eastAsia="Arial" w:hAnsi="Arial"/>
          <w:sz w:val="16"/>
          <w:szCs w:val="16"/>
          <w:color w:val="auto"/>
        </w:rPr>
        <w:t>Tenant shall not, without the prior written consent of Landlord, which may be granted or withheld in Landlord’s</w:t>
      </w:r>
    </w:p>
    <w:p>
      <w:pPr>
        <w:spacing w:after="0" w:line="43"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7"/>
          <w:szCs w:val="17"/>
          <w:color w:val="auto"/>
        </w:rPr>
        <w:t>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75" w:lineRule="exact"/>
        <w:rPr>
          <w:rFonts w:ascii="Arial" w:cs="Arial" w:eastAsia="Arial" w:hAnsi="Arial"/>
          <w:sz w:val="16"/>
          <w:szCs w:val="16"/>
          <w:color w:val="auto"/>
        </w:rPr>
      </w:pPr>
    </w:p>
    <w:p>
      <w:pPr>
        <w:ind w:left="1260" w:hanging="626"/>
        <w:spacing w:after="0"/>
        <w:tabs>
          <w:tab w:leader="none" w:pos="1260" w:val="left"/>
        </w:tabs>
        <w:numPr>
          <w:ilvl w:val="0"/>
          <w:numId w:val="348"/>
        </w:numPr>
        <w:rPr>
          <w:rFonts w:ascii="Arial" w:cs="Arial" w:eastAsia="Arial" w:hAnsi="Arial"/>
          <w:sz w:val="17"/>
          <w:szCs w:val="17"/>
          <w:color w:val="auto"/>
        </w:rPr>
      </w:pPr>
      <w:r>
        <w:rPr>
          <w:rFonts w:ascii="Arial" w:cs="Arial" w:eastAsia="Arial" w:hAnsi="Arial"/>
          <w:sz w:val="17"/>
          <w:szCs w:val="17"/>
          <w:b w:val="1"/>
          <w:bCs w:val="1"/>
          <w:color w:val="auto"/>
        </w:rPr>
        <w:t xml:space="preserve">Right to Extend Term. </w:t>
      </w:r>
      <w:r>
        <w:rPr>
          <w:rFonts w:ascii="Arial" w:cs="Arial" w:eastAsia="Arial" w:hAnsi="Arial"/>
          <w:sz w:val="17"/>
          <w:szCs w:val="17"/>
          <w:color w:val="auto"/>
        </w:rPr>
        <w:t>Tenant shall have the right to extend the Term of the Lease upon the following terms and conditions:</w:t>
      </w:r>
    </w:p>
    <w:p>
      <w:pPr>
        <w:spacing w:after="0" w:line="224" w:lineRule="exact"/>
        <w:rPr>
          <w:sz w:val="20"/>
          <w:szCs w:val="20"/>
          <w:color w:val="auto"/>
        </w:rPr>
      </w:pPr>
    </w:p>
    <w:p>
      <w:pPr>
        <w:ind w:firstLine="634"/>
        <w:spacing w:after="0" w:line="277" w:lineRule="auto"/>
        <w:tabs>
          <w:tab w:leader="none" w:pos="1256"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 xml:space="preserve">Extension Rights. </w:t>
      </w:r>
      <w:r>
        <w:rPr>
          <w:rFonts w:ascii="Arial" w:cs="Arial" w:eastAsia="Arial" w:hAnsi="Arial"/>
          <w:sz w:val="17"/>
          <w:szCs w:val="17"/>
          <w:color w:val="auto"/>
        </w:rPr>
        <w:t>Tenant shall have 1 right (the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3 years (the “</w:t>
      </w:r>
      <w:r>
        <w:rPr>
          <w:rFonts w:ascii="Arial" w:cs="Arial" w:eastAsia="Arial" w:hAnsi="Arial"/>
          <w:sz w:val="17"/>
          <w:szCs w:val="17"/>
          <w:b w:val="1"/>
          <w:bCs w:val="1"/>
          <w:color w:val="auto"/>
        </w:rPr>
        <w:t>Extension Term</w:t>
      </w:r>
      <w:r>
        <w:rPr>
          <w:rFonts w:ascii="Arial" w:cs="Arial" w:eastAsia="Arial" w:hAnsi="Arial"/>
          <w:sz w:val="17"/>
          <w:szCs w:val="17"/>
          <w:color w:val="auto"/>
        </w:rPr>
        <w: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terms and conditions as this Lease (other than Base Rent) by giving Landlord written notice of its election to exercise the Extension Right at least 9 months prior, and no earlier than 12 months prior, to the expiration of the Base Term of the Lease.</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Notwithstanding anything to the contrary contained in this Lease, if Tenant exercise its Extension Right hereunder, commencing on April 1, 2013, Tenant’s Share of each earthquake deductible or occurrence of uninsured earthquake damage affecting the Premises shall not exceed $4.50 per rentable square foot of the Premises (the “</w:t>
      </w:r>
      <w:r>
        <w:rPr>
          <w:rFonts w:ascii="Arial" w:cs="Arial" w:eastAsia="Arial" w:hAnsi="Arial"/>
          <w:sz w:val="17"/>
          <w:szCs w:val="17"/>
          <w:b w:val="1"/>
          <w:bCs w:val="1"/>
          <w:color w:val="auto"/>
        </w:rPr>
        <w:t>Extension Cap</w:t>
      </w:r>
      <w:r>
        <w:rPr>
          <w:rFonts w:ascii="Arial" w:cs="Arial" w:eastAsia="Arial" w:hAnsi="Arial"/>
          <w:sz w:val="17"/>
          <w:szCs w:val="17"/>
          <w:color w:val="auto"/>
        </w:rPr>
        <w:t>”). On May 1, 2013, and on the first day of each month thereafter, the Extension Cap shall be reduced by $0.125 per rentable square foot of the Premises. Following earthquake damage to the Project during the Extension Term, Tenant shall pay Tenant’s Share of any such deductible or uninsured damage in equal monthly installments amortized over the balance of the Term of the Lease.</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Upon the commencement of the Extension Term, Base Rent shall be payable at the Market Rate (as defined below). Base Rent shall thereafter be adjusted on each annual anniversary of the commencement of such Extension Term (each an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then market rental rate as determined by Landlord and agreed to by Tenant.</w:t>
      </w:r>
    </w:p>
    <w:p>
      <w:pPr>
        <w:spacing w:after="0" w:line="176"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If, on or before the date which is 120 days prior to the expiration of the Base Term of this Lease, Tenant has not agreed with Landlord’s determination of the Market Rate and the rent escalations during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applicable Extension Term after negotiating in good faith, Tenant shall be deemed to have elected arbitration as described in </w:t>
      </w:r>
      <w:r>
        <w:rPr>
          <w:rFonts w:ascii="Arial" w:cs="Arial" w:eastAsia="Arial" w:hAnsi="Arial"/>
          <w:sz w:val="17"/>
          <w:szCs w:val="17"/>
          <w:u w:val="single" w:color="auto"/>
          <w:color w:val="auto"/>
        </w:rPr>
        <w:t>Section 39(b)</w:t>
      </w:r>
      <w:r>
        <w:rPr>
          <w:rFonts w:ascii="Arial" w:cs="Arial" w:eastAsia="Arial" w:hAnsi="Arial"/>
          <w:sz w:val="17"/>
          <w:szCs w:val="17"/>
          <w:color w:val="auto"/>
        </w:rPr>
        <w:t xml:space="preserve"> below. Tenant acknowledges and agrees that, if Tenant has elected to exercise the Extension Right by delivering notice to Landlord as required in this </w:t>
      </w:r>
      <w:r>
        <w:rPr>
          <w:rFonts w:ascii="Arial" w:cs="Arial" w:eastAsia="Arial" w:hAnsi="Arial"/>
          <w:sz w:val="17"/>
          <w:szCs w:val="17"/>
          <w:u w:val="single" w:color="auto"/>
          <w:color w:val="auto"/>
        </w:rPr>
        <w:t>Section 39(a)</w:t>
      </w:r>
      <w:r>
        <w:rPr>
          <w:rFonts w:ascii="Arial" w:cs="Arial" w:eastAsia="Arial" w:hAnsi="Arial"/>
          <w:sz w:val="17"/>
          <w:szCs w:val="17"/>
          <w:color w:val="auto"/>
        </w:rPr>
        <w:t>, Tenant shall have no right thereafter to rescind or elect not to extend the term of the Lease for the Extension Term.</w:t>
      </w:r>
    </w:p>
    <w:p>
      <w:pPr>
        <w:sectPr>
          <w:pgSz w:w="11900" w:h="16838" w:orient="portrait"/>
          <w:cols w:equalWidth="0" w:num="1">
            <w:col w:w="11420"/>
          </w:cols>
          <w:pgMar w:left="240" w:top="121" w:right="239" w:bottom="0" w:gutter="0" w:footer="0" w:header="0"/>
        </w:sectPr>
      </w:pPr>
    </w:p>
    <w:bookmarkStart w:id="268" w:name="page269"/>
    <w:bookmarkEnd w:id="268"/>
    <w:p>
      <w:pPr>
        <w:ind w:left="1280" w:hanging="646"/>
        <w:spacing w:after="0"/>
        <w:tabs>
          <w:tab w:leader="none" w:pos="1280" w:val="left"/>
        </w:tabs>
        <w:numPr>
          <w:ilvl w:val="0"/>
          <w:numId w:val="350"/>
        </w:numPr>
        <w:rPr>
          <w:rFonts w:ascii="Arial" w:cs="Arial" w:eastAsia="Arial" w:hAnsi="Arial"/>
          <w:sz w:val="17"/>
          <w:szCs w:val="17"/>
          <w:color w:val="auto"/>
        </w:rPr>
      </w:pPr>
      <w:r>
        <w:rPr>
          <w:rFonts w:ascii="Arial" w:cs="Arial" w:eastAsia="Arial" w:hAnsi="Arial"/>
          <w:sz w:val="17"/>
          <w:szCs w:val="17"/>
          <w:b w:val="1"/>
          <w:bCs w:val="1"/>
          <w:color w:val="auto"/>
        </w:rPr>
        <w:t>Arbitration.</w:t>
      </w:r>
    </w:p>
    <w:p>
      <w:pPr>
        <w:spacing w:after="0" w:line="230" w:lineRule="exact"/>
        <w:rPr>
          <w:rFonts w:ascii="Arial" w:cs="Arial" w:eastAsia="Arial" w:hAnsi="Arial"/>
          <w:sz w:val="17"/>
          <w:szCs w:val="17"/>
          <w:color w:val="auto"/>
        </w:rPr>
      </w:pPr>
    </w:p>
    <w:p>
      <w:pPr>
        <w:ind w:left="640" w:right="20" w:firstLine="623"/>
        <w:spacing w:after="0" w:line="278" w:lineRule="auto"/>
        <w:tabs>
          <w:tab w:leader="none" w:pos="191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6"/>
          <w:szCs w:val="16"/>
          <w:b w:val="1"/>
          <w:bCs w:val="1"/>
          <w:color w:val="auto"/>
        </w:rPr>
        <w:t>Extension Proposal</w:t>
      </w:r>
      <w:r>
        <w:rPr>
          <w:rFonts w:ascii="Arial" w:cs="Arial" w:eastAsia="Arial" w:hAnsi="Arial"/>
          <w:sz w:val="16"/>
          <w:szCs w:val="16"/>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and any escalations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72" w:lineRule="exact"/>
        <w:rPr>
          <w:rFonts w:ascii="Arial" w:cs="Arial" w:eastAsia="Arial" w:hAnsi="Arial"/>
          <w:sz w:val="16"/>
          <w:szCs w:val="16"/>
          <w:color w:val="auto"/>
        </w:rPr>
      </w:pPr>
    </w:p>
    <w:p>
      <w:pPr>
        <w:ind w:left="640" w:right="40" w:firstLine="623"/>
        <w:spacing w:after="0" w:line="262" w:lineRule="auto"/>
        <w:tabs>
          <w:tab w:leader="none" w:pos="1928"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3% until such determination is made. After the determination of the Market Rate and escalations, the parties shall make any necessary adjustments to such payments made by Tenant. Landlord and Tenant shall then execute an amendment recognizing the Base Rate and escalations for the Extension Term.</w:t>
      </w:r>
    </w:p>
    <w:p>
      <w:pPr>
        <w:spacing w:after="0" w:line="174" w:lineRule="exact"/>
        <w:rPr>
          <w:rFonts w:ascii="Arial" w:cs="Arial" w:eastAsia="Arial" w:hAnsi="Arial"/>
          <w:sz w:val="17"/>
          <w:szCs w:val="17"/>
          <w:color w:val="auto"/>
        </w:rPr>
      </w:pPr>
    </w:p>
    <w:p>
      <w:pPr>
        <w:ind w:left="1940" w:hanging="677"/>
        <w:spacing w:after="0"/>
        <w:tabs>
          <w:tab w:leader="none" w:pos="194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44" w:lineRule="exact"/>
        <w:rPr>
          <w:sz w:val="20"/>
          <w:szCs w:val="20"/>
          <w:color w:val="auto"/>
        </w:rPr>
      </w:pPr>
    </w:p>
    <w:p>
      <w:pPr>
        <w:ind w:left="640" w:right="20" w:hanging="6"/>
        <w:spacing w:after="0" w:line="261" w:lineRule="auto"/>
        <w:tabs>
          <w:tab w:leader="none" w:pos="84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shall be (A) a member of the American Institute of Real Estate Appraisers with not less than 10 years of experience in the appraisal of improved office and high tech industrial real estate in the South San Francisco, California area, or (B) a licensed commercial real estate broker with not less than 15 years experience representing landlords and/or tenants in the leasing of high tech or life sciences space in the South San Francisco, California area, (ii) devoting substantially all of their time to professional appraisal or brokerage work, as applicable, at the time of appointment and (iii) be in all respects impartial and disinterested.</w:t>
      </w:r>
    </w:p>
    <w:p>
      <w:pPr>
        <w:spacing w:after="0" w:line="178" w:lineRule="exact"/>
        <w:rPr>
          <w:sz w:val="20"/>
          <w:szCs w:val="20"/>
          <w:color w:val="auto"/>
        </w:rPr>
      </w:pPr>
    </w:p>
    <w:p>
      <w:pPr>
        <w:ind w:right="60" w:firstLine="634"/>
        <w:spacing w:after="0" w:line="277" w:lineRule="auto"/>
        <w:tabs>
          <w:tab w:leader="none" w:pos="1269"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 xml:space="preserve">Rights Personal. </w:t>
      </w:r>
      <w:r>
        <w:rPr>
          <w:rFonts w:ascii="Arial" w:cs="Arial" w:eastAsia="Arial" w:hAnsi="Arial"/>
          <w:sz w:val="17"/>
          <w:szCs w:val="17"/>
          <w:color w:val="auto"/>
        </w:rPr>
        <w:t>The Extension Right is personal to Tenant and is not assignable without Landlord’s consent, which may be granted or</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162" w:lineRule="exact"/>
        <w:rPr>
          <w:rFonts w:ascii="Arial" w:cs="Arial" w:eastAsia="Arial" w:hAnsi="Arial"/>
          <w:sz w:val="17"/>
          <w:szCs w:val="17"/>
          <w:color w:val="auto"/>
        </w:rPr>
      </w:pPr>
    </w:p>
    <w:p>
      <w:pPr>
        <w:ind w:left="1280" w:hanging="646"/>
        <w:spacing w:after="0"/>
        <w:tabs>
          <w:tab w:leader="none" w:pos="1280" w:val="left"/>
        </w:tabs>
        <w:numPr>
          <w:ilvl w:val="0"/>
          <w:numId w:val="352"/>
        </w:numPr>
        <w:rPr>
          <w:rFonts w:ascii="Arial" w:cs="Arial" w:eastAsia="Arial" w:hAnsi="Arial"/>
          <w:sz w:val="15"/>
          <w:szCs w:val="15"/>
          <w:color w:val="auto"/>
        </w:rPr>
      </w:pPr>
      <w:r>
        <w:rPr>
          <w:rFonts w:ascii="Arial" w:cs="Arial" w:eastAsia="Arial" w:hAnsi="Arial"/>
          <w:sz w:val="15"/>
          <w:szCs w:val="15"/>
          <w:b w:val="1"/>
          <w:bCs w:val="1"/>
          <w:color w:val="auto"/>
        </w:rPr>
        <w:t xml:space="preserve">Exceptions. </w:t>
      </w:r>
      <w:r>
        <w:rPr>
          <w:rFonts w:ascii="Arial" w:cs="Arial" w:eastAsia="Arial" w:hAnsi="Arial"/>
          <w:sz w:val="15"/>
          <w:szCs w:val="15"/>
          <w:color w:val="auto"/>
        </w:rPr>
        <w:t>Notwithstanding anything set forth above to the contrary, the Extension Right shall not be in effect and Tenant may not exercise the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Extension Right: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1"/>
          <w:numId w:val="353"/>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224" w:lineRule="exact"/>
        <w:rPr>
          <w:rFonts w:ascii="Arial" w:cs="Arial" w:eastAsia="Arial" w:hAnsi="Arial"/>
          <w:sz w:val="17"/>
          <w:szCs w:val="17"/>
          <w:color w:val="auto"/>
        </w:rPr>
      </w:pPr>
    </w:p>
    <w:p>
      <w:pPr>
        <w:ind w:left="640" w:right="240" w:firstLine="623"/>
        <w:spacing w:after="0" w:line="322" w:lineRule="auto"/>
        <w:tabs>
          <w:tab w:leader="none" w:pos="1928" w:val="left"/>
        </w:tabs>
        <w:numPr>
          <w:ilvl w:val="1"/>
          <w:numId w:val="353"/>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29" w:lineRule="exact"/>
        <w:rPr>
          <w:rFonts w:ascii="Arial" w:cs="Arial" w:eastAsia="Arial" w:hAnsi="Arial"/>
          <w:sz w:val="16"/>
          <w:szCs w:val="16"/>
          <w:color w:val="auto"/>
        </w:rPr>
      </w:pPr>
    </w:p>
    <w:p>
      <w:pPr>
        <w:ind w:right="100" w:firstLine="634"/>
        <w:spacing w:after="0" w:line="297" w:lineRule="auto"/>
        <w:tabs>
          <w:tab w:leader="none" w:pos="1269" w:val="left"/>
        </w:tabs>
        <w:numPr>
          <w:ilvl w:val="0"/>
          <w:numId w:val="354"/>
        </w:numPr>
        <w:rPr>
          <w:rFonts w:ascii="Arial" w:cs="Arial" w:eastAsia="Arial" w:hAnsi="Arial"/>
          <w:sz w:val="17"/>
          <w:szCs w:val="17"/>
          <w:color w:val="auto"/>
        </w:rPr>
      </w:pPr>
      <w:r>
        <w:rPr>
          <w:rFonts w:ascii="Arial" w:cs="Arial" w:eastAsia="Arial" w:hAnsi="Arial"/>
          <w:sz w:val="17"/>
          <w:szCs w:val="17"/>
          <w:b w:val="1"/>
          <w:bCs w:val="1"/>
          <w:color w:val="auto"/>
        </w:rPr>
        <w:t xml:space="preserve">No Extensions. </w:t>
      </w:r>
      <w:r>
        <w:rPr>
          <w:rFonts w:ascii="Arial" w:cs="Arial" w:eastAsia="Arial" w:hAnsi="Arial"/>
          <w:sz w:val="17"/>
          <w:szCs w:val="17"/>
          <w:color w:val="auto"/>
        </w:rPr>
        <w:t>The period of time within which the Extension Right may be exercised shall not be extended or enlarged by reason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exercise the Extension Right.</w:t>
      </w:r>
    </w:p>
    <w:p>
      <w:pPr>
        <w:spacing w:after="0" w:line="145" w:lineRule="exact"/>
        <w:rPr>
          <w:rFonts w:ascii="Arial" w:cs="Arial" w:eastAsia="Arial" w:hAnsi="Arial"/>
          <w:sz w:val="17"/>
          <w:szCs w:val="17"/>
          <w:color w:val="auto"/>
        </w:rPr>
      </w:pPr>
    </w:p>
    <w:p>
      <w:pPr>
        <w:ind w:right="60" w:firstLine="634"/>
        <w:spacing w:after="0" w:line="270" w:lineRule="auto"/>
        <w:tabs>
          <w:tab w:leader="none" w:pos="1263" w:val="left"/>
        </w:tabs>
        <w:numPr>
          <w:ilvl w:val="0"/>
          <w:numId w:val="35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Extension Right shall terminate and be of no further force or effect even after Tenant’s due and timely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69" w:lineRule="exact"/>
        <w:rPr>
          <w:sz w:val="20"/>
          <w:szCs w:val="20"/>
          <w:color w:val="auto"/>
        </w:rPr>
      </w:pPr>
    </w:p>
    <w:p>
      <w:pPr>
        <w:ind w:left="1260" w:hanging="626"/>
        <w:spacing w:after="0"/>
        <w:tabs>
          <w:tab w:leader="none" w:pos="126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100" w:firstLine="634"/>
        <w:spacing w:after="0" w:line="270" w:lineRule="auto"/>
        <w:tabs>
          <w:tab w:leader="none" w:pos="1256"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between the parties shall be in writing and shall be deemed duly given upon delivery or refusal to</w:t>
      </w:r>
      <w:r>
        <w:rPr>
          <w:rFonts w:ascii="Arial" w:cs="Arial" w:eastAsia="Arial" w:hAnsi="Arial"/>
          <w:sz w:val="17"/>
          <w:szCs w:val="17"/>
          <w:b w:val="1"/>
          <w:bCs w:val="1"/>
          <w:color w:val="auto"/>
        </w:rPr>
        <w:t xml:space="preserve"> </w:t>
      </w:r>
      <w:r>
        <w:rPr>
          <w:rFonts w:ascii="Arial" w:cs="Arial" w:eastAsia="Arial" w:hAnsi="Arial"/>
          <w:sz w:val="17"/>
          <w:szCs w:val="17"/>
          <w:color w:val="auto"/>
        </w:rPr>
        <w:t>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69" w:lineRule="exact"/>
        <w:rPr>
          <w:rFonts w:ascii="Arial" w:cs="Arial" w:eastAsia="Arial" w:hAnsi="Arial"/>
          <w:sz w:val="17"/>
          <w:szCs w:val="17"/>
          <w:color w:val="auto"/>
        </w:rPr>
      </w:pPr>
    </w:p>
    <w:p>
      <w:pPr>
        <w:ind w:right="60" w:firstLine="634"/>
        <w:spacing w:after="0" w:line="297" w:lineRule="auto"/>
        <w:tabs>
          <w:tab w:leader="none" w:pos="1266"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Joint and Several Liability. </w:t>
      </w:r>
      <w:r>
        <w:rPr>
          <w:rFonts w:ascii="Arial" w:cs="Arial" w:eastAsia="Arial" w:hAnsi="Arial"/>
          <w:sz w:val="17"/>
          <w:szCs w:val="17"/>
          <w:color w:val="auto"/>
        </w:rPr>
        <w:t>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 more than one person or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shall be jointly and severally liable for the obligations of Tenant.</w:t>
      </w:r>
    </w:p>
    <w:p>
      <w:pPr>
        <w:spacing w:after="0" w:line="145" w:lineRule="exact"/>
        <w:rPr>
          <w:rFonts w:ascii="Arial" w:cs="Arial" w:eastAsia="Arial" w:hAnsi="Arial"/>
          <w:sz w:val="17"/>
          <w:szCs w:val="17"/>
          <w:color w:val="auto"/>
        </w:rPr>
      </w:pPr>
    </w:p>
    <w:p>
      <w:pPr>
        <w:ind w:firstLine="634"/>
        <w:spacing w:after="0" w:line="267" w:lineRule="auto"/>
        <w:tabs>
          <w:tab w:leader="none" w:pos="1269"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Financial Information. </w:t>
      </w:r>
      <w:r>
        <w:rPr>
          <w:rFonts w:ascii="Arial" w:cs="Arial" w:eastAsia="Arial" w:hAnsi="Arial"/>
          <w:sz w:val="17"/>
          <w:szCs w:val="17"/>
          <w:color w:val="auto"/>
        </w:rPr>
        <w:t>Tenant shall furnish Landlord with true and complete copies of (i) Tenant’s most recent audited annual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within 180 days of the end of each of Tenant’s fiscal years during the Term, (ii) Tenant’s most recent unaudited quarterly financial statements within 45 days of the end of each of Tenant’s first three fiscal quarters of each of Tenant’s fiscal years during the Term, and (iii) any other financial information or summaries that Tenant typically provides to its lenders. Notwithstanding the foregoing, in no event shall Tenant be required to provide any of the foregoing financial information to Landlord if Tenant does not otherwise prepare it (or cause it to be prepared) for its own purposes.</w:t>
      </w:r>
    </w:p>
    <w:p>
      <w:pPr>
        <w:spacing w:after="0" w:line="171" w:lineRule="exact"/>
        <w:rPr>
          <w:rFonts w:ascii="Arial" w:cs="Arial" w:eastAsia="Arial" w:hAnsi="Arial"/>
          <w:sz w:val="17"/>
          <w:szCs w:val="17"/>
          <w:color w:val="auto"/>
        </w:rPr>
      </w:pPr>
    </w:p>
    <w:p>
      <w:pPr>
        <w:ind w:right="560" w:firstLine="634"/>
        <w:spacing w:after="0" w:line="297" w:lineRule="auto"/>
        <w:tabs>
          <w:tab w:leader="none" w:pos="1266"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Recordation. </w:t>
      </w:r>
      <w:r>
        <w:rPr>
          <w:rFonts w:ascii="Arial" w:cs="Arial" w:eastAsia="Arial" w:hAnsi="Arial"/>
          <w:sz w:val="17"/>
          <w:szCs w:val="17"/>
          <w:color w:val="auto"/>
        </w:rPr>
        <w:t>Neither this Lease nor a memorandum of lease shall be filed by or on behalf of Tenant in any public record.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file, and upon request by Landlord Tenant will execute, a memorandum of lease.</w:t>
      </w:r>
    </w:p>
    <w:p>
      <w:pPr>
        <w:spacing w:after="0" w:line="145" w:lineRule="exact"/>
        <w:rPr>
          <w:rFonts w:ascii="Arial" w:cs="Arial" w:eastAsia="Arial" w:hAnsi="Arial"/>
          <w:sz w:val="17"/>
          <w:szCs w:val="17"/>
          <w:color w:val="auto"/>
        </w:rPr>
      </w:pPr>
    </w:p>
    <w:p>
      <w:pPr>
        <w:ind w:right="20" w:firstLine="634"/>
        <w:spacing w:after="0" w:line="330" w:lineRule="auto"/>
        <w:tabs>
          <w:tab w:leader="none" w:pos="1269" w:val="left"/>
        </w:tabs>
        <w:numPr>
          <w:ilvl w:val="0"/>
          <w:numId w:val="356"/>
        </w:numPr>
        <w:rPr>
          <w:rFonts w:ascii="Arial" w:cs="Arial" w:eastAsia="Arial" w:hAnsi="Arial"/>
          <w:sz w:val="15"/>
          <w:szCs w:val="15"/>
          <w:color w:val="auto"/>
        </w:rPr>
      </w:pPr>
      <w:r>
        <w:rPr>
          <w:rFonts w:ascii="Arial" w:cs="Arial" w:eastAsia="Arial" w:hAnsi="Arial"/>
          <w:sz w:val="15"/>
          <w:szCs w:val="15"/>
          <w:b w:val="1"/>
          <w:bCs w:val="1"/>
          <w:color w:val="auto"/>
        </w:rPr>
        <w:t xml:space="preserve">Interpretation. </w:t>
      </w:r>
      <w:r>
        <w:rPr>
          <w:rFonts w:ascii="Arial" w:cs="Arial" w:eastAsia="Arial" w:hAnsi="Arial"/>
          <w:sz w:val="15"/>
          <w:szCs w:val="15"/>
          <w:color w:val="auto"/>
        </w:rPr>
        <w:t>The normal rule of construction to the effect that any ambiguities are to be resolved against the drafting party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w:t>
      </w:r>
    </w:p>
    <w:p>
      <w:pPr>
        <w:sectPr>
          <w:pgSz w:w="11900" w:h="16838" w:orient="portrait"/>
          <w:cols w:equalWidth="0" w:num="1">
            <w:col w:w="11420"/>
          </w:cols>
          <w:pgMar w:left="240" w:top="331" w:right="239" w:bottom="0" w:gutter="0" w:footer="0" w:header="0"/>
        </w:sectPr>
      </w:pPr>
    </w:p>
    <w:bookmarkStart w:id="269" w:name="page270"/>
    <w:bookmarkEnd w:id="269"/>
    <w:p>
      <w:pPr>
        <w:spacing w:after="0" w:line="39"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for convenience only and in no way define, limit or otherwise describe the scope or intent of this Lease, or any provision hereof, or in any way affect the interpretation of this Lease.</w:t>
      </w:r>
    </w:p>
    <w:p>
      <w:pPr>
        <w:spacing w:after="0" w:line="152" w:lineRule="exact"/>
        <w:rPr>
          <w:sz w:val="20"/>
          <w:szCs w:val="20"/>
          <w:color w:val="auto"/>
        </w:rPr>
      </w:pPr>
    </w:p>
    <w:p>
      <w:pPr>
        <w:ind w:right="140" w:firstLine="634"/>
        <w:spacing w:after="0" w:line="330" w:lineRule="auto"/>
        <w:tabs>
          <w:tab w:leader="none" w:pos="1263"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 xml:space="preserve">Not Binding Until Executed. </w:t>
      </w:r>
      <w:r>
        <w:rPr>
          <w:rFonts w:ascii="Arial" w:cs="Arial" w:eastAsia="Arial" w:hAnsi="Arial"/>
          <w:sz w:val="16"/>
          <w:szCs w:val="16"/>
          <w:color w:val="auto"/>
        </w:rPr>
        <w:t>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34"/>
        <w:spacing w:after="0" w:line="264" w:lineRule="auto"/>
        <w:tabs>
          <w:tab w:leader="none" w:pos="1279"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Limitations on Interest. </w:t>
      </w:r>
      <w:r>
        <w:rPr>
          <w:rFonts w:ascii="Arial" w:cs="Arial" w:eastAsia="Arial" w:hAnsi="Arial"/>
          <w:sz w:val="17"/>
          <w:szCs w:val="17"/>
          <w:color w:val="auto"/>
        </w:rPr>
        <w:t>It is expressly the intent of Landlord and Tenant at all times to comply with applicable law governing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2" w:lineRule="exact"/>
        <w:rPr>
          <w:rFonts w:ascii="Arial" w:cs="Arial" w:eastAsia="Arial" w:hAnsi="Arial"/>
          <w:sz w:val="17"/>
          <w:szCs w:val="17"/>
          <w:color w:val="auto"/>
        </w:rPr>
      </w:pPr>
    </w:p>
    <w:p>
      <w:pPr>
        <w:ind w:right="480" w:firstLine="634"/>
        <w:spacing w:after="0" w:line="297" w:lineRule="auto"/>
        <w:tabs>
          <w:tab w:leader="none" w:pos="126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Construction and interpretation of this Lease shall be governed by the internal laws of the state in which the Premises are</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excluding any principles of conflicts of laws.</w:t>
      </w:r>
    </w:p>
    <w:p>
      <w:pPr>
        <w:spacing w:after="0" w:line="145" w:lineRule="exact"/>
        <w:rPr>
          <w:rFonts w:ascii="Arial" w:cs="Arial" w:eastAsia="Arial" w:hAnsi="Arial"/>
          <w:sz w:val="17"/>
          <w:szCs w:val="17"/>
          <w:color w:val="auto"/>
        </w:rPr>
      </w:pPr>
    </w:p>
    <w:p>
      <w:pPr>
        <w:ind w:left="1280" w:hanging="646"/>
        <w:spacing w:after="0"/>
        <w:tabs>
          <w:tab w:leader="none" w:pos="1280"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Time is of the essence as to the performance of Tenant’s obligations under this Lease.</w:t>
      </w:r>
    </w:p>
    <w:p>
      <w:pPr>
        <w:spacing w:after="0" w:line="224" w:lineRule="exact"/>
        <w:rPr>
          <w:rFonts w:ascii="Arial" w:cs="Arial" w:eastAsia="Arial" w:hAnsi="Arial"/>
          <w:sz w:val="17"/>
          <w:szCs w:val="17"/>
          <w:color w:val="auto"/>
        </w:rPr>
      </w:pPr>
    </w:p>
    <w:p>
      <w:pPr>
        <w:ind w:right="80" w:firstLine="634"/>
        <w:spacing w:after="0" w:line="265" w:lineRule="auto"/>
        <w:tabs>
          <w:tab w:leader="none" w:pos="126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OFAC. </w:t>
      </w:r>
      <w:r>
        <w:rPr>
          <w:rFonts w:ascii="Arial" w:cs="Arial" w:eastAsia="Arial" w:hAnsi="Arial"/>
          <w:sz w:val="17"/>
          <w:szCs w:val="17"/>
          <w:color w:val="auto"/>
        </w:rPr>
        <w:t>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color w:val="auto"/>
        </w:rPr>
      </w:pPr>
    </w:p>
    <w:p>
      <w:pPr>
        <w:ind w:right="100" w:firstLine="634"/>
        <w:spacing w:after="0" w:line="297" w:lineRule="auto"/>
        <w:tabs>
          <w:tab w:leader="none" w:pos="126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Incorporation by Reference. </w:t>
      </w:r>
      <w:r>
        <w:rPr>
          <w:rFonts w:ascii="Arial" w:cs="Arial" w:eastAsia="Arial" w:hAnsi="Arial"/>
          <w:sz w:val="17"/>
          <w:szCs w:val="17"/>
          <w:color w:val="auto"/>
        </w:rPr>
        <w:t>All exhibits and addenda attached hereto are hereby incorporated into this Lease and made a part hereof. If there</w:t>
      </w:r>
      <w:r>
        <w:rPr>
          <w:rFonts w:ascii="Arial" w:cs="Arial" w:eastAsia="Arial" w:hAnsi="Arial"/>
          <w:sz w:val="17"/>
          <w:szCs w:val="17"/>
          <w:b w:val="1"/>
          <w:bCs w:val="1"/>
          <w:color w:val="auto"/>
        </w:rPr>
        <w:t xml:space="preserve"> </w:t>
      </w:r>
      <w:r>
        <w:rPr>
          <w:rFonts w:ascii="Arial" w:cs="Arial" w:eastAsia="Arial" w:hAnsi="Arial"/>
          <w:sz w:val="17"/>
          <w:szCs w:val="17"/>
          <w:color w:val="auto"/>
        </w:rPr>
        <w:t>is any conflict between such exhibits or addenda and the terms of this Lease, such exhibits or addenda shall control.</w:t>
      </w:r>
    </w:p>
    <w:p>
      <w:pPr>
        <w:spacing w:after="0" w:line="145" w:lineRule="exact"/>
        <w:rPr>
          <w:rFonts w:ascii="Arial" w:cs="Arial" w:eastAsia="Arial" w:hAnsi="Arial"/>
          <w:sz w:val="17"/>
          <w:szCs w:val="17"/>
          <w:color w:val="auto"/>
        </w:rPr>
      </w:pPr>
    </w:p>
    <w:p>
      <w:pPr>
        <w:ind w:right="60" w:firstLine="634"/>
        <w:spacing w:after="0" w:line="292" w:lineRule="auto"/>
        <w:tabs>
          <w:tab w:leader="none" w:pos="1279"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 xml:space="preserve">No Accord and Satisfaction. </w:t>
      </w:r>
      <w:r>
        <w:rPr>
          <w:rFonts w:ascii="Arial" w:cs="Arial" w:eastAsia="Arial" w:hAnsi="Arial"/>
          <w:sz w:val="16"/>
          <w:szCs w:val="16"/>
          <w:color w:val="auto"/>
        </w:rPr>
        <w:t>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3" w:lineRule="exact"/>
        <w:rPr>
          <w:rFonts w:ascii="Arial" w:cs="Arial" w:eastAsia="Arial" w:hAnsi="Arial"/>
          <w:sz w:val="16"/>
          <w:szCs w:val="16"/>
          <w:color w:val="auto"/>
        </w:rPr>
      </w:pPr>
    </w:p>
    <w:p>
      <w:pPr>
        <w:ind w:right="140" w:firstLine="634"/>
        <w:spacing w:after="0" w:line="311" w:lineRule="auto"/>
        <w:tabs>
          <w:tab w:leader="none" w:pos="1262" w:val="left"/>
        </w:tabs>
        <w:numPr>
          <w:ilvl w:val="0"/>
          <w:numId w:val="358"/>
        </w:numPr>
        <w:rPr>
          <w:rFonts w:ascii="Arial" w:cs="Arial" w:eastAsia="Arial" w:hAnsi="Arial"/>
          <w:sz w:val="15"/>
          <w:szCs w:val="15"/>
          <w:color w:val="auto"/>
        </w:rPr>
      </w:pPr>
      <w:r>
        <w:rPr>
          <w:rFonts w:ascii="Arial" w:cs="Arial" w:eastAsia="Arial" w:hAnsi="Arial"/>
          <w:sz w:val="15"/>
          <w:szCs w:val="15"/>
          <w:b w:val="1"/>
          <w:bCs w:val="1"/>
          <w:color w:val="auto"/>
        </w:rPr>
        <w:t xml:space="preserve">Hazardous Activities. </w:t>
      </w:r>
      <w:r>
        <w:rPr>
          <w:rFonts w:ascii="Arial" w:cs="Arial" w:eastAsia="Arial" w:hAnsi="Arial"/>
          <w:sz w:val="15"/>
          <w:szCs w:val="15"/>
          <w:color w:val="auto"/>
        </w:rPr>
        <w:t>Notwithstanding any other provision of this Lease, Landlord, for itself and its employees, agents and 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40" w:lineRule="exact"/>
        <w:rPr>
          <w:rFonts w:ascii="Arial" w:cs="Arial" w:eastAsia="Arial" w:hAnsi="Arial"/>
          <w:sz w:val="15"/>
          <w:szCs w:val="15"/>
          <w:color w:val="auto"/>
        </w:rPr>
      </w:pPr>
    </w:p>
    <w:p>
      <w:pPr>
        <w:ind w:right="60" w:firstLine="634"/>
        <w:spacing w:after="0" w:line="285" w:lineRule="auto"/>
        <w:tabs>
          <w:tab w:leader="none" w:pos="1266"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 xml:space="preserve">Project Specific Requirements. </w:t>
      </w:r>
      <w:r>
        <w:rPr>
          <w:rFonts w:ascii="Arial" w:cs="Arial" w:eastAsia="Arial" w:hAnsi="Arial"/>
          <w:sz w:val="16"/>
          <w:szCs w:val="16"/>
          <w:color w:val="auto"/>
        </w:rPr>
        <w:t>Tenant acknowledges that the use and operation of the Project are governed by, among other things, CC&amp;Rs</w:t>
      </w:r>
      <w:r>
        <w:rPr>
          <w:rFonts w:ascii="Arial" w:cs="Arial" w:eastAsia="Arial" w:hAnsi="Arial"/>
          <w:sz w:val="16"/>
          <w:szCs w:val="16"/>
          <w:b w:val="1"/>
          <w:bCs w:val="1"/>
          <w:color w:val="auto"/>
        </w:rPr>
        <w:t xml:space="preserve"> </w:t>
      </w:r>
      <w:r>
        <w:rPr>
          <w:rFonts w:ascii="Arial" w:cs="Arial" w:eastAsia="Arial" w:hAnsi="Arial"/>
          <w:sz w:val="16"/>
          <w:szCs w:val="16"/>
          <w:color w:val="auto"/>
        </w:rPr>
        <w:t>and Environmental CC&amp;Rs, and Tenant acknowledges having reviewed copies of the same. Tenant agrees to comply with all of the terms of the CC&amp;Rs and Environmental CC&amp;Rs which are applicable to tenants of the Project including, without limitation, maintaining the insurance required under the Environmental CC&amp;Rs. As used herein, (i) “</w:t>
      </w:r>
      <w:r>
        <w:rPr>
          <w:rFonts w:ascii="Arial" w:cs="Arial" w:eastAsia="Arial" w:hAnsi="Arial"/>
          <w:sz w:val="16"/>
          <w:szCs w:val="16"/>
          <w:b w:val="1"/>
          <w:bCs w:val="1"/>
          <w:color w:val="auto"/>
        </w:rPr>
        <w:t>CC&amp;Rs</w:t>
      </w:r>
      <w:r>
        <w:rPr>
          <w:rFonts w:ascii="Arial" w:cs="Arial" w:eastAsia="Arial" w:hAnsi="Arial"/>
          <w:sz w:val="16"/>
          <w:szCs w:val="16"/>
          <w:color w:val="auto"/>
        </w:rPr>
        <w:t>” mean that certain Amended and Restated Declaration of Covenants, Conditions and Restrictions for Sierra Point recorded in the Official Records of San Mateo County on October 23, 1998, as amended, and (ii) “</w:t>
      </w:r>
      <w:r>
        <w:rPr>
          <w:rFonts w:ascii="Arial" w:cs="Arial" w:eastAsia="Arial" w:hAnsi="Arial"/>
          <w:sz w:val="16"/>
          <w:szCs w:val="16"/>
          <w:b w:val="1"/>
          <w:bCs w:val="1"/>
          <w:color w:val="auto"/>
        </w:rPr>
        <w:t>Environmental CC&amp;Rs</w:t>
      </w:r>
      <w:r>
        <w:rPr>
          <w:rFonts w:ascii="Arial" w:cs="Arial" w:eastAsia="Arial" w:hAnsi="Arial"/>
          <w:sz w:val="16"/>
          <w:szCs w:val="16"/>
          <w:color w:val="auto"/>
        </w:rPr>
        <w:t>” mean that certain First Amended and Restated Declaration of Covenants, Conditions and Environmental Restrictions Relating to Environmental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Compliance for Sierra Point, recorded in the Official Records of San Mateo County on October 20, 1999 as Instrument No. 1999-176058.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on next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Bonnie Anderson</w:t>
      </w:r>
    </w:p>
    <w:p>
      <w:pPr>
        <w:spacing w:after="0" w:line="2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17780</wp:posOffset>
            </wp:positionV>
            <wp:extent cx="329628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-123190</wp:posOffset>
            </wp:positionV>
            <wp:extent cx="329628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ARE-SAN FRANCISCO NO. 17, LLC,</w:t>
      </w:r>
    </w:p>
    <w:p>
      <w:pPr>
        <w:sectPr>
          <w:pgSz w:w="11900" w:h="16878" w:orient="portrait"/>
          <w:cols w:equalWidth="0" w:num="1">
            <w:col w:w="11420"/>
          </w:cols>
          <w:pgMar w:left="240" w:top="127" w:right="239" w:bottom="0" w:gutter="0" w:footer="0" w:header="0"/>
        </w:sectPr>
      </w:pPr>
    </w:p>
    <w:bookmarkStart w:id="270" w:name="page271"/>
    <w:bookmarkEnd w:id="270"/>
    <w:p>
      <w:pPr>
        <w:spacing w:after="0" w:line="9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limited liability company</w:t>
      </w:r>
    </w:p>
    <w:p>
      <w:pPr>
        <w:spacing w:after="0" w:line="224"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ALEXANDRIA REAL ESTATE EQUITIES, L.P.,</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ARE-QRS CORP.,</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7"/>
          <w:szCs w:val="17"/>
          <w:color w:val="auto"/>
        </w:rPr>
        <w:t>By:</w:t>
        <w:tab/>
        <w:t>/s/ Gary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17145</wp:posOffset>
            </wp:positionV>
            <wp:extent cx="26638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GARY DEAN</w:t>
      </w:r>
    </w:p>
    <w:p>
      <w:pPr>
        <w:spacing w:after="0" w:line="26"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7"/>
          <w:szCs w:val="17"/>
          <w:color w:val="auto"/>
        </w:rPr>
        <w:t>Its:</w:t>
        <w:tab/>
        <w:t>VP-RE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9525</wp:posOffset>
            </wp:positionV>
            <wp:extent cx="26638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A-1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CURRENT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[Floor Plan of Current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A-2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EXPANSION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Level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CITY OF SOUTH SAN FRANCISCO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1</w:t>
      </w:r>
      <w:r>
        <w:rPr>
          <w:rFonts w:ascii="Arial" w:cs="Arial" w:eastAsia="Arial" w:hAnsi="Arial"/>
          <w:sz w:val="17"/>
          <w:szCs w:val="17"/>
          <w:color w:val="auto"/>
        </w:rPr>
        <w:t>:</w:t>
      </w:r>
    </w:p>
    <w:p>
      <w:pPr>
        <w:spacing w:after="0" w:line="2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PARCEL C, AS SHOWN ON THAT CERTAIN MAP ENTITLED, “PARCEL MAP 98-044 LANDS OF SIERRA POINT, LLC, CITY OF SOUTH SAN FRANCISCO”, FILED IN THE OFFICE OF THE COUNTY RECORDER OF SAN MATEO COUNTY, STATE OF CALIFORNIA, ON AUGUST 6, 1999, IN BOOK 71 OF PARCEL MAPS, AT PAGE(S) 71 AND 72.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2</w:t>
      </w:r>
      <w:r>
        <w:rPr>
          <w:rFonts w:ascii="Arial" w:cs="Arial" w:eastAsia="Arial" w:hAnsi="Arial"/>
          <w:sz w:val="17"/>
          <w:szCs w:val="17"/>
          <w:color w:val="auto"/>
        </w:rPr>
        <w:t>:</w:t>
      </w:r>
    </w:p>
    <w:p>
      <w:pPr>
        <w:spacing w:after="0" w:line="22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THOSE CERTAIN ACCESS EASEMENTS AS DESCRIBED IN THE FIRST AMENDMENT TO AMENDED AND RESTATED DECLARATION OF COVENANTS, CONDITIONS AND RESTRICTIONS FOR SIERRA POINT RECORDED AUGUST 6, 1999, AS DOCUMENT NO. 1999-134787, AND RERECORDED OCTOBER 20 1999, AS DOCUMENT NO. 1999-176057.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ASSESSOR’S PARCEL NO. 015-010-570 JOINT PLANT NO. 015-001-010-02.04A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Work Letter – Landlord Build</w:t>
      </w:r>
      <w:r>
        <w:rPr>
          <w:sz w:val="20"/>
          <w:szCs w:val="20"/>
          <w:color w:val="auto"/>
        </w:rPr>
        <w:tab/>
      </w:r>
      <w:r>
        <w:rPr>
          <w:rFonts w:ascii="Arial" w:cs="Arial" w:eastAsia="Arial" w:hAnsi="Arial"/>
          <w:sz w:val="15"/>
          <w:szCs w:val="15"/>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160" w:firstLine="629"/>
        <w:spacing w:after="0" w:line="302" w:lineRule="auto"/>
        <w:rPr>
          <w:sz w:val="20"/>
          <w:szCs w:val="20"/>
          <w:color w:val="auto"/>
        </w:rPr>
      </w:pPr>
      <w:r>
        <w:rPr>
          <w:rFonts w:ascii="Arial" w:cs="Arial" w:eastAsia="Arial" w:hAnsi="Arial"/>
          <w:sz w:val="16"/>
          <w:szCs w:val="16"/>
          <w:color w:val="auto"/>
        </w:rPr>
        <w:t>THIS WORK LETTER (this “</w:t>
      </w:r>
      <w:r>
        <w:rPr>
          <w:rFonts w:ascii="Arial" w:cs="Arial" w:eastAsia="Arial" w:hAnsi="Arial"/>
          <w:sz w:val="16"/>
          <w:szCs w:val="16"/>
          <w:b w:val="1"/>
          <w:bCs w:val="1"/>
          <w:color w:val="auto"/>
        </w:rPr>
        <w:t>Work Letter</w:t>
      </w:r>
      <w:r>
        <w:rPr>
          <w:rFonts w:ascii="Arial" w:cs="Arial" w:eastAsia="Arial" w:hAnsi="Arial"/>
          <w:sz w:val="16"/>
          <w:szCs w:val="16"/>
          <w:color w:val="auto"/>
        </w:rPr>
        <w:t>”) is made and entered into by and between ARE-SAN FRANCISCO NO. 17,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VERACYTE, INC.,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Agreement by and between Landlord and Tenant. Any initially capitalized terms used but not defined herein shall have the meanings given them in the Lease.</w:t>
      </w:r>
    </w:p>
    <w:p>
      <w:pPr>
        <w:sectPr>
          <w:pgSz w:w="11900" w:h="16931" w:orient="portrait"/>
          <w:cols w:equalWidth="0" w:num="1">
            <w:col w:w="11420"/>
          </w:cols>
          <w:pgMar w:left="240" w:top="127" w:right="239" w:bottom="0" w:gutter="0" w:footer="0" w:header="0"/>
        </w:sectPr>
      </w:pPr>
    </w:p>
    <w:bookmarkStart w:id="271" w:name="page272"/>
    <w:bookmarkEnd w:id="271"/>
    <w:p>
      <w:pPr>
        <w:ind w:left="1260" w:hanging="626"/>
        <w:spacing w:after="0"/>
        <w:tabs>
          <w:tab w:leader="none" w:pos="1260"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General Requirements.</w:t>
      </w:r>
    </w:p>
    <w:p>
      <w:pPr>
        <w:spacing w:after="0" w:line="224" w:lineRule="exact"/>
        <w:rPr>
          <w:sz w:val="20"/>
          <w:szCs w:val="20"/>
          <w:color w:val="auto"/>
        </w:rPr>
      </w:pPr>
    </w:p>
    <w:p>
      <w:pPr>
        <w:ind w:right="200" w:firstLine="634"/>
        <w:spacing w:after="0" w:line="287" w:lineRule="auto"/>
        <w:tabs>
          <w:tab w:leader="none" w:pos="1256" w:val="left"/>
        </w:tabs>
        <w:numPr>
          <w:ilvl w:val="0"/>
          <w:numId w:val="360"/>
        </w:numPr>
        <w:rPr>
          <w:rFonts w:ascii="Arial" w:cs="Arial" w:eastAsia="Arial" w:hAnsi="Arial"/>
          <w:sz w:val="16"/>
          <w:szCs w:val="16"/>
          <w:color w:val="auto"/>
        </w:rPr>
      </w:pPr>
      <w:r>
        <w:rPr>
          <w:rFonts w:ascii="Arial" w:cs="Arial" w:eastAsia="Arial" w:hAnsi="Arial"/>
          <w:sz w:val="16"/>
          <w:szCs w:val="16"/>
          <w:b w:val="1"/>
          <w:bCs w:val="1"/>
          <w:color w:val="auto"/>
        </w:rPr>
        <w:t xml:space="preserve">Tenant’s Authorized Representative. </w:t>
      </w:r>
      <w:r>
        <w:rPr>
          <w:rFonts w:ascii="Arial" w:cs="Arial" w:eastAsia="Arial" w:hAnsi="Arial"/>
          <w:sz w:val="16"/>
          <w:szCs w:val="16"/>
          <w:color w:val="auto"/>
        </w:rPr>
        <w:t>Tenant designates Anne E. Sissel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 authorized to act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58" w:lineRule="exact"/>
        <w:rPr>
          <w:rFonts w:ascii="Arial" w:cs="Arial" w:eastAsia="Arial" w:hAnsi="Arial"/>
          <w:sz w:val="16"/>
          <w:szCs w:val="16"/>
          <w:color w:val="auto"/>
        </w:rPr>
      </w:pPr>
    </w:p>
    <w:p>
      <w:pPr>
        <w:ind w:right="140" w:firstLine="634"/>
        <w:spacing w:after="0" w:line="287" w:lineRule="auto"/>
        <w:tabs>
          <w:tab w:leader="none" w:pos="1266" w:val="left"/>
        </w:tabs>
        <w:numPr>
          <w:ilvl w:val="0"/>
          <w:numId w:val="360"/>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Radika Bunton, Todd Miller and Catie Paton (any such individual acting alone,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any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140" w:firstLine="634"/>
        <w:spacing w:after="0" w:line="270" w:lineRule="auto"/>
        <w:tabs>
          <w:tab w:leader="none" w:pos="1269"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 xml:space="preserve">Architects, Consultants and Contractors. </w:t>
      </w:r>
      <w:r>
        <w:rPr>
          <w:rFonts w:ascii="Arial" w:cs="Arial" w:eastAsia="Arial" w:hAnsi="Arial"/>
          <w:sz w:val="17"/>
          <w:szCs w:val="17"/>
          <w:color w:val="auto"/>
        </w:rPr>
        <w:t>Landlord and Tenant hereby acknowledge and agree that: (i) BN Builders shall be the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w:t>
      </w:r>
      <w:r>
        <w:rPr>
          <w:rFonts w:ascii="Arial" w:cs="Arial" w:eastAsia="Arial" w:hAnsi="Arial"/>
          <w:sz w:val="17"/>
          <w:szCs w:val="17"/>
          <w:b w:val="1"/>
          <w:bCs w:val="1"/>
          <w:color w:val="auto"/>
        </w:rPr>
        <w:t>General Contractor</w:t>
      </w:r>
      <w:r>
        <w:rPr>
          <w:rFonts w:ascii="Arial" w:cs="Arial" w:eastAsia="Arial" w:hAnsi="Arial"/>
          <w:sz w:val="17"/>
          <w:szCs w:val="17"/>
          <w:color w:val="auto"/>
        </w:rPr>
        <w:t>”) for the Tenant Improvements, (ii) any subcontractors for the Tenant Improvements shall be selected by Landlord, subject to Tenant’s approval, which approval shall not be unreasonably withheld, conditioned or delayed, and (iii) Dowler Gruman Architects shall be the architect (the “</w:t>
      </w:r>
      <w:r>
        <w:rPr>
          <w:rFonts w:ascii="Arial" w:cs="Arial" w:eastAsia="Arial" w:hAnsi="Arial"/>
          <w:sz w:val="17"/>
          <w:szCs w:val="17"/>
          <w:b w:val="1"/>
          <w:bCs w:val="1"/>
          <w:color w:val="auto"/>
        </w:rPr>
        <w:t>TI</w:t>
      </w:r>
      <w:r>
        <w:rPr>
          <w:rFonts w:ascii="Arial" w:cs="Arial" w:eastAsia="Arial" w:hAnsi="Arial"/>
          <w:sz w:val="17"/>
          <w:szCs w:val="17"/>
          <w:color w:val="auto"/>
        </w:rPr>
        <w:t xml:space="preserve"> </w:t>
      </w:r>
      <w:r>
        <w:rPr>
          <w:rFonts w:ascii="Arial" w:cs="Arial" w:eastAsia="Arial" w:hAnsi="Arial"/>
          <w:sz w:val="17"/>
          <w:szCs w:val="17"/>
          <w:b w:val="1"/>
          <w:bCs w:val="1"/>
          <w:color w:val="auto"/>
        </w:rPr>
        <w:t>Architect</w:t>
      </w:r>
      <w:r>
        <w:rPr>
          <w:rFonts w:ascii="Arial" w:cs="Arial" w:eastAsia="Arial" w:hAnsi="Arial"/>
          <w:sz w:val="17"/>
          <w:szCs w:val="17"/>
          <w:color w:val="auto"/>
        </w:rPr>
        <w:t>”) for the Tenant Improvements.</w:t>
      </w:r>
    </w:p>
    <w:p>
      <w:pPr>
        <w:spacing w:after="0" w:line="169" w:lineRule="exact"/>
        <w:rPr>
          <w:sz w:val="20"/>
          <w:szCs w:val="20"/>
          <w:color w:val="auto"/>
        </w:rPr>
      </w:pPr>
    </w:p>
    <w:p>
      <w:pPr>
        <w:ind w:left="1260" w:hanging="626"/>
        <w:spacing w:after="0"/>
        <w:tabs>
          <w:tab w:leader="none" w:pos="1260"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Tenant Improvements.</w:t>
      </w:r>
    </w:p>
    <w:p>
      <w:pPr>
        <w:spacing w:after="0" w:line="224" w:lineRule="exact"/>
        <w:rPr>
          <w:sz w:val="20"/>
          <w:szCs w:val="20"/>
          <w:color w:val="auto"/>
        </w:rPr>
      </w:pPr>
    </w:p>
    <w:p>
      <w:pPr>
        <w:ind w:right="60" w:firstLine="634"/>
        <w:spacing w:after="0" w:line="261" w:lineRule="auto"/>
        <w:tabs>
          <w:tab w:leader="none" w:pos="1256" w:val="left"/>
        </w:tabs>
        <w:numPr>
          <w:ilvl w:val="0"/>
          <w:numId w:val="362"/>
        </w:numPr>
        <w:rPr>
          <w:rFonts w:ascii="Arial" w:cs="Arial" w:eastAsia="Arial" w:hAnsi="Arial"/>
          <w:sz w:val="17"/>
          <w:szCs w:val="17"/>
          <w:color w:val="auto"/>
        </w:rPr>
      </w:pPr>
      <w:r>
        <w:rPr>
          <w:rFonts w:ascii="Arial" w:cs="Arial" w:eastAsia="Arial" w:hAnsi="Arial"/>
          <w:sz w:val="17"/>
          <w:szCs w:val="17"/>
          <w:b w:val="1"/>
          <w:bCs w:val="1"/>
          <w:color w:val="auto"/>
        </w:rPr>
        <w:t xml:space="preserve">Tenant Improvements Defined. </w:t>
      </w:r>
      <w:r>
        <w:rPr>
          <w:rFonts w:ascii="Arial" w:cs="Arial" w:eastAsia="Arial" w:hAnsi="Arial"/>
          <w:sz w:val="17"/>
          <w:szCs w:val="17"/>
          <w:color w:val="auto"/>
        </w:rPr>
        <w:t>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all improvements to the Project as shown on the TI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Construction Drawings, as defined in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below, constructed pursuant to this Work Letter. The Tenant Improvements are further described on the construction budget attached hereto as Schedule 2. Other than Landlord’s Work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 obligation whatsoever with respect to the finishing of the Premises for Tenant’s use and occupancy. Landlord and Tenant acknowledge and agree that Landlord will be performing the Tenant Improvements during Tenant’s occupancy of the Premises. Tenant shall permit access to the Premises at all reasonable times to allow Landlord to perform the Tenant Improvements. The completion of the Tenant Improvements may have a material adverse effect on Tenant’s use and quiet enjoyment of the Premises and the operation of Tenant’s business at the Premises, including, without limitation, the creation of dust, noise and vibrations, none of which shall constitute a constructive eviction of Tenant, an interruption of Tenant’s use and quiet enjoyment of the Premises or result in any offset or abatement of Rent whatsoever. Notwithstanding anything to the contrary set forth herein, Landlord shall have no liability to Tenant for any Claims resulting from, arising out of or related to the performance of the Tenant Improvements.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34"/>
        <w:spacing w:after="0" w:line="270" w:lineRule="auto"/>
        <w:tabs>
          <w:tab w:leader="none" w:pos="1266" w:val="left"/>
        </w:tabs>
        <w:numPr>
          <w:ilvl w:val="1"/>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Tenant’s Space Plans. </w:t>
      </w:r>
      <w:r>
        <w:rPr>
          <w:rFonts w:ascii="Arial" w:cs="Arial" w:eastAsia="Arial" w:hAnsi="Arial"/>
          <w:sz w:val="17"/>
          <w:szCs w:val="17"/>
          <w:color w:val="auto"/>
        </w:rPr>
        <w:t>Landlord and Tenant acknowledge and agree that the plan prepared by the TI Architect attached to this Work Letter as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1 the “</w:t>
      </w:r>
      <w:r>
        <w:rPr>
          <w:rFonts w:ascii="Arial" w:cs="Arial" w:eastAsia="Arial" w:hAnsi="Arial"/>
          <w:sz w:val="17"/>
          <w:szCs w:val="17"/>
          <w:b w:val="1"/>
          <w:bCs w:val="1"/>
          <w:color w:val="auto"/>
        </w:rPr>
        <w:t>Space Plan</w:t>
      </w:r>
      <w:r>
        <w:rPr>
          <w:rFonts w:ascii="Arial" w:cs="Arial" w:eastAsia="Arial" w:hAnsi="Arial"/>
          <w:sz w:val="17"/>
          <w:szCs w:val="17"/>
          <w:color w:val="auto"/>
        </w:rPr>
        <w:t>”) has been approved by both Landlord and Tenant. Landlord and Tenant further acknowledge and agree that any changes to the Space Plan requested by Tenant (other than de minimus changes which are consistent generally with the Space Plan) constitute a Change Request the cost of which changes shall be paid for by Tenant.</w:t>
      </w:r>
    </w:p>
    <w:p>
      <w:pPr>
        <w:spacing w:after="0" w:line="169" w:lineRule="exact"/>
        <w:rPr>
          <w:rFonts w:ascii="Arial" w:cs="Arial" w:eastAsia="Arial" w:hAnsi="Arial"/>
          <w:sz w:val="17"/>
          <w:szCs w:val="17"/>
          <w:color w:val="auto"/>
        </w:rPr>
      </w:pPr>
    </w:p>
    <w:p>
      <w:pPr>
        <w:ind w:right="60" w:firstLine="634"/>
        <w:spacing w:after="0" w:line="292" w:lineRule="auto"/>
        <w:tabs>
          <w:tab w:leader="none" w:pos="1269" w:val="left"/>
        </w:tabs>
        <w:numPr>
          <w:ilvl w:val="1"/>
          <w:numId w:val="363"/>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and Tenant have agreed upon construction plans, specifications and drawings for the Tenant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the Space Plan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Tenant shall be solely responsible for ensuring that the TI Construction Drawings reflect Tenant’s requirements for the Tenant Improvements.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53" w:lineRule="exact"/>
        <w:rPr>
          <w:rFonts w:ascii="Arial" w:cs="Arial" w:eastAsia="Arial" w:hAnsi="Arial"/>
          <w:sz w:val="16"/>
          <w:szCs w:val="16"/>
          <w:color w:val="auto"/>
        </w:rPr>
      </w:pPr>
    </w:p>
    <w:p>
      <w:pPr>
        <w:ind w:right="160" w:firstLine="634"/>
        <w:spacing w:after="0" w:line="304" w:lineRule="auto"/>
        <w:tabs>
          <w:tab w:leader="none" w:pos="1266" w:val="left"/>
        </w:tabs>
        <w:numPr>
          <w:ilvl w:val="1"/>
          <w:numId w:val="363"/>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Upon any dispute regarding the design of the Tenant Improvements, which is not settled within 10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notice of such dispute is delivered by one party to the other, Tenant may make the final decision regarding the design of the Tenant Improvements, provided</w:t>
      </w:r>
    </w:p>
    <w:p>
      <w:pPr>
        <w:ind w:right="60" w:firstLine="5"/>
        <w:spacing w:after="0" w:line="263" w:lineRule="auto"/>
        <w:tabs>
          <w:tab w:leader="none" w:pos="206"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Building systems. Any changes to the TI Construction Drawings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74" w:lineRule="exact"/>
        <w:rPr>
          <w:sz w:val="20"/>
          <w:szCs w:val="20"/>
          <w:color w:val="auto"/>
        </w:rPr>
      </w:pPr>
    </w:p>
    <w:p>
      <w:pPr>
        <w:ind w:left="1260" w:hanging="626"/>
        <w:spacing w:after="0"/>
        <w:tabs>
          <w:tab w:leader="none" w:pos="1260" w:val="left"/>
        </w:tabs>
        <w:numPr>
          <w:ilvl w:val="0"/>
          <w:numId w:val="365"/>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p>
    <w:p>
      <w:pPr>
        <w:spacing w:after="0" w:line="224" w:lineRule="exact"/>
        <w:rPr>
          <w:sz w:val="20"/>
          <w:szCs w:val="20"/>
          <w:color w:val="auto"/>
        </w:rPr>
      </w:pPr>
    </w:p>
    <w:p>
      <w:pPr>
        <w:ind w:left="1260" w:hanging="626"/>
        <w:spacing w:after="0"/>
        <w:tabs>
          <w:tab w:leader="none" w:pos="1260"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Landlord’s Work. </w:t>
      </w:r>
      <w:r>
        <w:rPr>
          <w:rFonts w:ascii="Arial" w:cs="Arial" w:eastAsia="Arial" w:hAnsi="Arial"/>
          <w:sz w:val="16"/>
          <w:szCs w:val="16"/>
          <w:color w:val="auto"/>
        </w:rPr>
        <w:t>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designing, permitting and constructing the Tenant</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Improvements.</w:t>
      </w:r>
    </w:p>
    <w:p>
      <w:pPr>
        <w:spacing w:after="0" w:line="206" w:lineRule="exact"/>
        <w:rPr>
          <w:rFonts w:ascii="Arial" w:cs="Arial" w:eastAsia="Arial" w:hAnsi="Arial"/>
          <w:sz w:val="16"/>
          <w:szCs w:val="16"/>
          <w:color w:val="auto"/>
        </w:rPr>
      </w:pPr>
    </w:p>
    <w:p>
      <w:pPr>
        <w:ind w:firstLine="634"/>
        <w:spacing w:after="0" w:line="285" w:lineRule="auto"/>
        <w:tabs>
          <w:tab w:leader="none" w:pos="1266"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and Permitting. </w:t>
      </w:r>
      <w:r>
        <w:rPr>
          <w:rFonts w:ascii="Arial" w:cs="Arial" w:eastAsia="Arial" w:hAnsi="Arial"/>
          <w:sz w:val="16"/>
          <w:szCs w:val="16"/>
          <w:color w:val="auto"/>
        </w:rPr>
        <w:t>Landlord shall promptly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by Landlord.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57" w:lineRule="exact"/>
        <w:rPr>
          <w:rFonts w:ascii="Arial" w:cs="Arial" w:eastAsia="Arial" w:hAnsi="Arial"/>
          <w:sz w:val="16"/>
          <w:szCs w:val="16"/>
          <w:color w:val="auto"/>
        </w:rPr>
      </w:pPr>
    </w:p>
    <w:p>
      <w:pPr>
        <w:ind w:right="20" w:firstLine="634"/>
        <w:spacing w:after="0" w:line="301" w:lineRule="auto"/>
        <w:tabs>
          <w:tab w:leader="none" w:pos="1269" w:val="left"/>
        </w:tabs>
        <w:numPr>
          <w:ilvl w:val="0"/>
          <w:numId w:val="366"/>
        </w:numPr>
        <w:rPr>
          <w:rFonts w:ascii="Arial" w:cs="Arial" w:eastAsia="Arial" w:hAnsi="Arial"/>
          <w:sz w:val="15"/>
          <w:szCs w:val="15"/>
          <w:color w:val="auto"/>
        </w:rPr>
      </w:pPr>
      <w:r>
        <w:rPr>
          <w:rFonts w:ascii="Arial" w:cs="Arial" w:eastAsia="Arial" w:hAnsi="Arial"/>
          <w:sz w:val="15"/>
          <w:szCs w:val="15"/>
          <w:b w:val="1"/>
          <w:bCs w:val="1"/>
          <w:color w:val="auto"/>
        </w:rPr>
        <w:t xml:space="preserve">Completion of Landlord’s Work. </w:t>
      </w:r>
      <w:r>
        <w:rPr>
          <w:rFonts w:ascii="Arial" w:cs="Arial" w:eastAsia="Arial" w:hAnsi="Arial"/>
          <w:sz w:val="15"/>
          <w:szCs w:val="15"/>
          <w:color w:val="auto"/>
        </w:rPr>
        <w:t>Landlord shall substantially complete or cause to be substantially completed Landlord’s Work in a good and</w:t>
      </w:r>
      <w:r>
        <w:rPr>
          <w:rFonts w:ascii="Arial" w:cs="Arial" w:eastAsia="Arial" w:hAnsi="Arial"/>
          <w:sz w:val="15"/>
          <w:szCs w:val="15"/>
          <w:b w:val="1"/>
          <w:bCs w:val="1"/>
          <w:color w:val="auto"/>
        </w:rPr>
        <w:t xml:space="preserve"> </w:t>
      </w:r>
      <w:r>
        <w:rPr>
          <w:rFonts w:ascii="Arial" w:cs="Arial" w:eastAsia="Arial" w:hAnsi="Arial"/>
          <w:sz w:val="15"/>
          <w:szCs w:val="15"/>
          <w:color w:val="auto"/>
        </w:rPr>
        <w:t>workmanlike manner, in accordance with the TI Permit subject, in each case, to Minor Variations and normal “punch list” items of a non-material nature that do not interfere with the use of the Premises (“</w:t>
      </w:r>
      <w:r>
        <w:rPr>
          <w:rFonts w:ascii="Arial" w:cs="Arial" w:eastAsia="Arial" w:hAnsi="Arial"/>
          <w:sz w:val="15"/>
          <w:szCs w:val="15"/>
          <w:b w:val="1"/>
          <w:bCs w:val="1"/>
          <w:color w:val="auto"/>
        </w:rPr>
        <w:t>Substantial Completion</w:t>
      </w:r>
      <w:r>
        <w:rPr>
          <w:rFonts w:ascii="Arial" w:cs="Arial" w:eastAsia="Arial" w:hAnsi="Arial"/>
          <w:sz w:val="15"/>
          <w:szCs w:val="15"/>
          <w:color w:val="auto"/>
        </w:rPr>
        <w:t>” or “</w:t>
      </w:r>
      <w:r>
        <w:rPr>
          <w:rFonts w:ascii="Arial" w:cs="Arial" w:eastAsia="Arial" w:hAnsi="Arial"/>
          <w:sz w:val="15"/>
          <w:szCs w:val="15"/>
          <w:b w:val="1"/>
          <w:bCs w:val="1"/>
          <w:color w:val="auto"/>
        </w:rPr>
        <w:t>Substantially Complete</w:t>
      </w:r>
      <w:r>
        <w:rPr>
          <w:rFonts w:ascii="Arial" w:cs="Arial" w:eastAsia="Arial" w:hAnsi="Arial"/>
          <w:sz w:val="15"/>
          <w:szCs w:val="15"/>
          <w:color w:val="auto"/>
        </w:rPr>
        <w:t>”). Substantial Completion shall not include completion of the Cased Opening (as hereinafter defined) which shall be completed in accordance with Section 7 below.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5"/>
          <w:szCs w:val="15"/>
          <w:b w:val="1"/>
          <w:bCs w:val="1"/>
          <w:color w:val="auto"/>
        </w:rPr>
        <w:t>AIA</w:t>
      </w:r>
      <w:r>
        <w:rPr>
          <w:rFonts w:ascii="Arial" w:cs="Arial" w:eastAsia="Arial" w:hAnsi="Arial"/>
          <w:sz w:val="15"/>
          <w:szCs w:val="15"/>
          <w:color w:val="auto"/>
        </w:rPr>
        <w:t>”) document G704. For purposes of this Work Letter, “</w:t>
      </w:r>
      <w:r>
        <w:rPr>
          <w:rFonts w:ascii="Arial" w:cs="Arial" w:eastAsia="Arial" w:hAnsi="Arial"/>
          <w:sz w:val="15"/>
          <w:szCs w:val="15"/>
          <w:b w:val="1"/>
          <w:bCs w:val="1"/>
          <w:color w:val="auto"/>
        </w:rPr>
        <w:t>Minor Variations</w:t>
      </w:r>
      <w:r>
        <w:rPr>
          <w:rFonts w:ascii="Arial" w:cs="Arial" w:eastAsia="Arial" w:hAnsi="Arial"/>
          <w:sz w:val="15"/>
          <w:szCs w:val="15"/>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non-material field deviations or conditions encountered during the construction of Landlord’s Work.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0" w:gutter="0" w:footer="0" w:header="0"/>
        </w:sectPr>
      </w:pPr>
    </w:p>
    <w:bookmarkStart w:id="272" w:name="page273"/>
    <w:bookmarkEnd w:id="272"/>
    <w:p>
      <w:pPr>
        <w:spacing w:after="0" w:line="18" w:lineRule="exact"/>
        <w:rPr>
          <w:sz w:val="20"/>
          <w:szCs w:val="20"/>
          <w:color w:val="auto"/>
        </w:rPr>
      </w:pPr>
    </w:p>
    <w:p>
      <w:pPr>
        <w:ind w:right="400" w:firstLine="634"/>
        <w:spacing w:after="0" w:line="270" w:lineRule="auto"/>
        <w:tabs>
          <w:tab w:leader="none" w:pos="1266"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TI Construction Drawings, the option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at Landlord’s sole and absolute discretion. As to all building materials and equipment that Landlord is obligated to supply under this Work Letter, Landlord shall select the manufacturer thereof in its sole and absolute discretion unless a manufacturer is expressly specified in the approved TI Construction Drawings.</w:t>
      </w:r>
    </w:p>
    <w:p>
      <w:pPr>
        <w:spacing w:after="0" w:line="169" w:lineRule="exact"/>
        <w:rPr>
          <w:rFonts w:ascii="Arial" w:cs="Arial" w:eastAsia="Arial" w:hAnsi="Arial"/>
          <w:sz w:val="17"/>
          <w:szCs w:val="17"/>
          <w:color w:val="auto"/>
        </w:rPr>
      </w:pPr>
    </w:p>
    <w:p>
      <w:pPr>
        <w:ind w:firstLine="634"/>
        <w:spacing w:after="0" w:line="279" w:lineRule="auto"/>
        <w:tabs>
          <w:tab w:leader="none" w:pos="1269"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Defects. </w:t>
      </w:r>
      <w:r>
        <w:rPr>
          <w:rFonts w:ascii="Arial" w:cs="Arial" w:eastAsia="Arial" w:hAnsi="Arial"/>
          <w:sz w:val="16"/>
          <w:szCs w:val="16"/>
          <w:color w:val="auto"/>
        </w:rPr>
        <w:t>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70"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by Tenant. Landlord shall promptly undertake and complete, or cause to be completed, all punch list items.</w:t>
      </w:r>
    </w:p>
    <w:p>
      <w:pPr>
        <w:spacing w:after="0" w:line="130" w:lineRule="exact"/>
        <w:rPr>
          <w:sz w:val="20"/>
          <w:szCs w:val="20"/>
          <w:color w:val="auto"/>
        </w:rPr>
      </w:pPr>
    </w:p>
    <w:p>
      <w:pPr>
        <w:ind w:right="40" w:firstLine="634"/>
        <w:spacing w:after="0" w:line="297" w:lineRule="auto"/>
        <w:tabs>
          <w:tab w:leader="none" w:pos="1263" w:val="left"/>
        </w:tabs>
        <w:numPr>
          <w:ilvl w:val="0"/>
          <w:numId w:val="368"/>
        </w:numPr>
        <w:rPr>
          <w:rFonts w:ascii="Arial" w:cs="Arial" w:eastAsia="Arial" w:hAnsi="Arial"/>
          <w:sz w:val="17"/>
          <w:szCs w:val="17"/>
          <w:color w:val="auto"/>
        </w:rPr>
      </w:pPr>
      <w:r>
        <w:rPr>
          <w:rFonts w:ascii="Arial" w:cs="Arial" w:eastAsia="Arial" w:hAnsi="Arial"/>
          <w:sz w:val="17"/>
          <w:szCs w:val="17"/>
          <w:b w:val="1"/>
          <w:bCs w:val="1"/>
          <w:color w:val="auto"/>
        </w:rPr>
        <w:t xml:space="preserve">Tenant Delay. </w:t>
      </w:r>
      <w:r>
        <w:rPr>
          <w:rFonts w:ascii="Arial" w:cs="Arial" w:eastAsia="Arial" w:hAnsi="Arial"/>
          <w:sz w:val="17"/>
          <w:szCs w:val="17"/>
          <w:color w:val="auto"/>
        </w:rPr>
        <w:t>For purposes of this Lease, “</w:t>
      </w:r>
      <w:r>
        <w:rPr>
          <w:rFonts w:ascii="Arial" w:cs="Arial" w:eastAsia="Arial" w:hAnsi="Arial"/>
          <w:sz w:val="17"/>
          <w:szCs w:val="17"/>
          <w:b w:val="1"/>
          <w:bCs w:val="1"/>
          <w:color w:val="auto"/>
        </w:rPr>
        <w:t>Tenant Delay</w:t>
      </w:r>
      <w:r>
        <w:rPr>
          <w:rFonts w:ascii="Arial" w:cs="Arial" w:eastAsia="Arial" w:hAnsi="Arial"/>
          <w:sz w:val="17"/>
          <w:szCs w:val="17"/>
          <w:color w:val="auto"/>
        </w:rPr>
        <w:t>” shall mean actual delay in the Substantial Completion of Landlord’s Work caused by</w:t>
      </w:r>
      <w:r>
        <w:rPr>
          <w:rFonts w:ascii="Arial" w:cs="Arial" w:eastAsia="Arial" w:hAnsi="Arial"/>
          <w:sz w:val="17"/>
          <w:szCs w:val="17"/>
          <w:b w:val="1"/>
          <w:bCs w:val="1"/>
          <w:color w:val="auto"/>
        </w:rPr>
        <w:t xml:space="preserve"> </w:t>
      </w:r>
      <w:r>
        <w:rPr>
          <w:rFonts w:ascii="Arial" w:cs="Arial" w:eastAsia="Arial" w:hAnsi="Arial"/>
          <w:sz w:val="17"/>
          <w:szCs w:val="17"/>
          <w:color w:val="auto"/>
        </w:rPr>
        <w:t>any one or more of the following:</w:t>
      </w:r>
    </w:p>
    <w:p>
      <w:pPr>
        <w:spacing w:after="0" w:line="151" w:lineRule="exact"/>
        <w:rPr>
          <w:rFonts w:ascii="Arial" w:cs="Arial" w:eastAsia="Arial" w:hAnsi="Arial"/>
          <w:sz w:val="17"/>
          <w:szCs w:val="17"/>
          <w:color w:val="auto"/>
        </w:rPr>
      </w:pPr>
    </w:p>
    <w:p>
      <w:pPr>
        <w:ind w:left="640" w:right="300" w:firstLine="623"/>
        <w:spacing w:after="0" w:line="289" w:lineRule="auto"/>
        <w:tabs>
          <w:tab w:leader="none" w:pos="1919"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Tenant’s Representative was not available to give or receive any Communication or to take any other action required to be taken by Tenant hereunder within the time periods set forth herein;</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Tenant’s request for Change Requests (as defined in Section 4(a) below) whether or not any such Change Requests are actually</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performed;</w:t>
      </w:r>
    </w:p>
    <w:p>
      <w:pPr>
        <w:spacing w:after="0" w:line="212" w:lineRule="exact"/>
        <w:rPr>
          <w:rFonts w:ascii="Arial" w:cs="Arial" w:eastAsia="Arial" w:hAnsi="Arial"/>
          <w:sz w:val="16"/>
          <w:szCs w:val="16"/>
          <w:color w:val="auto"/>
        </w:rPr>
      </w:pPr>
    </w:p>
    <w:p>
      <w:pPr>
        <w:ind w:left="1940" w:hanging="677"/>
        <w:spacing w:after="0"/>
        <w:tabs>
          <w:tab w:leader="none" w:pos="194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224" w:lineRule="exact"/>
        <w:rPr>
          <w:rFonts w:ascii="Arial" w:cs="Arial" w:eastAsia="Arial" w:hAnsi="Arial"/>
          <w:sz w:val="17"/>
          <w:szCs w:val="17"/>
          <w:color w:val="auto"/>
        </w:rPr>
      </w:pPr>
    </w:p>
    <w:p>
      <w:pPr>
        <w:ind w:left="640" w:right="60" w:firstLine="623"/>
        <w:spacing w:after="0" w:line="289" w:lineRule="auto"/>
        <w:tabs>
          <w:tab w:leader="none" w:pos="1915"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TI Costs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60" w:firstLine="623"/>
        <w:spacing w:after="0" w:line="289" w:lineRule="auto"/>
        <w:tabs>
          <w:tab w:leader="none" w:pos="193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than one (1) day after Landlord’s notice thereof to Tenant.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Substantial Completion of Landlord’s Work is delayed for any of the foregoing reasons, then Landlord shall cause the TI Architect to certify the date on which the Tenant Improvements would have been completed but for such Tenant Delay and such certified date shall be the date of Substantial Completion. Upon request, Landlord will advise Tenant if any materials, finishes or installations which are requested as part of any Change Request are likely to require unusually long lead times.</w:t>
      </w:r>
    </w:p>
    <w:p>
      <w:pPr>
        <w:spacing w:after="0" w:line="170" w:lineRule="exact"/>
        <w:rPr>
          <w:sz w:val="20"/>
          <w:szCs w:val="20"/>
          <w:color w:val="auto"/>
        </w:rPr>
      </w:pPr>
    </w:p>
    <w:p>
      <w:pPr>
        <w:ind w:right="120" w:firstLine="634"/>
        <w:spacing w:after="0" w:line="277" w:lineRule="auto"/>
        <w:tabs>
          <w:tab w:leader="none" w:pos="1258"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 xml:space="preserve">Changes. </w:t>
      </w:r>
      <w:r>
        <w:rPr>
          <w:rFonts w:ascii="Arial" w:cs="Arial" w:eastAsia="Arial" w:hAnsi="Arial"/>
          <w:sz w:val="17"/>
          <w:szCs w:val="17"/>
          <w:color w:val="auto"/>
        </w:rPr>
        <w:t>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sz w:val="20"/>
          <w:szCs w:val="20"/>
          <w:color w:val="auto"/>
        </w:rPr>
      </w:pPr>
    </w:p>
    <w:p>
      <w:pPr>
        <w:ind w:right="40" w:firstLine="634"/>
        <w:spacing w:after="0" w:line="262" w:lineRule="auto"/>
        <w:tabs>
          <w:tab w:leader="none" w:pos="1256" w:val="left"/>
        </w:tabs>
        <w:numPr>
          <w:ilvl w:val="0"/>
          <w:numId w:val="371"/>
        </w:numPr>
        <w:rPr>
          <w:rFonts w:ascii="Arial" w:cs="Arial" w:eastAsia="Arial" w:hAnsi="Arial"/>
          <w:sz w:val="17"/>
          <w:szCs w:val="17"/>
          <w:color w:val="auto"/>
        </w:rPr>
      </w:pPr>
      <w:r>
        <w:rPr>
          <w:rFonts w:ascii="Arial" w:cs="Arial" w:eastAsia="Arial" w:hAnsi="Arial"/>
          <w:sz w:val="17"/>
          <w:szCs w:val="17"/>
          <w:b w:val="1"/>
          <w:bCs w:val="1"/>
          <w:color w:val="auto"/>
        </w:rPr>
        <w:t xml:space="preserve">Tenant’s Request For Changes. </w:t>
      </w:r>
      <w:r>
        <w:rPr>
          <w:rFonts w:ascii="Arial" w:cs="Arial" w:eastAsia="Arial" w:hAnsi="Arial"/>
          <w:sz w:val="17"/>
          <w:szCs w:val="17"/>
          <w:color w:val="auto"/>
        </w:rPr>
        <w:t>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Landlord in writing in substantially the same form as the AIA standard change order form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by Tenant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w:t>
      </w:r>
    </w:p>
    <w:p>
      <w:pPr>
        <w:spacing w:after="0" w:line="176" w:lineRule="exact"/>
        <w:rPr>
          <w:rFonts w:ascii="Arial" w:cs="Arial" w:eastAsia="Arial" w:hAnsi="Arial"/>
          <w:sz w:val="17"/>
          <w:szCs w:val="17"/>
          <w:color w:val="auto"/>
        </w:rPr>
      </w:pPr>
    </w:p>
    <w:p>
      <w:pPr>
        <w:ind w:right="40" w:firstLine="634"/>
        <w:spacing w:after="0" w:line="277" w:lineRule="auto"/>
        <w:tabs>
          <w:tab w:leader="none" w:pos="1266" w:val="left"/>
        </w:tabs>
        <w:numPr>
          <w:ilvl w:val="0"/>
          <w:numId w:val="371"/>
        </w:numPr>
        <w:rPr>
          <w:rFonts w:ascii="Arial" w:cs="Arial" w:eastAsia="Arial" w:hAnsi="Arial"/>
          <w:sz w:val="17"/>
          <w:szCs w:val="17"/>
          <w:color w:val="auto"/>
        </w:rPr>
      </w:pPr>
      <w:r>
        <w:rPr>
          <w:rFonts w:ascii="Arial" w:cs="Arial" w:eastAsia="Arial" w:hAnsi="Arial"/>
          <w:sz w:val="17"/>
          <w:szCs w:val="17"/>
          <w:b w:val="1"/>
          <w:bCs w:val="1"/>
          <w:color w:val="auto"/>
        </w:rPr>
        <w:t xml:space="preserve">Implementation of Changes. </w:t>
      </w:r>
      <w:r>
        <w:rPr>
          <w:rFonts w:ascii="Arial" w:cs="Arial" w:eastAsia="Arial" w:hAnsi="Arial"/>
          <w:sz w:val="17"/>
          <w:szCs w:val="17"/>
          <w:color w:val="auto"/>
        </w:rPr>
        <w:t>If Tenant: (i) approves in writing the cost or savings and the estimated extension in the time for completion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Work, if any, and (ii) deposits with Landlord any Excess TI Costs required in connection with such Change, Landlord shall cause the approved Change to be instituted.</w:t>
      </w:r>
    </w:p>
    <w:p>
      <w:pPr>
        <w:spacing w:after="0" w:line="162" w:lineRule="exact"/>
        <w:rPr>
          <w:sz w:val="20"/>
          <w:szCs w:val="20"/>
          <w:color w:val="auto"/>
        </w:rPr>
      </w:pPr>
    </w:p>
    <w:p>
      <w:pPr>
        <w:ind w:left="1260" w:hanging="626"/>
        <w:spacing w:after="0"/>
        <w:tabs>
          <w:tab w:leader="none" w:pos="1260"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24" w:lineRule="exact"/>
        <w:rPr>
          <w:sz w:val="20"/>
          <w:szCs w:val="20"/>
          <w:color w:val="auto"/>
        </w:rPr>
      </w:pPr>
    </w:p>
    <w:p>
      <w:pPr>
        <w:ind w:firstLine="634"/>
        <w:spacing w:after="0" w:line="330" w:lineRule="auto"/>
        <w:tabs>
          <w:tab w:leader="none" w:pos="1256" w:val="left"/>
        </w:tabs>
        <w:numPr>
          <w:ilvl w:val="0"/>
          <w:numId w:val="373"/>
        </w:numPr>
        <w:rPr>
          <w:rFonts w:ascii="Arial" w:cs="Arial" w:eastAsia="Arial" w:hAnsi="Arial"/>
          <w:sz w:val="15"/>
          <w:szCs w:val="15"/>
          <w:color w:val="auto"/>
        </w:rPr>
      </w:pPr>
      <w:r>
        <w:rPr>
          <w:rFonts w:ascii="Arial" w:cs="Arial" w:eastAsia="Arial" w:hAnsi="Arial"/>
          <w:sz w:val="15"/>
          <w:szCs w:val="15"/>
          <w:b w:val="1"/>
          <w:bCs w:val="1"/>
          <w:color w:val="auto"/>
        </w:rPr>
        <w:t xml:space="preserve">TI Costs. </w:t>
      </w:r>
      <w:r>
        <w:rPr>
          <w:rFonts w:ascii="Arial" w:cs="Arial" w:eastAsia="Arial" w:hAnsi="Arial"/>
          <w:sz w:val="15"/>
          <w:szCs w:val="15"/>
          <w:color w:val="auto"/>
        </w:rPr>
        <w:t>Except as otherwise provided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5(b)</w:t>
      </w:r>
      <w:r>
        <w:rPr>
          <w:rFonts w:ascii="Arial" w:cs="Arial" w:eastAsia="Arial" w:hAnsi="Arial"/>
          <w:sz w:val="15"/>
          <w:szCs w:val="15"/>
          <w:b w:val="1"/>
          <w:bCs w:val="1"/>
          <w:color w:val="auto"/>
        </w:rPr>
        <w:t xml:space="preserve"> </w:t>
      </w:r>
      <w:r>
        <w:rPr>
          <w:rFonts w:ascii="Arial" w:cs="Arial" w:eastAsia="Arial" w:hAnsi="Arial"/>
          <w:sz w:val="15"/>
          <w:szCs w:val="15"/>
          <w:color w:val="auto"/>
        </w:rPr>
        <w:t>below, Landlord shall be responsible for the payment of design, permits and construction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costs in connection with the construction of the Tenant Improvements, including, without limitation, the cost of electrical power and other utilities used in connection with the construction of the Tenant Improvements, the cost of preparing the TI Construction Drawings and the Space Plans and Landlord’s out-of-</w:t>
      </w:r>
    </w:p>
    <w:p>
      <w:pPr>
        <w:sectPr>
          <w:pgSz w:w="11900" w:h="16856" w:orient="portrait"/>
          <w:cols w:equalWidth="0" w:num="1">
            <w:col w:w="11400"/>
          </w:cols>
          <w:pgMar w:left="240" w:top="567" w:right="259" w:bottom="0" w:gutter="0" w:footer="0" w:header="0"/>
        </w:sectPr>
      </w:pPr>
    </w:p>
    <w:bookmarkStart w:id="273" w:name="page274"/>
    <w:bookmarkEnd w:id="273"/>
    <w:p>
      <w:pPr>
        <w:jc w:val="both"/>
        <w:ind w:right="100"/>
        <w:spacing w:after="0" w:line="302" w:lineRule="auto"/>
        <w:rPr>
          <w:sz w:val="20"/>
          <w:szCs w:val="20"/>
          <w:color w:val="auto"/>
        </w:rPr>
      </w:pPr>
      <w:r>
        <w:rPr>
          <w:rFonts w:ascii="Arial" w:cs="Arial" w:eastAsia="Arial" w:hAnsi="Arial"/>
          <w:sz w:val="16"/>
          <w:szCs w:val="16"/>
          <w:color w:val="auto"/>
        </w:rPr>
        <w:t>pocket expenses and all of Landlord’s project management fees (collectively, “</w:t>
      </w:r>
      <w:r>
        <w:rPr>
          <w:rFonts w:ascii="Arial" w:cs="Arial" w:eastAsia="Arial" w:hAnsi="Arial"/>
          <w:sz w:val="16"/>
          <w:szCs w:val="16"/>
          <w:b w:val="1"/>
          <w:bCs w:val="1"/>
          <w:color w:val="auto"/>
        </w:rPr>
        <w:t>TI Costs</w:t>
      </w:r>
      <w:r>
        <w:rPr>
          <w:rFonts w:ascii="Arial" w:cs="Arial" w:eastAsia="Arial" w:hAnsi="Arial"/>
          <w:sz w:val="16"/>
          <w:szCs w:val="16"/>
          <w:color w:val="auto"/>
        </w:rPr>
        <w:t>”). Notwithstanding anything to the contrary contained herein, in no event shall Landlord be required to pay for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44" w:lineRule="exact"/>
        <w:rPr>
          <w:sz w:val="20"/>
          <w:szCs w:val="20"/>
          <w:color w:val="auto"/>
        </w:rPr>
      </w:pPr>
    </w:p>
    <w:p>
      <w:pPr>
        <w:ind w:right="100" w:firstLine="634"/>
        <w:spacing w:after="0" w:line="265" w:lineRule="auto"/>
        <w:tabs>
          <w:tab w:leader="none" w:pos="1266" w:val="left"/>
        </w:tabs>
        <w:numPr>
          <w:ilvl w:val="0"/>
          <w:numId w:val="374"/>
        </w:numPr>
        <w:rPr>
          <w:rFonts w:ascii="Arial" w:cs="Arial" w:eastAsia="Arial" w:hAnsi="Arial"/>
          <w:sz w:val="17"/>
          <w:szCs w:val="17"/>
          <w:color w:val="auto"/>
        </w:rPr>
      </w:pPr>
      <w:r>
        <w:rPr>
          <w:rFonts w:ascii="Arial" w:cs="Arial" w:eastAsia="Arial" w:hAnsi="Arial"/>
          <w:sz w:val="17"/>
          <w:szCs w:val="17"/>
          <w:b w:val="1"/>
          <w:bCs w:val="1"/>
          <w:color w:val="auto"/>
        </w:rPr>
        <w:t xml:space="preserve">Excess TI Costs. </w:t>
      </w:r>
      <w:r>
        <w:rPr>
          <w:rFonts w:ascii="Arial" w:cs="Arial" w:eastAsia="Arial" w:hAnsi="Arial"/>
          <w:sz w:val="17"/>
          <w:szCs w:val="17"/>
          <w:color w:val="auto"/>
        </w:rPr>
        <w:t>Notwithstanding anything to the contrary contained herein, Tenant acknowledges and agrees that, Landlord shall have no</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bear any costs arising from or related to (i) Tenant’s Changes to the Space Plan or TI Construction Drawings, and the cost of Changes and Change Requests and (ii) Tenant Delay (collectively, “</w:t>
      </w:r>
      <w:r>
        <w:rPr>
          <w:rFonts w:ascii="Arial" w:cs="Arial" w:eastAsia="Arial" w:hAnsi="Arial"/>
          <w:sz w:val="17"/>
          <w:szCs w:val="17"/>
          <w:b w:val="1"/>
          <w:bCs w:val="1"/>
          <w:color w:val="auto"/>
        </w:rPr>
        <w:t>Excess TI Costs</w:t>
      </w:r>
      <w:r>
        <w:rPr>
          <w:rFonts w:ascii="Arial" w:cs="Arial" w:eastAsia="Arial" w:hAnsi="Arial"/>
          <w:sz w:val="17"/>
          <w:szCs w:val="17"/>
          <w:color w:val="auto"/>
        </w:rPr>
        <w:t>”). Upon Landlord’s request from time to time, Tenant shall deposit with Landlord, as a condition precedent to Landlord’s obligation to complete the Tenant Improvements, 100% of the Excess TI Costs. If Tenant fails to deposit any Excess TI Costs with Landlord, Landlord shall have all of the rights and remedies set forth in the Lease for nonpayment of Rent (including, but not limited to, the right to interest at the Default Rate and the right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assess a late charge). For purposes of any litigation instituted with regard to such amounts, those amounts will be deemed Rent under the Lease.</w:t>
      </w:r>
    </w:p>
    <w:p>
      <w:pPr>
        <w:spacing w:after="0" w:line="218" w:lineRule="exact"/>
        <w:rPr>
          <w:sz w:val="20"/>
          <w:szCs w:val="20"/>
          <w:color w:val="auto"/>
        </w:rPr>
      </w:pPr>
    </w:p>
    <w:p>
      <w:pPr>
        <w:ind w:right="300" w:firstLine="634"/>
        <w:spacing w:after="0" w:line="297" w:lineRule="auto"/>
        <w:tabs>
          <w:tab w:leader="none" w:pos="1258"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 xml:space="preserve">No Interference. </w:t>
      </w:r>
      <w:r>
        <w:rPr>
          <w:rFonts w:ascii="Arial" w:cs="Arial" w:eastAsia="Arial" w:hAnsi="Arial"/>
          <w:sz w:val="17"/>
          <w:szCs w:val="17"/>
          <w:color w:val="auto"/>
        </w:rPr>
        <w:t>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w:t>
      </w:r>
    </w:p>
    <w:p>
      <w:pPr>
        <w:spacing w:after="0" w:line="145" w:lineRule="exact"/>
        <w:rPr>
          <w:rFonts w:ascii="Arial" w:cs="Arial" w:eastAsia="Arial" w:hAnsi="Arial"/>
          <w:sz w:val="17"/>
          <w:szCs w:val="17"/>
          <w:color w:val="auto"/>
        </w:rPr>
      </w:pPr>
    </w:p>
    <w:p>
      <w:pPr>
        <w:ind w:right="360" w:firstLine="634"/>
        <w:spacing w:after="0" w:line="297" w:lineRule="auto"/>
        <w:tabs>
          <w:tab w:leader="none" w:pos="1258"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of Opening. </w:t>
      </w:r>
      <w:r>
        <w:rPr>
          <w:rFonts w:ascii="Arial" w:cs="Arial" w:eastAsia="Arial" w:hAnsi="Arial"/>
          <w:sz w:val="17"/>
          <w:szCs w:val="17"/>
          <w:color w:val="auto"/>
        </w:rPr>
        <w:t>Landlord shall construct, at Landlord’s expense, a cased opening between the suites in the location shown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Space Plan (the “</w:t>
      </w:r>
      <w:r>
        <w:rPr>
          <w:rFonts w:ascii="Arial" w:cs="Arial" w:eastAsia="Arial" w:hAnsi="Arial"/>
          <w:sz w:val="17"/>
          <w:szCs w:val="17"/>
          <w:b w:val="1"/>
          <w:bCs w:val="1"/>
          <w:color w:val="auto"/>
        </w:rPr>
        <w:t>Cased Opening</w:t>
      </w:r>
      <w:r>
        <w:rPr>
          <w:rFonts w:ascii="Arial" w:cs="Arial" w:eastAsia="Arial" w:hAnsi="Arial"/>
          <w:sz w:val="17"/>
          <w:szCs w:val="17"/>
          <w:color w:val="auto"/>
        </w:rPr>
        <w:t>”) after September 1, 2010 and before October 1, 2010.</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40" w:firstLine="634"/>
        <w:spacing w:after="0" w:line="297" w:lineRule="auto"/>
        <w:tabs>
          <w:tab w:leader="none" w:pos="1256"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or delay such consent or approval, unless expressly set forth herein to the contrary.</w:t>
      </w:r>
    </w:p>
    <w:p>
      <w:pPr>
        <w:spacing w:after="0" w:line="145" w:lineRule="exact"/>
        <w:rPr>
          <w:rFonts w:ascii="Arial" w:cs="Arial" w:eastAsia="Arial" w:hAnsi="Arial"/>
          <w:sz w:val="17"/>
          <w:szCs w:val="17"/>
          <w:color w:val="auto"/>
        </w:rPr>
      </w:pPr>
    </w:p>
    <w:p>
      <w:pPr>
        <w:ind w:right="600" w:firstLine="634"/>
        <w:spacing w:after="0" w:line="297" w:lineRule="auto"/>
        <w:tabs>
          <w:tab w:leader="none" w:pos="1266"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Tenant unless in writing signed by Landlord and Tenant.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 TO WORK LETTER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SPACE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Floor - East Wing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2 TO WORK LETTER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CONSTRUCTION BUDGET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180"/>
        <w:spacing w:after="0"/>
        <w:rPr>
          <w:sz w:val="20"/>
          <w:szCs w:val="20"/>
          <w:color w:val="auto"/>
        </w:rPr>
      </w:pPr>
      <w:r>
        <w:rPr>
          <w:rFonts w:ascii="Arial" w:cs="Arial" w:eastAsia="Arial" w:hAnsi="Arial"/>
          <w:sz w:val="17"/>
          <w:szCs w:val="17"/>
          <w:b w:val="1"/>
          <w:bCs w:val="1"/>
          <w:color w:val="auto"/>
        </w:rPr>
        <w:t>CONFIDENTIAL</w:t>
      </w:r>
    </w:p>
    <w:p>
      <w:pPr>
        <w:sectPr>
          <w:pgSz w:w="11900" w:h="16838" w:orient="portrait"/>
          <w:cols w:equalWidth="0" w:num="1">
            <w:col w:w="11420"/>
          </w:cols>
          <w:pgMar w:left="240" w:top="121" w:right="239"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[BNB NorCal Logo]</w:t>
      </w:r>
    </w:p>
    <w:p>
      <w:pPr>
        <w:spacing w:after="0" w:line="205" w:lineRule="exact"/>
        <w:rPr>
          <w:sz w:val="20"/>
          <w:szCs w:val="20"/>
          <w:color w:val="auto"/>
        </w:rPr>
      </w:pPr>
    </w:p>
    <w:p>
      <w:pPr>
        <w:sectPr>
          <w:pgSz w:w="11900" w:h="16838" w:orient="portrait"/>
          <w:cols w:equalWidth="0" w:num="2">
            <w:col w:w="9260" w:space="720"/>
            <w:col w:w="144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PROJECT: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CLIENT: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Veracyte - CLIA Lab Build-Out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Veracyte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BNB PROJECT NO.: TBD</w:t>
      </w:r>
    </w:p>
    <w:p>
      <w:pPr>
        <w:spacing w:after="0" w:line="211" w:lineRule="exact"/>
        <w:rPr>
          <w:sz w:val="20"/>
          <w:szCs w:val="20"/>
          <w:color w:val="auto"/>
        </w:rPr>
      </w:pPr>
    </w:p>
    <w:p>
      <w:pPr>
        <w:sectPr>
          <w:pgSz w:w="11900" w:h="16838" w:orient="portrait"/>
          <w:cols w:equalWidth="0" w:num="3">
            <w:col w:w="780" w:space="300"/>
            <w:col w:w="5540" w:space="720"/>
            <w:col w:w="4080"/>
          </w:cols>
          <w:pgMar w:left="240" w:top="121" w:right="239" w:bottom="0" w:gutter="0" w:footer="0" w:header="0"/>
          <w:type w:val="continuous"/>
        </w:sect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Attached is the revised pricing for the Veracyte CLIA Lab Renovation.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This revised pricing is based on the January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design meeting and updated Permit Set drawings dated 1.27.10</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Summary of changes:</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Temp. protection cost have been reduced to reflect work performed by Superintendent</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Cost of Interior demo has been reduced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Layout &amp; Survey, Final clean, and Caulking will be performed by Superintendant</w:t>
      </w:r>
    </w:p>
    <w:p>
      <w:pPr>
        <w:sectPr>
          <w:pgSz w:w="11900" w:h="16838" w:orient="portrait"/>
          <w:cols w:equalWidth="0" w:num="1">
            <w:col w:w="11420"/>
          </w:cols>
          <w:pgMar w:left="240" w:top="121" w:right="239" w:bottom="0" w:gutter="0" w:footer="0" w:header="0"/>
          <w:type w:val="continuous"/>
        </w:sectPr>
      </w:pPr>
    </w:p>
    <w:bookmarkStart w:id="274" w:name="page275"/>
    <w:bookmarkEnd w:id="274"/>
    <w:p>
      <w:pPr>
        <w:ind w:left="1080"/>
        <w:spacing w:after="0"/>
        <w:rPr>
          <w:sz w:val="20"/>
          <w:szCs w:val="20"/>
          <w:color w:val="auto"/>
        </w:rPr>
      </w:pPr>
      <w:r>
        <w:rPr>
          <w:rFonts w:ascii="Arial" w:cs="Arial" w:eastAsia="Arial" w:hAnsi="Arial"/>
          <w:sz w:val="17"/>
          <w:szCs w:val="17"/>
          <w:color w:val="auto"/>
        </w:rPr>
        <w:t>Insulation in new walls has been deleted</w:t>
      </w:r>
    </w:p>
    <w:p>
      <w:pPr>
        <w:spacing w:after="0" w:line="26" w:lineRule="exact"/>
        <w:rPr>
          <w:sz w:val="20"/>
          <w:szCs w:val="20"/>
          <w:color w:val="auto"/>
        </w:rPr>
      </w:pPr>
    </w:p>
    <w:p>
      <w:pPr>
        <w:ind w:left="1080" w:right="2700"/>
        <w:spacing w:after="0" w:line="257" w:lineRule="auto"/>
        <w:rPr>
          <w:sz w:val="20"/>
          <w:szCs w:val="20"/>
          <w:color w:val="auto"/>
        </w:rPr>
      </w:pPr>
      <w:r>
        <w:rPr>
          <w:rFonts w:ascii="Arial" w:cs="Arial" w:eastAsia="Arial" w:hAnsi="Arial"/>
          <w:sz w:val="17"/>
          <w:szCs w:val="17"/>
          <w:color w:val="auto"/>
        </w:rPr>
        <w:t>Ceiling, Flooring and Painting scopes were reviewed and remain the same. Painting scope was discussed with subcontractor and was bld at new walls only (corner to corner) to match existing.</w:t>
      </w:r>
    </w:p>
    <w:p>
      <w:pPr>
        <w:spacing w:after="0" w:line="1" w:lineRule="exact"/>
        <w:rPr>
          <w:sz w:val="20"/>
          <w:szCs w:val="20"/>
          <w:color w:val="auto"/>
        </w:rPr>
      </w:pPr>
    </w:p>
    <w:p>
      <w:pPr>
        <w:ind w:left="1080" w:right="3500"/>
        <w:spacing w:after="0" w:line="257" w:lineRule="auto"/>
        <w:rPr>
          <w:sz w:val="20"/>
          <w:szCs w:val="20"/>
          <w:color w:val="auto"/>
        </w:rPr>
      </w:pPr>
      <w:r>
        <w:rPr>
          <w:rFonts w:ascii="Arial" w:cs="Arial" w:eastAsia="Arial" w:hAnsi="Arial"/>
          <w:sz w:val="17"/>
          <w:szCs w:val="17"/>
          <w:color w:val="auto"/>
        </w:rPr>
        <w:t>Cost of relocating 2 fire extinguisher cabinets and 1 new cabinet will performed by superintendant Elevator protection will be performed by Superintendant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Plumbing scope was reduced with the deletion of vacuum and two sinks (In rooms 223 and 229)</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Fire Alarm quote from DFP (current building fire alarm vendor)</w:t>
      </w:r>
    </w:p>
    <w:p>
      <w:pPr>
        <w:spacing w:after="0" w:line="14" w:lineRule="exact"/>
        <w:rPr>
          <w:sz w:val="20"/>
          <w:szCs w:val="20"/>
          <w:color w:val="auto"/>
        </w:rPr>
      </w:pPr>
    </w:p>
    <w:p>
      <w:pPr>
        <w:ind w:left="1080" w:right="300"/>
        <w:spacing w:after="0" w:line="257" w:lineRule="auto"/>
        <w:rPr>
          <w:sz w:val="20"/>
          <w:szCs w:val="20"/>
          <w:color w:val="auto"/>
        </w:rPr>
      </w:pPr>
      <w:r>
        <w:rPr>
          <w:rFonts w:ascii="Arial" w:cs="Arial" w:eastAsia="Arial" w:hAnsi="Arial"/>
          <w:sz w:val="17"/>
          <w:szCs w:val="17"/>
          <w:color w:val="auto"/>
        </w:rPr>
        <w:t>Detailed backup for Project Management and Special Requirement line items has been included; Project Management was reduced by removing Principal’s time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Permit Fee Allowance has been deleted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Contingency Allowance of 2% has been added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Electrical scope added additional light fixtures and power</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 for new celling in rm 224</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Lab casework priced as used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9"/>
          </w:tcPr>
          <w:p>
            <w:pPr>
              <w:spacing w:after="0"/>
              <w:rPr>
                <w:sz w:val="20"/>
                <w:szCs w:val="20"/>
                <w:color w:val="auto"/>
              </w:rPr>
            </w:pPr>
            <w:r>
              <w:rPr>
                <w:rFonts w:ascii="Arial" w:cs="Arial" w:eastAsia="Arial" w:hAnsi="Arial"/>
                <w:sz w:val="17"/>
                <w:szCs w:val="17"/>
                <w:color w:val="auto"/>
              </w:rPr>
              <w:t>BN Builders, Inc. - Confidential</w:t>
            </w:r>
          </w:p>
        </w:tc>
        <w:tc>
          <w:tcPr>
            <w:tcW w:w="2620" w:type="dxa"/>
            <w:vAlign w:val="bottom"/>
            <w:gridSpan w:val="7"/>
          </w:tcPr>
          <w:p>
            <w:pPr>
              <w:jc w:val="center"/>
              <w:ind w:right="693"/>
              <w:spacing w:after="0"/>
              <w:rPr>
                <w:sz w:val="20"/>
                <w:szCs w:val="20"/>
                <w:color w:val="auto"/>
              </w:rPr>
            </w:pPr>
            <w:r>
              <w:rPr>
                <w:rFonts w:ascii="Arial" w:cs="Arial" w:eastAsia="Arial" w:hAnsi="Arial"/>
                <w:sz w:val="17"/>
                <w:szCs w:val="17"/>
                <w:color w:val="auto"/>
                <w:w w:val="94"/>
              </w:rPr>
              <w:t>Estimate Detail</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gridSpan w:val="2"/>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9"/>
          </w:tcPr>
          <w:p>
            <w:pPr>
              <w:spacing w:after="0"/>
              <w:rPr>
                <w:sz w:val="20"/>
                <w:szCs w:val="20"/>
                <w:color w:val="auto"/>
              </w:rPr>
            </w:pPr>
            <w:r>
              <w:rPr>
                <w:rFonts w:ascii="Arial" w:cs="Arial" w:eastAsia="Arial" w:hAnsi="Arial"/>
                <w:sz w:val="17"/>
                <w:szCs w:val="17"/>
                <w:color w:val="auto"/>
              </w:rPr>
              <w:t>FINAL PRICING - OPTION F</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gridSpan w:val="2"/>
          </w:tcPr>
          <w:p>
            <w:pPr>
              <w:spacing w:after="0"/>
              <w:rPr>
                <w:sz w:val="20"/>
                <w:szCs w:val="20"/>
                <w:color w:val="auto"/>
              </w:rPr>
            </w:pPr>
            <w:r>
              <w:rPr>
                <w:rFonts w:ascii="Arial" w:cs="Arial" w:eastAsia="Arial" w:hAnsi="Arial"/>
                <w:sz w:val="17"/>
                <w:szCs w:val="17"/>
                <w:color w:val="auto"/>
              </w:rPr>
              <w:t>PROJECT:</w:t>
            </w:r>
          </w:p>
        </w:tc>
        <w:tc>
          <w:tcPr>
            <w:tcW w:w="120" w:type="dxa"/>
            <w:vAlign w:val="bottom"/>
          </w:tcPr>
          <w:p>
            <w:pPr>
              <w:spacing w:after="0"/>
              <w:rPr>
                <w:sz w:val="24"/>
                <w:szCs w:val="24"/>
                <w:color w:val="auto"/>
              </w:rPr>
            </w:pPr>
          </w:p>
        </w:tc>
        <w:tc>
          <w:tcPr>
            <w:tcW w:w="3360" w:type="dxa"/>
            <w:vAlign w:val="bottom"/>
            <w:gridSpan w:val="6"/>
          </w:tcPr>
          <w:p>
            <w:pPr>
              <w:ind w:left="46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7"/>
                <w:szCs w:val="17"/>
                <w:color w:val="auto"/>
              </w:rPr>
              <w:t>LOCATION:</w:t>
            </w:r>
          </w:p>
        </w:tc>
        <w:tc>
          <w:tcPr>
            <w:tcW w:w="120" w:type="dxa"/>
            <w:vAlign w:val="bottom"/>
          </w:tcPr>
          <w:p>
            <w:pPr>
              <w:spacing w:after="0"/>
              <w:rPr>
                <w:sz w:val="18"/>
                <w:szCs w:val="18"/>
                <w:color w:val="auto"/>
              </w:rPr>
            </w:pPr>
          </w:p>
        </w:tc>
        <w:tc>
          <w:tcPr>
            <w:tcW w:w="3360" w:type="dxa"/>
            <w:vAlign w:val="bottom"/>
            <w:gridSpan w:val="6"/>
          </w:tcPr>
          <w:p>
            <w:pPr>
              <w:ind w:left="46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7"/>
                <w:szCs w:val="17"/>
                <w:color w:val="auto"/>
              </w:rPr>
              <w:t>ARCHITECT:</w:t>
            </w:r>
          </w:p>
        </w:tc>
        <w:tc>
          <w:tcPr>
            <w:tcW w:w="120" w:type="dxa"/>
            <w:vAlign w:val="bottom"/>
          </w:tcPr>
          <w:p>
            <w:pPr>
              <w:spacing w:after="0"/>
              <w:rPr>
                <w:sz w:val="18"/>
                <w:szCs w:val="18"/>
                <w:color w:val="auto"/>
              </w:rPr>
            </w:pPr>
          </w:p>
        </w:tc>
        <w:tc>
          <w:tcPr>
            <w:tcW w:w="3360" w:type="dxa"/>
            <w:vAlign w:val="bottom"/>
            <w:gridSpan w:val="6"/>
          </w:tcPr>
          <w:p>
            <w:pPr>
              <w:ind w:left="46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7"/>
                <w:szCs w:val="17"/>
                <w:color w:val="auto"/>
              </w:rPr>
              <w:t>OWNER:</w:t>
            </w:r>
          </w:p>
        </w:tc>
        <w:tc>
          <w:tcPr>
            <w:tcW w:w="120" w:type="dxa"/>
            <w:vAlign w:val="bottom"/>
          </w:tcPr>
          <w:p>
            <w:pPr>
              <w:spacing w:after="0"/>
              <w:rPr>
                <w:sz w:val="18"/>
                <w:szCs w:val="18"/>
                <w:color w:val="auto"/>
              </w:rPr>
            </w:pPr>
          </w:p>
        </w:tc>
        <w:tc>
          <w:tcPr>
            <w:tcW w:w="3360" w:type="dxa"/>
            <w:vAlign w:val="bottom"/>
            <w:gridSpan w:val="6"/>
          </w:tcPr>
          <w:p>
            <w:pPr>
              <w:ind w:left="46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gridSpan w:val="2"/>
          </w:tcPr>
          <w:p>
            <w:pPr>
              <w:spacing w:after="0"/>
              <w:rPr>
                <w:sz w:val="20"/>
                <w:szCs w:val="20"/>
                <w:color w:val="auto"/>
              </w:rPr>
            </w:pPr>
            <w:r>
              <w:rPr>
                <w:rFonts w:ascii="Arial" w:cs="Arial" w:eastAsia="Arial" w:hAnsi="Arial"/>
                <w:sz w:val="17"/>
                <w:szCs w:val="17"/>
                <w:color w:val="auto"/>
              </w:rPr>
              <w:t>DATE:</w:t>
            </w:r>
          </w:p>
        </w:tc>
        <w:tc>
          <w:tcPr>
            <w:tcW w:w="120" w:type="dxa"/>
            <w:vAlign w:val="bottom"/>
          </w:tcPr>
          <w:p>
            <w:pPr>
              <w:spacing w:after="0"/>
              <w:rPr>
                <w:sz w:val="19"/>
                <w:szCs w:val="19"/>
                <w:color w:val="auto"/>
              </w:rPr>
            </w:pPr>
          </w:p>
        </w:tc>
        <w:tc>
          <w:tcPr>
            <w:tcW w:w="3360" w:type="dxa"/>
            <w:vAlign w:val="bottom"/>
            <w:gridSpan w:val="6"/>
          </w:tcPr>
          <w:p>
            <w:pPr>
              <w:ind w:left="460"/>
              <w:spacing w:after="0"/>
              <w:rPr>
                <w:sz w:val="20"/>
                <w:szCs w:val="20"/>
                <w:color w:val="auto"/>
              </w:rPr>
            </w:pPr>
            <w:r>
              <w:rPr>
                <w:rFonts w:ascii="Arial" w:cs="Arial" w:eastAsia="Arial" w:hAnsi="Arial"/>
                <w:sz w:val="17"/>
                <w:szCs w:val="17"/>
                <w:color w:val="auto"/>
              </w:rPr>
              <w:t>January 28, 2010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Sys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System Description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77"/>
              </w:rPr>
              <w:t>Costs</w:t>
            </w:r>
          </w:p>
        </w:tc>
        <w:tc>
          <w:tcPr>
            <w:tcW w:w="280" w:type="dxa"/>
            <w:vAlign w:val="bottom"/>
          </w:tcPr>
          <w:p>
            <w:pPr>
              <w:spacing w:after="0"/>
              <w:rPr>
                <w:sz w:val="24"/>
                <w:szCs w:val="24"/>
                <w:color w:val="auto"/>
              </w:rPr>
            </w:pPr>
          </w:p>
        </w:tc>
        <w:tc>
          <w:tcPr>
            <w:tcW w:w="9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0"/>
              </w:rPr>
              <w:t>Cost/SF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67"/>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WORK AREA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ind w:left="480"/>
              <w:spacing w:after="0"/>
              <w:rPr>
                <w:sz w:val="20"/>
                <w:szCs w:val="20"/>
                <w:color w:val="auto"/>
              </w:rPr>
            </w:pPr>
            <w:r>
              <w:rPr>
                <w:rFonts w:ascii="Arial" w:cs="Arial" w:eastAsia="Arial" w:hAnsi="Arial"/>
                <w:sz w:val="17"/>
                <w:szCs w:val="17"/>
                <w:color w:val="auto"/>
              </w:rPr>
              <w:t>3,300 sf</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Sitework</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Foundations</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Substructure</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Superstructure</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0.12</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Exterior Skin</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1.52</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Roofing</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7.000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Interior Construction</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50,086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15.18</w:t>
            </w:r>
          </w:p>
        </w:tc>
        <w:tc>
          <w:tcPr>
            <w:tcW w:w="80" w:type="dxa"/>
            <w:vAlign w:val="bottom"/>
          </w:tcPr>
          <w:p>
            <w:pPr>
              <w:spacing w:after="0"/>
              <w:rPr>
                <w:sz w:val="18"/>
                <w:szCs w:val="18"/>
                <w:color w:val="auto"/>
              </w:rPr>
            </w:pP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8.000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Special Equipment</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25,915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7.85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Conveying</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Fire Protection</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4,800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1.45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11.000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Plumbing &amp; Process Piping</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27,230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8.25</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12.000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HVAC</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40,550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13.000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Electrical</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39,390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11.94</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14.000</w:t>
            </w: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Project Management</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40,560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color w:val="auto"/>
              </w:rPr>
              <w:t>Special Requirements</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10,083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3.06</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360" w:type="dxa"/>
            <w:vAlign w:val="bottom"/>
            <w:gridSpan w:val="6"/>
            <w:vMerge w:val="restart"/>
            <w:shd w:val="clear" w:color="auto" w:fill="CCEEFF"/>
          </w:tcPr>
          <w:p>
            <w:pPr>
              <w:spacing w:after="0"/>
              <w:rPr>
                <w:sz w:val="20"/>
                <w:szCs w:val="20"/>
                <w:color w:val="auto"/>
              </w:rPr>
            </w:pPr>
            <w:r>
              <w:rPr>
                <w:rFonts w:ascii="Arial" w:cs="Arial" w:eastAsia="Arial" w:hAnsi="Arial"/>
                <w:sz w:val="17"/>
                <w:szCs w:val="17"/>
                <w:color w:val="auto"/>
              </w:rPr>
              <w:t>SUBTOTAL</w:t>
            </w:r>
          </w:p>
        </w:tc>
        <w:tc>
          <w:tcPr>
            <w:tcW w:w="1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360" w:type="dxa"/>
            <w:vAlign w:val="bottom"/>
            <w:gridSpan w:val="6"/>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244,014</w:t>
            </w:r>
          </w:p>
        </w:tc>
        <w:tc>
          <w:tcPr>
            <w:tcW w:w="2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73.94</w:t>
            </w: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Liability Insurance &amp; Fee</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14,641</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4.44</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Arial" w:cs="Arial" w:eastAsia="Arial" w:hAnsi="Arial"/>
                <w:sz w:val="17"/>
                <w:szCs w:val="17"/>
                <w:i w:val="1"/>
                <w:iCs w:val="1"/>
                <w:color w:val="auto"/>
              </w:rPr>
              <w:t>Contingency (2%)</w:t>
            </w:r>
          </w:p>
        </w:tc>
        <w:tc>
          <w:tcPr>
            <w:tcW w:w="2620" w:type="dxa"/>
            <w:vAlign w:val="bottom"/>
            <w:gridSpan w:val="7"/>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5,173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1.57</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Preconstruction</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0.78</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60" w:type="dxa"/>
            <w:vAlign w:val="bottom"/>
            <w:gridSpan w:val="6"/>
            <w:shd w:val="clear" w:color="auto" w:fill="CCEEFF"/>
          </w:tcPr>
          <w:p>
            <w:pPr>
              <w:ind w:left="180"/>
              <w:spacing w:after="0"/>
              <w:rPr>
                <w:sz w:val="20"/>
                <w:szCs w:val="20"/>
                <w:color w:val="auto"/>
              </w:rPr>
            </w:pPr>
            <w:r>
              <w:rPr>
                <w:rFonts w:ascii="Arial" w:cs="Arial" w:eastAsia="Arial" w:hAnsi="Arial"/>
                <w:sz w:val="17"/>
                <w:szCs w:val="17"/>
                <w:color w:val="auto"/>
              </w:rPr>
              <w:t>TOTAL CONSTRUCTION COSTS</w:t>
            </w:r>
          </w:p>
        </w:tc>
        <w:tc>
          <w:tcPr>
            <w:tcW w:w="2620" w:type="dxa"/>
            <w:vAlign w:val="bottom"/>
            <w:gridSpan w:val="7"/>
            <w:shd w:val="clear" w:color="auto" w:fill="CCEEFF"/>
          </w:tcPr>
          <w:p>
            <w:pPr>
              <w:ind w:left="2520"/>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266,328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80.71</w:t>
            </w:r>
          </w:p>
        </w:tc>
        <w:tc>
          <w:tcPr>
            <w:tcW w:w="8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80" w:type="dxa"/>
            <w:vAlign w:val="bottom"/>
            <w:tcBorders>
              <w:bottom w:val="single" w:sz="8" w:color="010101"/>
            </w:tcBorders>
            <w:gridSpan w:val="4"/>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9"/>
          </w:tcPr>
          <w:p>
            <w:pPr>
              <w:spacing w:after="0"/>
              <w:rPr>
                <w:sz w:val="20"/>
                <w:szCs w:val="20"/>
                <w:color w:val="auto"/>
              </w:rPr>
            </w:pPr>
            <w:r>
              <w:rPr>
                <w:rFonts w:ascii="Arial" w:cs="Arial" w:eastAsia="Arial" w:hAnsi="Arial"/>
                <w:sz w:val="17"/>
                <w:szCs w:val="17"/>
                <w:color w:val="auto"/>
              </w:rPr>
              <w:t>ESTIMATE BACK-UP</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gridSpan w:val="2"/>
          </w:tcPr>
          <w:p>
            <w:pPr>
              <w:spacing w:after="0"/>
              <w:rPr>
                <w:sz w:val="20"/>
                <w:szCs w:val="20"/>
                <w:color w:val="auto"/>
              </w:rPr>
            </w:pPr>
            <w:r>
              <w:rPr>
                <w:rFonts w:ascii="Arial" w:cs="Arial" w:eastAsia="Arial" w:hAnsi="Arial"/>
                <w:sz w:val="17"/>
                <w:szCs w:val="17"/>
                <w:color w:val="auto"/>
              </w:rPr>
              <w:t>PROJECT:</w:t>
            </w:r>
          </w:p>
        </w:tc>
        <w:tc>
          <w:tcPr>
            <w:tcW w:w="3480" w:type="dxa"/>
            <w:vAlign w:val="bottom"/>
            <w:gridSpan w:val="7"/>
          </w:tcPr>
          <w:p>
            <w:pPr>
              <w:ind w:left="2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7"/>
                <w:szCs w:val="17"/>
                <w:color w:val="auto"/>
              </w:rPr>
              <w:t>CITY:</w:t>
            </w:r>
          </w:p>
        </w:tc>
        <w:tc>
          <w:tcPr>
            <w:tcW w:w="3480" w:type="dxa"/>
            <w:vAlign w:val="bottom"/>
            <w:gridSpan w:val="7"/>
          </w:tcPr>
          <w:p>
            <w:pPr>
              <w:ind w:left="2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7"/>
                <w:szCs w:val="17"/>
                <w:color w:val="auto"/>
              </w:rPr>
              <w:t>CLIENT:</w:t>
            </w:r>
          </w:p>
        </w:tc>
        <w:tc>
          <w:tcPr>
            <w:tcW w:w="3480" w:type="dxa"/>
            <w:vAlign w:val="bottom"/>
            <w:gridSpan w:val="7"/>
          </w:tcPr>
          <w:p>
            <w:pPr>
              <w:ind w:left="2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11"/>
          </w:tcPr>
          <w:p>
            <w:pPr>
              <w:ind w:left="20"/>
              <w:spacing w:after="0"/>
              <w:rPr>
                <w:sz w:val="20"/>
                <w:szCs w:val="20"/>
                <w:color w:val="auto"/>
              </w:rPr>
            </w:pPr>
            <w:r>
              <w:rPr>
                <w:rFonts w:ascii="Arial" w:cs="Arial" w:eastAsia="Arial" w:hAnsi="Arial"/>
                <w:sz w:val="17"/>
                <w:szCs w:val="17"/>
                <w:color w:val="auto"/>
              </w:rPr>
              <w:t>BNB PROJECT NO.: TBD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gridSpan w:val="2"/>
          </w:tcPr>
          <w:p>
            <w:pPr>
              <w:spacing w:after="0"/>
              <w:rPr>
                <w:sz w:val="20"/>
                <w:szCs w:val="20"/>
                <w:color w:val="auto"/>
              </w:rPr>
            </w:pPr>
            <w:r>
              <w:rPr>
                <w:rFonts w:ascii="Arial" w:cs="Arial" w:eastAsia="Arial" w:hAnsi="Arial"/>
                <w:sz w:val="17"/>
                <w:szCs w:val="17"/>
                <w:color w:val="auto"/>
              </w:rPr>
              <w:t>ARCH:</w:t>
            </w:r>
          </w:p>
        </w:tc>
        <w:tc>
          <w:tcPr>
            <w:tcW w:w="3480" w:type="dxa"/>
            <w:vAlign w:val="bottom"/>
            <w:gridSpan w:val="7"/>
          </w:tcPr>
          <w:p>
            <w:pPr>
              <w:ind w:left="2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gridSpan w:val="14"/>
          </w:tcPr>
          <w:p>
            <w:pPr>
              <w:jc w:val="center"/>
              <w:ind w:right="1060"/>
              <w:spacing w:after="0"/>
              <w:rPr>
                <w:sz w:val="20"/>
                <w:szCs w:val="20"/>
                <w:color w:val="auto"/>
              </w:rPr>
            </w:pPr>
            <w:r>
              <w:rPr>
                <w:rFonts w:ascii="Arial" w:cs="Arial" w:eastAsia="Arial" w:hAnsi="Arial"/>
                <w:sz w:val="17"/>
                <w:szCs w:val="17"/>
                <w:color w:val="auto"/>
                <w:w w:val="96"/>
              </w:rPr>
              <w:t>DATE: January 28, 2010</w:t>
            </w:r>
          </w:p>
        </w:tc>
        <w:tc>
          <w:tcPr>
            <w:tcW w:w="0" w:type="dxa"/>
            <w:vAlign w:val="bottom"/>
          </w:tcPr>
          <w:p>
            <w:pPr>
              <w:spacing w:after="0"/>
              <w:rPr>
                <w:sz w:val="1"/>
                <w:szCs w:val="1"/>
                <w:color w:val="auto"/>
              </w:rPr>
            </w:pPr>
          </w:p>
        </w:tc>
      </w:tr>
      <w:tr>
        <w:trPr>
          <w:trHeight w:val="35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System No.</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353"/>
              <w:spacing w:after="0"/>
              <w:rPr>
                <w:sz w:val="20"/>
                <w:szCs w:val="20"/>
                <w:color w:val="auto"/>
              </w:rPr>
            </w:pPr>
            <w:r>
              <w:rPr>
                <w:rFonts w:ascii="Arial" w:cs="Arial" w:eastAsia="Arial" w:hAnsi="Arial"/>
                <w:sz w:val="14"/>
                <w:szCs w:val="14"/>
                <w:b w:val="1"/>
                <w:bCs w:val="1"/>
                <w:color w:val="auto"/>
                <w:w w:val="95"/>
              </w:rPr>
              <w:t>Qty.</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5"/>
              </w:rPr>
              <w:t>Unit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Unit Cost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0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720" w:type="dxa"/>
            <w:vAlign w:val="bottom"/>
            <w:gridSpan w:val="5"/>
            <w:shd w:val="clear" w:color="auto" w:fill="CCEEFF"/>
          </w:tcPr>
          <w:p>
            <w:pPr>
              <w:ind w:left="180"/>
              <w:spacing w:after="0" w:line="171" w:lineRule="exact"/>
              <w:rPr>
                <w:sz w:val="20"/>
                <w:szCs w:val="20"/>
                <w:color w:val="auto"/>
              </w:rPr>
            </w:pPr>
            <w:r>
              <w:rPr>
                <w:rFonts w:ascii="Arial" w:cs="Arial" w:eastAsia="Arial" w:hAnsi="Arial"/>
                <w:sz w:val="17"/>
                <w:szCs w:val="17"/>
                <w:color w:val="auto"/>
              </w:rPr>
              <w:t>SITEWORK</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60" w:type="dxa"/>
            <w:vAlign w:val="bottom"/>
            <w:gridSpan w:val="6"/>
            <w:shd w:val="clear" w:color="auto" w:fill="CCEEFF"/>
          </w:tcPr>
          <w:p>
            <w:pPr>
              <w:ind w:left="260"/>
              <w:spacing w:after="0" w:line="171" w:lineRule="exact"/>
              <w:rPr>
                <w:sz w:val="20"/>
                <w:szCs w:val="20"/>
                <w:color w:val="auto"/>
              </w:rPr>
            </w:pPr>
            <w:r>
              <w:rPr>
                <w:rFonts w:ascii="Arial" w:cs="Arial" w:eastAsia="Arial" w:hAnsi="Arial"/>
                <w:sz w:val="17"/>
                <w:szCs w:val="17"/>
                <w:color w:val="auto"/>
              </w:rPr>
              <w:t>0.010  Sitework</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7"/>
                <w:szCs w:val="17"/>
                <w:color w:val="auto"/>
              </w:rPr>
              <w:t>None</w:t>
            </w:r>
          </w:p>
        </w:tc>
        <w:tc>
          <w:tcPr>
            <w:tcW w:w="2180" w:type="dxa"/>
            <w:vAlign w:val="bottom"/>
            <w:gridSpan w:val="3"/>
          </w:tcPr>
          <w:p>
            <w:pPr>
              <w:jc w:val="right"/>
              <w:ind w:right="361"/>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720" w:type="dxa"/>
            <w:vAlign w:val="bottom"/>
            <w:tcBorders>
              <w:top w:val="single" w:sz="8" w:color="CCEEFF"/>
              <w:bottom w:val="single" w:sz="8" w:color="CCEEFF"/>
            </w:tcBorders>
            <w:gridSpan w:val="5"/>
            <w:shd w:val="clear" w:color="auto" w:fill="CCEEFF"/>
          </w:tcPr>
          <w:p>
            <w:pPr>
              <w:ind w:left="180"/>
              <w:spacing w:after="0"/>
              <w:rPr>
                <w:sz w:val="20"/>
                <w:szCs w:val="20"/>
                <w:color w:val="auto"/>
              </w:rPr>
            </w:pPr>
            <w:r>
              <w:rPr>
                <w:rFonts w:ascii="Arial" w:cs="Arial" w:eastAsia="Arial" w:hAnsi="Arial"/>
                <w:sz w:val="17"/>
                <w:szCs w:val="17"/>
                <w:color w:val="auto"/>
              </w:rPr>
              <w:t>Subtotal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5"/>
            <w:vMerge w:val="restart"/>
          </w:tcPr>
          <w:p>
            <w:pPr>
              <w:ind w:left="180"/>
              <w:spacing w:after="0"/>
              <w:rPr>
                <w:sz w:val="20"/>
                <w:szCs w:val="20"/>
                <w:color w:val="auto"/>
              </w:rPr>
            </w:pPr>
            <w:r>
              <w:rPr>
                <w:rFonts w:ascii="Arial" w:cs="Arial" w:eastAsia="Arial" w:hAnsi="Arial"/>
                <w:sz w:val="17"/>
                <w:szCs w:val="17"/>
                <w:color w:val="auto"/>
              </w:rPr>
              <w:t>SUBTOTAL SITEWORK</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00" w:type="dxa"/>
            <w:vAlign w:val="bottom"/>
          </w:tcPr>
          <w:p>
            <w:pPr>
              <w:spacing w:after="0" w:line="171" w:lineRule="exact"/>
              <w:rPr>
                <w:sz w:val="20"/>
                <w:szCs w:val="20"/>
                <w:color w:val="auto"/>
              </w:rPr>
            </w:pPr>
            <w:r>
              <w:rPr>
                <w:rFonts w:ascii="Arial" w:cs="Arial" w:eastAsia="Arial" w:hAnsi="Arial"/>
                <w:sz w:val="17"/>
                <w:szCs w:val="17"/>
                <w:color w:val="auto"/>
              </w:rPr>
              <w:t>2.000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gridSpan w:val="5"/>
          </w:tcPr>
          <w:p>
            <w:pPr>
              <w:ind w:left="180"/>
              <w:spacing w:after="0" w:line="171" w:lineRule="exact"/>
              <w:rPr>
                <w:sz w:val="20"/>
                <w:szCs w:val="20"/>
                <w:color w:val="auto"/>
              </w:rPr>
            </w:pPr>
            <w:r>
              <w:rPr>
                <w:rFonts w:ascii="Arial" w:cs="Arial" w:eastAsia="Arial" w:hAnsi="Arial"/>
                <w:sz w:val="17"/>
                <w:szCs w:val="17"/>
                <w:color w:val="auto"/>
              </w:rPr>
              <w:t>FOUNDATIONS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-7967980</wp:posOffset>
            </wp:positionV>
            <wp:extent cx="12700"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-7967980</wp:posOffset>
            </wp:positionV>
            <wp:extent cx="12700"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-2773680</wp:posOffset>
            </wp:positionV>
            <wp:extent cx="12700"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-2773680</wp:posOffset>
            </wp:positionV>
            <wp:extent cx="12700"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75" w:name="page276"/>
    <w:bookmarkEnd w:id="275"/>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jc w:val="right"/>
              <w:ind w:right="13"/>
              <w:spacing w:after="0"/>
              <w:rPr>
                <w:sz w:val="20"/>
                <w:szCs w:val="20"/>
                <w:color w:val="auto"/>
              </w:rPr>
            </w:pPr>
            <w:r>
              <w:rPr>
                <w:rFonts w:ascii="Arial" w:cs="Arial" w:eastAsia="Arial" w:hAnsi="Arial"/>
                <w:sz w:val="17"/>
                <w:szCs w:val="17"/>
                <w:color w:val="auto"/>
              </w:rPr>
              <w:t>0.010</w:t>
            </w: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Foundations</w:t>
            </w: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ind w:left="80"/>
              <w:spacing w:after="0" w:line="189" w:lineRule="exact"/>
              <w:rPr>
                <w:sz w:val="20"/>
                <w:szCs w:val="20"/>
                <w:color w:val="auto"/>
              </w:rPr>
            </w:pPr>
            <w:r>
              <w:rPr>
                <w:rFonts w:ascii="Arial" w:cs="Arial" w:eastAsia="Arial" w:hAnsi="Arial"/>
                <w:sz w:val="17"/>
                <w:szCs w:val="17"/>
                <w:color w:val="auto"/>
              </w:rPr>
              <w:t>SUBTOTAL FOUNDATIONS</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60" w:type="dxa"/>
            <w:vAlign w:val="bottom"/>
            <w:shd w:val="clear" w:color="auto" w:fill="CCEEFF"/>
          </w:tcPr>
          <w:p>
            <w:pPr>
              <w:jc w:val="right"/>
              <w:ind w:right="1693"/>
              <w:spacing w:after="0" w:line="171" w:lineRule="exact"/>
              <w:rPr>
                <w:sz w:val="20"/>
                <w:szCs w:val="20"/>
                <w:color w:val="auto"/>
              </w:rPr>
            </w:pPr>
            <w:r>
              <w:rPr>
                <w:rFonts w:ascii="Arial" w:cs="Arial" w:eastAsia="Arial" w:hAnsi="Arial"/>
                <w:sz w:val="17"/>
                <w:szCs w:val="17"/>
                <w:color w:val="auto"/>
                <w:w w:val="84"/>
              </w:rPr>
              <w:t>3.000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SUBSTRUCTURE</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rPr>
              <w:t>3.010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Laout &amp; Survey</w:t>
            </w: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None</w:t>
            </w:r>
          </w:p>
        </w:tc>
        <w:tc>
          <w:tcPr>
            <w:tcW w:w="1440" w:type="dxa"/>
            <w:vAlign w:val="bottom"/>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tcPr>
          <w:p>
            <w:pPr>
              <w:jc w:val="center"/>
              <w:spacing w:after="0"/>
              <w:rPr>
                <w:sz w:val="20"/>
                <w:szCs w:val="20"/>
                <w:color w:val="auto"/>
              </w:rPr>
            </w:pPr>
            <w:r>
              <w:rPr>
                <w:rFonts w:ascii="Arial" w:cs="Arial" w:eastAsia="Arial" w:hAnsi="Arial"/>
                <w:sz w:val="17"/>
                <w:szCs w:val="17"/>
                <w:color w:val="auto"/>
                <w:w w:val="94"/>
              </w:rPr>
              <w:t>sqft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2"/>
            <w:shd w:val="clear" w:color="auto" w:fill="CCEEFF"/>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7"/>
                <w:szCs w:val="17"/>
                <w:color w:val="auto"/>
              </w:rPr>
              <w:t>SUBTOTAL SUBSTRUCTURE</w:t>
            </w: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gridSpan w:val="12"/>
            <w:vMerge w:val="continue"/>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jc w:val="right"/>
              <w:ind w:right="1693"/>
              <w:spacing w:after="0" w:line="171" w:lineRule="exact"/>
              <w:rPr>
                <w:sz w:val="20"/>
                <w:szCs w:val="20"/>
                <w:color w:val="auto"/>
              </w:rPr>
            </w:pPr>
            <w:r>
              <w:rPr>
                <w:rFonts w:ascii="Arial" w:cs="Arial" w:eastAsia="Arial" w:hAnsi="Arial"/>
                <w:sz w:val="17"/>
                <w:szCs w:val="17"/>
                <w:color w:val="auto"/>
                <w:w w:val="84"/>
              </w:rPr>
              <w:t>4.000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SUPERSTRUCTURE</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4.010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Layout &amp; Survey</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sqft</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4.060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Metal Deck Concrete Fill</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4.200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Rough Carpentry</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See Interiors</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4.250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Fireproofing</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Fireproof - Patching</w:t>
            </w:r>
          </w:p>
        </w:tc>
        <w:tc>
          <w:tcPr>
            <w:tcW w:w="1440" w:type="dxa"/>
            <w:vAlign w:val="bottom"/>
            <w:shd w:val="clear" w:color="auto" w:fill="CCEEFF"/>
          </w:tcPr>
          <w:p>
            <w:pPr>
              <w:jc w:val="center"/>
              <w:ind w:left="293"/>
              <w:spacing w:after="0"/>
              <w:rPr>
                <w:sz w:val="20"/>
                <w:szCs w:val="20"/>
                <w:color w:val="auto"/>
              </w:rPr>
            </w:pPr>
            <w:r>
              <w:rPr>
                <w:rFonts w:ascii="Arial" w:cs="Arial" w:eastAsia="Arial" w:hAnsi="Arial"/>
                <w:sz w:val="17"/>
                <w:szCs w:val="17"/>
                <w:color w:val="auto"/>
                <w:w w:val="92"/>
              </w:rPr>
              <w:t>0.5</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md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800.00</w:t>
            </w:r>
          </w:p>
        </w:tc>
        <w:tc>
          <w:tcPr>
            <w:tcW w:w="2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400.00 Allowance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ind w:left="80"/>
              <w:spacing w:after="0" w:line="189" w:lineRule="exact"/>
              <w:rPr>
                <w:sz w:val="20"/>
                <w:szCs w:val="20"/>
                <w:color w:val="auto"/>
              </w:rPr>
            </w:pPr>
            <w:r>
              <w:rPr>
                <w:rFonts w:ascii="Arial" w:cs="Arial" w:eastAsia="Arial" w:hAnsi="Arial"/>
                <w:sz w:val="17"/>
                <w:szCs w:val="17"/>
                <w:color w:val="auto"/>
              </w:rPr>
              <w:t>SUBTOTAL SUPERSTRUCTURE</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400</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60" w:type="dxa"/>
            <w:vAlign w:val="bottom"/>
            <w:shd w:val="clear" w:color="auto" w:fill="CCEEFF"/>
          </w:tcPr>
          <w:p>
            <w:pPr>
              <w:jc w:val="right"/>
              <w:ind w:right="1693"/>
              <w:spacing w:after="0" w:line="171" w:lineRule="exact"/>
              <w:rPr>
                <w:sz w:val="20"/>
                <w:szCs w:val="20"/>
                <w:color w:val="auto"/>
              </w:rPr>
            </w:pPr>
            <w:r>
              <w:rPr>
                <w:rFonts w:ascii="Arial" w:cs="Arial" w:eastAsia="Arial" w:hAnsi="Arial"/>
                <w:sz w:val="17"/>
                <w:szCs w:val="17"/>
                <w:color w:val="auto"/>
                <w:w w:val="84"/>
              </w:rPr>
              <w:t>5.000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EXTERIOR SKIN</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rPr>
              <w:t>5.290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Exterior Skin</w:t>
            </w: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Remove Window for Fume Hoods</w:t>
            </w:r>
          </w:p>
        </w:tc>
        <w:tc>
          <w:tcPr>
            <w:tcW w:w="1440" w:type="dxa"/>
            <w:vAlign w:val="bottom"/>
          </w:tcPr>
          <w:p>
            <w:pPr>
              <w:jc w:val="center"/>
              <w:ind w:left="313"/>
              <w:spacing w:after="0"/>
              <w:rPr>
                <w:sz w:val="20"/>
                <w:szCs w:val="20"/>
                <w:color w:val="auto"/>
              </w:rPr>
            </w:pPr>
            <w:r>
              <w:rPr>
                <w:rFonts w:ascii="Arial" w:cs="Arial" w:eastAsia="Arial" w:hAnsi="Arial"/>
                <w:sz w:val="17"/>
                <w:szCs w:val="17"/>
                <w:color w:val="auto"/>
                <w:w w:val="84"/>
              </w:rPr>
              <w:t>1</w:t>
            </w:r>
          </w:p>
        </w:tc>
        <w:tc>
          <w:tcPr>
            <w:tcW w:w="11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5,000.00</w:t>
            </w:r>
          </w:p>
        </w:tc>
        <w:tc>
          <w:tcPr>
            <w:tcW w:w="2100" w:type="dxa"/>
            <w:vAlign w:val="bottom"/>
            <w:gridSpan w:val="2"/>
          </w:tcPr>
          <w:p>
            <w:pPr>
              <w:jc w:val="right"/>
              <w:ind w:right="380"/>
              <w:spacing w:after="0"/>
              <w:rPr>
                <w:sz w:val="20"/>
                <w:szCs w:val="20"/>
                <w:color w:val="auto"/>
              </w:rPr>
            </w:pPr>
            <w:r>
              <w:rPr>
                <w:rFonts w:ascii="Arial" w:cs="Arial" w:eastAsia="Arial" w:hAnsi="Arial"/>
                <w:sz w:val="17"/>
                <w:szCs w:val="17"/>
                <w:color w:val="auto"/>
              </w:rPr>
              <w:t>5,000 Allowance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2"/>
            <w:shd w:val="clear" w:color="auto" w:fill="CCEEFF"/>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7"/>
                <w:szCs w:val="17"/>
                <w:color w:val="auto"/>
              </w:rPr>
              <w:t>SUBTOTAL EXTERIOR SKIN</w:t>
            </w: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gridSpan w:val="12"/>
            <w:vMerge w:val="continue"/>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5,000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jc w:val="right"/>
              <w:ind w:right="1693"/>
              <w:spacing w:after="0" w:line="171" w:lineRule="exact"/>
              <w:rPr>
                <w:sz w:val="20"/>
                <w:szCs w:val="20"/>
                <w:color w:val="auto"/>
              </w:rPr>
            </w:pPr>
            <w:r>
              <w:rPr>
                <w:rFonts w:ascii="Arial" w:cs="Arial" w:eastAsia="Arial" w:hAnsi="Arial"/>
                <w:sz w:val="17"/>
                <w:szCs w:val="17"/>
                <w:color w:val="auto"/>
                <w:w w:val="84"/>
              </w:rPr>
              <w:t>6.000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ROOFING SYSTEMS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6.020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Insulation</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0.00</w:t>
            </w: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System No.</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ind w:left="64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7"/>
                <w:szCs w:val="17"/>
                <w:color w:val="auto"/>
              </w:rPr>
              <w:t>6.060</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right w:val="single" w:sz="8" w:color="CCEEFF"/>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97"/>
              </w:rPr>
              <w:t>Built-up Roofing</w:t>
            </w:r>
          </w:p>
        </w:tc>
        <w:tc>
          <w:tcPr>
            <w:tcW w:w="2180" w:type="dxa"/>
            <w:vAlign w:val="bottom"/>
            <w:tcBorders>
              <w:bottom w:val="single" w:sz="8" w:color="CCEEFF"/>
            </w:tcBorders>
            <w:gridSpan w:val="4"/>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None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6"/>
            <w:vMerge w:val="restart"/>
          </w:tcPr>
          <w:p>
            <w:pPr>
              <w:spacing w:after="0"/>
              <w:rPr>
                <w:sz w:val="20"/>
                <w:szCs w:val="20"/>
                <w:color w:val="auto"/>
              </w:rPr>
            </w:pPr>
            <w:r>
              <w:rPr>
                <w:rFonts w:ascii="Arial" w:cs="Arial" w:eastAsia="Arial" w:hAnsi="Arial"/>
                <w:sz w:val="17"/>
                <w:szCs w:val="17"/>
                <w:color w:val="auto"/>
              </w:rPr>
              <w:t>SUBTOTAL ROOFING SYSTEMS</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6"/>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7.000</w:t>
            </w:r>
          </w:p>
        </w:tc>
        <w:tc>
          <w:tcPr>
            <w:tcW w:w="120" w:type="dxa"/>
            <w:vAlign w:val="bottom"/>
            <w:shd w:val="clear" w:color="auto" w:fill="CCEEFF"/>
          </w:tcPr>
          <w:p>
            <w:pPr>
              <w:spacing w:after="0"/>
              <w:rPr>
                <w:sz w:val="16"/>
                <w:szCs w:val="16"/>
                <w:color w:val="auto"/>
              </w:rPr>
            </w:pPr>
          </w:p>
        </w:tc>
        <w:tc>
          <w:tcPr>
            <w:tcW w:w="34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INTERIOR CONSTRUCTION</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7.005</w:t>
            </w:r>
          </w:p>
        </w:tc>
        <w:tc>
          <w:tcPr>
            <w:tcW w:w="120" w:type="dxa"/>
            <w:vAlign w:val="bottom"/>
            <w:shd w:val="clear" w:color="auto" w:fill="CCEEFF"/>
          </w:tcPr>
          <w:p>
            <w:pPr>
              <w:spacing w:after="0"/>
              <w:rPr>
                <w:sz w:val="14"/>
                <w:szCs w:val="14"/>
                <w:color w:val="auto"/>
              </w:rPr>
            </w:pPr>
          </w:p>
        </w:tc>
        <w:tc>
          <w:tcPr>
            <w:tcW w:w="34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Temp. Protection</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Temp Protection - Initial Set-up</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1,860.00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1,860</w:t>
            </w:r>
          </w:p>
        </w:tc>
        <w:tc>
          <w:tcPr>
            <w:tcW w:w="2020" w:type="dxa"/>
            <w:vAlign w:val="bottom"/>
            <w:gridSpan w:val="2"/>
          </w:tcPr>
          <w:p>
            <w:pPr>
              <w:spacing w:after="0"/>
              <w:rPr>
                <w:sz w:val="20"/>
                <w:szCs w:val="20"/>
                <w:color w:val="auto"/>
              </w:rPr>
            </w:pPr>
            <w:r>
              <w:rPr>
                <w:rFonts w:ascii="Arial" w:cs="Arial" w:eastAsia="Arial" w:hAnsi="Arial"/>
                <w:sz w:val="17"/>
                <w:szCs w:val="17"/>
                <w:color w:val="auto"/>
              </w:rPr>
              <w:t>2MD + $500Mtl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Temp. Protection - Weekly Maintenance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wk</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7.010</w:t>
            </w:r>
          </w:p>
        </w:tc>
        <w:tc>
          <w:tcPr>
            <w:tcW w:w="120" w:type="dxa"/>
            <w:vAlign w:val="bottom"/>
          </w:tcPr>
          <w:p>
            <w:pPr>
              <w:spacing w:after="0"/>
              <w:rPr>
                <w:sz w:val="14"/>
                <w:szCs w:val="14"/>
                <w:color w:val="auto"/>
              </w:rPr>
            </w:pPr>
          </w:p>
        </w:tc>
        <w:tc>
          <w:tcPr>
            <w:tcW w:w="3400" w:type="dxa"/>
            <w:vAlign w:val="bottom"/>
            <w:gridSpan w:val="6"/>
          </w:tcPr>
          <w:p>
            <w:pPr>
              <w:spacing w:after="0" w:line="171" w:lineRule="exact"/>
              <w:rPr>
                <w:sz w:val="20"/>
                <w:szCs w:val="20"/>
                <w:color w:val="auto"/>
              </w:rPr>
            </w:pPr>
            <w:r>
              <w:rPr>
                <w:rFonts w:ascii="Arial" w:cs="Arial" w:eastAsia="Arial" w:hAnsi="Arial"/>
                <w:sz w:val="17"/>
                <w:szCs w:val="17"/>
                <w:color w:val="auto"/>
              </w:rPr>
              <w:t>Interior Demolition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Demo &amp; Remove Lab Casework &amp; Hooc</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Selective Demo Interiors</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6,100.00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6,100</w:t>
            </w:r>
          </w:p>
        </w:tc>
        <w:tc>
          <w:tcPr>
            <w:tcW w:w="2020" w:type="dxa"/>
            <w:vAlign w:val="bottom"/>
            <w:gridSpan w:val="2"/>
          </w:tcPr>
          <w:p>
            <w:pPr>
              <w:spacing w:after="0"/>
              <w:rPr>
                <w:sz w:val="20"/>
                <w:szCs w:val="20"/>
                <w:color w:val="auto"/>
              </w:rPr>
            </w:pPr>
            <w:r>
              <w:rPr>
                <w:rFonts w:ascii="Arial" w:cs="Arial" w:eastAsia="Arial" w:hAnsi="Arial"/>
                <w:sz w:val="17"/>
                <w:szCs w:val="17"/>
                <w:color w:val="auto"/>
              </w:rPr>
              <w:t>2 laborers 1 week + tools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Dumpsters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12,180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7.020</w:t>
            </w: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7"/>
                <w:szCs w:val="17"/>
                <w:color w:val="auto"/>
                <w:w w:val="94"/>
              </w:rPr>
              <w:t>Layout &amp; Survey</w:t>
            </w:r>
          </w:p>
        </w:tc>
        <w:tc>
          <w:tcPr>
            <w:tcW w:w="218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Layout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7.030</w:t>
            </w:r>
          </w:p>
        </w:tc>
        <w:tc>
          <w:tcPr>
            <w:tcW w:w="120" w:type="dxa"/>
            <w:vAlign w:val="bottom"/>
          </w:tcPr>
          <w:p>
            <w:pPr>
              <w:spacing w:after="0"/>
              <w:rPr>
                <w:sz w:val="14"/>
                <w:szCs w:val="14"/>
                <w:color w:val="auto"/>
              </w:rPr>
            </w:pPr>
          </w:p>
        </w:tc>
        <w:tc>
          <w:tcPr>
            <w:tcW w:w="3400" w:type="dxa"/>
            <w:vAlign w:val="bottom"/>
            <w:gridSpan w:val="6"/>
          </w:tcPr>
          <w:p>
            <w:pPr>
              <w:spacing w:after="0" w:line="171" w:lineRule="exact"/>
              <w:rPr>
                <w:sz w:val="20"/>
                <w:szCs w:val="20"/>
                <w:color w:val="auto"/>
              </w:rPr>
            </w:pPr>
            <w:r>
              <w:rPr>
                <w:rFonts w:ascii="Arial" w:cs="Arial" w:eastAsia="Arial" w:hAnsi="Arial"/>
                <w:sz w:val="17"/>
                <w:szCs w:val="17"/>
                <w:color w:val="auto"/>
              </w:rPr>
              <w:t>Final Clean-up</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Final Clean-up</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1" w:orient="portrait"/>
          <w:cols w:equalWidth="0" w:num="1">
            <w:col w:w="11420"/>
          </w:cols>
          <w:pgMar w:left="240" w:top="115" w:right="239" w:bottom="0" w:gutter="0" w:footer="0" w:header="0"/>
        </w:sectPr>
      </w:pPr>
    </w:p>
    <w:bookmarkStart w:id="276" w:name="page277"/>
    <w:bookmarkEnd w:id="27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gridSpan w:val="2"/>
          </w:tcPr>
          <w:p>
            <w:pPr>
              <w:jc w:val="right"/>
              <w:spacing w:after="0"/>
              <w:rPr>
                <w:sz w:val="20"/>
                <w:szCs w:val="20"/>
                <w:color w:val="auto"/>
              </w:rPr>
            </w:pPr>
            <w:r>
              <w:rPr>
                <w:rFonts w:ascii="Arial" w:cs="Arial" w:eastAsia="Arial" w:hAnsi="Arial"/>
                <w:sz w:val="17"/>
                <w:szCs w:val="17"/>
                <w:color w:val="auto"/>
              </w:rPr>
              <w:t>7.040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Concrete</w:t>
            </w:r>
          </w:p>
        </w:tc>
        <w:tc>
          <w:tcPr>
            <w:tcW w:w="27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Slab Patch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7.070</w:t>
            </w:r>
          </w:p>
        </w:tc>
        <w:tc>
          <w:tcPr>
            <w:tcW w:w="120" w:type="dxa"/>
            <w:vAlign w:val="bottom"/>
          </w:tcPr>
          <w:p>
            <w:pPr>
              <w:spacing w:after="0"/>
              <w:rPr>
                <w:sz w:val="15"/>
                <w:szCs w:val="15"/>
                <w:color w:val="auto"/>
              </w:rPr>
            </w:pPr>
          </w:p>
        </w:tc>
        <w:tc>
          <w:tcPr>
            <w:tcW w:w="1440" w:type="dxa"/>
            <w:vAlign w:val="bottom"/>
            <w:tcBorders>
              <w:bottom w:val="single" w:sz="8" w:color="auto"/>
            </w:tcBorders>
            <w:gridSpan w:val="6"/>
          </w:tcPr>
          <w:p>
            <w:pPr>
              <w:spacing w:after="0" w:line="171" w:lineRule="exact"/>
              <w:rPr>
                <w:sz w:val="20"/>
                <w:szCs w:val="20"/>
                <w:color w:val="auto"/>
              </w:rPr>
            </w:pPr>
            <w:r>
              <w:rPr>
                <w:rFonts w:ascii="Arial" w:cs="Arial" w:eastAsia="Arial" w:hAnsi="Arial"/>
                <w:sz w:val="17"/>
                <w:szCs w:val="17"/>
                <w:color w:val="auto"/>
              </w:rPr>
              <w:t>Metal Fabrications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7.090</w:t>
            </w:r>
          </w:p>
        </w:tc>
        <w:tc>
          <w:tcPr>
            <w:tcW w:w="120" w:type="dxa"/>
            <w:vAlign w:val="bottom"/>
          </w:tcPr>
          <w:p>
            <w:pPr>
              <w:spacing w:after="0"/>
              <w:rPr>
                <w:sz w:val="14"/>
                <w:szCs w:val="14"/>
                <w:color w:val="auto"/>
              </w:rPr>
            </w:pPr>
          </w:p>
        </w:tc>
        <w:tc>
          <w:tcPr>
            <w:tcW w:w="3400" w:type="dxa"/>
            <w:vAlign w:val="bottom"/>
            <w:gridSpan w:val="12"/>
          </w:tcPr>
          <w:p>
            <w:pPr>
              <w:spacing w:after="0" w:line="171" w:lineRule="exact"/>
              <w:rPr>
                <w:sz w:val="20"/>
                <w:szCs w:val="20"/>
                <w:color w:val="auto"/>
              </w:rPr>
            </w:pPr>
            <w:r>
              <w:rPr>
                <w:rFonts w:ascii="Arial" w:cs="Arial" w:eastAsia="Arial" w:hAnsi="Arial"/>
                <w:sz w:val="17"/>
                <w:szCs w:val="17"/>
                <w:color w:val="auto"/>
              </w:rPr>
              <w:t>Rough Carpentry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Rough Carpentry &amp; Backing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7.100</w:t>
            </w:r>
          </w:p>
        </w:tc>
        <w:tc>
          <w:tcPr>
            <w:tcW w:w="120" w:type="dxa"/>
            <w:vAlign w:val="bottom"/>
          </w:tcPr>
          <w:p>
            <w:pPr>
              <w:spacing w:after="0"/>
              <w:rPr>
                <w:sz w:val="15"/>
                <w:szCs w:val="15"/>
                <w:color w:val="auto"/>
              </w:rPr>
            </w:pPr>
          </w:p>
        </w:tc>
        <w:tc>
          <w:tcPr>
            <w:tcW w:w="1980" w:type="dxa"/>
            <w:vAlign w:val="bottom"/>
            <w:tcBorders>
              <w:bottom w:val="single" w:sz="8" w:color="auto"/>
            </w:tcBorders>
            <w:gridSpan w:val="8"/>
          </w:tcPr>
          <w:p>
            <w:pPr>
              <w:spacing w:after="0" w:line="171" w:lineRule="exact"/>
              <w:rPr>
                <w:sz w:val="20"/>
                <w:szCs w:val="20"/>
                <w:color w:val="auto"/>
              </w:rPr>
            </w:pPr>
            <w:r>
              <w:rPr>
                <w:rFonts w:ascii="Arial" w:cs="Arial" w:eastAsia="Arial" w:hAnsi="Arial"/>
                <w:sz w:val="17"/>
                <w:szCs w:val="17"/>
                <w:color w:val="auto"/>
                <w:w w:val="97"/>
              </w:rPr>
              <w:t>Finish Carpentry / Millwork</w:t>
            </w:r>
          </w:p>
        </w:tc>
        <w:tc>
          <w:tcPr>
            <w:tcW w:w="14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20" w:type="dxa"/>
            <w:vAlign w:val="bottom"/>
            <w:gridSpan w:val="2"/>
          </w:tcPr>
          <w:p>
            <w:pPr>
              <w:jc w:val="right"/>
              <w:ind w:right="120"/>
              <w:spacing w:after="0" w:line="171" w:lineRule="exact"/>
              <w:rPr>
                <w:sz w:val="20"/>
                <w:szCs w:val="20"/>
                <w:color w:val="auto"/>
              </w:rPr>
            </w:pPr>
            <w:r>
              <w:rPr>
                <w:rFonts w:ascii="Arial" w:cs="Arial" w:eastAsia="Arial" w:hAnsi="Arial"/>
                <w:sz w:val="17"/>
                <w:szCs w:val="17"/>
                <w:color w:val="auto"/>
              </w:rPr>
              <w:t>7.110</w:t>
            </w:r>
          </w:p>
        </w:tc>
        <w:tc>
          <w:tcPr>
            <w:tcW w:w="2100" w:type="dxa"/>
            <w:vAlign w:val="bottom"/>
            <w:tcBorders>
              <w:bottom w:val="single" w:sz="8" w:color="auto"/>
            </w:tcBorders>
            <w:gridSpan w:val="9"/>
          </w:tcPr>
          <w:p>
            <w:pPr>
              <w:spacing w:after="0" w:line="171" w:lineRule="exact"/>
              <w:rPr>
                <w:sz w:val="20"/>
                <w:szCs w:val="20"/>
                <w:color w:val="auto"/>
              </w:rPr>
            </w:pPr>
            <w:r>
              <w:rPr>
                <w:rFonts w:ascii="Arial" w:cs="Arial" w:eastAsia="Arial" w:hAnsi="Arial"/>
                <w:sz w:val="17"/>
                <w:szCs w:val="17"/>
                <w:color w:val="auto"/>
                <w:w w:val="95"/>
              </w:rPr>
              <w:t>Waterproofing / Damproofing</w:t>
            </w:r>
          </w:p>
        </w:tc>
        <w:tc>
          <w:tcPr>
            <w:tcW w:w="13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7.120</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7"/>
                <w:szCs w:val="17"/>
                <w:color w:val="auto"/>
                <w:w w:val="93"/>
              </w:rPr>
              <w:t>Insulation</w:t>
            </w:r>
          </w:p>
        </w:tc>
        <w:tc>
          <w:tcPr>
            <w:tcW w:w="270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7.130</w:t>
            </w:r>
          </w:p>
        </w:tc>
        <w:tc>
          <w:tcPr>
            <w:tcW w:w="120" w:type="dxa"/>
            <w:vAlign w:val="bottom"/>
          </w:tcPr>
          <w:p>
            <w:pPr>
              <w:spacing w:after="0"/>
              <w:rPr>
                <w:sz w:val="15"/>
                <w:szCs w:val="15"/>
                <w:color w:val="auto"/>
              </w:rPr>
            </w:pPr>
          </w:p>
        </w:tc>
        <w:tc>
          <w:tcPr>
            <w:tcW w:w="1440" w:type="dxa"/>
            <w:vAlign w:val="bottom"/>
            <w:tcBorders>
              <w:bottom w:val="single" w:sz="8" w:color="auto"/>
            </w:tcBorders>
            <w:gridSpan w:val="6"/>
          </w:tcPr>
          <w:p>
            <w:pPr>
              <w:spacing w:after="0" w:line="171" w:lineRule="exact"/>
              <w:rPr>
                <w:sz w:val="20"/>
                <w:szCs w:val="20"/>
                <w:color w:val="auto"/>
              </w:rPr>
            </w:pPr>
            <w:r>
              <w:rPr>
                <w:rFonts w:ascii="Arial" w:cs="Arial" w:eastAsia="Arial" w:hAnsi="Arial"/>
                <w:sz w:val="17"/>
                <w:szCs w:val="17"/>
                <w:color w:val="auto"/>
                <w:w w:val="93"/>
              </w:rPr>
              <w:t>Caulking &amp; sealants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Caulking &amp; Sealants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2"/>
              </w:rPr>
              <w:t>md</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13"/>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00" w:type="dxa"/>
            <w:vAlign w:val="bottom"/>
            <w:tcBorders>
              <w:bottom w:val="single" w:sz="8" w:color="010101"/>
            </w:tcBorders>
            <w:gridSpan w:val="2"/>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8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6"/>
              </w:rPr>
              <w:t>System No.</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8"/>
          </w:tcPr>
          <w:p>
            <w:pPr>
              <w:ind w:left="4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ind w:left="6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7.150</w:t>
            </w:r>
          </w:p>
        </w:tc>
        <w:tc>
          <w:tcPr>
            <w:tcW w:w="120" w:type="dxa"/>
            <w:vAlign w:val="bottom"/>
            <w:shd w:val="clear" w:color="auto" w:fill="CCEEFF"/>
          </w:tcPr>
          <w:p>
            <w:pPr>
              <w:spacing w:after="0"/>
              <w:rPr>
                <w:sz w:val="14"/>
                <w:szCs w:val="14"/>
                <w:color w:val="auto"/>
              </w:rPr>
            </w:pPr>
          </w:p>
        </w:tc>
        <w:tc>
          <w:tcPr>
            <w:tcW w:w="3400" w:type="dxa"/>
            <w:vAlign w:val="bottom"/>
            <w:gridSpan w:val="12"/>
            <w:shd w:val="clear" w:color="auto" w:fill="CCEEFF"/>
          </w:tcPr>
          <w:p>
            <w:pPr>
              <w:spacing w:after="0" w:line="171" w:lineRule="exact"/>
              <w:rPr>
                <w:sz w:val="20"/>
                <w:szCs w:val="20"/>
                <w:color w:val="auto"/>
              </w:rPr>
            </w:pPr>
            <w:r>
              <w:rPr>
                <w:rFonts w:ascii="Arial" w:cs="Arial" w:eastAsia="Arial" w:hAnsi="Arial"/>
                <w:sz w:val="17"/>
                <w:szCs w:val="17"/>
                <w:color w:val="auto"/>
              </w:rPr>
              <w:t>Doors/Frames/Hardware</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Save &amp; Re-Install Doors, Frames &amp; Harc</w:t>
            </w:r>
          </w:p>
        </w:tc>
        <w:tc>
          <w:tcPr>
            <w:tcW w:w="820" w:type="dxa"/>
            <w:vAlign w:val="bottom"/>
          </w:tcPr>
          <w:p>
            <w:pPr>
              <w:jc w:val="center"/>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320.00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1,280</w:t>
            </w:r>
          </w:p>
        </w:tc>
        <w:tc>
          <w:tcPr>
            <w:tcW w:w="2020" w:type="dxa"/>
            <w:vAlign w:val="bottom"/>
            <w:gridSpan w:val="2"/>
          </w:tcPr>
          <w:p>
            <w:pPr>
              <w:spacing w:after="0"/>
              <w:rPr>
                <w:sz w:val="20"/>
                <w:szCs w:val="20"/>
                <w:color w:val="auto"/>
              </w:rPr>
            </w:pPr>
            <w:r>
              <w:rPr>
                <w:rFonts w:ascii="Arial" w:cs="Arial" w:eastAsia="Arial" w:hAnsi="Arial"/>
                <w:sz w:val="17"/>
                <w:szCs w:val="17"/>
                <w:color w:val="auto"/>
              </w:rPr>
              <w:t>2 MDs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New Door, Frame, Hardware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Card Readers / Electrified Hardware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allow</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tcPr>
          <w:p>
            <w:pPr>
              <w:spacing w:after="0"/>
              <w:rPr>
                <w:sz w:val="20"/>
                <w:szCs w:val="20"/>
                <w:color w:val="auto"/>
              </w:rPr>
            </w:pPr>
            <w:r>
              <w:rPr>
                <w:rFonts w:ascii="Arial" w:cs="Arial" w:eastAsia="Arial" w:hAnsi="Arial"/>
                <w:sz w:val="17"/>
                <w:szCs w:val="17"/>
                <w:color w:val="auto"/>
              </w:rPr>
              <w:t>Required, 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Re-Keying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7.220</w:t>
            </w:r>
          </w:p>
        </w:tc>
        <w:tc>
          <w:tcPr>
            <w:tcW w:w="120" w:type="dxa"/>
            <w:vAlign w:val="bottom"/>
          </w:tcPr>
          <w:p>
            <w:pPr>
              <w:spacing w:after="0"/>
              <w:rPr>
                <w:sz w:val="14"/>
                <w:szCs w:val="14"/>
                <w:color w:val="auto"/>
              </w:rPr>
            </w:pPr>
          </w:p>
        </w:tc>
        <w:tc>
          <w:tcPr>
            <w:tcW w:w="3400" w:type="dxa"/>
            <w:vAlign w:val="bottom"/>
            <w:gridSpan w:val="12"/>
          </w:tcPr>
          <w:p>
            <w:pPr>
              <w:spacing w:after="0" w:line="171" w:lineRule="exact"/>
              <w:rPr>
                <w:sz w:val="20"/>
                <w:szCs w:val="20"/>
                <w:color w:val="auto"/>
              </w:rPr>
            </w:pPr>
            <w:r>
              <w:rPr>
                <w:rFonts w:ascii="Arial" w:cs="Arial" w:eastAsia="Arial" w:hAnsi="Arial"/>
                <w:sz w:val="17"/>
                <w:szCs w:val="17"/>
                <w:color w:val="auto"/>
              </w:rPr>
              <w:t>Glass &amp; Glazing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New Flase Mullions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Alumn Window Frames &amp; Glazing</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Glazing at Sidelights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Glazing at Door Lites Allowance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gridSpan w:val="12"/>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7.240</w:t>
            </w:r>
          </w:p>
        </w:tc>
        <w:tc>
          <w:tcPr>
            <w:tcW w:w="120" w:type="dxa"/>
            <w:vAlign w:val="bottom"/>
            <w:shd w:val="clear" w:color="auto" w:fill="CCEEFF"/>
          </w:tcPr>
          <w:p>
            <w:pPr>
              <w:spacing w:after="0"/>
              <w:rPr>
                <w:sz w:val="14"/>
                <w:szCs w:val="14"/>
                <w:color w:val="auto"/>
              </w:rPr>
            </w:pPr>
          </w:p>
        </w:tc>
        <w:tc>
          <w:tcPr>
            <w:tcW w:w="3400" w:type="dxa"/>
            <w:vAlign w:val="bottom"/>
            <w:gridSpan w:val="12"/>
            <w:shd w:val="clear" w:color="auto" w:fill="CCEEFF"/>
          </w:tcPr>
          <w:p>
            <w:pPr>
              <w:spacing w:after="0" w:line="171" w:lineRule="exact"/>
              <w:rPr>
                <w:sz w:val="20"/>
                <w:szCs w:val="20"/>
                <w:color w:val="auto"/>
              </w:rPr>
            </w:pPr>
            <w:r>
              <w:rPr>
                <w:rFonts w:ascii="Arial" w:cs="Arial" w:eastAsia="Arial" w:hAnsi="Arial"/>
                <w:sz w:val="17"/>
                <w:szCs w:val="17"/>
                <w:color w:val="auto"/>
              </w:rPr>
              <w:t>Framing &amp; Drywall</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Framing &amp; Drywall</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980" w:type="dxa"/>
            <w:vAlign w:val="bottom"/>
          </w:tcPr>
          <w:p>
            <w:pPr>
              <w:jc w:val="right"/>
              <w:spacing w:after="0"/>
              <w:rPr>
                <w:sz w:val="20"/>
                <w:szCs w:val="20"/>
                <w:color w:val="auto"/>
              </w:rPr>
            </w:pPr>
            <w:r>
              <w:rPr>
                <w:rFonts w:ascii="Arial" w:cs="Arial" w:eastAsia="Arial" w:hAnsi="Arial"/>
                <w:sz w:val="17"/>
                <w:szCs w:val="17"/>
                <w:color w:val="auto"/>
              </w:rPr>
              <w:t>10,500.00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10,500</w:t>
            </w:r>
          </w:p>
        </w:tc>
        <w:tc>
          <w:tcPr>
            <w:tcW w:w="2020" w:type="dxa"/>
            <w:vAlign w:val="bottom"/>
            <w:gridSpan w:val="2"/>
          </w:tcPr>
          <w:p>
            <w:pPr>
              <w:spacing w:after="0"/>
              <w:rPr>
                <w:sz w:val="20"/>
                <w:szCs w:val="20"/>
                <w:color w:val="auto"/>
              </w:rPr>
            </w:pPr>
            <w:r>
              <w:rPr>
                <w:rFonts w:ascii="Arial" w:cs="Arial" w:eastAsia="Arial" w:hAnsi="Arial"/>
                <w:sz w:val="17"/>
                <w:szCs w:val="17"/>
                <w:color w:val="auto"/>
              </w:rPr>
              <w:t>D&amp;R Paquette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Wall 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 required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Rated Opening Modifications</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3,500.00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Patching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7.250</w:t>
            </w:r>
          </w:p>
        </w:tc>
        <w:tc>
          <w:tcPr>
            <w:tcW w:w="120" w:type="dxa"/>
            <w:vAlign w:val="bottom"/>
          </w:tcPr>
          <w:p>
            <w:pPr>
              <w:spacing w:after="0"/>
              <w:rPr>
                <w:sz w:val="15"/>
                <w:szCs w:val="15"/>
                <w:color w:val="auto"/>
              </w:rPr>
            </w:pPr>
          </w:p>
        </w:tc>
        <w:tc>
          <w:tcPr>
            <w:tcW w:w="3400" w:type="dxa"/>
            <w:vAlign w:val="bottom"/>
            <w:gridSpan w:val="12"/>
          </w:tcPr>
          <w:p>
            <w:pPr>
              <w:spacing w:after="0" w:line="171" w:lineRule="exact"/>
              <w:rPr>
                <w:sz w:val="20"/>
                <w:szCs w:val="20"/>
                <w:color w:val="auto"/>
              </w:rPr>
            </w:pPr>
            <w:r>
              <w:rPr>
                <w:rFonts w:ascii="Arial" w:cs="Arial" w:eastAsia="Arial" w:hAnsi="Arial"/>
                <w:sz w:val="17"/>
                <w:szCs w:val="17"/>
                <w:color w:val="auto"/>
              </w:rPr>
              <w:t>Ceramic Tile / Stone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top w:val="single" w:sz="8" w:color="auto"/>
              <w:right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None</w:t>
            </w:r>
          </w:p>
        </w:tc>
        <w:tc>
          <w:tcPr>
            <w:tcW w:w="1960" w:type="dxa"/>
            <w:vAlign w:val="bottom"/>
            <w:gridSpan w:val="6"/>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7.280</w:t>
            </w:r>
          </w:p>
        </w:tc>
        <w:tc>
          <w:tcPr>
            <w:tcW w:w="120" w:type="dxa"/>
            <w:vAlign w:val="bottom"/>
          </w:tcPr>
          <w:p>
            <w:pPr>
              <w:spacing w:after="0"/>
              <w:rPr>
                <w:sz w:val="14"/>
                <w:szCs w:val="14"/>
                <w:color w:val="auto"/>
              </w:rPr>
            </w:pPr>
          </w:p>
        </w:tc>
        <w:tc>
          <w:tcPr>
            <w:tcW w:w="3400" w:type="dxa"/>
            <w:vAlign w:val="bottom"/>
            <w:gridSpan w:val="12"/>
          </w:tcPr>
          <w:p>
            <w:pPr>
              <w:spacing w:after="0" w:line="171" w:lineRule="exact"/>
              <w:rPr>
                <w:sz w:val="20"/>
                <w:szCs w:val="20"/>
                <w:color w:val="auto"/>
              </w:rPr>
            </w:pPr>
            <w:r>
              <w:rPr>
                <w:rFonts w:ascii="Arial" w:cs="Arial" w:eastAsia="Arial" w:hAnsi="Arial"/>
                <w:sz w:val="17"/>
                <w:szCs w:val="17"/>
                <w:color w:val="auto"/>
              </w:rPr>
              <w:t>Acoustical Ceiling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Cut-Back for New Walls &amp; Selective Der</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2x4 - Vinyl Rock or Enviroguard</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480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2,160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Patching / Tile Replace Allowance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7.290</w:t>
            </w:r>
          </w:p>
        </w:tc>
        <w:tc>
          <w:tcPr>
            <w:tcW w:w="120" w:type="dxa"/>
            <w:vAlign w:val="bottom"/>
          </w:tcPr>
          <w:p>
            <w:pPr>
              <w:spacing w:after="0"/>
              <w:rPr>
                <w:sz w:val="15"/>
                <w:szCs w:val="15"/>
                <w:color w:val="auto"/>
              </w:rPr>
            </w:pPr>
          </w:p>
        </w:tc>
        <w:tc>
          <w:tcPr>
            <w:tcW w:w="2480" w:type="dxa"/>
            <w:vAlign w:val="bottom"/>
            <w:tcBorders>
              <w:bottom w:val="single" w:sz="8" w:color="auto"/>
            </w:tcBorders>
            <w:gridSpan w:val="10"/>
          </w:tcPr>
          <w:p>
            <w:pPr>
              <w:spacing w:after="0" w:line="171" w:lineRule="exact"/>
              <w:rPr>
                <w:sz w:val="20"/>
                <w:szCs w:val="20"/>
                <w:color w:val="auto"/>
              </w:rPr>
            </w:pPr>
            <w:r>
              <w:rPr>
                <w:rFonts w:ascii="Arial" w:cs="Arial" w:eastAsia="Arial" w:hAnsi="Arial"/>
                <w:sz w:val="17"/>
                <w:szCs w:val="17"/>
                <w:color w:val="auto"/>
                <w:w w:val="93"/>
              </w:rPr>
              <w:t>Acoustical Panels / Wall Coverings</w:t>
            </w:r>
          </w:p>
        </w:tc>
        <w:tc>
          <w:tcPr>
            <w:tcW w:w="9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7.330</w:t>
            </w:r>
          </w:p>
        </w:tc>
        <w:tc>
          <w:tcPr>
            <w:tcW w:w="120" w:type="dxa"/>
            <w:vAlign w:val="bottom"/>
          </w:tcPr>
          <w:p>
            <w:pPr>
              <w:spacing w:after="0"/>
              <w:rPr>
                <w:sz w:val="15"/>
                <w:szCs w:val="15"/>
                <w:color w:val="auto"/>
              </w:rPr>
            </w:pPr>
          </w:p>
        </w:tc>
        <w:tc>
          <w:tcPr>
            <w:tcW w:w="2100" w:type="dxa"/>
            <w:vAlign w:val="bottom"/>
            <w:tcBorders>
              <w:bottom w:val="single" w:sz="8" w:color="auto"/>
            </w:tcBorders>
            <w:gridSpan w:val="9"/>
          </w:tcPr>
          <w:p>
            <w:pPr>
              <w:spacing w:after="0" w:line="171" w:lineRule="exact"/>
              <w:rPr>
                <w:sz w:val="20"/>
                <w:szCs w:val="20"/>
                <w:color w:val="auto"/>
              </w:rPr>
            </w:pPr>
            <w:r>
              <w:rPr>
                <w:rFonts w:ascii="Arial" w:cs="Arial" w:eastAsia="Arial" w:hAnsi="Arial"/>
                <w:sz w:val="17"/>
                <w:szCs w:val="17"/>
                <w:color w:val="auto"/>
                <w:w w:val="94"/>
              </w:rPr>
              <w:t>Resilient Flooring / Carpeting</w:t>
            </w:r>
          </w:p>
        </w:tc>
        <w:tc>
          <w:tcPr>
            <w:tcW w:w="13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VCT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4,595.00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4,595</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Preston Borg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Carpet</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Sheet Vinyl Welded</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Vapor Emission Reduction Syst.</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Misc. Patch &amp; Repair @ (E) Floor</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825</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2"/>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5,420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7.360</w:t>
            </w:r>
          </w:p>
        </w:tc>
        <w:tc>
          <w:tcPr>
            <w:tcW w:w="120" w:type="dxa"/>
            <w:vAlign w:val="bottom"/>
          </w:tcPr>
          <w:p>
            <w:pPr>
              <w:spacing w:after="0"/>
              <w:rPr>
                <w:sz w:val="14"/>
                <w:szCs w:val="14"/>
                <w:color w:val="auto"/>
              </w:rPr>
            </w:pPr>
          </w:p>
        </w:tc>
        <w:tc>
          <w:tcPr>
            <w:tcW w:w="3400" w:type="dxa"/>
            <w:vAlign w:val="bottom"/>
            <w:gridSpan w:val="12"/>
          </w:tcPr>
          <w:p>
            <w:pPr>
              <w:spacing w:after="0" w:line="171" w:lineRule="exact"/>
              <w:rPr>
                <w:sz w:val="20"/>
                <w:szCs w:val="20"/>
                <w:color w:val="auto"/>
              </w:rPr>
            </w:pPr>
            <w:r>
              <w:rPr>
                <w:rFonts w:ascii="Arial" w:cs="Arial" w:eastAsia="Arial" w:hAnsi="Arial"/>
                <w:sz w:val="17"/>
                <w:szCs w:val="17"/>
                <w:color w:val="auto"/>
              </w:rPr>
              <w:t>Special Coatings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-6529705</wp:posOffset>
            </wp:positionV>
            <wp:extent cx="12700"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-6529705</wp:posOffset>
            </wp:positionV>
            <wp:extent cx="12700"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15" w:right="199" w:bottom="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4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Epoxy Flooring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gridSpan w:val="16"/>
          </w:tcPr>
          <w:p>
            <w:pPr>
              <w:ind w:left="920"/>
              <w:spacing w:after="0" w:line="171" w:lineRule="exact"/>
              <w:rPr>
                <w:sz w:val="20"/>
                <w:szCs w:val="20"/>
                <w:color w:val="auto"/>
              </w:rPr>
            </w:pPr>
            <w:r>
              <w:rPr>
                <w:rFonts w:ascii="Arial" w:cs="Arial" w:eastAsia="Arial" w:hAnsi="Arial"/>
                <w:sz w:val="17"/>
                <w:szCs w:val="17"/>
                <w:color w:val="auto"/>
              </w:rPr>
              <w:t>7.370  Painting</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74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Painting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5,046.00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5,046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C&amp;O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gridSpan w:val="16"/>
          </w:tcPr>
          <w:p>
            <w:pPr>
              <w:ind w:left="920"/>
              <w:spacing w:after="0" w:line="171" w:lineRule="exact"/>
              <w:rPr>
                <w:sz w:val="20"/>
                <w:szCs w:val="20"/>
                <w:color w:val="auto"/>
              </w:rPr>
            </w:pPr>
            <w:r>
              <w:rPr>
                <w:rFonts w:ascii="Arial" w:cs="Arial" w:eastAsia="Arial" w:hAnsi="Arial"/>
                <w:sz w:val="17"/>
                <w:szCs w:val="17"/>
                <w:color w:val="auto"/>
              </w:rPr>
              <w:t>7.390  Visual Display Boards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74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Makerboard / Caulktrays / Wall Talker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80" w:type="dxa"/>
            <w:vAlign w:val="bottom"/>
            <w:gridSpan w:val="16"/>
          </w:tcPr>
          <w:p>
            <w:pPr>
              <w:ind w:left="920"/>
              <w:spacing w:after="0" w:line="171" w:lineRule="exact"/>
              <w:rPr>
                <w:sz w:val="20"/>
                <w:szCs w:val="20"/>
                <w:color w:val="auto"/>
              </w:rPr>
            </w:pPr>
            <w:r>
              <w:rPr>
                <w:rFonts w:ascii="Arial" w:cs="Arial" w:eastAsia="Arial" w:hAnsi="Arial"/>
                <w:sz w:val="17"/>
                <w:szCs w:val="17"/>
                <w:color w:val="auto"/>
              </w:rPr>
              <w:t>7.440  Corner &amp; Wall Guards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7"/>
                <w:szCs w:val="17"/>
                <w:color w:val="auto"/>
                <w:w w:val="98"/>
              </w:rPr>
              <w:t>Corner &amp; Wall Guard</w:t>
            </w:r>
          </w:p>
        </w:tc>
        <w:tc>
          <w:tcPr>
            <w:tcW w:w="2160" w:type="dxa"/>
            <w:vAlign w:val="bottom"/>
            <w:gridSpan w:val="5"/>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82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System No.</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400" w:type="dxa"/>
            <w:vAlign w:val="bottom"/>
            <w:gridSpan w:val="5"/>
          </w:tcPr>
          <w:p>
            <w:pPr>
              <w:ind w:left="220"/>
              <w:spacing w:after="0"/>
              <w:rPr>
                <w:sz w:val="20"/>
                <w:szCs w:val="20"/>
                <w:color w:val="auto"/>
              </w:rPr>
            </w:pPr>
            <w:r>
              <w:rPr>
                <w:rFonts w:ascii="Arial" w:cs="Arial" w:eastAsia="Arial" w:hAnsi="Arial"/>
                <w:sz w:val="14"/>
                <w:szCs w:val="14"/>
                <w:b w:val="1"/>
                <w:bCs w:val="1"/>
                <w:color w:val="auto"/>
              </w:rPr>
              <w:t>Unit Cost</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3"/>
            <w:shd w:val="clear" w:color="auto" w:fill="CCEEFF"/>
          </w:tcPr>
          <w:p>
            <w:pPr>
              <w:ind w:left="1100"/>
              <w:spacing w:after="0" w:line="171" w:lineRule="exact"/>
              <w:rPr>
                <w:sz w:val="20"/>
                <w:szCs w:val="20"/>
                <w:color w:val="auto"/>
              </w:rPr>
            </w:pPr>
            <w:r>
              <w:rPr>
                <w:rFonts w:ascii="Arial" w:cs="Arial" w:eastAsia="Arial" w:hAnsi="Arial"/>
                <w:sz w:val="17"/>
                <w:szCs w:val="17"/>
                <w:color w:val="auto"/>
              </w:rPr>
              <w:t>7.447</w:t>
            </w:r>
          </w:p>
        </w:tc>
        <w:tc>
          <w:tcPr>
            <w:tcW w:w="138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95"/>
              </w:rPr>
              <w:t>Identifying Devices</w:t>
            </w:r>
          </w:p>
        </w:tc>
        <w:tc>
          <w:tcPr>
            <w:tcW w:w="2500" w:type="dxa"/>
            <w:vAlign w:val="bottom"/>
            <w:tcBorders>
              <w:bottom w:val="single" w:sz="8" w:color="CCEEFF"/>
            </w:tcBorders>
            <w:gridSpan w:val="8"/>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Interior Signage</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Code Signage Allowance</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80" w:type="dxa"/>
            <w:vAlign w:val="bottom"/>
            <w:gridSpan w:val="16"/>
          </w:tcPr>
          <w:p>
            <w:pPr>
              <w:ind w:left="720"/>
              <w:spacing w:after="0" w:line="171" w:lineRule="exact"/>
              <w:rPr>
                <w:sz w:val="20"/>
                <w:szCs w:val="20"/>
                <w:color w:val="auto"/>
              </w:rPr>
            </w:pPr>
            <w:r>
              <w:rPr>
                <w:rFonts w:ascii="Arial" w:cs="Arial" w:eastAsia="Arial" w:hAnsi="Arial"/>
                <w:sz w:val="17"/>
                <w:szCs w:val="17"/>
                <w:color w:val="auto"/>
              </w:rPr>
              <w:t>7.449  Fire Protection Specialties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Fire Extinguishers / Cabinets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superintendent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7.570</w:t>
            </w:r>
          </w:p>
        </w:tc>
        <w:tc>
          <w:tcPr>
            <w:tcW w:w="3880" w:type="dxa"/>
            <w:vAlign w:val="bottom"/>
            <w:gridSpan w:val="14"/>
          </w:tcPr>
          <w:p>
            <w:pPr>
              <w:spacing w:after="0" w:line="171" w:lineRule="exact"/>
              <w:rPr>
                <w:sz w:val="20"/>
                <w:szCs w:val="20"/>
                <w:color w:val="auto"/>
              </w:rPr>
            </w:pPr>
            <w:r>
              <w:rPr>
                <w:rFonts w:ascii="Arial" w:cs="Arial" w:eastAsia="Arial" w:hAnsi="Arial"/>
                <w:sz w:val="17"/>
                <w:szCs w:val="17"/>
                <w:color w:val="auto"/>
              </w:rPr>
              <w:t>Projection Screens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None</w:t>
            </w:r>
          </w:p>
        </w:tc>
        <w:tc>
          <w:tcPr>
            <w:tcW w:w="2580" w:type="dxa"/>
            <w:vAlign w:val="bottom"/>
            <w:gridSpan w:val="10"/>
            <w:shd w:val="clear" w:color="auto" w:fill="CCEEFF"/>
          </w:tcPr>
          <w:p>
            <w:pPr>
              <w:spacing w:after="0"/>
              <w:rPr>
                <w:sz w:val="19"/>
                <w:szCs w:val="19"/>
                <w:color w:val="auto"/>
              </w:rPr>
            </w:pP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7.580</w:t>
            </w:r>
          </w:p>
        </w:tc>
        <w:tc>
          <w:tcPr>
            <w:tcW w:w="1360" w:type="dxa"/>
            <w:vAlign w:val="bottom"/>
            <w:tcBorders>
              <w:bottom w:val="single" w:sz="8" w:color="auto"/>
            </w:tcBorders>
            <w:gridSpan w:val="5"/>
          </w:tcPr>
          <w:p>
            <w:pPr>
              <w:spacing w:after="0" w:line="171" w:lineRule="exact"/>
              <w:rPr>
                <w:sz w:val="20"/>
                <w:szCs w:val="20"/>
                <w:color w:val="auto"/>
              </w:rPr>
            </w:pPr>
            <w:r>
              <w:rPr>
                <w:rFonts w:ascii="Arial" w:cs="Arial" w:eastAsia="Arial" w:hAnsi="Arial"/>
                <w:sz w:val="17"/>
                <w:szCs w:val="17"/>
                <w:color w:val="auto"/>
                <w:w w:val="94"/>
              </w:rPr>
              <w:t>Window Coverings</w:t>
            </w:r>
          </w:p>
        </w:tc>
        <w:tc>
          <w:tcPr>
            <w:tcW w:w="2520" w:type="dxa"/>
            <w:vAlign w:val="bottom"/>
            <w:gridSpan w:val="9"/>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 INTERIOR CONSTRUCTION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50,086</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gridSpan w:val="2"/>
          </w:tcPr>
          <w:p>
            <w:pPr>
              <w:spacing w:after="0" w:line="171" w:lineRule="exact"/>
              <w:rPr>
                <w:sz w:val="20"/>
                <w:szCs w:val="20"/>
                <w:color w:val="auto"/>
              </w:rPr>
            </w:pPr>
            <w:r>
              <w:rPr>
                <w:rFonts w:ascii="Arial" w:cs="Arial" w:eastAsia="Arial" w:hAnsi="Arial"/>
                <w:sz w:val="17"/>
                <w:szCs w:val="17"/>
                <w:color w:val="auto"/>
              </w:rPr>
              <w:t>8.</w:t>
            </w:r>
            <w:r>
              <w:rPr>
                <w:rFonts w:ascii="Arial" w:cs="Arial" w:eastAsia="Arial" w:hAnsi="Arial"/>
                <w:sz w:val="17"/>
                <w:szCs w:val="17"/>
                <w:u w:val="single" w:color="auto"/>
                <w:color w:val="auto"/>
              </w:rPr>
              <w:t>000</w:t>
            </w:r>
          </w:p>
        </w:tc>
        <w:tc>
          <w:tcPr>
            <w:tcW w:w="180" w:type="dxa"/>
            <w:vAlign w:val="bottom"/>
          </w:tcPr>
          <w:p>
            <w:pPr>
              <w:spacing w:after="0"/>
              <w:rPr>
                <w:sz w:val="15"/>
                <w:szCs w:val="15"/>
                <w:color w:val="auto"/>
              </w:rPr>
            </w:pPr>
          </w:p>
        </w:tc>
        <w:tc>
          <w:tcPr>
            <w:tcW w:w="3880" w:type="dxa"/>
            <w:vAlign w:val="bottom"/>
            <w:gridSpan w:val="14"/>
          </w:tcPr>
          <w:p>
            <w:pPr>
              <w:spacing w:after="0" w:line="171" w:lineRule="exact"/>
              <w:rPr>
                <w:sz w:val="20"/>
                <w:szCs w:val="20"/>
                <w:color w:val="auto"/>
              </w:rPr>
            </w:pPr>
            <w:r>
              <w:rPr>
                <w:rFonts w:ascii="Arial" w:cs="Arial" w:eastAsia="Arial" w:hAnsi="Arial"/>
                <w:sz w:val="17"/>
                <w:szCs w:val="17"/>
                <w:color w:val="auto"/>
              </w:rPr>
              <w:t>SPECIAL EQUIPMENT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8.050</w:t>
            </w:r>
          </w:p>
        </w:tc>
        <w:tc>
          <w:tcPr>
            <w:tcW w:w="3880" w:type="dxa"/>
            <w:vAlign w:val="bottom"/>
            <w:gridSpan w:val="14"/>
          </w:tcPr>
          <w:p>
            <w:pPr>
              <w:spacing w:after="0" w:line="171" w:lineRule="exact"/>
              <w:rPr>
                <w:sz w:val="20"/>
                <w:szCs w:val="20"/>
                <w:color w:val="auto"/>
              </w:rPr>
            </w:pPr>
            <w:r>
              <w:rPr>
                <w:rFonts w:ascii="Arial" w:cs="Arial" w:eastAsia="Arial" w:hAnsi="Arial"/>
                <w:sz w:val="17"/>
                <w:szCs w:val="17"/>
                <w:color w:val="auto"/>
              </w:rPr>
              <w:t>Audio Visual</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None</w:t>
            </w:r>
          </w:p>
        </w:tc>
        <w:tc>
          <w:tcPr>
            <w:tcW w:w="2960" w:type="dxa"/>
            <w:vAlign w:val="bottom"/>
            <w:gridSpan w:val="11"/>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8.110</w:t>
            </w:r>
          </w:p>
        </w:tc>
        <w:tc>
          <w:tcPr>
            <w:tcW w:w="3880" w:type="dxa"/>
            <w:vAlign w:val="bottom"/>
            <w:gridSpan w:val="14"/>
          </w:tcPr>
          <w:p>
            <w:pPr>
              <w:spacing w:after="0" w:line="171" w:lineRule="exact"/>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Gas Manifolds / Change Over Panels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Veracyte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180" w:type="dxa"/>
            <w:vAlign w:val="bottom"/>
            <w:gridSpan w:val="16"/>
            <w:shd w:val="clear" w:color="auto" w:fill="CCEEFF"/>
          </w:tcPr>
          <w:p>
            <w:pPr>
              <w:ind w:left="720"/>
              <w:spacing w:after="0" w:line="171" w:lineRule="exact"/>
              <w:rPr>
                <w:sz w:val="20"/>
                <w:szCs w:val="20"/>
                <w:color w:val="auto"/>
              </w:rPr>
            </w:pPr>
            <w:r>
              <w:rPr>
                <w:rFonts w:ascii="Arial" w:cs="Arial" w:eastAsia="Arial" w:hAnsi="Arial"/>
                <w:sz w:val="17"/>
                <w:szCs w:val="17"/>
                <w:color w:val="auto"/>
              </w:rPr>
              <w:t>8.120  Laboratory Casework &amp; Hoods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0" w:type="dxa"/>
            <w:vAlign w:val="bottom"/>
            <w:tcBorders>
              <w:top w:val="single" w:sz="8" w:color="auto"/>
            </w:tcBorders>
            <w:gridSpan w:val="13"/>
          </w:tcPr>
          <w:p>
            <w:pPr>
              <w:spacing w:after="0"/>
              <w:rPr>
                <w:sz w:val="20"/>
                <w:szCs w:val="20"/>
                <w:color w:val="auto"/>
              </w:rPr>
            </w:pPr>
            <w:r>
              <w:rPr>
                <w:rFonts w:ascii="Arial" w:cs="Arial" w:eastAsia="Arial" w:hAnsi="Arial"/>
                <w:sz w:val="17"/>
                <w:szCs w:val="17"/>
                <w:color w:val="auto"/>
              </w:rPr>
              <w:t>Used Lab Casework</w:t>
            </w:r>
          </w:p>
        </w:tc>
        <w:tc>
          <w:tcPr>
            <w:tcW w:w="1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7"/>
                <w:szCs w:val="17"/>
                <w:color w:val="auto"/>
              </w:rPr>
              <w:t>23,005.00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7"/>
                <w:szCs w:val="17"/>
                <w:color w:val="auto"/>
              </w:rPr>
              <w:t>23,005</w:t>
            </w: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Re-Install Fume Hoods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 reuse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Re-Install (E) Casework &amp; Sinks</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Stainless Steel Ceiling Panels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480.00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960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Relocate BSC’s</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640.00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New Reagent Racks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New Wall Shelving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175.00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Umbilicals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Misc. Filler Pnls, Fixtures &amp; Turrets</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Shop Drawings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25,915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8.200</w:t>
            </w:r>
          </w:p>
        </w:tc>
        <w:tc>
          <w:tcPr>
            <w:tcW w:w="1580" w:type="dxa"/>
            <w:vAlign w:val="bottom"/>
            <w:tcBorders>
              <w:bottom w:val="single" w:sz="8" w:color="auto"/>
            </w:tcBorders>
            <w:gridSpan w:val="8"/>
          </w:tcPr>
          <w:p>
            <w:pPr>
              <w:spacing w:after="0" w:line="171" w:lineRule="exact"/>
              <w:rPr>
                <w:sz w:val="20"/>
                <w:szCs w:val="20"/>
                <w:color w:val="auto"/>
              </w:rPr>
            </w:pPr>
            <w:r>
              <w:rPr>
                <w:rFonts w:ascii="Arial" w:cs="Arial" w:eastAsia="Arial" w:hAnsi="Arial"/>
                <w:sz w:val="17"/>
                <w:szCs w:val="17"/>
                <w:color w:val="auto"/>
                <w:w w:val="93"/>
              </w:rPr>
              <w:t>Environmental Rooms</w:t>
            </w:r>
          </w:p>
        </w:tc>
        <w:tc>
          <w:tcPr>
            <w:tcW w:w="230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80" w:type="dxa"/>
            <w:vAlign w:val="bottom"/>
            <w:gridSpan w:val="16"/>
          </w:tcPr>
          <w:p>
            <w:pPr>
              <w:ind w:left="720"/>
              <w:spacing w:after="0" w:line="171" w:lineRule="exact"/>
              <w:rPr>
                <w:sz w:val="20"/>
                <w:szCs w:val="20"/>
                <w:color w:val="auto"/>
              </w:rPr>
            </w:pPr>
            <w:r>
              <w:rPr>
                <w:rFonts w:ascii="Arial" w:cs="Arial" w:eastAsia="Arial" w:hAnsi="Arial"/>
                <w:sz w:val="17"/>
                <w:szCs w:val="17"/>
                <w:color w:val="auto"/>
              </w:rPr>
              <w:t>8.250  Chemical Storage Building</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1980" w:type="dxa"/>
            <w:vAlign w:val="bottom"/>
            <w:gridSpan w:val="2"/>
            <w:shd w:val="clear" w:color="auto" w:fill="CCEEFF"/>
          </w:tcPr>
          <w:p>
            <w:pPr>
              <w:spacing w:after="0"/>
              <w:rPr>
                <w:sz w:val="19"/>
                <w:szCs w:val="19"/>
                <w:color w:val="auto"/>
              </w:rPr>
            </w:pP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80" w:type="dxa"/>
            <w:vAlign w:val="bottom"/>
            <w:gridSpan w:val="16"/>
          </w:tcPr>
          <w:p>
            <w:pPr>
              <w:ind w:left="720"/>
              <w:spacing w:after="0" w:line="171" w:lineRule="exact"/>
              <w:rPr>
                <w:sz w:val="20"/>
                <w:szCs w:val="20"/>
                <w:color w:val="auto"/>
              </w:rPr>
            </w:pPr>
            <w:r>
              <w:rPr>
                <w:rFonts w:ascii="Arial" w:cs="Arial" w:eastAsia="Arial" w:hAnsi="Arial"/>
                <w:sz w:val="17"/>
                <w:szCs w:val="17"/>
                <w:color w:val="auto"/>
              </w:rPr>
              <w:t>8.260  High Density Storage</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7"/>
                <w:szCs w:val="17"/>
                <w:color w:val="auto"/>
              </w:rPr>
              <w:t>None</w:t>
            </w:r>
          </w:p>
        </w:tc>
        <w:tc>
          <w:tcPr>
            <w:tcW w:w="2380" w:type="dxa"/>
            <w:vAlign w:val="bottom"/>
            <w:gridSpan w:val="7"/>
            <w:shd w:val="clear" w:color="auto" w:fill="CCEEFF"/>
          </w:tcPr>
          <w:p>
            <w:pPr>
              <w:spacing w:after="0"/>
              <w:rPr>
                <w:sz w:val="19"/>
                <w:szCs w:val="19"/>
                <w:color w:val="auto"/>
              </w:rPr>
            </w:pP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SUBTOTAL SPECIAL EQUIPMENT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25,915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-8058785</wp:posOffset>
            </wp:positionV>
            <wp:extent cx="12700"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-8058785</wp:posOffset>
            </wp:positionV>
            <wp:extent cx="12700"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278" w:name="page279"/>
    <w:bookmarkEnd w:id="278"/>
    <w:tbl>
      <w:tblPr>
        <w:tblLayout w:type="fixed"/>
        <w:tblInd w:w="0" w:type="dxa"/>
        <w:tblCellMar>
          <w:top w:w="0" w:type="dxa"/>
          <w:left w:w="0" w:type="dxa"/>
          <w:bottom w:w="0" w:type="dxa"/>
          <w:right w:w="0" w:type="dxa"/>
        </w:tblCellMar>
      </w:tblPr>
      <w:tr>
        <w:trPr>
          <w:trHeight w:val="167"/>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7"/>
          </w:tcPr>
          <w:p>
            <w:pPr>
              <w:ind w:left="1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9.</w:t>
            </w:r>
            <w:r>
              <w:rPr>
                <w:rFonts w:ascii="Arial" w:cs="Arial" w:eastAsia="Arial" w:hAnsi="Arial"/>
                <w:sz w:val="17"/>
                <w:szCs w:val="17"/>
                <w:u w:val="single" w:color="auto"/>
                <w:color w:val="auto"/>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CONVEYING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9.200</w:t>
            </w:r>
          </w:p>
        </w:tc>
        <w:tc>
          <w:tcPr>
            <w:tcW w:w="66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90"/>
              </w:rPr>
              <w:t>Elevators</w:t>
            </w:r>
          </w:p>
        </w:tc>
        <w:tc>
          <w:tcPr>
            <w:tcW w:w="3220" w:type="dxa"/>
            <w:vAlign w:val="bottom"/>
            <w:tcBorders>
              <w:bottom w:val="single" w:sz="8" w:color="CCEEFF"/>
            </w:tcBorders>
            <w:gridSpan w:val="1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Temp Protection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SUBTOTAL CONVEYING SYSTEMS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10.010</w:t>
            </w: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Design &amp; Precon</w:t>
            </w:r>
          </w:p>
        </w:tc>
        <w:tc>
          <w:tcPr>
            <w:tcW w:w="2220" w:type="dxa"/>
            <w:vAlign w:val="bottom"/>
            <w:tcBorders>
              <w:top w:val="single" w:sz="8" w:color="CCEEFF"/>
            </w:tcBorders>
            <w:gridSpan w:val="6"/>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tcBorders>
              <w:top w:val="single" w:sz="8" w:color="CCEEFF"/>
            </w:tcBorders>
            <w:gridSpan w:val="2"/>
          </w:tcPr>
          <w:p>
            <w:pPr>
              <w:ind w:left="8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Fire Protection System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4,800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4"/>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4,800</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89" w:lineRule="exact"/>
              <w:rPr>
                <w:sz w:val="20"/>
                <w:szCs w:val="20"/>
                <w:color w:val="auto"/>
              </w:rPr>
            </w:pPr>
            <w:r>
              <w:rPr>
                <w:rFonts w:ascii="Arial" w:cs="Arial" w:eastAsia="Arial" w:hAnsi="Arial"/>
                <w:sz w:val="17"/>
                <w:szCs w:val="17"/>
                <w:color w:val="auto"/>
              </w:rPr>
              <w:t>TOTAL FIRE PROTECTION</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w w:val="84"/>
              </w:rPr>
              <w:t>11.</w:t>
            </w:r>
            <w:r>
              <w:rPr>
                <w:rFonts w:ascii="Arial" w:cs="Arial" w:eastAsia="Arial" w:hAnsi="Arial"/>
                <w:sz w:val="17"/>
                <w:szCs w:val="17"/>
                <w:u w:val="single" w:color="auto"/>
                <w:color w:val="auto"/>
                <w:w w:val="84"/>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PLUMBING &amp; PROCESS PIPING</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tcBorders>
              <w:bottom w:val="single" w:sz="8" w:color="CCEEFF"/>
            </w:tcBorders>
            <w:gridSpan w:val="3"/>
            <w:shd w:val="clear" w:color="auto" w:fill="CCEEFF"/>
          </w:tcPr>
          <w:p>
            <w:pPr>
              <w:jc w:val="right"/>
              <w:spacing w:after="0" w:line="171" w:lineRule="exact"/>
              <w:rPr>
                <w:sz w:val="20"/>
                <w:szCs w:val="20"/>
                <w:color w:val="auto"/>
              </w:rPr>
            </w:pPr>
            <w:r>
              <w:rPr>
                <w:rFonts w:ascii="Arial" w:cs="Arial" w:eastAsia="Arial" w:hAnsi="Arial"/>
                <w:sz w:val="17"/>
                <w:szCs w:val="17"/>
                <w:color w:val="auto"/>
              </w:rPr>
              <w:t>11.001</w:t>
            </w:r>
          </w:p>
        </w:tc>
        <w:tc>
          <w:tcPr>
            <w:tcW w:w="1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auto"/>
            </w:tcBorders>
            <w:gridSpan w:val="10"/>
            <w:shd w:val="clear" w:color="auto" w:fill="CCEEFF"/>
          </w:tcPr>
          <w:p>
            <w:pPr>
              <w:spacing w:after="0" w:line="171" w:lineRule="exact"/>
              <w:rPr>
                <w:sz w:val="20"/>
                <w:szCs w:val="20"/>
                <w:color w:val="auto"/>
              </w:rPr>
            </w:pPr>
            <w:r>
              <w:rPr>
                <w:rFonts w:ascii="Arial" w:cs="Arial" w:eastAsia="Arial" w:hAnsi="Arial"/>
                <w:sz w:val="17"/>
                <w:szCs w:val="17"/>
                <w:color w:val="auto"/>
                <w:w w:val="93"/>
              </w:rPr>
              <w:t>Plumbing &amp; Process Piping</w:t>
            </w:r>
          </w:p>
        </w:tc>
        <w:tc>
          <w:tcPr>
            <w:tcW w:w="1940" w:type="dxa"/>
            <w:vAlign w:val="bottom"/>
            <w:tcBorders>
              <w:bottom w:val="single" w:sz="8" w:color="CCEEFF"/>
            </w:tcBorders>
            <w:gridSpan w:val="4"/>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Plumbing &amp; Process Piping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35,900.00</w:t>
            </w:r>
          </w:p>
        </w:tc>
        <w:tc>
          <w:tcPr>
            <w:tcW w:w="1020" w:type="dxa"/>
            <w:vAlign w:val="bottom"/>
          </w:tcPr>
          <w:p>
            <w:pPr>
              <w:jc w:val="right"/>
              <w:spacing w:after="0"/>
              <w:rPr>
                <w:sz w:val="20"/>
                <w:szCs w:val="20"/>
                <w:color w:val="auto"/>
              </w:rPr>
            </w:pPr>
            <w:r>
              <w:rPr>
                <w:rFonts w:ascii="Arial" w:cs="Arial" w:eastAsia="Arial" w:hAnsi="Arial"/>
                <w:sz w:val="17"/>
                <w:szCs w:val="17"/>
                <w:color w:val="auto"/>
              </w:rPr>
              <w:t>27,230.00</w:t>
            </w:r>
          </w:p>
        </w:tc>
        <w:tc>
          <w:tcPr>
            <w:tcW w:w="10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KDS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TOTAL PLUMBING &amp; PROCESS PIPING</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27,230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12.</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12.001</w:t>
            </w: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Design &amp; Preconstruction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HVAC &amp; Control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39,950.00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39,950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Western Allied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Relocate existing DP Guage to RM 230</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600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TOTAL H.V.A.C.</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40,550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ELECTRICAL</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13.001</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92"/>
              </w:rPr>
              <w:t>Electrical Systems</w:t>
            </w:r>
          </w:p>
        </w:tc>
        <w:tc>
          <w:tcPr>
            <w:tcW w:w="2580" w:type="dxa"/>
            <w:vAlign w:val="bottom"/>
            <w:tcBorders>
              <w:bottom w:val="single" w:sz="8" w:color="CCEEFF"/>
            </w:tcBorders>
            <w:gridSpan w:val="8"/>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Electrical Design &amp; Precon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Electrical</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31,725.00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31,725</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TL Electric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additional lighting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Additional scope per 1/25/10 design mtg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2,115.00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2,115</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33,840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13.060</w:t>
            </w: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Fire Alarm</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Fire Alarm Design and Install</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5,550.00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5,550.00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DFP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Security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None</w:t>
            </w:r>
          </w:p>
        </w:tc>
        <w:tc>
          <w:tcPr>
            <w:tcW w:w="2680" w:type="dxa"/>
            <w:vAlign w:val="bottom"/>
            <w:tcBorders>
              <w:top w:val="single" w:sz="8" w:color="CCEEFF"/>
            </w:tcBorders>
            <w:gridSpan w:val="9"/>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0.00</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tcBorders>
              <w:top w:val="single" w:sz="8" w:color="CCEEFF"/>
            </w:tcBorders>
            <w:gridSpan w:val="2"/>
          </w:tcPr>
          <w:p>
            <w:pPr>
              <w:ind w:left="8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89"/>
              </w:rPr>
              <w:t>Tele/Data Systems</w:t>
            </w:r>
          </w:p>
        </w:tc>
        <w:tc>
          <w:tcPr>
            <w:tcW w:w="2580" w:type="dxa"/>
            <w:vAlign w:val="bottom"/>
            <w:tcBorders>
              <w:bottom w:val="single" w:sz="8" w:color="CCEEFF"/>
            </w:tcBorders>
            <w:gridSpan w:val="8"/>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TOTAL ELECTRICAL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39,390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gridSpan w:val="2"/>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ind w:left="1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14.</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PROJECT MANAGEMENT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14.010</w:t>
            </w: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Project Management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gridSpan w:val="2"/>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4"/>
          </w:tcPr>
          <w:p>
            <w:pPr>
              <w:spacing w:after="0"/>
              <w:rPr>
                <w:sz w:val="20"/>
                <w:szCs w:val="20"/>
                <w:color w:val="auto"/>
              </w:rPr>
            </w:pPr>
            <w:r>
              <w:rPr>
                <w:rFonts w:ascii="Arial" w:cs="Arial" w:eastAsia="Arial" w:hAnsi="Arial"/>
                <w:sz w:val="17"/>
                <w:szCs w:val="17"/>
                <w:color w:val="auto"/>
              </w:rPr>
              <w:t>Project Management</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40,560.00</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40,560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breakdow</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TOTAL PROJECT MANAGEMENT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40,560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15.</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4"/>
                <w:szCs w:val="14"/>
                <w:color w:val="auto"/>
              </w:rPr>
            </w:pPr>
          </w:p>
        </w:tc>
        <w:tc>
          <w:tcPr>
            <w:tcW w:w="3880" w:type="dxa"/>
            <w:vAlign w:val="bottom"/>
            <w:gridSpan w:val="14"/>
            <w:shd w:val="clear" w:color="auto" w:fill="CCEEFF"/>
          </w:tcPr>
          <w:p>
            <w:pPr>
              <w:spacing w:after="0" w:line="171" w:lineRule="exact"/>
              <w:rPr>
                <w:sz w:val="20"/>
                <w:szCs w:val="20"/>
                <w:color w:val="auto"/>
              </w:rPr>
            </w:pPr>
            <w:r>
              <w:rPr>
                <w:rFonts w:ascii="Arial" w:cs="Arial" w:eastAsia="Arial" w:hAnsi="Arial"/>
                <w:sz w:val="17"/>
                <w:szCs w:val="17"/>
                <w:color w:val="auto"/>
              </w:rPr>
              <w:t>SPECIAL REQUIREMENTS</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-1974215</wp:posOffset>
            </wp:positionV>
            <wp:extent cx="12700"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-1974215</wp:posOffset>
            </wp:positionV>
            <wp:extent cx="12700"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63" w:right="199" w:bottom="0" w:gutter="0" w:footer="0" w:header="0"/>
        </w:sectPr>
      </w:pPr>
    </w:p>
    <w:bookmarkStart w:id="279" w:name="page280"/>
    <w:bookmarkEnd w:id="27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15.010  Special Requirements</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8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r>
      <w:tr>
        <w:trPr>
          <w:trHeight w:val="222"/>
        </w:trPr>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Special Requirements</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10,083.00</w:t>
            </w:r>
          </w:p>
        </w:tc>
        <w:tc>
          <w:tcPr>
            <w:tcW w:w="3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10,083</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breakdow</w:t>
            </w:r>
          </w:p>
        </w:tc>
      </w:tr>
      <w:tr>
        <w:trPr>
          <w:trHeight w:val="210"/>
        </w:trPr>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Permit Fees</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allow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2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r>
      <w:tr>
        <w:trPr>
          <w:trHeight w:val="243"/>
        </w:trPr>
        <w:tc>
          <w:tcPr>
            <w:tcW w:w="8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Subtotal</w:t>
            </w:r>
          </w:p>
        </w:tc>
        <w:tc>
          <w:tcPr>
            <w:tcW w:w="1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10,083</w:t>
            </w:r>
          </w:p>
        </w:tc>
        <w:tc>
          <w:tcPr>
            <w:tcW w:w="10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TOTAL SPECIAL REQUIREMENTS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10,083</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700" w:type="dxa"/>
            <w:vAlign w:val="bottom"/>
            <w:tcBorders>
              <w:bottom w:val="single" w:sz="8" w:color="010101"/>
            </w:tcBorders>
            <w:gridSpan w:val="2"/>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gridSpan w:val="2"/>
          </w:tcPr>
          <w:p>
            <w:pPr>
              <w:spacing w:after="0"/>
              <w:rPr>
                <w:sz w:val="11"/>
                <w:szCs w:val="11"/>
                <w:color w:val="auto"/>
              </w:rPr>
            </w:pPr>
          </w:p>
        </w:tc>
      </w:tr>
      <w:tr>
        <w:trPr>
          <w:trHeight w:val="756"/>
        </w:trPr>
        <w:tc>
          <w:tcPr>
            <w:tcW w:w="5040" w:type="dxa"/>
            <w:vAlign w:val="bottom"/>
            <w:gridSpan w:val="4"/>
          </w:tcPr>
          <w:p>
            <w:pPr>
              <w:spacing w:after="0"/>
              <w:rPr>
                <w:sz w:val="20"/>
                <w:szCs w:val="20"/>
                <w:color w:val="auto"/>
              </w:rPr>
            </w:pPr>
            <w:r>
              <w:rPr>
                <w:rFonts w:ascii="Arial" w:cs="Arial" w:eastAsia="Arial" w:hAnsi="Arial"/>
                <w:sz w:val="17"/>
                <w:szCs w:val="17"/>
                <w:color w:val="auto"/>
              </w:rPr>
              <w:t>CLARIFICATIONS</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680"/>
              <w:spacing w:after="0"/>
              <w:rPr>
                <w:sz w:val="20"/>
                <w:szCs w:val="20"/>
                <w:color w:val="auto"/>
              </w:rPr>
            </w:pPr>
            <w:r>
              <w:rPr>
                <w:rFonts w:ascii="Arial" w:cs="Arial" w:eastAsia="Arial" w:hAnsi="Arial"/>
                <w:sz w:val="17"/>
                <w:szCs w:val="17"/>
                <w:color w:val="auto"/>
              </w:rPr>
              <w:t>[BNB NorCal Logo]</w:t>
            </w:r>
          </w:p>
        </w:tc>
      </w:tr>
      <w:tr>
        <w:trPr>
          <w:trHeight w:val="408"/>
        </w:trPr>
        <w:tc>
          <w:tcPr>
            <w:tcW w:w="5040" w:type="dxa"/>
            <w:vAlign w:val="bottom"/>
            <w:gridSpan w:val="4"/>
          </w:tcPr>
          <w:p>
            <w:pPr>
              <w:spacing w:after="0"/>
              <w:rPr>
                <w:sz w:val="20"/>
                <w:szCs w:val="20"/>
                <w:color w:val="auto"/>
              </w:rPr>
            </w:pPr>
            <w:r>
              <w:rPr>
                <w:rFonts w:ascii="Arial" w:cs="Arial" w:eastAsia="Arial" w:hAnsi="Arial"/>
                <w:sz w:val="17"/>
                <w:szCs w:val="17"/>
                <w:color w:val="auto"/>
              </w:rPr>
              <w:t>PROJECT:  Veraoyte - CLIA Lab Build-Out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CITY:</w:t>
            </w:r>
          </w:p>
        </w:tc>
        <w:tc>
          <w:tcPr>
            <w:tcW w:w="4240" w:type="dxa"/>
            <w:vAlign w:val="bottom"/>
            <w:gridSpan w:val="3"/>
          </w:tcPr>
          <w:p>
            <w:pPr>
              <w:ind w:left="140"/>
              <w:spacing w:after="0"/>
              <w:rPr>
                <w:sz w:val="20"/>
                <w:szCs w:val="20"/>
                <w:color w:val="auto"/>
              </w:rPr>
            </w:pPr>
            <w:r>
              <w:rPr>
                <w:rFonts w:ascii="Arial" w:cs="Arial" w:eastAsia="Arial" w:hAnsi="Arial"/>
                <w:sz w:val="17"/>
                <w:szCs w:val="17"/>
                <w:color w:val="auto"/>
              </w:rPr>
              <w:t>South San Francisco, CA</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7"/>
                <w:szCs w:val="17"/>
                <w:color w:val="auto"/>
              </w:rPr>
              <w:t>CLIENT:</w:t>
            </w:r>
          </w:p>
        </w:tc>
        <w:tc>
          <w:tcPr>
            <w:tcW w:w="4240" w:type="dxa"/>
            <w:vAlign w:val="bottom"/>
            <w:gridSpan w:val="3"/>
          </w:tcPr>
          <w:p>
            <w:pPr>
              <w:ind w:left="140"/>
              <w:spacing w:after="0"/>
              <w:rPr>
                <w:sz w:val="20"/>
                <w:szCs w:val="20"/>
                <w:color w:val="auto"/>
              </w:rPr>
            </w:pPr>
            <w:r>
              <w:rPr>
                <w:rFonts w:ascii="Arial" w:cs="Arial" w:eastAsia="Arial" w:hAnsi="Arial"/>
                <w:sz w:val="17"/>
                <w:szCs w:val="17"/>
                <w:color w:val="auto"/>
              </w:rPr>
              <w:t>Veracyte</w:t>
            </w:r>
          </w:p>
        </w:tc>
        <w:tc>
          <w:tcPr>
            <w:tcW w:w="1120" w:type="dxa"/>
            <w:vAlign w:val="bottom"/>
          </w:tcPr>
          <w:p>
            <w:pPr>
              <w:spacing w:after="0"/>
              <w:rPr>
                <w:sz w:val="18"/>
                <w:szCs w:val="18"/>
                <w:color w:val="auto"/>
              </w:rPr>
            </w:pPr>
          </w:p>
        </w:tc>
        <w:tc>
          <w:tcPr>
            <w:tcW w:w="2380" w:type="dxa"/>
            <w:vAlign w:val="bottom"/>
            <w:gridSpan w:val="4"/>
          </w:tcPr>
          <w:p>
            <w:pPr>
              <w:ind w:left="240"/>
              <w:spacing w:after="0"/>
              <w:rPr>
                <w:sz w:val="20"/>
                <w:szCs w:val="20"/>
                <w:color w:val="auto"/>
              </w:rPr>
            </w:pPr>
            <w:r>
              <w:rPr>
                <w:rFonts w:ascii="Arial" w:cs="Arial" w:eastAsia="Arial" w:hAnsi="Arial"/>
                <w:sz w:val="17"/>
                <w:szCs w:val="17"/>
                <w:color w:val="auto"/>
              </w:rPr>
              <w:t>BNB PROJECT NO.: TBD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ARCH:</w:t>
            </w:r>
          </w:p>
        </w:tc>
        <w:tc>
          <w:tcPr>
            <w:tcW w:w="4240" w:type="dxa"/>
            <w:vAlign w:val="bottom"/>
            <w:gridSpan w:val="3"/>
          </w:tcPr>
          <w:p>
            <w:pPr>
              <w:ind w:left="140"/>
              <w:spacing w:after="0"/>
              <w:rPr>
                <w:sz w:val="20"/>
                <w:szCs w:val="20"/>
                <w:color w:val="auto"/>
              </w:rPr>
            </w:pPr>
            <w:r>
              <w:rPr>
                <w:rFonts w:ascii="Arial" w:cs="Arial" w:eastAsia="Arial" w:hAnsi="Arial"/>
                <w:sz w:val="17"/>
                <w:szCs w:val="17"/>
                <w:color w:val="auto"/>
              </w:rPr>
              <w:t>DGA</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gridSpan w:val="5"/>
          </w:tcPr>
          <w:p>
            <w:pPr>
              <w:jc w:val="right"/>
              <w:ind w:right="100"/>
              <w:spacing w:after="0"/>
              <w:rPr>
                <w:sz w:val="20"/>
                <w:szCs w:val="20"/>
                <w:color w:val="auto"/>
              </w:rPr>
            </w:pPr>
            <w:r>
              <w:rPr>
                <w:rFonts w:ascii="Arial" w:cs="Arial" w:eastAsia="Arial" w:hAnsi="Arial"/>
                <w:sz w:val="17"/>
                <w:szCs w:val="17"/>
                <w:color w:val="auto"/>
              </w:rPr>
              <w:t>DATE: January 28, 2010</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080" w:hanging="302"/>
        <w:spacing w:after="0"/>
        <w:tabs>
          <w:tab w:leader="none" w:pos="108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Decommissioning of existing space is excluded</w:t>
      </w:r>
    </w:p>
    <w:p>
      <w:pPr>
        <w:spacing w:after="0" w:line="2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   All salvaged items will be stored onsite</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3   Work will be performed during normal business hours</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4   Equipment identified as future not included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5   Permit fees are excluded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6   Structural upgrades are not included</w:t>
      </w:r>
    </w:p>
    <w:p>
      <w:pPr>
        <w:spacing w:after="0" w:line="14" w:lineRule="exact"/>
        <w:rPr>
          <w:rFonts w:ascii="Arial" w:cs="Arial" w:eastAsia="Arial" w:hAnsi="Arial"/>
          <w:sz w:val="17"/>
          <w:szCs w:val="17"/>
          <w:color w:val="auto"/>
        </w:rPr>
      </w:pPr>
    </w:p>
    <w:p>
      <w:pPr>
        <w:ind w:left="780" w:right="6720"/>
        <w:spacing w:after="0" w:line="257" w:lineRule="auto"/>
        <w:rPr>
          <w:rFonts w:ascii="Arial" w:cs="Arial" w:eastAsia="Arial" w:hAnsi="Arial"/>
          <w:sz w:val="17"/>
          <w:szCs w:val="17"/>
          <w:color w:val="auto"/>
        </w:rPr>
      </w:pPr>
      <w:r>
        <w:rPr>
          <w:rFonts w:ascii="Arial" w:cs="Arial" w:eastAsia="Arial" w:hAnsi="Arial"/>
          <w:sz w:val="17"/>
          <w:szCs w:val="17"/>
          <w:color w:val="auto"/>
        </w:rPr>
        <w:t>7 Per latest dwgs no sink included in Rms. 223 or 229 8 Security/Card readers are not included.</w:t>
      </w:r>
    </w:p>
    <w:p>
      <w:pPr>
        <w:ind w:left="780" w:right="2800"/>
        <w:spacing w:after="0" w:line="273" w:lineRule="auto"/>
        <w:rPr>
          <w:rFonts w:ascii="Arial" w:cs="Arial" w:eastAsia="Arial" w:hAnsi="Arial"/>
          <w:sz w:val="17"/>
          <w:szCs w:val="17"/>
          <w:color w:val="auto"/>
        </w:rPr>
      </w:pPr>
      <w:r>
        <w:rPr>
          <w:rFonts w:ascii="Arial" w:cs="Arial" w:eastAsia="Arial" w:hAnsi="Arial"/>
          <w:sz w:val="16"/>
          <w:szCs w:val="16"/>
          <w:color w:val="auto"/>
        </w:rPr>
        <w:t>9 Cost to add existing fume hood to E-power is pending confirmation of E-power load and existing conditions 10 Cost for new door based on conversation with DCA on 1.19.10 and review of existing door sizes</w:t>
      </w:r>
    </w:p>
    <w:p>
      <w:pPr>
        <w:ind w:left="780" w:right="4260"/>
        <w:spacing w:after="0" w:line="257" w:lineRule="auto"/>
        <w:rPr>
          <w:rFonts w:ascii="Arial" w:cs="Arial" w:eastAsia="Arial" w:hAnsi="Arial"/>
          <w:sz w:val="17"/>
          <w:szCs w:val="17"/>
          <w:color w:val="auto"/>
        </w:rPr>
      </w:pPr>
      <w:r>
        <w:rPr>
          <w:rFonts w:ascii="Arial" w:cs="Arial" w:eastAsia="Arial" w:hAnsi="Arial"/>
          <w:sz w:val="17"/>
          <w:szCs w:val="17"/>
          <w:color w:val="auto"/>
        </w:rPr>
        <w:t>11 No costs are inculded for sheet A1.1 ADA upgrades, separate pricing will be forwarded 12 Moving door 221D is excluded</w:t>
      </w:r>
    </w:p>
    <w:p>
      <w:pPr>
        <w:ind w:left="780"/>
        <w:spacing w:after="0"/>
        <w:rPr>
          <w:rFonts w:ascii="Arial" w:cs="Arial" w:eastAsia="Arial" w:hAnsi="Arial"/>
          <w:sz w:val="17"/>
          <w:szCs w:val="17"/>
          <w:color w:val="auto"/>
        </w:rPr>
      </w:pPr>
      <w:r>
        <w:rPr>
          <w:rFonts w:ascii="Arial" w:cs="Arial" w:eastAsia="Arial" w:hAnsi="Arial"/>
          <w:sz w:val="17"/>
          <w:szCs w:val="17"/>
          <w:color w:val="auto"/>
        </w:rPr>
        <w:t>13  No demo or cap of existing utilities in rm 226 is included</w:t>
      </w:r>
    </w:p>
    <w:p>
      <w:pPr>
        <w:spacing w:after="0" w:line="14" w:lineRule="exact"/>
        <w:rPr>
          <w:rFonts w:ascii="Arial" w:cs="Arial" w:eastAsia="Arial" w:hAnsi="Arial"/>
          <w:sz w:val="17"/>
          <w:szCs w:val="17"/>
          <w:color w:val="auto"/>
        </w:rPr>
      </w:pPr>
    </w:p>
    <w:p>
      <w:pPr>
        <w:ind w:left="780" w:right="4840"/>
        <w:spacing w:after="0" w:line="275" w:lineRule="auto"/>
        <w:rPr>
          <w:rFonts w:ascii="Arial" w:cs="Arial" w:eastAsia="Arial" w:hAnsi="Arial"/>
          <w:sz w:val="17"/>
          <w:szCs w:val="17"/>
          <w:color w:val="auto"/>
        </w:rPr>
      </w:pPr>
      <w:r>
        <w:rPr>
          <w:rFonts w:ascii="Arial" w:cs="Arial" w:eastAsia="Arial" w:hAnsi="Arial"/>
          <w:sz w:val="17"/>
          <w:szCs w:val="17"/>
          <w:color w:val="auto"/>
        </w:rPr>
        <w:t>14 Existing walls to remain as is, extending studs to underside of deck is excluded 15 Sound Insulation is excluded</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7"/>
                <w:szCs w:val="17"/>
                <w:b w:val="1"/>
                <w:bCs w:val="1"/>
                <w:color w:val="auto"/>
                <w:w w:val="90"/>
              </w:rPr>
              <w:t>7000 Shoreline/Veracyte</w:t>
            </w:r>
          </w:p>
        </w:tc>
      </w:tr>
      <w:tr>
        <w:trPr>
          <w:trHeight w:val="419"/>
        </w:trPr>
        <w:tc>
          <w:tcPr>
            <w:tcW w:w="2920" w:type="dxa"/>
            <w:vAlign w:val="bottom"/>
          </w:tcPr>
          <w:p>
            <w:pPr>
              <w:spacing w:after="0"/>
              <w:rPr>
                <w:sz w:val="24"/>
                <w:szCs w:val="24"/>
                <w:color w:val="auto"/>
              </w:rPr>
            </w:pPr>
          </w:p>
        </w:tc>
        <w:tc>
          <w:tcPr>
            <w:tcW w:w="44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EXHIBIT D TO LEASE</w:t>
            </w: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81"/>
        </w:trPr>
        <w:tc>
          <w:tcPr>
            <w:tcW w:w="292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ACKNOWLEDGMENT OF COMMENCEMENT DATE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8"/>
        </w:trPr>
        <w:tc>
          <w:tcPr>
            <w:tcW w:w="7380" w:type="dxa"/>
            <w:vAlign w:val="bottom"/>
            <w:gridSpan w:val="3"/>
          </w:tcPr>
          <w:p>
            <w:pPr>
              <w:spacing w:after="0"/>
              <w:rPr>
                <w:sz w:val="20"/>
                <w:szCs w:val="20"/>
                <w:color w:val="auto"/>
              </w:rPr>
            </w:pPr>
            <w:r>
              <w:rPr>
                <w:rFonts w:ascii="Arial" w:cs="Arial" w:eastAsia="Arial" w:hAnsi="Arial"/>
                <w:sz w:val="17"/>
                <w:szCs w:val="17"/>
                <w:color w:val="auto"/>
                <w:w w:val="94"/>
              </w:rPr>
              <w:t xml:space="preserve">This </w:t>
            </w:r>
            <w:r>
              <w:rPr>
                <w:rFonts w:ascii="Arial" w:cs="Arial" w:eastAsia="Arial" w:hAnsi="Arial"/>
                <w:sz w:val="17"/>
                <w:szCs w:val="17"/>
                <w:b w:val="1"/>
                <w:bCs w:val="1"/>
                <w:color w:val="auto"/>
                <w:w w:val="94"/>
              </w:rPr>
              <w:t>ACKNOWLEDGMENT OF COMMENCEMENT DATE</w:t>
            </w:r>
            <w:r>
              <w:rPr>
                <w:rFonts w:ascii="Arial" w:cs="Arial" w:eastAsia="Arial" w:hAnsi="Arial"/>
                <w:sz w:val="17"/>
                <w:szCs w:val="17"/>
                <w:color w:val="auto"/>
                <w:w w:val="94"/>
              </w:rPr>
              <w:t xml:space="preserve"> is made thisday of</w:t>
            </w:r>
          </w:p>
        </w:tc>
        <w:tc>
          <w:tcPr>
            <w:tcW w:w="78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2620" w:type="dxa"/>
            <w:vAlign w:val="bottom"/>
          </w:tcPr>
          <w:p>
            <w:pPr>
              <w:ind w:left="600"/>
              <w:spacing w:after="0"/>
              <w:rPr>
                <w:sz w:val="20"/>
                <w:szCs w:val="20"/>
                <w:color w:val="auto"/>
              </w:rPr>
            </w:pP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w:t>
            </w:r>
          </w:p>
        </w:tc>
      </w:tr>
    </w:tbl>
    <w:p>
      <w:pPr>
        <w:spacing w:after="0"/>
        <w:rPr>
          <w:sz w:val="20"/>
          <w:szCs w:val="20"/>
          <w:color w:val="auto"/>
        </w:rPr>
      </w:pPr>
      <w:r>
        <w:rPr>
          <w:rFonts w:ascii="Arial" w:cs="Arial" w:eastAsia="Arial" w:hAnsi="Arial"/>
          <w:sz w:val="16"/>
          <w:szCs w:val="16"/>
          <w:b w:val="1"/>
          <w:bCs w:val="1"/>
          <w:color w:val="auto"/>
        </w:rPr>
        <w:t xml:space="preserve">FRANCISCO NO. 17, LLC, </w:t>
      </w:r>
      <w:r>
        <w:rPr>
          <w:rFonts w:ascii="Arial" w:cs="Arial" w:eastAsia="Arial" w:hAnsi="Arial"/>
          <w:sz w:val="16"/>
          <w:szCs w:val="16"/>
          <w:color w:val="auto"/>
        </w:rPr>
        <w:t>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VERACYTE, INC., </w:t>
      </w:r>
      <w:r>
        <w:rPr>
          <w:rFonts w:ascii="Arial" w:cs="Arial" w:eastAsia="Arial" w:hAnsi="Arial"/>
          <w:sz w:val="16"/>
          <w:szCs w:val="16"/>
          <w:color w:val="auto"/>
        </w:rPr>
        <w:t>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w:t>
      </w:r>
    </w:p>
    <w:p>
      <w:pPr>
        <w:spacing w:after="0" w:line="376" w:lineRule="exact"/>
        <w:rPr>
          <w:sz w:val="20"/>
          <w:szCs w:val="20"/>
          <w:color w:val="auto"/>
        </w:rPr>
      </w:pPr>
    </w:p>
    <w:p>
      <w:pPr>
        <w:ind w:right="540"/>
        <w:spacing w:after="0" w:line="297" w:lineRule="auto"/>
        <w:rPr>
          <w:sz w:val="20"/>
          <w:szCs w:val="20"/>
          <w:color w:val="auto"/>
        </w:rPr>
      </w:pPr>
      <w:r>
        <w:rPr>
          <w:rFonts w:ascii="Arial" w:cs="Arial" w:eastAsia="Arial" w:hAnsi="Arial"/>
          <w:sz w:val="17"/>
          <w:szCs w:val="17"/>
          <w:color w:val="auto"/>
        </w:rPr>
        <w:t>to and made a part of 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51" w:lineRule="exact"/>
        <w:rPr>
          <w:sz w:val="20"/>
          <w:szCs w:val="20"/>
          <w:color w:val="auto"/>
        </w:rPr>
      </w:pPr>
    </w:p>
    <w:p>
      <w:pPr>
        <w:ind w:left="640"/>
        <w:spacing w:after="0"/>
        <w:tabs>
          <w:tab w:leader="none" w:pos="10660" w:val="left"/>
        </w:tabs>
        <w:rPr>
          <w:sz w:val="20"/>
          <w:szCs w:val="20"/>
          <w:color w:val="auto"/>
        </w:rPr>
      </w:pPr>
      <w:r>
        <w:rPr>
          <w:rFonts w:ascii="Arial" w:cs="Arial" w:eastAsia="Arial" w:hAnsi="Arial"/>
          <w:sz w:val="16"/>
          <w:szCs w:val="16"/>
          <w:color w:val="auto"/>
        </w:rPr>
        <w:t>Landlord and Tenant hereby acknowledge and agree, for all purposes of the Lease, that the Current Premises Commencement Date is</w:t>
      </w:r>
      <w:r>
        <w:rPr>
          <w:sz w:val="20"/>
          <w:szCs w:val="20"/>
          <w:color w:val="auto"/>
        </w:rPr>
        <w:tab/>
      </w:r>
      <w:r>
        <w:rPr>
          <w:rFonts w:ascii="Arial" w:cs="Arial" w:eastAsia="Arial" w:hAnsi="Arial"/>
          <w:sz w:val="14"/>
          <w:szCs w:val="14"/>
          <w:color w:val="auto"/>
        </w:rPr>
        <w:t>,</w:t>
      </w:r>
    </w:p>
    <w:p>
      <w:pPr>
        <w:spacing w:after="0" w:line="38" w:lineRule="exact"/>
        <w:rPr>
          <w:sz w:val="20"/>
          <w:szCs w:val="20"/>
          <w:color w:val="auto"/>
        </w:rPr>
      </w:pPr>
    </w:p>
    <w:p>
      <w:pPr>
        <w:ind w:left="700"/>
        <w:spacing w:after="0"/>
        <w:tabs>
          <w:tab w:leader="none" w:pos="4900" w:val="left"/>
          <w:tab w:leader="none" w:pos="5700" w:val="left"/>
        </w:tabs>
        <w:rPr>
          <w:sz w:val="20"/>
          <w:szCs w:val="20"/>
          <w:color w:val="auto"/>
        </w:rPr>
      </w:pPr>
      <w:r>
        <w:rPr>
          <w:rFonts w:ascii="Arial" w:cs="Arial" w:eastAsia="Arial" w:hAnsi="Arial"/>
          <w:sz w:val="17"/>
          <w:szCs w:val="17"/>
          <w:color w:val="auto"/>
        </w:rPr>
        <w:t>, the Expansion Premises Commencement Date is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and the termination date of the Base Term of the Lease shall be midnight on</w:t>
      </w:r>
    </w:p>
    <w:p>
      <w:pPr>
        <w:spacing w:after="0" w:line="14" w:lineRule="exact"/>
        <w:rPr>
          <w:sz w:val="20"/>
          <w:szCs w:val="20"/>
          <w:color w:val="auto"/>
        </w:rPr>
      </w:pPr>
    </w:p>
    <w:p>
      <w:pPr>
        <w:ind w:right="580" w:firstLine="878"/>
        <w:spacing w:after="0" w:line="275" w:lineRule="auto"/>
        <w:tabs>
          <w:tab w:leader="none" w:pos="961"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In case of a conflict between the terms of the Lease and the terms of this Acknowledgment of Commencement Date, this Acknowledgment of Commencement Date shall control for all purposes.</w:t>
      </w:r>
    </w:p>
    <w:p>
      <w:pPr>
        <w:spacing w:after="0" w:line="16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9525</wp:posOffset>
            </wp:positionV>
            <wp:extent cx="34048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04870" cy="82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-123190</wp:posOffset>
            </wp:positionV>
            <wp:extent cx="34048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ARE-SAN FRANCISCO NO. 17, LLC,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limited liability company</w:t>
      </w:r>
    </w:p>
    <w:p>
      <w:pPr>
        <w:spacing w:after="0" w:line="21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ALEXANDRIA REAL ESTATE EQUITIES, L.P.,</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By:  ARE-QRS CORP.,</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a Maryland corporation,</w:t>
      </w:r>
    </w:p>
    <w:p>
      <w:pPr>
        <w:sectPr>
          <w:pgSz w:w="11900" w:h="16843" w:orient="portrait"/>
          <w:cols w:equalWidth="0" w:num="1">
            <w:col w:w="11460"/>
          </w:cols>
          <w:pgMar w:left="240" w:top="324" w:right="199" w:bottom="0" w:gutter="0" w:footer="0" w:header="0"/>
        </w:sectPr>
      </w:pPr>
    </w:p>
    <w:bookmarkStart w:id="280" w:name="page281"/>
    <w:bookmarkEnd w:id="280"/>
    <w:p>
      <w:pPr>
        <w:ind w:left="64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3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9525</wp:posOffset>
            </wp:positionV>
            <wp:extent cx="29216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-123190</wp:posOffset>
            </wp:positionV>
            <wp:extent cx="29216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Rules and Regulations</w:t>
      </w:r>
      <w:r>
        <w:rPr>
          <w:sz w:val="20"/>
          <w:szCs w:val="20"/>
          <w:color w:val="auto"/>
        </w:rPr>
        <w:tab/>
      </w:r>
      <w:r>
        <w:rPr>
          <w:rFonts w:ascii="Arial" w:cs="Arial" w:eastAsia="Arial" w:hAnsi="Arial"/>
          <w:sz w:val="15"/>
          <w:szCs w:val="15"/>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0" w:lineRule="exact"/>
        <w:rPr>
          <w:sz w:val="20"/>
          <w:szCs w:val="20"/>
          <w:color w:val="auto"/>
        </w:rPr>
      </w:pPr>
    </w:p>
    <w:p>
      <w:pPr>
        <w:ind w:right="20" w:firstLine="634"/>
        <w:spacing w:after="0" w:line="289"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224" w:lineRule="exact"/>
        <w:rPr>
          <w:rFonts w:ascii="Arial" w:cs="Arial" w:eastAsia="Arial" w:hAnsi="Arial"/>
          <w:sz w:val="17"/>
          <w:szCs w:val="17"/>
          <w:color w:val="auto"/>
        </w:rPr>
      </w:pPr>
    </w:p>
    <w:p>
      <w:pPr>
        <w:ind w:right="320" w:firstLine="634"/>
        <w:spacing w:after="0" w:line="289"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disturb the occupants of the Project or adjoining buildings by the use of any radio or musical instrument or by the making of loud or improper noises.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71" w:lineRule="exact"/>
        <w:rPr>
          <w:rFonts w:ascii="Arial" w:cs="Arial" w:eastAsia="Arial" w:hAnsi="Arial"/>
          <w:sz w:val="17"/>
          <w:szCs w:val="17"/>
          <w:color w:val="auto"/>
        </w:rPr>
      </w:pPr>
    </w:p>
    <w:p>
      <w:pPr>
        <w:ind w:right="320" w:firstLine="634"/>
        <w:spacing w:after="0" w:line="273"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71" w:lineRule="exact"/>
        <w:rPr>
          <w:rFonts w:ascii="Arial" w:cs="Arial" w:eastAsia="Arial" w:hAnsi="Arial"/>
          <w:sz w:val="17"/>
          <w:szCs w:val="17"/>
          <w:color w:val="auto"/>
        </w:rPr>
      </w:pPr>
    </w:p>
    <w:p>
      <w:pPr>
        <w:ind w:right="40" w:firstLine="634"/>
        <w:spacing w:after="0" w:line="265"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224" w:lineRule="exact"/>
        <w:rPr>
          <w:rFonts w:ascii="Arial" w:cs="Arial" w:eastAsia="Arial" w:hAnsi="Arial"/>
          <w:sz w:val="17"/>
          <w:szCs w:val="17"/>
          <w:color w:val="auto"/>
        </w:rPr>
      </w:pPr>
    </w:p>
    <w:p>
      <w:pPr>
        <w:ind w:right="600" w:firstLine="634"/>
        <w:spacing w:after="0" w:line="289"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58" w:lineRule="exact"/>
        <w:rPr>
          <w:rFonts w:ascii="Arial" w:cs="Arial" w:eastAsia="Arial" w:hAnsi="Arial"/>
          <w:sz w:val="17"/>
          <w:szCs w:val="17"/>
          <w:color w:val="auto"/>
        </w:rPr>
      </w:pPr>
    </w:p>
    <w:p>
      <w:pPr>
        <w:ind w:right="20" w:firstLine="634"/>
        <w:spacing w:after="0" w:line="273" w:lineRule="auto"/>
        <w:tabs>
          <w:tab w:leader="none" w:pos="12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71" w:lineRule="exact"/>
        <w:rPr>
          <w:rFonts w:ascii="Arial" w:cs="Arial" w:eastAsia="Arial" w:hAnsi="Arial"/>
          <w:sz w:val="17"/>
          <w:szCs w:val="17"/>
          <w:color w:val="auto"/>
        </w:rPr>
      </w:pPr>
    </w:p>
    <w:p>
      <w:pPr>
        <w:ind w:right="340" w:firstLine="634"/>
        <w:spacing w:after="0" w:line="289" w:lineRule="auto"/>
        <w:tabs>
          <w:tab w:leader="none" w:pos="124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158"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1260" w:hanging="626"/>
        <w:spacing w:after="0"/>
        <w:tabs>
          <w:tab w:leader="none" w:pos="126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that purpose.</w:t>
      </w:r>
    </w:p>
    <w:p>
      <w:pPr>
        <w:spacing w:after="0" w:line="212" w:lineRule="exact"/>
        <w:rPr>
          <w:rFonts w:ascii="Arial" w:cs="Arial" w:eastAsia="Arial" w:hAnsi="Arial"/>
          <w:sz w:val="15"/>
          <w:szCs w:val="15"/>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224" w:lineRule="exact"/>
        <w:rPr>
          <w:rFonts w:ascii="Arial" w:cs="Arial" w:eastAsia="Arial" w:hAnsi="Arial"/>
          <w:sz w:val="17"/>
          <w:szCs w:val="17"/>
          <w:color w:val="auto"/>
        </w:rPr>
      </w:pPr>
    </w:p>
    <w:p>
      <w:pPr>
        <w:ind w:right="620" w:firstLine="634"/>
        <w:spacing w:after="0" w:line="289" w:lineRule="auto"/>
        <w:tabs>
          <w:tab w:leader="none" w:pos="12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or for any immoral or illegal purposes or for any purpose other than that specified in the Lease. No gaming devices shall be operated in the Premises.</w:t>
      </w:r>
    </w:p>
    <w:p>
      <w:pPr>
        <w:spacing w:after="0" w:line="158" w:lineRule="exact"/>
        <w:rPr>
          <w:rFonts w:ascii="Arial" w:cs="Arial" w:eastAsia="Arial" w:hAnsi="Arial"/>
          <w:sz w:val="17"/>
          <w:szCs w:val="17"/>
          <w:color w:val="auto"/>
        </w:rPr>
      </w:pPr>
    </w:p>
    <w:p>
      <w:pPr>
        <w:ind w:firstLine="634"/>
        <w:spacing w:after="0" w:line="298" w:lineRule="auto"/>
        <w:tabs>
          <w:tab w:leader="none" w:pos="125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224"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-2798445</wp:posOffset>
            </wp:positionV>
            <wp:extent cx="7271385"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LANDLORD’S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Inventory of Existing Furniture in the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Main Conference Room</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Large conference room table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1, credenza</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1, short/black fridge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2 whiteboards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Patio</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3 round metal tables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9 metal chairs (weathered)</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6 metal chairs with black seats (weathered)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Reception</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1, round (approx 4’ diameter) table with wood top</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3, wood armchairs with leaf fabric pattern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Powered Office Cubes</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30 assembled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Break Room</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Stainless steel fridge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offices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9 assembled desks/workstations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1, desk only</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1, file (under-desk, black, single-drawer)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2, oval tables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and Cube Chairs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1, black/fabric task chair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11, blue task chairs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16, black, side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82" w:name="page283"/>
    <w:bookmarkEnd w:id="282"/>
    <w:p>
      <w:pPr>
        <w:spacing w:after="0" w:line="9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Exhibit 10.5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LEASE AGREEMENT</w:t>
      </w: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THIS FIRST AMENDMENT TO LEASE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is made and entered into as of July 11, 2012, by and between </w:t>
      </w:r>
      <w:r>
        <w:rPr>
          <w:rFonts w:ascii="Arial" w:cs="Arial" w:eastAsia="Arial" w:hAnsi="Arial"/>
          <w:sz w:val="17"/>
          <w:szCs w:val="17"/>
          <w:b w:val="1"/>
          <w:bCs w:val="1"/>
          <w:color w:val="auto"/>
        </w:rPr>
        <w:t>ARE-SAN FRANCISCO NO. 17,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 </w:t>
      </w:r>
      <w:r>
        <w:rPr>
          <w:rFonts w:ascii="Arial" w:cs="Arial" w:eastAsia="Arial" w:hAnsi="Arial"/>
          <w:sz w:val="17"/>
          <w:szCs w:val="17"/>
          <w:color w:val="auto"/>
        </w:rPr>
        <w:t>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240" w:firstLine="634"/>
        <w:spacing w:after="0" w:line="290" w:lineRule="auto"/>
        <w:tabs>
          <w:tab w:leader="none" w:pos="1271"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Landlord and Tenant are parties to that certain Lease Agreement dated as of February 10, 2010, as amended by that certain letter agreement dated as of March 9, 2010 (as amended, the “</w:t>
      </w:r>
      <w:r>
        <w:rPr>
          <w:rFonts w:ascii="Arial" w:cs="Arial" w:eastAsia="Arial" w:hAnsi="Arial"/>
          <w:sz w:val="16"/>
          <w:szCs w:val="16"/>
          <w:b w:val="1"/>
          <w:bCs w:val="1"/>
          <w:color w:val="auto"/>
        </w:rPr>
        <w:t>Lease</w:t>
      </w:r>
      <w:r>
        <w:rPr>
          <w:rFonts w:ascii="Arial" w:cs="Arial" w:eastAsia="Arial" w:hAnsi="Arial"/>
          <w:sz w:val="16"/>
          <w:szCs w:val="16"/>
          <w:color w:val="auto"/>
        </w:rPr>
        <w:t>”). Pursuant to the Lease, Tenant leases certain premises consisting of approximately 24,039 rentable square feet (“</w:t>
      </w:r>
      <w:r>
        <w:rPr>
          <w:rFonts w:ascii="Arial" w:cs="Arial" w:eastAsia="Arial" w:hAnsi="Arial"/>
          <w:sz w:val="16"/>
          <w:szCs w:val="16"/>
          <w:b w:val="1"/>
          <w:bCs w:val="1"/>
          <w:color w:val="auto"/>
        </w:rPr>
        <w:t>Premises</w:t>
      </w:r>
      <w:r>
        <w:rPr>
          <w:rFonts w:ascii="Arial" w:cs="Arial" w:eastAsia="Arial" w:hAnsi="Arial"/>
          <w:sz w:val="16"/>
          <w:szCs w:val="16"/>
          <w:color w:val="auto"/>
        </w:rPr>
        <w:t>”) in a building located at located at 7000 Shoreline Court, South San Francisco, California. The Premises are more particularly described in the Lease. Capitalized terms used herein without definition shall have the meanings defined for such terms in the Lease.</w:t>
      </w:r>
    </w:p>
    <w:p>
      <w:pPr>
        <w:spacing w:after="0" w:line="159" w:lineRule="exact"/>
        <w:rPr>
          <w:rFonts w:ascii="Arial" w:cs="Arial" w:eastAsia="Arial" w:hAnsi="Arial"/>
          <w:sz w:val="16"/>
          <w:szCs w:val="16"/>
          <w:b w:val="1"/>
          <w:bCs w:val="1"/>
          <w:color w:val="auto"/>
        </w:rPr>
      </w:pPr>
    </w:p>
    <w:p>
      <w:pPr>
        <w:ind w:right="360" w:firstLine="634"/>
        <w:spacing w:after="0" w:line="289" w:lineRule="auto"/>
        <w:tabs>
          <w:tab w:leader="none" w:pos="1261" w:val="left"/>
        </w:tabs>
        <w:numPr>
          <w:ilvl w:val="0"/>
          <w:numId w:val="385"/>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herein to, amend the Lease to, among other things, extend the Base Term of the Lease from March 31, 2013, until March 31, 2016.</w:t>
      </w:r>
    </w:p>
    <w:p>
      <w:pPr>
        <w:spacing w:after="0" w:line="15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for other good and valuable consideration, the receipt and sufficiency of which are hereby acknowledged, Landlord and Tenant hereby agree as follows:</w:t>
      </w:r>
    </w:p>
    <w:p>
      <w:pPr>
        <w:spacing w:after="0" w:line="162" w:lineRule="exact"/>
        <w:rPr>
          <w:sz w:val="20"/>
          <w:szCs w:val="20"/>
          <w:color w:val="auto"/>
        </w:rPr>
      </w:pPr>
    </w:p>
    <w:p>
      <w:pPr>
        <w:ind w:left="640" w:right="300" w:hanging="635"/>
        <w:spacing w:after="0" w:line="297" w:lineRule="auto"/>
        <w:tabs>
          <w:tab w:leader="none" w:pos="640" w:val="left"/>
        </w:tabs>
        <w:numPr>
          <w:ilvl w:val="0"/>
          <w:numId w:val="3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The expiration date of the Base Term of the Lease is hereby extended from March 31, 2013, until March 31, 2016, subject to extension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for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w:t>
      </w:r>
    </w:p>
    <w:p>
      <w:pPr>
        <w:spacing w:after="0" w:line="145" w:lineRule="exact"/>
        <w:rPr>
          <w:rFonts w:ascii="Arial" w:cs="Arial" w:eastAsia="Arial" w:hAnsi="Arial"/>
          <w:sz w:val="17"/>
          <w:szCs w:val="17"/>
          <w:b w:val="1"/>
          <w:bCs w:val="1"/>
          <w:color w:val="auto"/>
        </w:rPr>
      </w:pPr>
    </w:p>
    <w:p>
      <w:pPr>
        <w:ind w:left="640" w:right="40"/>
        <w:spacing w:after="0" w:line="297" w:lineRule="auto"/>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continue to pay Base Rent for the Premises as provided for in the Lease through March 31, 2013. Commencing on April 1, 2013,</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pay Base Rent for the Premises as provided for in the schedule below:</w:t>
      </w:r>
    </w:p>
    <w:p>
      <w:pPr>
        <w:spacing w:after="0" w:line="12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Base Rent</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Base Rent per</w:t>
            </w:r>
          </w:p>
        </w:tc>
        <w:tc>
          <w:tcPr>
            <w:tcW w:w="0" w:type="dxa"/>
            <w:vAlign w:val="bottom"/>
          </w:tcPr>
          <w:p>
            <w:pPr>
              <w:spacing w:after="0"/>
              <w:rPr>
                <w:sz w:val="1"/>
                <w:szCs w:val="1"/>
                <w:color w:val="auto"/>
              </w:rPr>
            </w:pPr>
          </w:p>
        </w:tc>
      </w:tr>
      <w:tr>
        <w:trPr>
          <w:trHeight w:val="167"/>
        </w:trPr>
        <w:tc>
          <w:tcPr>
            <w:tcW w:w="4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Month</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RSF per Month</w:t>
            </w:r>
          </w:p>
        </w:tc>
        <w:tc>
          <w:tcPr>
            <w:tcW w:w="0" w:type="dxa"/>
            <w:vAlign w:val="bottom"/>
          </w:tcPr>
          <w:p>
            <w:pPr>
              <w:spacing w:after="0"/>
              <w:rPr>
                <w:sz w:val="1"/>
                <w:szCs w:val="1"/>
                <w:color w:val="auto"/>
              </w:rPr>
            </w:pPr>
          </w:p>
        </w:tc>
      </w:tr>
      <w:tr>
        <w:trPr>
          <w:trHeight w:val="203"/>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April 1, 2013 - March 31, 2014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58,895.55</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7"/>
                <w:szCs w:val="17"/>
                <w:color w:val="auto"/>
              </w:rPr>
              <w:t>April 1, 2014 - March 31, 2015</w:t>
            </w:r>
          </w:p>
        </w:tc>
        <w:tc>
          <w:tcPr>
            <w:tcW w:w="52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62,501.40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April 1, 2015 - March 31, 2016</w:t>
            </w:r>
          </w:p>
        </w:tc>
        <w:tc>
          <w:tcPr>
            <w:tcW w:w="52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66,107.25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40"/>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so long as no Default has occurred under the Lease, following completion of the Tenant Improvements, any Unapplied Allowance shall be applied toward the payment of Base Rent coming due after December 31, 2013, on a monthly basis until the full amount of the Unapplied Allowance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Work Letter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has been exhausted; provided, however that the expiration date of the Base Term shall be extended 1 month for each month that Unapplied Allowance is applied (in whole or in part) towards Base Rent. If the Base Term is extended as provided for in the preceding sentence, Tenant shall pay Base Rent for such extended period at the same rate that Tenant is paying Base Rent for the Premises during the last year of the Base Term preceding such extended period.</w:t>
      </w:r>
    </w:p>
    <w:p>
      <w:pPr>
        <w:spacing w:after="0" w:line="161" w:lineRule="exact"/>
        <w:rPr>
          <w:sz w:val="20"/>
          <w:szCs w:val="20"/>
          <w:color w:val="auto"/>
        </w:rPr>
      </w:pPr>
    </w:p>
    <w:p>
      <w:pPr>
        <w:ind w:left="640" w:right="200" w:hanging="635"/>
        <w:spacing w:after="0" w:line="297" w:lineRule="auto"/>
        <w:tabs>
          <w:tab w:leader="none" w:pos="640" w:val="left"/>
        </w:tabs>
        <w:numPr>
          <w:ilvl w:val="0"/>
          <w:numId w:val="3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 Allowance and TI Rent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of the Work Letter attached hereto as</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Landlord shall make available to Tenant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Allowance (as defined in the Work Letter) for Tenant Improvements (as defined in the Work Letter).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spacing w:after="0" w:line="262" w:lineRule="auto"/>
        <w:rPr>
          <w:sz w:val="20"/>
          <w:szCs w:val="20"/>
          <w:color w:val="auto"/>
        </w:rPr>
      </w:pPr>
      <w:r>
        <w:rPr>
          <w:rFonts w:ascii="Arial" w:cs="Arial" w:eastAsia="Arial" w:hAnsi="Arial"/>
          <w:sz w:val="17"/>
          <w:szCs w:val="17"/>
          <w:color w:val="auto"/>
        </w:rPr>
        <w:t>If Tenant uses all of such Tenant Improvement Allowance for the Tenant Improvements, Landlord shall, subject to the terms of the Work Letter, make available to Tenant the Additional Tenant Improvement Allowance (as defined in the Work Letter”) for the construction of the Tenant Improvements. In addition to Base Rent, Tenant shall pay to Landlord the amount necessary to fully amortize the portion of the Additional Tenant Improvement Allowance actually funded by Landlord, if any, in equal monthly payments with interest at a rate of 8% per annum over the remaining balance of the Base Term (“</w:t>
      </w:r>
      <w:r>
        <w:rPr>
          <w:rFonts w:ascii="Arial" w:cs="Arial" w:eastAsia="Arial" w:hAnsi="Arial"/>
          <w:sz w:val="17"/>
          <w:szCs w:val="17"/>
          <w:b w:val="1"/>
          <w:bCs w:val="1"/>
          <w:color w:val="auto"/>
        </w:rPr>
        <w:t>TI</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TI Rent shall be due on the first day of each month. The Additional Tenant Improvement Allowance shall only be available for use by Tenant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Tenant Improvements, and Tenant shall have no right to use any undisbursed portion thereof towards Base Rent as contemplated in the last paragraph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above.</w:t>
      </w:r>
    </w:p>
    <w:p>
      <w:pPr>
        <w:spacing w:after="0" w:line="178" w:lineRule="exact"/>
        <w:rPr>
          <w:sz w:val="20"/>
          <w:szCs w:val="20"/>
          <w:color w:val="auto"/>
        </w:rPr>
      </w:pPr>
    </w:p>
    <w:p>
      <w:pPr>
        <w:ind w:left="640" w:hanging="635"/>
        <w:spacing w:after="0"/>
        <w:tabs>
          <w:tab w:leader="none" w:pos="640"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Operating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full paragraph on page 5 of the Lease is hereby deleted in its entirety and replaced with the following:</w:t>
      </w:r>
    </w:p>
    <w:p>
      <w:pPr>
        <w:spacing w:after="0" w:line="230" w:lineRule="exact"/>
        <w:rPr>
          <w:rFonts w:ascii="Arial" w:cs="Arial" w:eastAsia="Arial" w:hAnsi="Arial"/>
          <w:sz w:val="17"/>
          <w:szCs w:val="17"/>
          <w:b w:val="1"/>
          <w:bCs w:val="1"/>
          <w:color w:val="auto"/>
        </w:rPr>
      </w:pPr>
    </w:p>
    <w:p>
      <w:pPr>
        <w:jc w:val="both"/>
        <w:ind w:left="640" w:right="180"/>
        <w:spacing w:after="0" w:line="297" w:lineRule="auto"/>
        <w:rPr>
          <w:rFonts w:ascii="Arial" w:cs="Arial" w:eastAsia="Arial" w:hAnsi="Arial"/>
          <w:sz w:val="17"/>
          <w:szCs w:val="17"/>
          <w:b w:val="1"/>
          <w:bCs w:val="1"/>
          <w:color w:val="auto"/>
        </w:rPr>
      </w:pPr>
      <w:r>
        <w:rPr>
          <w:rFonts w:ascii="Arial" w:cs="Arial" w:eastAsia="Arial" w:hAnsi="Arial"/>
          <w:sz w:val="15"/>
          <w:szCs w:val="15"/>
          <w:color w:val="auto"/>
        </w:rPr>
        <w:t>“Notwithstanding anything to the contrary contained in this Lease, Tenant’s Share of each earthquake deductible or occurrence of uninsured earthquake damage affecting the Premises shall not exceed $4.50 per rentable square foot of the Premises (the “</w:t>
      </w:r>
      <w:r>
        <w:rPr>
          <w:rFonts w:ascii="Arial" w:cs="Arial" w:eastAsia="Arial" w:hAnsi="Arial"/>
          <w:sz w:val="15"/>
          <w:szCs w:val="15"/>
          <w:b w:val="1"/>
          <w:bCs w:val="1"/>
          <w:color w:val="auto"/>
        </w:rPr>
        <w:t>Initial Cap</w:t>
      </w:r>
      <w:r>
        <w:rPr>
          <w:rFonts w:ascii="Arial" w:cs="Arial" w:eastAsia="Arial" w:hAnsi="Arial"/>
          <w:sz w:val="15"/>
          <w:szCs w:val="15"/>
          <w:color w:val="auto"/>
        </w:rPr>
        <w:t>”). On May 1, 2010, and on the first day of each month thereafter through and including March 1, 2013, the Initial Cap shall be reduced by $0.125 per rentable square foot of the Premises.</w:t>
      </w:r>
    </w:p>
    <w:p>
      <w:pPr>
        <w:ind w:left="640" w:right="60"/>
        <w:spacing w:after="0" w:line="343" w:lineRule="auto"/>
        <w:rPr>
          <w:rFonts w:ascii="Arial" w:cs="Arial" w:eastAsia="Arial" w:hAnsi="Arial"/>
          <w:sz w:val="17"/>
          <w:szCs w:val="17"/>
          <w:b w:val="1"/>
          <w:bCs w:val="1"/>
          <w:color w:val="auto"/>
        </w:rPr>
      </w:pPr>
      <w:r>
        <w:rPr>
          <w:rFonts w:ascii="Arial" w:cs="Arial" w:eastAsia="Arial" w:hAnsi="Arial"/>
          <w:sz w:val="15"/>
          <w:szCs w:val="15"/>
          <w:color w:val="auto"/>
        </w:rPr>
        <w:t>Following earthquake damage to the Project during the period from May 1, 2010 until March 31, 2013, Tenant shall pay Tenant’s Share of any such deductible or uninsured damage in equal monthly installments amortized over the remaining balance of the Base Term of the Lease until March 31, 2013.</w:t>
      </w:r>
    </w:p>
    <w:p>
      <w:pPr>
        <w:spacing w:after="0" w:line="124" w:lineRule="exact"/>
        <w:rPr>
          <w:rFonts w:ascii="Arial" w:cs="Arial" w:eastAsia="Arial" w:hAnsi="Arial"/>
          <w:sz w:val="17"/>
          <w:szCs w:val="17"/>
          <w:b w:val="1"/>
          <w:bCs w:val="1"/>
          <w:color w:val="auto"/>
        </w:rPr>
      </w:pPr>
    </w:p>
    <w:p>
      <w:pPr>
        <w:ind w:left="640" w:right="1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Notwithstanding the foregoing, commencing on April 1, 2013, Tenant’s Share of each earthquake deductible or occurrence of uninsured earthquake damage affecting the Premises shall be increased to $4.50 per rentable square foot of the Premises (the “</w:t>
      </w:r>
      <w:r>
        <w:rPr>
          <w:rFonts w:ascii="Arial" w:cs="Arial" w:eastAsia="Arial" w:hAnsi="Arial"/>
          <w:sz w:val="17"/>
          <w:szCs w:val="17"/>
          <w:b w:val="1"/>
          <w:bCs w:val="1"/>
          <w:color w:val="auto"/>
        </w:rPr>
        <w:t>Second Cap</w:t>
      </w:r>
      <w:r>
        <w:rPr>
          <w:rFonts w:ascii="Arial" w:cs="Arial" w:eastAsia="Arial" w:hAnsi="Arial"/>
          <w:sz w:val="17"/>
          <w:szCs w:val="17"/>
          <w:color w:val="auto"/>
        </w:rPr>
        <w:t>”). On May 1, 2013, and on the first day of each month thereafter, the Second Cap shall be reduced by $0.125 per rentable square foot of the Premises. Following earthquake damage to the Project during the period from April 1, 2013 until May 31, 2106, Tenant shall pay Tenant’s Share of any such deductible or uninsured damage in equal monthly installments amortized over the balance of the Base Term of the Lease.”</w:t>
      </w:r>
    </w:p>
    <w:p>
      <w:pPr>
        <w:spacing w:after="0" w:line="173" w:lineRule="exact"/>
        <w:rPr>
          <w:rFonts w:ascii="Arial" w:cs="Arial" w:eastAsia="Arial" w:hAnsi="Arial"/>
          <w:sz w:val="17"/>
          <w:szCs w:val="17"/>
          <w:b w:val="1"/>
          <w:bCs w:val="1"/>
          <w:color w:val="auto"/>
        </w:rPr>
      </w:pPr>
    </w:p>
    <w:p>
      <w:pPr>
        <w:ind w:left="640" w:right="220" w:hanging="635"/>
        <w:spacing w:after="0" w:line="297" w:lineRule="auto"/>
        <w:tabs>
          <w:tab w:leader="none" w:pos="640"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to Extend Term</w:t>
      </w:r>
      <w:r>
        <w:rPr>
          <w:rFonts w:ascii="Arial" w:cs="Arial" w:eastAsia="Arial" w:hAnsi="Arial"/>
          <w:sz w:val="17"/>
          <w:szCs w:val="17"/>
          <w:color w:val="auto"/>
        </w:rPr>
        <w:t>. Tenant shall continue to have the right to extend the Term of the Lease upon the terms and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Lease, except that the second paragraph of </w:t>
      </w:r>
      <w:r>
        <w:rPr>
          <w:rFonts w:ascii="Arial" w:cs="Arial" w:eastAsia="Arial" w:hAnsi="Arial"/>
          <w:sz w:val="17"/>
          <w:szCs w:val="17"/>
          <w:u w:val="single" w:color="auto"/>
          <w:color w:val="auto"/>
        </w:rPr>
        <w:t>Section 39(a)</w:t>
      </w:r>
      <w:r>
        <w:rPr>
          <w:rFonts w:ascii="Arial" w:cs="Arial" w:eastAsia="Arial" w:hAnsi="Arial"/>
          <w:sz w:val="17"/>
          <w:szCs w:val="17"/>
          <w:color w:val="auto"/>
        </w:rPr>
        <w:t xml:space="preserve"> is hereby deleted and replaced with the following:</w:t>
      </w:r>
    </w:p>
    <w:p>
      <w:pPr>
        <w:spacing w:after="0" w:line="151" w:lineRule="exact"/>
        <w:rPr>
          <w:rFonts w:ascii="Arial" w:cs="Arial" w:eastAsia="Arial" w:hAnsi="Arial"/>
          <w:sz w:val="17"/>
          <w:szCs w:val="17"/>
          <w:b w:val="1"/>
          <w:bCs w:val="1"/>
          <w:color w:val="auto"/>
        </w:rPr>
      </w:pPr>
    </w:p>
    <w:p>
      <w:pPr>
        <w:ind w:left="640"/>
        <w:spacing w:after="0" w:line="314" w:lineRule="auto"/>
        <w:rPr>
          <w:rFonts w:ascii="Arial" w:cs="Arial" w:eastAsia="Arial" w:hAnsi="Arial"/>
          <w:sz w:val="17"/>
          <w:szCs w:val="17"/>
          <w:b w:val="1"/>
          <w:bCs w:val="1"/>
          <w:color w:val="auto"/>
        </w:rPr>
      </w:pPr>
      <w:r>
        <w:rPr>
          <w:rFonts w:ascii="Arial" w:cs="Arial" w:eastAsia="Arial" w:hAnsi="Arial"/>
          <w:sz w:val="15"/>
          <w:szCs w:val="15"/>
          <w:color w:val="auto"/>
        </w:rPr>
        <w:t>“Notwithstanding anything to the contrary contained in this Lease, commencing on the first day of the Extension Term, Tenant’s Share of each earthquake deductible or occurrence of uninsured earthquake damage affecting the Premises shall be increased to $4.50 per rentable square foot of the Premises (the “</w:t>
      </w:r>
      <w:r>
        <w:rPr>
          <w:rFonts w:ascii="Arial" w:cs="Arial" w:eastAsia="Arial" w:hAnsi="Arial"/>
          <w:sz w:val="15"/>
          <w:szCs w:val="15"/>
          <w:b w:val="1"/>
          <w:bCs w:val="1"/>
          <w:color w:val="auto"/>
        </w:rPr>
        <w:t>Extension Cap</w:t>
      </w:r>
      <w:r>
        <w:rPr>
          <w:rFonts w:ascii="Arial" w:cs="Arial" w:eastAsia="Arial" w:hAnsi="Arial"/>
          <w:sz w:val="15"/>
          <w:szCs w:val="15"/>
          <w:color w:val="auto"/>
        </w:rPr>
        <w:t>”). On the first day of the second month of the Extension Term and on the first day of each month thereafter, the Extension Cap shall be reduced by $0.125 per rentable square foot of the Premises. Following earthquake damage to the Project during the period the Extension Term, Tenant</w:t>
      </w:r>
    </w:p>
    <w:p>
      <w:pPr>
        <w:sectPr>
          <w:pgSz w:w="11900" w:h="16936" w:orient="portrait"/>
          <w:cols w:equalWidth="0" w:num="1">
            <w:col w:w="11420"/>
          </w:cols>
          <w:pgMar w:left="240" w:top="357" w:right="239" w:bottom="0" w:gutter="0" w:footer="0" w:header="0"/>
        </w:sectPr>
      </w:pPr>
    </w:p>
    <w:bookmarkStart w:id="283" w:name="page284"/>
    <w:bookmarkEnd w:id="283"/>
    <w:p>
      <w:pPr>
        <w:ind w:left="640" w:right="120"/>
        <w:spacing w:after="0" w:line="289" w:lineRule="auto"/>
        <w:rPr>
          <w:sz w:val="20"/>
          <w:szCs w:val="20"/>
          <w:color w:val="auto"/>
        </w:rPr>
      </w:pPr>
      <w:r>
        <w:rPr>
          <w:rFonts w:ascii="Arial" w:cs="Arial" w:eastAsia="Arial" w:hAnsi="Arial"/>
          <w:sz w:val="17"/>
          <w:szCs w:val="17"/>
          <w:color w:val="auto"/>
        </w:rPr>
        <w:t>shall pay Tenant’s Share of any such deductible or uninsured damage in equal monthly installments amortized over the balance of the Extension Term of the Lease.”</w:t>
      </w:r>
    </w:p>
    <w:p>
      <w:pPr>
        <w:spacing w:after="0" w:line="152" w:lineRule="exact"/>
        <w:rPr>
          <w:sz w:val="20"/>
          <w:szCs w:val="20"/>
          <w:color w:val="auto"/>
        </w:rPr>
      </w:pPr>
    </w:p>
    <w:p>
      <w:pPr>
        <w:ind w:left="640" w:right="20" w:hanging="635"/>
        <w:spacing w:after="0" w:line="267" w:lineRule="auto"/>
        <w:tabs>
          <w:tab w:leader="none" w:pos="640"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transaction reflected in this First Amendment and that no Broker brought about this transaction, other than Kidder Mathews. Landlord and Tenant each hereby agree to indemnify and hold the other harmless from and against any claims by any Broker, other than Kidder Mathews, claiming a commission or other form of compensation by virtue of having dealt with Tenant or Landlord, as applicable, with regard to this First Amendment. Landlord shall pay any commission due to Kidder Mathews in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connection with this First Amendment pursuant to a separate written agreement between Landlord and Kidder Mathews.</w:t>
      </w:r>
    </w:p>
    <w:p>
      <w:pPr>
        <w:spacing w:after="0" w:line="218" w:lineRule="exact"/>
        <w:rPr>
          <w:sz w:val="20"/>
          <w:szCs w:val="20"/>
          <w:color w:val="auto"/>
        </w:rPr>
      </w:pPr>
    </w:p>
    <w:p>
      <w:pPr>
        <w:ind w:left="640" w:hanging="635"/>
        <w:spacing w:after="0"/>
        <w:tabs>
          <w:tab w:leader="none" w:pos="640"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640" w:right="240" w:hanging="6"/>
        <w:spacing w:after="0" w:line="273" w:lineRule="auto"/>
        <w:tabs>
          <w:tab w:leader="none" w:pos="1259" w:val="left"/>
        </w:tabs>
        <w:numPr>
          <w:ilvl w:val="1"/>
          <w:numId w:val="390"/>
        </w:numPr>
        <w:rPr>
          <w:rFonts w:ascii="Arial" w:cs="Arial" w:eastAsia="Arial" w:hAnsi="Arial"/>
          <w:sz w:val="17"/>
          <w:szCs w:val="17"/>
          <w:color w:val="auto"/>
        </w:rPr>
      </w:pPr>
      <w:r>
        <w:rPr>
          <w:rFonts w:ascii="Arial" w:cs="Arial" w:eastAsia="Arial" w:hAnsi="Arial"/>
          <w:sz w:val="17"/>
          <w:szCs w:val="17"/>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71" w:lineRule="exact"/>
        <w:rPr>
          <w:rFonts w:ascii="Arial" w:cs="Arial" w:eastAsia="Arial" w:hAnsi="Arial"/>
          <w:sz w:val="17"/>
          <w:szCs w:val="17"/>
          <w:color w:val="auto"/>
        </w:rPr>
      </w:pPr>
    </w:p>
    <w:p>
      <w:pPr>
        <w:ind w:left="640" w:right="300" w:hanging="6"/>
        <w:spacing w:after="0" w:line="289" w:lineRule="auto"/>
        <w:tabs>
          <w:tab w:leader="none" w:pos="1269" w:val="left"/>
        </w:tabs>
        <w:numPr>
          <w:ilvl w:val="1"/>
          <w:numId w:val="390"/>
        </w:numPr>
        <w:rPr>
          <w:rFonts w:ascii="Arial" w:cs="Arial" w:eastAsia="Arial" w:hAnsi="Arial"/>
          <w:sz w:val="17"/>
          <w:szCs w:val="17"/>
          <w:color w:val="auto"/>
        </w:rPr>
      </w:pPr>
      <w:r>
        <w:rPr>
          <w:rFonts w:ascii="Arial" w:cs="Arial" w:eastAsia="Arial" w:hAnsi="Arial"/>
          <w:sz w:val="17"/>
          <w:szCs w:val="17"/>
          <w:color w:val="auto"/>
        </w:rPr>
        <w:t>This First Amendment is binding upon and shall inure to the benefit of the parties hereto, their respective agents, employees, representatives, officers, directors, divisions, subsidiaries, affiliates, assigns, heirs, successors in interest and shareholders.</w:t>
      </w:r>
    </w:p>
    <w:p>
      <w:pPr>
        <w:spacing w:after="0" w:line="158" w:lineRule="exact"/>
        <w:rPr>
          <w:rFonts w:ascii="Arial" w:cs="Arial" w:eastAsia="Arial" w:hAnsi="Arial"/>
          <w:sz w:val="17"/>
          <w:szCs w:val="17"/>
          <w:color w:val="auto"/>
        </w:rPr>
      </w:pPr>
    </w:p>
    <w:p>
      <w:pPr>
        <w:ind w:left="640" w:hanging="6"/>
        <w:spacing w:after="0" w:line="278" w:lineRule="auto"/>
        <w:tabs>
          <w:tab w:leader="none" w:pos="1272"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pages executed by other parties to this First Amendment attached thereto.</w:t>
      </w:r>
    </w:p>
    <w:p>
      <w:pPr>
        <w:spacing w:after="0" w:line="212" w:lineRule="exact"/>
        <w:rPr>
          <w:rFonts w:ascii="Arial" w:cs="Arial" w:eastAsia="Arial" w:hAnsi="Arial"/>
          <w:sz w:val="16"/>
          <w:szCs w:val="16"/>
          <w:color w:val="auto"/>
        </w:rPr>
      </w:pPr>
    </w:p>
    <w:p>
      <w:pPr>
        <w:ind w:left="640" w:right="160" w:hanging="6"/>
        <w:spacing w:after="0" w:line="265" w:lineRule="auto"/>
        <w:tabs>
          <w:tab w:leader="none" w:pos="1269" w:val="left"/>
        </w:tabs>
        <w:numPr>
          <w:ilvl w:val="1"/>
          <w:numId w:val="390"/>
        </w:numPr>
        <w:rPr>
          <w:rFonts w:ascii="Arial" w:cs="Arial" w:eastAsia="Arial" w:hAnsi="Arial"/>
          <w:sz w:val="17"/>
          <w:szCs w:val="17"/>
          <w:color w:val="auto"/>
        </w:rPr>
      </w:pPr>
      <w:r>
        <w:rPr>
          <w:rFonts w:ascii="Arial" w:cs="Arial" w:eastAsia="Arial" w:hAnsi="Arial"/>
          <w:sz w:val="17"/>
          <w:szCs w:val="17"/>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First Amendment as of the day and year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Mark E. Spring</w:t>
      </w:r>
    </w:p>
    <w:p>
      <w:pPr>
        <w:spacing w:after="0" w:line="26"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17780</wp:posOffset>
            </wp:positionV>
            <wp:extent cx="33883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-123190</wp:posOffset>
            </wp:positionV>
            <wp:extent cx="33883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ARE-SAN FRANCISCO NO. 17, LLC,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limited liability company</w:t>
      </w:r>
    </w:p>
    <w:p>
      <w:pPr>
        <w:spacing w:after="0" w:line="212"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ALEXANDRIA REAL ESTATE EQUITIES, L.P.,</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 Delaware limited partnership,</w:t>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managing member</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  ARE-QRS CORP.,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pacing w:after="0" w:line="22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By: /s/ Eric S. Johnson</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-123190</wp:posOffset>
            </wp:positionV>
            <wp:extent cx="28968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28968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7" w:right="239" w:bottom="0" w:gutter="0" w:footer="0" w:header="0"/>
          <w:type w:val="continuous"/>
        </w:sectPr>
      </w:pPr>
    </w:p>
    <w:bookmarkStart w:id="284" w:name="page285"/>
    <w:bookmarkEnd w:id="28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THIS WORK LETTER dated July 11, 2012 (this “</w:t>
      </w:r>
      <w:r>
        <w:rPr>
          <w:rFonts w:ascii="Arial" w:cs="Arial" w:eastAsia="Arial" w:hAnsi="Arial"/>
          <w:sz w:val="17"/>
          <w:szCs w:val="17"/>
          <w:b w:val="1"/>
          <w:bCs w:val="1"/>
          <w:color w:val="auto"/>
        </w:rPr>
        <w:t>Work Letter</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ARE-SAN FRANCISCO NO. 17,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Delaware corporation (“Tenant”), and is attached to and made a part of the First Amendment to Lease dated July 11, 2012 (“</w:t>
      </w:r>
      <w:r>
        <w:rPr>
          <w:rFonts w:ascii="Arial" w:cs="Arial" w:eastAsia="Arial" w:hAnsi="Arial"/>
          <w:sz w:val="17"/>
          <w:szCs w:val="17"/>
          <w:b w:val="1"/>
          <w:bCs w:val="1"/>
          <w:color w:val="auto"/>
        </w:rPr>
        <w:t>First Amendment</w:t>
      </w:r>
      <w:r>
        <w:rPr>
          <w:rFonts w:ascii="Arial" w:cs="Arial" w:eastAsia="Arial" w:hAnsi="Arial"/>
          <w:sz w:val="17"/>
          <w:szCs w:val="17"/>
          <w:color w:val="auto"/>
        </w:rPr>
        <w:t>”), by and between Landlord and Tenant. Any initially capitalized terms used but not defined herein shall have the meanings given them in the First Amendment.</w:t>
      </w:r>
    </w:p>
    <w:p>
      <w:pPr>
        <w:spacing w:after="0" w:line="169" w:lineRule="exact"/>
        <w:rPr>
          <w:sz w:val="20"/>
          <w:szCs w:val="20"/>
          <w:color w:val="auto"/>
        </w:rPr>
      </w:pPr>
    </w:p>
    <w:p>
      <w:pPr>
        <w:ind w:left="1260" w:hanging="626"/>
        <w:spacing w:after="0"/>
        <w:tabs>
          <w:tab w:leader="none" w:pos="1260"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General Requirements.</w:t>
      </w:r>
    </w:p>
    <w:p>
      <w:pPr>
        <w:spacing w:after="0" w:line="224" w:lineRule="exact"/>
        <w:rPr>
          <w:sz w:val="20"/>
          <w:szCs w:val="20"/>
          <w:color w:val="auto"/>
        </w:rPr>
      </w:pPr>
    </w:p>
    <w:p>
      <w:pPr>
        <w:ind w:right="340" w:firstLine="634"/>
        <w:spacing w:after="0" w:line="265" w:lineRule="auto"/>
        <w:tabs>
          <w:tab w:leader="none" w:pos="1256"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 xml:space="preserve">Tenant’s Authorized Representative. </w:t>
      </w:r>
      <w:r>
        <w:rPr>
          <w:rFonts w:ascii="Arial" w:cs="Arial" w:eastAsia="Arial" w:hAnsi="Arial"/>
          <w:sz w:val="17"/>
          <w:szCs w:val="17"/>
          <w:color w:val="auto"/>
        </w:rPr>
        <w:t>Tenant designates Bonnie Anderson and Mark Spring (either such individual acting alone, “</w:t>
      </w:r>
      <w:r>
        <w:rPr>
          <w:rFonts w:ascii="Arial" w:cs="Arial" w:eastAsia="Arial" w:hAnsi="Arial"/>
          <w:sz w:val="17"/>
          <w:szCs w:val="17"/>
          <w:b w:val="1"/>
          <w:bCs w:val="1"/>
          <w:color w:val="auto"/>
        </w:rPr>
        <w:t>Tenant’s Representative</w:t>
      </w:r>
      <w:r>
        <w:rPr>
          <w:rFonts w:ascii="Arial" w:cs="Arial" w:eastAsia="Arial" w:hAnsi="Arial"/>
          <w:sz w:val="17"/>
          <w:szCs w:val="17"/>
          <w:color w:val="auto"/>
        </w:rPr>
        <w:t>”) as the only persons authorized to act for Tenant pursuant to this Work Letter. Landlord shall not be obligated to respond to or act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approval, inquiry or other communication (“</w:t>
      </w:r>
      <w:r>
        <w:rPr>
          <w:rFonts w:ascii="Arial" w:cs="Arial" w:eastAsia="Arial" w:hAnsi="Arial"/>
          <w:sz w:val="17"/>
          <w:szCs w:val="17"/>
          <w:b w:val="1"/>
          <w:bCs w:val="1"/>
          <w:color w:val="auto"/>
        </w:rPr>
        <w:t>Communication</w:t>
      </w:r>
      <w:r>
        <w:rPr>
          <w:rFonts w:ascii="Arial" w:cs="Arial" w:eastAsia="Arial" w:hAnsi="Arial"/>
          <w:sz w:val="17"/>
          <w:szCs w:val="17"/>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73" w:lineRule="exact"/>
        <w:rPr>
          <w:rFonts w:ascii="Arial" w:cs="Arial" w:eastAsia="Arial" w:hAnsi="Arial"/>
          <w:sz w:val="17"/>
          <w:szCs w:val="17"/>
          <w:color w:val="auto"/>
        </w:rPr>
      </w:pPr>
    </w:p>
    <w:p>
      <w:pPr>
        <w:ind w:right="200" w:firstLine="634"/>
        <w:spacing w:after="0" w:line="287" w:lineRule="auto"/>
        <w:tabs>
          <w:tab w:leader="none" w:pos="1266" w:val="left"/>
        </w:tabs>
        <w:numPr>
          <w:ilvl w:val="0"/>
          <w:numId w:val="392"/>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Todd Miller and Rob Kain (either such individual acting alone,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140" w:firstLine="634"/>
        <w:spacing w:after="0" w:line="302" w:lineRule="auto"/>
        <w:tabs>
          <w:tab w:leader="none" w:pos="1269" w:val="left"/>
        </w:tabs>
        <w:numPr>
          <w:ilvl w:val="0"/>
          <w:numId w:val="392"/>
        </w:numPr>
        <w:rPr>
          <w:rFonts w:ascii="Arial" w:cs="Arial" w:eastAsia="Arial" w:hAnsi="Arial"/>
          <w:sz w:val="16"/>
          <w:szCs w:val="16"/>
          <w:color w:val="auto"/>
        </w:rPr>
      </w:pPr>
      <w:r>
        <w:rPr>
          <w:rFonts w:ascii="Arial" w:cs="Arial" w:eastAsia="Arial" w:hAnsi="Arial"/>
          <w:sz w:val="16"/>
          <w:szCs w:val="16"/>
          <w:b w:val="1"/>
          <w:bCs w:val="1"/>
          <w:color w:val="auto"/>
        </w:rPr>
        <w:t xml:space="preserve">Architects, Consultants and Contractors. </w:t>
      </w:r>
      <w:r>
        <w:rPr>
          <w:rFonts w:ascii="Arial" w:cs="Arial" w:eastAsia="Arial" w:hAnsi="Arial"/>
          <w:sz w:val="16"/>
          <w:szCs w:val="16"/>
          <w:color w:val="auto"/>
        </w:rPr>
        <w:t>Landlord and Tenant hereby acknowledge and agree that the architect (the “</w:t>
      </w:r>
      <w:r>
        <w:rPr>
          <w:rFonts w:ascii="Arial" w:cs="Arial" w:eastAsia="Arial" w:hAnsi="Arial"/>
          <w:sz w:val="16"/>
          <w:szCs w:val="16"/>
          <w:b w:val="1"/>
          <w:bCs w:val="1"/>
          <w:color w:val="auto"/>
        </w:rPr>
        <w:t>TI Architect</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contractor and any subcontractors for the Tenant Improvements shall be selected by Landlord, subject to Tenant’s approval, which approval shall not be unreasonably withheld, conditioned or delayed. Landlord agrees that the general contractor shall be selected as part of competitively bid process.</w:t>
      </w:r>
    </w:p>
    <w:p>
      <w:pPr>
        <w:spacing w:after="0" w:line="144" w:lineRule="exact"/>
        <w:rPr>
          <w:sz w:val="20"/>
          <w:szCs w:val="20"/>
          <w:color w:val="auto"/>
        </w:rPr>
      </w:pPr>
    </w:p>
    <w:p>
      <w:pPr>
        <w:ind w:left="1260" w:hanging="626"/>
        <w:spacing w:after="0"/>
        <w:tabs>
          <w:tab w:leader="none" w:pos="1260"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Tenant Improvements.</w:t>
      </w:r>
    </w:p>
    <w:p>
      <w:pPr>
        <w:spacing w:after="0" w:line="224" w:lineRule="exact"/>
        <w:rPr>
          <w:sz w:val="20"/>
          <w:szCs w:val="20"/>
          <w:color w:val="auto"/>
        </w:rPr>
      </w:pPr>
    </w:p>
    <w:p>
      <w:pPr>
        <w:ind w:right="80" w:firstLine="634"/>
        <w:spacing w:after="0" w:line="270" w:lineRule="auto"/>
        <w:tabs>
          <w:tab w:leader="none" w:pos="1256" w:val="left"/>
        </w:tabs>
        <w:numPr>
          <w:ilvl w:val="0"/>
          <w:numId w:val="394"/>
        </w:numPr>
        <w:rPr>
          <w:rFonts w:ascii="Arial" w:cs="Arial" w:eastAsia="Arial" w:hAnsi="Arial"/>
          <w:sz w:val="17"/>
          <w:szCs w:val="17"/>
          <w:color w:val="auto"/>
        </w:rPr>
      </w:pPr>
      <w:r>
        <w:rPr>
          <w:rFonts w:ascii="Arial" w:cs="Arial" w:eastAsia="Arial" w:hAnsi="Arial"/>
          <w:sz w:val="17"/>
          <w:szCs w:val="17"/>
          <w:b w:val="1"/>
          <w:bCs w:val="1"/>
          <w:color w:val="auto"/>
        </w:rPr>
        <w:t xml:space="preserve">Tenant Improvements Defined. </w:t>
      </w:r>
      <w:r>
        <w:rPr>
          <w:rFonts w:ascii="Arial" w:cs="Arial" w:eastAsia="Arial" w:hAnsi="Arial"/>
          <w:sz w:val="17"/>
          <w:szCs w:val="17"/>
          <w:color w:val="auto"/>
        </w:rPr>
        <w:t>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reconfiguring Tenant’s laboratories and offices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improvements to the Project of a fixed and permanent nature as shown on the TI Construction Drawings, as defined in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below. Other than Landlord’s Work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 obligation whatsoever with respect to the finishing of the Premises for Tenant’s use and occupancy.</w:t>
      </w:r>
    </w:p>
    <w:p>
      <w:pPr>
        <w:spacing w:after="0" w:line="175"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Landlord and Tenant acknowledge and agree that Landlord will be performing the Tenant Improvements during Tenant’s occupancy of the Premises. Tenant shall permit access to the Premises at all reasonable times to allow Landlord to perform the Tenant Improvements. The completion of the Tenant Improvements may have a material adverse effect on Tenant’s use and quiet enjoyment of the Premises and the operation of Tenant’s business at the Premises, including, without limitation, the creation of dust, noise and vibrations, none of which shall constitute a constructive eviction of Tenant, an interruption of Tenant’s use and quiet enjoyment of the Premises or result in any offset or abatement of Rent whatsoever. Notwithstanding anything to the contrary set forth herein, Landlord shall have no</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liability to Tenant for any Claims resulting from, arising out of or related to the performance of the Tenant Improvements.</w:t>
      </w:r>
    </w:p>
    <w:p>
      <w:pPr>
        <w:spacing w:after="0" w:line="218" w:lineRule="exact"/>
        <w:rPr>
          <w:sz w:val="20"/>
          <w:szCs w:val="20"/>
          <w:color w:val="auto"/>
        </w:rPr>
      </w:pPr>
    </w:p>
    <w:p>
      <w:pPr>
        <w:ind w:right="100" w:firstLine="634"/>
        <w:spacing w:after="0" w:line="267" w:lineRule="auto"/>
        <w:tabs>
          <w:tab w:leader="none" w:pos="1266" w:val="left"/>
        </w:tabs>
        <w:numPr>
          <w:ilvl w:val="1"/>
          <w:numId w:val="395"/>
        </w:numPr>
        <w:rPr>
          <w:rFonts w:ascii="Arial" w:cs="Arial" w:eastAsia="Arial" w:hAnsi="Arial"/>
          <w:sz w:val="17"/>
          <w:szCs w:val="17"/>
          <w:color w:val="auto"/>
        </w:rPr>
      </w:pPr>
      <w:r>
        <w:rPr>
          <w:rFonts w:ascii="Arial" w:cs="Arial" w:eastAsia="Arial" w:hAnsi="Arial"/>
          <w:sz w:val="17"/>
          <w:szCs w:val="17"/>
          <w:b w:val="1"/>
          <w:bCs w:val="1"/>
          <w:color w:val="auto"/>
        </w:rPr>
        <w:t xml:space="preserve">Tenant’s Space Plans. </w:t>
      </w:r>
      <w:r>
        <w:rPr>
          <w:rFonts w:ascii="Arial" w:cs="Arial" w:eastAsia="Arial" w:hAnsi="Arial"/>
          <w:sz w:val="17"/>
          <w:szCs w:val="17"/>
          <w:color w:val="auto"/>
        </w:rPr>
        <w:t>Tenant shall deliver to Landlord schematic drawings and outline specifications (the “</w:t>
      </w:r>
      <w:r>
        <w:rPr>
          <w:rFonts w:ascii="Arial" w:cs="Arial" w:eastAsia="Arial" w:hAnsi="Arial"/>
          <w:sz w:val="17"/>
          <w:szCs w:val="17"/>
          <w:b w:val="1"/>
          <w:bCs w:val="1"/>
          <w:color w:val="auto"/>
        </w:rPr>
        <w:t>TI Design Drawings</w:t>
      </w:r>
      <w:r>
        <w:rPr>
          <w:rFonts w:ascii="Arial" w:cs="Arial" w:eastAsia="Arial" w:hAnsi="Arial"/>
          <w:sz w:val="17"/>
          <w:szCs w:val="17"/>
          <w:color w:val="auto"/>
        </w:rPr>
        <w:t>”) detailing</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requirements for the Tenant Improvements within 180 days of the date hereof. Not more than 10 days thereafter, Landlord shall 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5 days thereafter. Such process shall continue until Landlord has approved the TI Design Drawings.</w:t>
      </w:r>
    </w:p>
    <w:p>
      <w:pPr>
        <w:spacing w:after="0" w:line="171" w:lineRule="exact"/>
        <w:rPr>
          <w:rFonts w:ascii="Arial" w:cs="Arial" w:eastAsia="Arial" w:hAnsi="Arial"/>
          <w:sz w:val="17"/>
          <w:szCs w:val="17"/>
          <w:color w:val="auto"/>
        </w:rPr>
      </w:pPr>
    </w:p>
    <w:p>
      <w:pPr>
        <w:ind w:firstLine="634"/>
        <w:spacing w:after="0" w:line="279" w:lineRule="auto"/>
        <w:tabs>
          <w:tab w:leader="none" w:pos="1269" w:val="left"/>
        </w:tabs>
        <w:numPr>
          <w:ilvl w:val="1"/>
          <w:numId w:val="395"/>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shall cause the TI Architect to prepare and deliver to Tenant for review and comment construction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and drawings for the Tenant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TI Design Drawings without submitting a Change Request. Landlord and the TI Architect shall consider all such comments in good faith and shall, within 10 business days after receipt, notify Tenant how Landlord proposes to respond to such comments.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Tl Construction Drawings is consistent with the TI Design Drawings,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68" w:lineRule="exact"/>
        <w:rPr>
          <w:rFonts w:ascii="Arial" w:cs="Arial" w:eastAsia="Arial" w:hAnsi="Arial"/>
          <w:sz w:val="16"/>
          <w:szCs w:val="16"/>
          <w:color w:val="auto"/>
        </w:rPr>
      </w:pPr>
    </w:p>
    <w:p>
      <w:pPr>
        <w:ind w:right="160" w:firstLine="634"/>
        <w:spacing w:after="0" w:line="304" w:lineRule="auto"/>
        <w:tabs>
          <w:tab w:leader="none" w:pos="1266" w:val="left"/>
        </w:tabs>
        <w:numPr>
          <w:ilvl w:val="1"/>
          <w:numId w:val="395"/>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Upon any dispute regarding the design of the Tenant Improvements, which is not settled within 10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notice of such dispute is delivered by one party to the other, Tenant may make the final decision regarding the design of the Tenant Improvements, provided</w:t>
      </w:r>
    </w:p>
    <w:p>
      <w:pPr>
        <w:ind w:right="400" w:firstLine="5"/>
        <w:spacing w:after="0" w:line="291" w:lineRule="auto"/>
        <w:tabs>
          <w:tab w:leader="none" w:pos="206" w:val="left"/>
        </w:tabs>
        <w:numPr>
          <w:ilvl w:val="0"/>
          <w:numId w:val="396"/>
        </w:numPr>
        <w:rPr>
          <w:rFonts w:ascii="Arial" w:cs="Arial" w:eastAsia="Arial" w:hAnsi="Arial"/>
          <w:sz w:val="15"/>
          <w:szCs w:val="15"/>
          <w:color w:val="auto"/>
        </w:rPr>
      </w:pPr>
      <w:r>
        <w:rPr>
          <w:rFonts w:ascii="Arial" w:cs="Arial" w:eastAsia="Arial" w:hAnsi="Arial"/>
          <w:sz w:val="15"/>
          <w:szCs w:val="15"/>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5"/>
          <w:szCs w:val="15"/>
          <w:u w:val="single" w:color="auto"/>
          <w:color w:val="auto"/>
        </w:rPr>
        <w:t>Section 5(d)</w:t>
      </w:r>
      <w:r>
        <w:rPr>
          <w:rFonts w:ascii="Arial" w:cs="Arial" w:eastAsia="Arial" w:hAnsi="Arial"/>
          <w:sz w:val="15"/>
          <w:szCs w:val="15"/>
          <w:color w:val="auto"/>
        </w:rPr>
        <w:t xml:space="preserve"> below), and</w:t>
      </w:r>
    </w:p>
    <w:p>
      <w:pPr>
        <w:spacing w:after="0" w:line="1" w:lineRule="exact"/>
        <w:rPr>
          <w:rFonts w:ascii="Arial" w:cs="Arial" w:eastAsia="Arial" w:hAnsi="Arial"/>
          <w:sz w:val="15"/>
          <w:szCs w:val="15"/>
          <w:color w:val="auto"/>
        </w:rPr>
      </w:pPr>
    </w:p>
    <w:p>
      <w:pPr>
        <w:ind w:right="540" w:firstLine="5"/>
        <w:spacing w:after="0" w:line="307" w:lineRule="auto"/>
        <w:tabs>
          <w:tab w:leader="none" w:pos="303"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41" w:lineRule="exact"/>
        <w:rPr>
          <w:sz w:val="20"/>
          <w:szCs w:val="20"/>
          <w:color w:val="auto"/>
        </w:rPr>
      </w:pPr>
    </w:p>
    <w:p>
      <w:pPr>
        <w:ind w:left="1260" w:hanging="626"/>
        <w:spacing w:after="0"/>
        <w:tabs>
          <w:tab w:leader="none" w:pos="1260" w:val="left"/>
        </w:tabs>
        <w:numPr>
          <w:ilvl w:val="0"/>
          <w:numId w:val="398"/>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p>
    <w:p>
      <w:pPr>
        <w:sectPr>
          <w:pgSz w:w="11900" w:h="16838" w:orient="portrait"/>
          <w:cols w:equalWidth="0" w:num="1">
            <w:col w:w="11420"/>
          </w:cols>
          <w:pgMar w:left="240" w:top="711" w:right="239" w:bottom="0" w:gutter="0" w:footer="0" w:header="0"/>
        </w:sectPr>
      </w:pPr>
    </w:p>
    <w:bookmarkStart w:id="285" w:name="page286"/>
    <w:bookmarkEnd w:id="285"/>
    <w:p>
      <w:pPr>
        <w:spacing w:after="0" w:line="21" w:lineRule="exact"/>
        <w:rPr>
          <w:sz w:val="20"/>
          <w:szCs w:val="20"/>
          <w:color w:val="auto"/>
        </w:rPr>
      </w:pPr>
    </w:p>
    <w:p>
      <w:pPr>
        <w:ind w:left="1260" w:hanging="626"/>
        <w:spacing w:after="0"/>
        <w:tabs>
          <w:tab w:leader="none" w:pos="1260" w:val="left"/>
        </w:tabs>
        <w:numPr>
          <w:ilvl w:val="0"/>
          <w:numId w:val="399"/>
        </w:numPr>
        <w:rPr>
          <w:rFonts w:ascii="Arial" w:cs="Arial" w:eastAsia="Arial" w:hAnsi="Arial"/>
          <w:sz w:val="17"/>
          <w:szCs w:val="17"/>
          <w:color w:val="auto"/>
        </w:rPr>
      </w:pPr>
      <w:r>
        <w:rPr>
          <w:rFonts w:ascii="Arial" w:cs="Arial" w:eastAsia="Arial" w:hAnsi="Arial"/>
          <w:sz w:val="17"/>
          <w:szCs w:val="17"/>
          <w:b w:val="1"/>
          <w:bCs w:val="1"/>
          <w:color w:val="auto"/>
        </w:rPr>
        <w:t xml:space="preserve">Definition of Landlord’s Work. </w:t>
      </w:r>
      <w:r>
        <w:rPr>
          <w:rFonts w:ascii="Arial" w:cs="Arial" w:eastAsia="Arial" w:hAnsi="Arial"/>
          <w:sz w:val="17"/>
          <w:szCs w:val="17"/>
          <w:color w:val="auto"/>
        </w:rPr>
        <w:t>As used herein, “</w:t>
      </w:r>
      <w:r>
        <w:rPr>
          <w:rFonts w:ascii="Arial" w:cs="Arial" w:eastAsia="Arial" w:hAnsi="Arial"/>
          <w:sz w:val="17"/>
          <w:szCs w:val="17"/>
          <w:b w:val="1"/>
          <w:bCs w:val="1"/>
          <w:color w:val="auto"/>
        </w:rPr>
        <w:t>Landlord’s Work</w:t>
      </w:r>
      <w:r>
        <w:rPr>
          <w:rFonts w:ascii="Arial" w:cs="Arial" w:eastAsia="Arial" w:hAnsi="Arial"/>
          <w:sz w:val="17"/>
          <w:szCs w:val="17"/>
          <w:color w:val="auto"/>
        </w:rPr>
        <w:t>” shall mean the work of constructing the Tenant Improvements.</w:t>
      </w:r>
    </w:p>
    <w:p>
      <w:pPr>
        <w:spacing w:after="0" w:line="224" w:lineRule="exact"/>
        <w:rPr>
          <w:rFonts w:ascii="Arial" w:cs="Arial" w:eastAsia="Arial" w:hAnsi="Arial"/>
          <w:sz w:val="17"/>
          <w:szCs w:val="17"/>
          <w:color w:val="auto"/>
        </w:rPr>
      </w:pPr>
    </w:p>
    <w:p>
      <w:pPr>
        <w:ind w:right="100" w:firstLine="634"/>
        <w:spacing w:after="0" w:line="285" w:lineRule="auto"/>
        <w:tabs>
          <w:tab w:leader="none" w:pos="1266" w:val="left"/>
        </w:tabs>
        <w:numPr>
          <w:ilvl w:val="0"/>
          <w:numId w:val="399"/>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and Permitting. </w:t>
      </w:r>
      <w:r>
        <w:rPr>
          <w:rFonts w:ascii="Arial" w:cs="Arial" w:eastAsia="Arial" w:hAnsi="Arial"/>
          <w:sz w:val="16"/>
          <w:szCs w:val="16"/>
          <w:color w:val="auto"/>
        </w:rPr>
        <w:t>Landlord shall promptly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from the TI Fund.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0" w:firstLine="634"/>
        <w:spacing w:after="0" w:line="281" w:lineRule="auto"/>
        <w:tabs>
          <w:tab w:leader="none" w:pos="1304" w:val="left"/>
        </w:tabs>
        <w:numPr>
          <w:ilvl w:val="0"/>
          <w:numId w:val="400"/>
        </w:numPr>
        <w:rPr>
          <w:rFonts w:ascii="Arial" w:cs="Arial" w:eastAsia="Arial" w:hAnsi="Arial"/>
          <w:sz w:val="16"/>
          <w:szCs w:val="16"/>
          <w:color w:val="auto"/>
        </w:rPr>
      </w:pPr>
      <w:r>
        <w:rPr>
          <w:rFonts w:ascii="Arial" w:cs="Arial" w:eastAsia="Arial" w:hAnsi="Arial"/>
          <w:sz w:val="16"/>
          <w:szCs w:val="16"/>
          <w:b w:val="1"/>
          <w:bCs w:val="1"/>
          <w:color w:val="auto"/>
        </w:rPr>
        <w:t xml:space="preserve">Completion of Landlord’s Work. </w:t>
      </w:r>
      <w:r>
        <w:rPr>
          <w:rFonts w:ascii="Arial" w:cs="Arial" w:eastAsia="Arial" w:hAnsi="Arial"/>
          <w:sz w:val="16"/>
          <w:szCs w:val="16"/>
          <w:color w:val="auto"/>
        </w:rPr>
        <w:t>Landlord shall substantially complete or cause to be substantially completed Landlord’s Work in a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workmanlike manner, in accordance with the TI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164" w:lineRule="exact"/>
        <w:rPr>
          <w:rFonts w:ascii="Arial" w:cs="Arial" w:eastAsia="Arial" w:hAnsi="Arial"/>
          <w:sz w:val="16"/>
          <w:szCs w:val="16"/>
          <w:color w:val="auto"/>
        </w:rPr>
      </w:pPr>
    </w:p>
    <w:p>
      <w:pPr>
        <w:ind w:right="100" w:firstLine="634"/>
        <w:spacing w:after="0" w:line="270" w:lineRule="auto"/>
        <w:tabs>
          <w:tab w:leader="none" w:pos="1313" w:val="left"/>
        </w:tabs>
        <w:numPr>
          <w:ilvl w:val="0"/>
          <w:numId w:val="400"/>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TI Construction Drawings approved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the option will be selected at Landlord’s reasonable discretion. As to all building materials and equipment that Landlord is obligated to supply under this Work Letter, Landlord shall select the manufacturer thereof in its reasonable discretion after consultation with Tenant unless a manufacturer is expressly specified in the approved TI Construction Drawings.</w:t>
      </w:r>
    </w:p>
    <w:p>
      <w:pPr>
        <w:spacing w:after="0" w:line="169" w:lineRule="exact"/>
        <w:rPr>
          <w:rFonts w:ascii="Arial" w:cs="Arial" w:eastAsia="Arial" w:hAnsi="Arial"/>
          <w:sz w:val="17"/>
          <w:szCs w:val="17"/>
          <w:color w:val="auto"/>
        </w:rPr>
      </w:pPr>
    </w:p>
    <w:p>
      <w:pPr>
        <w:ind w:right="20" w:firstLine="634"/>
        <w:spacing w:after="0" w:line="279" w:lineRule="auto"/>
        <w:tabs>
          <w:tab w:leader="none" w:pos="1304" w:val="left"/>
        </w:tabs>
        <w:numPr>
          <w:ilvl w:val="0"/>
          <w:numId w:val="400"/>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Defects. </w:t>
      </w:r>
      <w:r>
        <w:rPr>
          <w:rFonts w:ascii="Arial" w:cs="Arial" w:eastAsia="Arial" w:hAnsi="Arial"/>
          <w:sz w:val="16"/>
          <w:szCs w:val="16"/>
          <w:color w:val="auto"/>
        </w:rPr>
        <w:t>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w:t>
      </w:r>
      <w:r>
        <w:rPr>
          <w:rFonts w:ascii="Arial" w:cs="Arial" w:eastAsia="Arial" w:hAnsi="Arial"/>
          <w:sz w:val="16"/>
          <w:szCs w:val="16"/>
          <w:color w:val="auto"/>
        </w:rPr>
        <w:t>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from/and against any claims arising out of or in connection with any such claim.</w:t>
      </w:r>
    </w:p>
    <w:p>
      <w:pPr>
        <w:spacing w:after="0" w:line="170"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130" w:lineRule="exact"/>
        <w:rPr>
          <w:sz w:val="20"/>
          <w:szCs w:val="20"/>
          <w:color w:val="auto"/>
        </w:rPr>
      </w:pPr>
    </w:p>
    <w:p>
      <w:pPr>
        <w:ind w:left="1340" w:hanging="706"/>
        <w:spacing w:after="0"/>
        <w:tabs>
          <w:tab w:leader="none" w:pos="1340" w:val="left"/>
        </w:tabs>
        <w:numPr>
          <w:ilvl w:val="0"/>
          <w:numId w:val="401"/>
        </w:numPr>
        <w:rPr>
          <w:rFonts w:ascii="Arial" w:cs="Arial" w:eastAsia="Arial" w:hAnsi="Arial"/>
          <w:sz w:val="17"/>
          <w:szCs w:val="17"/>
          <w:color w:val="auto"/>
        </w:rPr>
      </w:pPr>
      <w:r>
        <w:rPr>
          <w:rFonts w:ascii="Arial" w:cs="Arial" w:eastAsia="Arial" w:hAnsi="Arial"/>
          <w:sz w:val="17"/>
          <w:szCs w:val="17"/>
          <w:b w:val="1"/>
          <w:bCs w:val="1"/>
          <w:color w:val="auto"/>
        </w:rPr>
        <w:t>Intentionally Omitted.</w:t>
      </w:r>
    </w:p>
    <w:p>
      <w:pPr>
        <w:spacing w:after="0" w:line="224" w:lineRule="exact"/>
        <w:rPr>
          <w:sz w:val="20"/>
          <w:szCs w:val="20"/>
          <w:color w:val="auto"/>
        </w:rPr>
      </w:pPr>
    </w:p>
    <w:p>
      <w:pPr>
        <w:ind w:right="60" w:firstLine="634"/>
        <w:spacing w:after="0" w:line="277" w:lineRule="auto"/>
        <w:tabs>
          <w:tab w:leader="none" w:pos="1328" w:val="left"/>
        </w:tabs>
        <w:numPr>
          <w:ilvl w:val="0"/>
          <w:numId w:val="402"/>
        </w:numPr>
        <w:rPr>
          <w:rFonts w:ascii="Arial" w:cs="Arial" w:eastAsia="Arial" w:hAnsi="Arial"/>
          <w:sz w:val="17"/>
          <w:szCs w:val="17"/>
          <w:color w:val="auto"/>
        </w:rPr>
      </w:pPr>
      <w:r>
        <w:rPr>
          <w:rFonts w:ascii="Arial" w:cs="Arial" w:eastAsia="Arial" w:hAnsi="Arial"/>
          <w:sz w:val="17"/>
          <w:szCs w:val="17"/>
          <w:b w:val="1"/>
          <w:bCs w:val="1"/>
          <w:color w:val="auto"/>
        </w:rPr>
        <w:t>Changes</w:t>
      </w:r>
      <w:r>
        <w:rPr>
          <w:rFonts w:ascii="Arial" w:cs="Arial" w:eastAsia="Arial" w:hAnsi="Arial"/>
          <w:sz w:val="17"/>
          <w:szCs w:val="17"/>
          <w:color w:val="auto"/>
        </w:rPr>
        <w:t>. 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sz w:val="20"/>
          <w:szCs w:val="20"/>
          <w:color w:val="auto"/>
        </w:rPr>
      </w:pPr>
    </w:p>
    <w:p>
      <w:pPr>
        <w:ind w:right="120" w:firstLine="634"/>
        <w:spacing w:after="0" w:line="297" w:lineRule="auto"/>
        <w:tabs>
          <w:tab w:leader="none" w:pos="1304"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t xml:space="preserve">Tenant’s Request For Changes. </w:t>
      </w:r>
      <w:r>
        <w:rPr>
          <w:rFonts w:ascii="Arial" w:cs="Arial" w:eastAsia="Arial" w:hAnsi="Arial"/>
          <w:sz w:val="17"/>
          <w:szCs w:val="17"/>
          <w:color w:val="auto"/>
        </w:rPr>
        <w:t>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Landlord in writing in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substantially the same form as the AIA standard change order form (a “</w:t>
      </w:r>
      <w:r>
        <w:rPr>
          <w:rFonts w:ascii="Arial" w:cs="Arial" w:eastAsia="Arial" w:hAnsi="Arial"/>
          <w:sz w:val="15"/>
          <w:szCs w:val="15"/>
          <w:b w:val="1"/>
          <w:bCs w:val="1"/>
          <w:color w:val="auto"/>
        </w:rPr>
        <w:t>Change Request</w:t>
      </w:r>
      <w:r>
        <w:rPr>
          <w:rFonts w:ascii="Arial" w:cs="Arial" w:eastAsia="Arial" w:hAnsi="Arial"/>
          <w:sz w:val="15"/>
          <w:szCs w:val="15"/>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w:t>
      </w:r>
    </w:p>
    <w:p>
      <w:pPr>
        <w:spacing w:after="0" w:line="149" w:lineRule="exact"/>
        <w:rPr>
          <w:sz w:val="20"/>
          <w:szCs w:val="20"/>
          <w:color w:val="auto"/>
        </w:rPr>
      </w:pPr>
    </w:p>
    <w:p>
      <w:pPr>
        <w:ind w:right="60" w:firstLine="634"/>
        <w:spacing w:after="0" w:line="277" w:lineRule="auto"/>
        <w:tabs>
          <w:tab w:leader="none" w:pos="1313" w:val="left"/>
        </w:tabs>
        <w:numPr>
          <w:ilvl w:val="0"/>
          <w:numId w:val="404"/>
        </w:numPr>
        <w:rPr>
          <w:rFonts w:ascii="Arial" w:cs="Arial" w:eastAsia="Arial" w:hAnsi="Arial"/>
          <w:sz w:val="17"/>
          <w:szCs w:val="17"/>
          <w:color w:val="auto"/>
        </w:rPr>
      </w:pPr>
      <w:r>
        <w:rPr>
          <w:rFonts w:ascii="Arial" w:cs="Arial" w:eastAsia="Arial" w:hAnsi="Arial"/>
          <w:sz w:val="17"/>
          <w:szCs w:val="17"/>
          <w:b w:val="1"/>
          <w:bCs w:val="1"/>
          <w:color w:val="auto"/>
        </w:rPr>
        <w:t xml:space="preserve">Implementation of Changes. </w:t>
      </w:r>
      <w:r>
        <w:rPr>
          <w:rFonts w:ascii="Arial" w:cs="Arial" w:eastAsia="Arial" w:hAnsi="Arial"/>
          <w:sz w:val="17"/>
          <w:szCs w:val="17"/>
          <w:color w:val="auto"/>
        </w:rPr>
        <w:t>If Tenant: (i) approves in writing the cost or savings and the estimated extension in the time for completion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Work, if any, and (ii) deposits with Landlord any Excess TI Costs required in connection with such Change, Landlord shall cause the approved Change to be instituted.</w:t>
      </w:r>
    </w:p>
    <w:p>
      <w:pPr>
        <w:spacing w:after="0" w:line="162" w:lineRule="exact"/>
        <w:rPr>
          <w:sz w:val="20"/>
          <w:szCs w:val="20"/>
          <w:color w:val="auto"/>
        </w:rPr>
      </w:pPr>
    </w:p>
    <w:p>
      <w:pPr>
        <w:ind w:left="1340" w:hanging="706"/>
        <w:spacing w:after="0"/>
        <w:tabs>
          <w:tab w:leader="none" w:pos="1340"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24" w:lineRule="exact"/>
        <w:rPr>
          <w:sz w:val="20"/>
          <w:szCs w:val="20"/>
          <w:color w:val="auto"/>
        </w:rPr>
      </w:pPr>
    </w:p>
    <w:p>
      <w:pPr>
        <w:ind w:right="60" w:firstLine="634"/>
        <w:spacing w:after="0" w:line="317" w:lineRule="auto"/>
        <w:tabs>
          <w:tab w:leader="none" w:pos="1304" w:val="left"/>
        </w:tabs>
        <w:numPr>
          <w:ilvl w:val="0"/>
          <w:numId w:val="406"/>
        </w:numPr>
        <w:rPr>
          <w:rFonts w:ascii="Arial" w:cs="Arial" w:eastAsia="Arial" w:hAnsi="Arial"/>
          <w:sz w:val="15"/>
          <w:szCs w:val="15"/>
          <w:color w:val="auto"/>
        </w:rPr>
      </w:pPr>
      <w:r>
        <w:rPr>
          <w:rFonts w:ascii="Arial" w:cs="Arial" w:eastAsia="Arial" w:hAnsi="Arial"/>
          <w:sz w:val="15"/>
          <w:szCs w:val="15"/>
          <w:b w:val="1"/>
          <w:bCs w:val="1"/>
          <w:color w:val="auto"/>
        </w:rPr>
        <w:t xml:space="preserve">Budget For Tenant Improvements. </w:t>
      </w:r>
      <w:r>
        <w:rPr>
          <w:rFonts w:ascii="Arial" w:cs="Arial" w:eastAsia="Arial" w:hAnsi="Arial"/>
          <w:sz w:val="15"/>
          <w:szCs w:val="15"/>
          <w:color w:val="auto"/>
        </w:rPr>
        <w:t>Before the commencement of construction of the Tenant Improvements, Landlord shall obtain a detailed</w:t>
      </w:r>
      <w:r>
        <w:rPr>
          <w:rFonts w:ascii="Arial" w:cs="Arial" w:eastAsia="Arial" w:hAnsi="Arial"/>
          <w:sz w:val="15"/>
          <w:szCs w:val="15"/>
          <w:b w:val="1"/>
          <w:bCs w:val="1"/>
          <w:color w:val="auto"/>
        </w:rPr>
        <w:t xml:space="preserve"> </w:t>
      </w:r>
      <w:r>
        <w:rPr>
          <w:rFonts w:ascii="Arial" w:cs="Arial" w:eastAsia="Arial" w:hAnsi="Arial"/>
          <w:sz w:val="15"/>
          <w:szCs w:val="15"/>
          <w:color w:val="auto"/>
        </w:rPr>
        <w:t>breakdown by trade of the costs incurred or that will be incurred in connection with the design and construction of the Tenant Improvements (the “</w:t>
      </w:r>
      <w:r>
        <w:rPr>
          <w:rFonts w:ascii="Arial" w:cs="Arial" w:eastAsia="Arial" w:hAnsi="Arial"/>
          <w:sz w:val="15"/>
          <w:szCs w:val="15"/>
          <w:b w:val="1"/>
          <w:bCs w:val="1"/>
          <w:color w:val="auto"/>
        </w:rPr>
        <w:t>Budget</w:t>
      </w:r>
      <w:r>
        <w:rPr>
          <w:rFonts w:ascii="Arial" w:cs="Arial" w:eastAsia="Arial" w:hAnsi="Arial"/>
          <w:sz w:val="15"/>
          <w:szCs w:val="15"/>
          <w:color w:val="auto"/>
        </w:rPr>
        <w:t>”). The Budget shall be based upon the TI Construction Drawings approved by Tenant and shall include a payment to Landlord of administrative rent (“</w:t>
      </w:r>
      <w:r>
        <w:rPr>
          <w:rFonts w:ascii="Arial" w:cs="Arial" w:eastAsia="Arial" w:hAnsi="Arial"/>
          <w:sz w:val="15"/>
          <w:szCs w:val="15"/>
          <w:b w:val="1"/>
          <w:bCs w:val="1"/>
          <w:color w:val="auto"/>
        </w:rPr>
        <w:t>Administrative</w:t>
      </w:r>
      <w:r>
        <w:rPr>
          <w:rFonts w:ascii="Arial" w:cs="Arial" w:eastAsia="Arial" w:hAnsi="Arial"/>
          <w:sz w:val="15"/>
          <w:szCs w:val="15"/>
          <w:color w:val="auto"/>
        </w:rPr>
        <w:t xml:space="preserve"> </w:t>
      </w:r>
      <w:r>
        <w:rPr>
          <w:rFonts w:ascii="Arial" w:cs="Arial" w:eastAsia="Arial" w:hAnsi="Arial"/>
          <w:sz w:val="15"/>
          <w:szCs w:val="15"/>
          <w:b w:val="1"/>
          <w:bCs w:val="1"/>
          <w:color w:val="auto"/>
        </w:rPr>
        <w:t>Rent</w:t>
      </w:r>
      <w:r>
        <w:rPr>
          <w:rFonts w:ascii="Arial" w:cs="Arial" w:eastAsia="Arial" w:hAnsi="Arial"/>
          <w:sz w:val="15"/>
          <w:szCs w:val="15"/>
          <w:color w:val="auto"/>
        </w:rPr>
        <w:t>”) equal to 5% of the TI Costs for monitoring and inspecting the construction of the Tenant improvements and Changes, which sum shall be payable from the</w:t>
      </w:r>
    </w:p>
    <w:p>
      <w:pPr>
        <w:sectPr>
          <w:pgSz w:w="11900" w:h="16860" w:orient="portrait"/>
          <w:cols w:equalWidth="0" w:num="1">
            <w:col w:w="11420"/>
          </w:cols>
          <w:pgMar w:left="240" w:top="331" w:right="239" w:bottom="0" w:gutter="0" w:footer="0" w:header="0"/>
        </w:sectPr>
      </w:pPr>
    </w:p>
    <w:bookmarkStart w:id="286" w:name="page287"/>
    <w:bookmarkEnd w:id="286"/>
    <w:p>
      <w:pPr>
        <w:ind w:right="80"/>
        <w:spacing w:after="0" w:line="268" w:lineRule="auto"/>
        <w:rPr>
          <w:sz w:val="20"/>
          <w:szCs w:val="20"/>
          <w:color w:val="auto"/>
        </w:rPr>
      </w:pPr>
      <w:r>
        <w:rPr>
          <w:rFonts w:ascii="Arial" w:cs="Arial" w:eastAsia="Arial" w:hAnsi="Arial"/>
          <w:sz w:val="17"/>
          <w:szCs w:val="17"/>
          <w:color w:val="auto"/>
        </w:rPr>
        <w:t xml:space="preserve">TI Fund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Administrative Rent shall include, without limitation, all out-of-pocket costs, expenses and fees incurred by or on behalf of Landlord arising from, out of, or in connection with monitoring the construction of the Tenant Improvements and Changes, and shall be payable out of the TI Fund.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7"/>
          <w:szCs w:val="17"/>
          <w:u w:val="single" w:color="auto"/>
          <w:color w:val="auto"/>
        </w:rPr>
        <w:t>Section 5(d)</w:t>
      </w:r>
      <w:r>
        <w:rPr>
          <w:rFonts w:ascii="Arial" w:cs="Arial" w:eastAsia="Arial" w:hAnsi="Arial"/>
          <w:sz w:val="17"/>
          <w:szCs w:val="17"/>
          <w:color w:val="auto"/>
        </w:rPr>
        <w:t>.</w:t>
      </w:r>
    </w:p>
    <w:p>
      <w:pPr>
        <w:spacing w:after="0" w:line="170" w:lineRule="exact"/>
        <w:rPr>
          <w:sz w:val="20"/>
          <w:szCs w:val="20"/>
          <w:color w:val="auto"/>
        </w:rPr>
      </w:pPr>
    </w:p>
    <w:p>
      <w:pPr>
        <w:ind w:left="1320" w:hanging="686"/>
        <w:spacing w:after="0"/>
        <w:tabs>
          <w:tab w:leader="none" w:pos="1320" w:val="left"/>
        </w:tabs>
        <w:numPr>
          <w:ilvl w:val="0"/>
          <w:numId w:val="407"/>
        </w:numPr>
        <w:rPr>
          <w:rFonts w:ascii="Arial" w:cs="Arial" w:eastAsia="Arial" w:hAnsi="Arial"/>
          <w:sz w:val="17"/>
          <w:szCs w:val="17"/>
          <w:color w:val="auto"/>
        </w:rPr>
      </w:pPr>
      <w:r>
        <w:rPr>
          <w:rFonts w:ascii="Arial" w:cs="Arial" w:eastAsia="Arial" w:hAnsi="Arial"/>
          <w:sz w:val="17"/>
          <w:szCs w:val="17"/>
          <w:b w:val="1"/>
          <w:bCs w:val="1"/>
          <w:color w:val="auto"/>
        </w:rPr>
        <w:t xml:space="preserve">TI Allowance. </w:t>
      </w:r>
      <w:r>
        <w:rPr>
          <w:rFonts w:ascii="Arial" w:cs="Arial" w:eastAsia="Arial" w:hAnsi="Arial"/>
          <w:sz w:val="17"/>
          <w:szCs w:val="17"/>
          <w:color w:val="auto"/>
        </w:rPr>
        <w:t>Landlord shall provide to Tenant a tenant improvement allowance (collectively, the “</w:t>
      </w:r>
      <w:r>
        <w:rPr>
          <w:rFonts w:ascii="Arial" w:cs="Arial" w:eastAsia="Arial" w:hAnsi="Arial"/>
          <w:sz w:val="17"/>
          <w:szCs w:val="17"/>
          <w:b w:val="1"/>
          <w:bCs w:val="1"/>
          <w:color w:val="auto"/>
        </w:rPr>
        <w:t>TI Allowance</w:t>
      </w:r>
      <w:r>
        <w:rPr>
          <w:rFonts w:ascii="Arial" w:cs="Arial" w:eastAsia="Arial" w:hAnsi="Arial"/>
          <w:sz w:val="17"/>
          <w:szCs w:val="17"/>
          <w:color w:val="auto"/>
        </w:rPr>
        <w:t>”) as follows:</w:t>
      </w:r>
    </w:p>
    <w:p>
      <w:pPr>
        <w:spacing w:after="0" w:line="224" w:lineRule="exact"/>
        <w:rPr>
          <w:sz w:val="20"/>
          <w:szCs w:val="20"/>
          <w:color w:val="auto"/>
        </w:rPr>
      </w:pPr>
    </w:p>
    <w:p>
      <w:pPr>
        <w:ind w:right="640" w:firstLine="634"/>
        <w:spacing w:after="0" w:line="297" w:lineRule="auto"/>
        <w:tabs>
          <w:tab w:leader="none" w:pos="1328"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Tenant Improvement Allowance</w:t>
      </w:r>
      <w:r>
        <w:rPr>
          <w:rFonts w:ascii="Arial" w:cs="Arial" w:eastAsia="Arial" w:hAnsi="Arial"/>
          <w:sz w:val="17"/>
          <w:szCs w:val="17"/>
          <w:color w:val="auto"/>
        </w:rPr>
        <w:t>” in the maximum amount of $8.00 per rentable square foot in the Premises, or $192,312.00 in the aggregate, which is included in the Base Rent set forth in the First Amendment; and</w:t>
      </w:r>
    </w:p>
    <w:p>
      <w:pPr>
        <w:spacing w:after="0" w:line="145" w:lineRule="exact"/>
        <w:rPr>
          <w:rFonts w:ascii="Arial" w:cs="Arial" w:eastAsia="Arial" w:hAnsi="Arial"/>
          <w:sz w:val="17"/>
          <w:szCs w:val="17"/>
          <w:color w:val="auto"/>
        </w:rPr>
      </w:pPr>
    </w:p>
    <w:p>
      <w:pPr>
        <w:ind w:right="580" w:firstLine="634"/>
        <w:spacing w:after="0" w:line="368" w:lineRule="auto"/>
        <w:tabs>
          <w:tab w:leader="none" w:pos="1328" w:val="left"/>
        </w:tabs>
        <w:numPr>
          <w:ilvl w:val="0"/>
          <w:numId w:val="408"/>
        </w:numPr>
        <w:rPr>
          <w:rFonts w:ascii="Arial" w:cs="Arial" w:eastAsia="Arial" w:hAnsi="Arial"/>
          <w:sz w:val="15"/>
          <w:szCs w:val="15"/>
          <w:color w:val="auto"/>
        </w:rPr>
      </w:pPr>
      <w:r>
        <w:rPr>
          <w:rFonts w:ascii="Arial" w:cs="Arial" w:eastAsia="Arial" w:hAnsi="Arial"/>
          <w:sz w:val="15"/>
          <w:szCs w:val="15"/>
          <w:color w:val="auto"/>
        </w:rPr>
        <w:t>at Tenant’s option, an “</w:t>
      </w:r>
      <w:r>
        <w:rPr>
          <w:rFonts w:ascii="Arial" w:cs="Arial" w:eastAsia="Arial" w:hAnsi="Arial"/>
          <w:sz w:val="15"/>
          <w:szCs w:val="15"/>
          <w:b w:val="1"/>
          <w:bCs w:val="1"/>
          <w:color w:val="auto"/>
        </w:rPr>
        <w:t>Additional Tenant Improvement Allowance</w:t>
      </w:r>
      <w:r>
        <w:rPr>
          <w:rFonts w:ascii="Arial" w:cs="Arial" w:eastAsia="Arial" w:hAnsi="Arial"/>
          <w:sz w:val="15"/>
          <w:szCs w:val="15"/>
          <w:color w:val="auto"/>
        </w:rPr>
        <w:t xml:space="preserve">” in the maximum amount of $2.50 per rentable square foot in the Premises, or $60,097.50 in the aggregate, which shall, to the extent used, result in the payment of TI Rent as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the First Amendment.</w:t>
      </w:r>
    </w:p>
    <w:p>
      <w:pPr>
        <w:spacing w:after="0" w:line="10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 xml:space="preserve">Before commencing Tenant’s Work (as defined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 Landlord shall have no obligation to make any unused portion of the TI Allowance available for the Tenant improvements after December 31, 2013.</w:t>
      </w:r>
    </w:p>
    <w:p>
      <w:pPr>
        <w:spacing w:after="0" w:line="159"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 xml:space="preserve">Except for the Unapplied Allowance, 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6"/>
          <w:szCs w:val="16"/>
          <w:u w:val="single" w:color="auto"/>
          <w:color w:val="auto"/>
        </w:rPr>
        <w:t>Section</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u w:val="single" w:color="auto"/>
          <w:color w:val="auto"/>
        </w:rPr>
        <w:t>2(d)</w:t>
      </w:r>
      <w:r>
        <w:rPr>
          <w:rFonts w:ascii="Arial" w:cs="Arial" w:eastAsia="Arial" w:hAnsi="Arial"/>
          <w:sz w:val="17"/>
          <w:szCs w:val="17"/>
          <w:color w:val="auto"/>
        </w:rPr>
        <w:t xml:space="preserve"> or (ii) any Changes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As used herein, “</w:t>
      </w:r>
      <w:r>
        <w:rPr>
          <w:rFonts w:ascii="Arial" w:cs="Arial" w:eastAsia="Arial" w:hAnsi="Arial"/>
          <w:sz w:val="17"/>
          <w:szCs w:val="17"/>
          <w:b w:val="1"/>
          <w:bCs w:val="1"/>
          <w:color w:val="auto"/>
        </w:rPr>
        <w:t>Unapplied Allowance</w:t>
      </w:r>
      <w:r>
        <w:rPr>
          <w:rFonts w:ascii="Arial" w:cs="Arial" w:eastAsia="Arial" w:hAnsi="Arial"/>
          <w:sz w:val="17"/>
          <w:szCs w:val="17"/>
          <w:color w:val="auto"/>
        </w:rPr>
        <w:t>” shall mean, upon completion and payment in full for the Tenant Improvements, any portion of the Tenant Improvement Allowance that is not used for the Tenant Improvements (and in no event shall it include the Additional Tenant improvement Allowance or any unused portion thereof).</w:t>
      </w:r>
    </w:p>
    <w:p>
      <w:pPr>
        <w:spacing w:after="0" w:line="162" w:lineRule="exact"/>
        <w:rPr>
          <w:sz w:val="20"/>
          <w:szCs w:val="20"/>
          <w:color w:val="auto"/>
        </w:rPr>
      </w:pPr>
    </w:p>
    <w:p>
      <w:pPr>
        <w:ind w:right="60" w:firstLine="634"/>
        <w:spacing w:after="0" w:line="264" w:lineRule="auto"/>
        <w:tabs>
          <w:tab w:leader="none" w:pos="1304"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 xml:space="preserve">Costs Includable In TI Fund. </w:t>
      </w:r>
      <w:r>
        <w:rPr>
          <w:rFonts w:ascii="Arial" w:cs="Arial" w:eastAsia="Arial" w:hAnsi="Arial"/>
          <w:sz w:val="17"/>
          <w:szCs w:val="17"/>
          <w:color w:val="auto"/>
        </w:rPr>
        <w:t>The TI Fund shall be used solely for the payment of design, permits and construction costs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construction of the Tenant Improvements, including, without limitation, the cost of electrical power and other utilities used in connection with the construction of the Tenant Improvements, the cost of preparing the Space Plan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7"/>
          <w:szCs w:val="17"/>
          <w:b w:val="1"/>
          <w:bCs w:val="1"/>
          <w:color w:val="auto"/>
        </w:rPr>
        <w:t>TI Costs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72" w:lineRule="exact"/>
        <w:rPr>
          <w:rFonts w:ascii="Arial" w:cs="Arial" w:eastAsia="Arial" w:hAnsi="Arial"/>
          <w:sz w:val="17"/>
          <w:szCs w:val="17"/>
          <w:color w:val="auto"/>
        </w:rPr>
      </w:pPr>
    </w:p>
    <w:p>
      <w:pPr>
        <w:ind w:firstLine="634"/>
        <w:spacing w:after="0" w:line="278" w:lineRule="auto"/>
        <w:tabs>
          <w:tab w:leader="none" w:pos="1313"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 xml:space="preserve">Excess TI Costs. </w:t>
      </w:r>
      <w:r>
        <w:rPr>
          <w:rFonts w:ascii="Arial" w:cs="Arial" w:eastAsia="Arial" w:hAnsi="Arial"/>
          <w:sz w:val="16"/>
          <w:szCs w:val="16"/>
          <w:color w:val="auto"/>
        </w:rPr>
        <w:t>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Tenant Improvement Allowance and the portion, if any, of the Additional Tenant Improvement Allowance funded by Landlord. If at any time the remaining TI Costs under the Budget exceed the remaining unexpended Tenant Improvement Allowance and the portion, if any, of the Additional Tenant Improvement Allowance funded by Landlord, Tenant shall deposit with Landlord, as a condition precedent to Landlord’s obligation to complete the Tenant Improvements, 100% of the then current TI Cost in excess of the remaining Tenant Improvement Allowance and the portion, if any, of the Additional Tenant Improvement Allowance funded by Landlord (“</w:t>
      </w:r>
      <w:r>
        <w:rPr>
          <w:rFonts w:ascii="Arial" w:cs="Arial" w:eastAsia="Arial" w:hAnsi="Arial"/>
          <w:sz w:val="16"/>
          <w:szCs w:val="16"/>
          <w:b w:val="1"/>
          <w:bCs w:val="1"/>
          <w:color w:val="auto"/>
        </w:rPr>
        <w:t>Excess TI Costs</w:t>
      </w:r>
      <w:r>
        <w:rPr>
          <w:rFonts w:ascii="Arial" w:cs="Arial" w:eastAsia="Arial" w:hAnsi="Arial"/>
          <w:sz w:val="16"/>
          <w:szCs w:val="16"/>
          <w:color w:val="auto"/>
        </w:rPr>
        <w:t>”).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Tenant Improvement Allowance and the portion, if any, of the Additional Tenant Improvement Allowance funded by Landlord.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166" w:lineRule="exact"/>
        <w:rPr>
          <w:sz w:val="20"/>
          <w:szCs w:val="20"/>
          <w:color w:val="auto"/>
        </w:rPr>
      </w:pPr>
    </w:p>
    <w:p>
      <w:pPr>
        <w:ind w:left="1340" w:hanging="706"/>
        <w:spacing w:after="0"/>
        <w:tabs>
          <w:tab w:leader="none" w:pos="1340" w:val="left"/>
        </w:tabs>
        <w:numPr>
          <w:ilvl w:val="0"/>
          <w:numId w:val="410"/>
        </w:numPr>
        <w:rPr>
          <w:rFonts w:ascii="Arial" w:cs="Arial" w:eastAsia="Arial" w:hAnsi="Arial"/>
          <w:sz w:val="17"/>
          <w:szCs w:val="17"/>
          <w:color w:val="auto"/>
        </w:rPr>
      </w:pPr>
      <w:r>
        <w:rPr>
          <w:rFonts w:ascii="Arial" w:cs="Arial" w:eastAsia="Arial" w:hAnsi="Arial"/>
          <w:sz w:val="17"/>
          <w:szCs w:val="17"/>
          <w:b w:val="1"/>
          <w:bCs w:val="1"/>
          <w:color w:val="auto"/>
        </w:rPr>
        <w:t>Tenant Access.</w:t>
      </w:r>
    </w:p>
    <w:p>
      <w:pPr>
        <w:spacing w:after="0" w:line="224" w:lineRule="exact"/>
        <w:rPr>
          <w:sz w:val="20"/>
          <w:szCs w:val="20"/>
          <w:color w:val="auto"/>
        </w:rPr>
      </w:pPr>
    </w:p>
    <w:p>
      <w:pPr>
        <w:ind w:firstLine="634"/>
        <w:spacing w:after="0" w:line="270" w:lineRule="auto"/>
        <w:tabs>
          <w:tab w:leader="none" w:pos="1304" w:val="left"/>
        </w:tabs>
        <w:numPr>
          <w:ilvl w:val="0"/>
          <w:numId w:val="411"/>
        </w:numPr>
        <w:rPr>
          <w:rFonts w:ascii="Arial" w:cs="Arial" w:eastAsia="Arial" w:hAnsi="Arial"/>
          <w:sz w:val="17"/>
          <w:szCs w:val="17"/>
          <w:color w:val="auto"/>
        </w:rPr>
      </w:pPr>
      <w:r>
        <w:rPr>
          <w:rFonts w:ascii="Arial" w:cs="Arial" w:eastAsia="Arial" w:hAnsi="Arial"/>
          <w:sz w:val="17"/>
          <w:szCs w:val="17"/>
          <w:b w:val="1"/>
          <w:bCs w:val="1"/>
          <w:color w:val="auto"/>
        </w:rPr>
        <w:t xml:space="preserve">Tenant’s Access. </w:t>
      </w:r>
      <w:r>
        <w:rPr>
          <w:rFonts w:ascii="Arial" w:cs="Arial" w:eastAsia="Arial" w:hAnsi="Arial"/>
          <w:sz w:val="17"/>
          <w:szCs w:val="17"/>
          <w:color w:val="auto"/>
        </w:rPr>
        <w:t>Any access by Tenant to any areas where Landlord’s Work is being undertaken shall not be permitted unless Tenant’s access is</w:t>
      </w:r>
      <w:r>
        <w:rPr>
          <w:rFonts w:ascii="Arial" w:cs="Arial" w:eastAsia="Arial" w:hAnsi="Arial"/>
          <w:sz w:val="17"/>
          <w:szCs w:val="17"/>
          <w:b w:val="1"/>
          <w:bCs w:val="1"/>
          <w:color w:val="auto"/>
        </w:rPr>
        <w:t xml:space="preserve"> </w:t>
      </w:r>
      <w:r>
        <w:rPr>
          <w:rFonts w:ascii="Arial" w:cs="Arial" w:eastAsia="Arial" w:hAnsi="Arial"/>
          <w:sz w:val="17"/>
          <w:szCs w:val="17"/>
          <w:color w:val="auto"/>
        </w:rPr>
        <w:t>coordinated with the TI Architect and the general contractor, and complies with the Lease and all other reasonable restrictions and conditions Landlord may impose. Any such entry by Tenant shall comply with all established safety practices of Landlord’s contractor and Landlord until completion of Landlord’s Work and acceptance thereof by Tenant.</w:t>
      </w:r>
    </w:p>
    <w:p>
      <w:pPr>
        <w:spacing w:after="0" w:line="169" w:lineRule="exact"/>
        <w:rPr>
          <w:rFonts w:ascii="Arial" w:cs="Arial" w:eastAsia="Arial" w:hAnsi="Arial"/>
          <w:sz w:val="17"/>
          <w:szCs w:val="17"/>
          <w:color w:val="auto"/>
        </w:rPr>
      </w:pPr>
    </w:p>
    <w:p>
      <w:pPr>
        <w:ind w:right="260" w:firstLine="634"/>
        <w:spacing w:after="0" w:line="297" w:lineRule="auto"/>
        <w:tabs>
          <w:tab w:leader="none" w:pos="1313" w:val="left"/>
        </w:tabs>
        <w:numPr>
          <w:ilvl w:val="0"/>
          <w:numId w:val="411"/>
        </w:numPr>
        <w:rPr>
          <w:rFonts w:ascii="Arial" w:cs="Arial" w:eastAsia="Arial" w:hAnsi="Arial"/>
          <w:sz w:val="17"/>
          <w:szCs w:val="17"/>
          <w:color w:val="auto"/>
        </w:rPr>
      </w:pPr>
      <w:r>
        <w:rPr>
          <w:rFonts w:ascii="Arial" w:cs="Arial" w:eastAsia="Arial" w:hAnsi="Arial"/>
          <w:sz w:val="17"/>
          <w:szCs w:val="17"/>
          <w:b w:val="1"/>
          <w:bCs w:val="1"/>
          <w:color w:val="auto"/>
        </w:rPr>
        <w:t xml:space="preserve">No Interference. </w:t>
      </w:r>
      <w:r>
        <w:rPr>
          <w:rFonts w:ascii="Arial" w:cs="Arial" w:eastAsia="Arial" w:hAnsi="Arial"/>
          <w:sz w:val="17"/>
          <w:szCs w:val="17"/>
          <w:color w:val="auto"/>
        </w:rPr>
        <w:t>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40" w:hanging="706"/>
        <w:spacing w:after="0"/>
        <w:tabs>
          <w:tab w:leader="none" w:pos="1340" w:val="left"/>
        </w:tabs>
        <w:numPr>
          <w:ilvl w:val="0"/>
          <w:numId w:val="412"/>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700" w:firstLine="634"/>
        <w:spacing w:after="0" w:line="297" w:lineRule="auto"/>
        <w:tabs>
          <w:tab w:leader="none" w:pos="1304" w:val="left"/>
        </w:tabs>
        <w:numPr>
          <w:ilvl w:val="0"/>
          <w:numId w:val="413"/>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or delay such consent or approval, unless expressly set forth herein to the contrary.</w:t>
      </w:r>
    </w:p>
    <w:p>
      <w:pPr>
        <w:spacing w:after="0" w:line="145" w:lineRule="exact"/>
        <w:rPr>
          <w:rFonts w:ascii="Arial" w:cs="Arial" w:eastAsia="Arial" w:hAnsi="Arial"/>
          <w:sz w:val="17"/>
          <w:szCs w:val="17"/>
          <w:color w:val="auto"/>
        </w:rPr>
      </w:pPr>
    </w:p>
    <w:p>
      <w:pPr>
        <w:ind w:right="560" w:firstLine="634"/>
        <w:spacing w:after="0" w:line="297" w:lineRule="auto"/>
        <w:tabs>
          <w:tab w:leader="none" w:pos="1313" w:val="left"/>
        </w:tabs>
        <w:numPr>
          <w:ilvl w:val="0"/>
          <w:numId w:val="413"/>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Tenant unless in writing signed by Landlord and Tenant.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ectPr>
          <w:pgSz w:w="11900" w:h="16838" w:orient="portrait"/>
          <w:cols w:equalWidth="0" w:num="1">
            <w:col w:w="11420"/>
          </w:cols>
          <w:pgMar w:left="240" w:top="128" w:right="239" w:bottom="0" w:gutter="0" w:footer="0" w:header="0"/>
        </w:sectPr>
      </w:pPr>
    </w:p>
    <w:bookmarkStart w:id="287" w:name="page288"/>
    <w:bookmarkEnd w:id="287"/>
    <w:p>
      <w:pPr>
        <w:jc w:val="center"/>
        <w:ind w:right="-2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AGREEMENT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LANDLORD,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TENANT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NOVEMBER 28,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CORPORATE PARK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12357 A RIATA TRACE PARKWAY, BUILDING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AUSTIN, TEXAS 78727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0" w:type="dxa"/>
            <w:vAlign w:val="bottom"/>
            <w:gridSpan w:val="15"/>
          </w:tcPr>
          <w:p>
            <w:pPr>
              <w:spacing w:after="0"/>
              <w:rPr>
                <w:sz w:val="20"/>
                <w:szCs w:val="20"/>
                <w:color w:val="auto"/>
              </w:rPr>
            </w:pPr>
            <w:r>
              <w:rPr>
                <w:rFonts w:ascii="Arial" w:cs="Arial" w:eastAsia="Arial" w:hAnsi="Arial"/>
                <w:sz w:val="17"/>
                <w:szCs w:val="17"/>
                <w:b w:val="1"/>
                <w:bCs w:val="1"/>
                <w:color w:val="auto"/>
              </w:rPr>
              <w:t>BASIC LEASE INFORMATION</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940" w:type="dxa"/>
            <w:vAlign w:val="bottom"/>
          </w:tcPr>
          <w:p>
            <w:pPr>
              <w:spacing w:after="0"/>
              <w:rPr>
                <w:sz w:val="20"/>
                <w:szCs w:val="20"/>
                <w:color w:val="auto"/>
              </w:rPr>
            </w:pPr>
            <w:r>
              <w:rPr>
                <w:rFonts w:ascii="Arial" w:cs="Arial" w:eastAsia="Arial" w:hAnsi="Arial"/>
                <w:sz w:val="17"/>
                <w:szCs w:val="17"/>
                <w:color w:val="auto"/>
              </w:rPr>
              <w:t>Lease Date:</w:t>
            </w: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November 28, 2012</w:t>
            </w: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Landlord:</w:t>
            </w:r>
          </w:p>
        </w:tc>
        <w:tc>
          <w:tcPr>
            <w:tcW w:w="9480" w:type="dxa"/>
            <w:vAlign w:val="bottom"/>
            <w:gridSpan w:val="26"/>
          </w:tcPr>
          <w:p>
            <w:pPr>
              <w:ind w:left="360"/>
              <w:spacing w:after="0"/>
              <w:rPr>
                <w:sz w:val="20"/>
                <w:szCs w:val="20"/>
                <w:color w:val="auto"/>
              </w:rPr>
            </w:pPr>
            <w:r>
              <w:rPr>
                <w:rFonts w:ascii="Arial" w:cs="Arial" w:eastAsia="Arial" w:hAnsi="Arial"/>
                <w:sz w:val="17"/>
                <w:szCs w:val="17"/>
                <w:b w:val="1"/>
                <w:bCs w:val="1"/>
                <w:color w:val="auto"/>
              </w:rPr>
              <w:t xml:space="preserve">RIATA HOLDINGS, L.P., </w:t>
            </w:r>
            <w:r>
              <w:rPr>
                <w:rFonts w:ascii="Arial" w:cs="Arial" w:eastAsia="Arial" w:hAnsi="Arial"/>
                <w:sz w:val="17"/>
                <w:szCs w:val="17"/>
                <w:color w:val="auto"/>
              </w:rPr>
              <w:t>a Delaware limited partnership doing business in Texas as Riata Austin Holdings, L.P.</w:t>
            </w: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Tenant:</w:t>
            </w:r>
          </w:p>
        </w:tc>
        <w:tc>
          <w:tcPr>
            <w:tcW w:w="4360" w:type="dxa"/>
            <w:vAlign w:val="bottom"/>
            <w:gridSpan w:val="15"/>
          </w:tcPr>
          <w:p>
            <w:pPr>
              <w:ind w:left="360"/>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940" w:type="dxa"/>
            <w:vAlign w:val="bottom"/>
          </w:tcPr>
          <w:p>
            <w:pPr>
              <w:spacing w:after="0"/>
              <w:rPr>
                <w:sz w:val="20"/>
                <w:szCs w:val="20"/>
                <w:color w:val="auto"/>
              </w:rPr>
            </w:pPr>
            <w:r>
              <w:rPr>
                <w:rFonts w:ascii="Arial" w:cs="Arial" w:eastAsia="Arial" w:hAnsi="Arial"/>
                <w:sz w:val="17"/>
                <w:szCs w:val="17"/>
                <w:color w:val="auto"/>
              </w:rPr>
              <w:t>Premises:</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Suite No. 100 and Suite No. 110, containing in the aggregate 10,364 rentable square feet, in the building commonly known as</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5"/>
              </w:rPr>
              <w:t>12357 A Riata Trace Parkway, Building 5 (the “</w:t>
            </w:r>
            <w:r>
              <w:rPr>
                <w:rFonts w:ascii="Arial" w:cs="Arial" w:eastAsia="Arial" w:hAnsi="Arial"/>
                <w:sz w:val="17"/>
                <w:szCs w:val="17"/>
                <w:b w:val="1"/>
                <w:bCs w:val="1"/>
                <w:color w:val="auto"/>
                <w:w w:val="95"/>
              </w:rPr>
              <w:t>Building</w:t>
            </w:r>
            <w:r>
              <w:rPr>
                <w:rFonts w:ascii="Arial" w:cs="Arial" w:eastAsia="Arial" w:hAnsi="Arial"/>
                <w:sz w:val="17"/>
                <w:szCs w:val="17"/>
                <w:color w:val="auto"/>
                <w:w w:val="95"/>
              </w:rPr>
              <w:t>”), and whose street address is 12357 A Riata Trace Parkway, Building</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4"/>
              </w:rPr>
              <w:t>5, Austin, TX 78727. The Premises are outlined on the plan attached to the Lease as Exhibit A. The land on which the Project is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rPr>
              <w:t>located (the “</w:t>
            </w:r>
            <w:r>
              <w:rPr>
                <w:rFonts w:ascii="Arial" w:cs="Arial" w:eastAsia="Arial" w:hAnsi="Arial"/>
                <w:sz w:val="17"/>
                <w:szCs w:val="17"/>
                <w:b w:val="1"/>
                <w:bCs w:val="1"/>
                <w:color w:val="auto"/>
              </w:rPr>
              <w:t>Land</w:t>
            </w:r>
            <w:r>
              <w:rPr>
                <w:rFonts w:ascii="Arial" w:cs="Arial" w:eastAsia="Arial" w:hAnsi="Arial"/>
                <w:sz w:val="17"/>
                <w:szCs w:val="17"/>
                <w:color w:val="auto"/>
              </w:rPr>
              <w:t>”) is described on Exhibit B. The term “</w:t>
            </w:r>
            <w:r>
              <w:rPr>
                <w:rFonts w:ascii="Arial" w:cs="Arial" w:eastAsia="Arial" w:hAnsi="Arial"/>
                <w:sz w:val="17"/>
                <w:szCs w:val="17"/>
                <w:b w:val="1"/>
                <w:bCs w:val="1"/>
                <w:color w:val="auto"/>
              </w:rPr>
              <w:t>Project</w:t>
            </w:r>
            <w:r>
              <w:rPr>
                <w:rFonts w:ascii="Arial" w:cs="Arial" w:eastAsia="Arial" w:hAnsi="Arial"/>
                <w:sz w:val="17"/>
                <w:szCs w:val="17"/>
                <w:color w:val="auto"/>
              </w:rPr>
              <w:t>” shall collectively refer to the Building, the Land and the</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5"/>
              </w:rPr>
              <w:t>driveways, parking facilities, and similar improvements and easements associated with the foregoing or the operations thereof.</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Term:</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rPr>
              <w:t>66 full calendar months, plus any partial month from the Commencement Date to the end of the month in which the</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9480" w:type="dxa"/>
            <w:vAlign w:val="bottom"/>
            <w:gridSpan w:val="26"/>
          </w:tcPr>
          <w:p>
            <w:pPr>
              <w:ind w:left="360"/>
              <w:spacing w:after="0" w:line="209" w:lineRule="exact"/>
              <w:rPr>
                <w:sz w:val="20"/>
                <w:szCs w:val="20"/>
                <w:color w:val="auto"/>
              </w:rPr>
            </w:pPr>
            <w:r>
              <w:rPr>
                <w:rFonts w:ascii="Arial" w:cs="Arial" w:eastAsia="Arial" w:hAnsi="Arial"/>
                <w:sz w:val="17"/>
                <w:szCs w:val="17"/>
                <w:color w:val="auto"/>
                <w:w w:val="93"/>
              </w:rPr>
              <w:t>Commencement Date falls, starting on the Commencement Date and ending at 5:00 p.m. local time on the last day of the 66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full</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8"/>
              </w:rPr>
              <w:t>calendar month following the Commencement Date, subject to adjustment and earlier termination as provided in the Lease.</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Commencement Date:</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3"/>
              </w:rPr>
              <w:t>The earliest of (a) the date on which Tenant occupies any portion of the Premises and begins conducting business therein, (b) the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8"/>
              </w:rPr>
              <w:t>date on which the Work (as defined in Exhibit D hereto) in the Premises is Substantially Completed (as defined in Exhibit 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4"/>
              </w:rPr>
              <w:t>hereto), (c) the date on which the Work in the Premises would have been Substantially Completed but for the occurrence of any</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3"/>
              </w:rPr>
              <w:t>Tenant Delay Days (as defined in Exhibit D hereto), or (d) February 1, 2013 (subject to extension for each Landlord Delay Day, as</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2540" w:type="dxa"/>
            <w:vAlign w:val="bottom"/>
            <w:gridSpan w:val="6"/>
          </w:tcPr>
          <w:p>
            <w:pPr>
              <w:ind w:left="360"/>
              <w:spacing w:after="0" w:line="189" w:lineRule="exact"/>
              <w:rPr>
                <w:sz w:val="20"/>
                <w:szCs w:val="20"/>
                <w:color w:val="auto"/>
              </w:rPr>
            </w:pPr>
            <w:r>
              <w:rPr>
                <w:rFonts w:ascii="Arial" w:cs="Arial" w:eastAsia="Arial" w:hAnsi="Arial"/>
                <w:sz w:val="17"/>
                <w:szCs w:val="17"/>
                <w:color w:val="auto"/>
              </w:rPr>
              <w:t>defined in Exhibit D hereto).</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76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40" w:type="dxa"/>
            <w:vAlign w:val="bottom"/>
          </w:tcPr>
          <w:p>
            <w:pPr>
              <w:spacing w:after="0"/>
              <w:rPr>
                <w:sz w:val="20"/>
                <w:szCs w:val="20"/>
                <w:color w:val="auto"/>
              </w:rPr>
            </w:pPr>
            <w:r>
              <w:rPr>
                <w:rFonts w:ascii="Arial" w:cs="Arial" w:eastAsia="Arial" w:hAnsi="Arial"/>
                <w:sz w:val="17"/>
                <w:szCs w:val="17"/>
                <w:color w:val="auto"/>
              </w:rPr>
              <w:t>Basic Rent:</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Subject to the abatement of Basic Rent provided below, Basic Rent shall be the following amounts for the following periods of</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time: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940" w:type="dxa"/>
            <w:vAlign w:val="bottom"/>
          </w:tcPr>
          <w:p>
            <w:pPr>
              <w:spacing w:after="0"/>
              <w:rPr>
                <w:sz w:val="24"/>
                <w:szCs w:val="24"/>
                <w:color w:val="auto"/>
              </w:rPr>
            </w:pPr>
          </w:p>
        </w:tc>
        <w:tc>
          <w:tcPr>
            <w:tcW w:w="2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Lease Months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Annual Basic Rent Rate Per Rentable</w:t>
            </w:r>
          </w:p>
        </w:tc>
        <w:tc>
          <w:tcPr>
            <w:tcW w:w="260" w:type="dxa"/>
            <w:vAlign w:val="bottom"/>
          </w:tcPr>
          <w:p>
            <w:pPr>
              <w:spacing w:after="0"/>
              <w:rPr>
                <w:sz w:val="24"/>
                <w:szCs w:val="24"/>
                <w:color w:val="auto"/>
              </w:rPr>
            </w:pPr>
          </w:p>
        </w:tc>
        <w:tc>
          <w:tcPr>
            <w:tcW w:w="1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Monthly Basic Rent</w:t>
            </w: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54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7"/>
              </w:rPr>
              <w:t>Square Foot in the Premises</w:t>
            </w:r>
          </w:p>
        </w:tc>
        <w:tc>
          <w:tcPr>
            <w:tcW w:w="2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 — 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18.50*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880" w:type="dxa"/>
            <w:vAlign w:val="bottom"/>
            <w:gridSpan w:val="4"/>
            <w:shd w:val="clear" w:color="auto" w:fill="CCEEFF"/>
          </w:tcPr>
          <w:p>
            <w:pPr>
              <w:ind w:left="1080"/>
              <w:spacing w:after="0"/>
              <w:rPr>
                <w:sz w:val="20"/>
                <w:szCs w:val="20"/>
                <w:color w:val="auto"/>
              </w:rPr>
            </w:pPr>
            <w:r>
              <w:rPr>
                <w:rFonts w:ascii="Arial" w:cs="Arial" w:eastAsia="Arial" w:hAnsi="Arial"/>
                <w:sz w:val="17"/>
                <w:szCs w:val="17"/>
                <w:color w:val="auto"/>
                <w:w w:val="94"/>
              </w:rPr>
              <w:t>15,977.83*</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13 — 24</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19.25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16,625.58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25 — 36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20.00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17,273.33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37 — 48</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20.75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17,921.08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shd w:val="clear" w:color="auto" w:fill="CCEEFF"/>
          </w:tcPr>
          <w:p>
            <w:pPr>
              <w:jc w:val="center"/>
              <w:ind w:left="1273"/>
              <w:spacing w:after="0"/>
              <w:rPr>
                <w:sz w:val="20"/>
                <w:szCs w:val="20"/>
                <w:color w:val="auto"/>
              </w:rPr>
            </w:pPr>
            <w:r>
              <w:rPr>
                <w:rFonts w:ascii="Arial" w:cs="Arial" w:eastAsia="Arial" w:hAnsi="Arial"/>
                <w:sz w:val="17"/>
                <w:szCs w:val="17"/>
                <w:color w:val="auto"/>
                <w:w w:val="94"/>
              </w:rPr>
              <w:t>49 - 66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21.50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18,568.83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200025</wp:posOffset>
            </wp:positionV>
            <wp:extent cx="18065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400" w:lineRule="exact"/>
        <w:rPr>
          <w:sz w:val="20"/>
          <w:szCs w:val="20"/>
          <w:color w:val="auto"/>
        </w:rPr>
      </w:pPr>
    </w:p>
    <w:p>
      <w:pPr>
        <w:ind w:left="2300" w:right="220" w:hanging="1"/>
        <w:spacing w:after="0" w:line="281" w:lineRule="auto"/>
        <w:tabs>
          <w:tab w:leader="none" w:pos="2431" w:val="left"/>
        </w:tabs>
        <w:numPr>
          <w:ilvl w:val="0"/>
          <w:numId w:val="414"/>
        </w:numPr>
        <w:rPr>
          <w:rFonts w:ascii="Arial" w:cs="Arial" w:eastAsia="Arial" w:hAnsi="Arial"/>
          <w:sz w:val="16"/>
          <w:szCs w:val="16"/>
          <w:color w:val="auto"/>
        </w:rPr>
      </w:pPr>
      <w:r>
        <w:rPr>
          <w:rFonts w:ascii="Arial" w:cs="Arial" w:eastAsia="Arial" w:hAnsi="Arial"/>
          <w:sz w:val="16"/>
          <w:szCs w:val="16"/>
          <w:color w:val="auto"/>
        </w:rPr>
        <w:t>Notwithstanding anything in the Basic Rent schedule above to the contrary, Basic Rent shall be abated during the first six months of the Term, e.g., if the Commencement Date is January 15, 2013, Basic Rent shall be abated until July 14, 2013. Commencing with the first day after the end of the abatement period referred to above, Tenant shall make Basic Rent payments for any remaining partial calendar month and on the first day of the first full calendar month thereafter shall make Basic Rent payments as otherwise provided in this Lease. Notwithstanding such abatement of Basic Rent (a) all other sums due under this Lease, including Additional Rent, after-hours HVAC charges, etc., shall be payable as provided in this Lease, and (b) any increases in Basic Rent set forth in this Lease shall occur on the dates scheduled therefor.</w:t>
      </w:r>
    </w:p>
    <w:p>
      <w:pPr>
        <w:spacing w:after="0" w:line="164" w:lineRule="exact"/>
        <w:rPr>
          <w:sz w:val="20"/>
          <w:szCs w:val="20"/>
          <w:color w:val="auto"/>
        </w:rPr>
      </w:pPr>
    </w:p>
    <w:p>
      <w:pPr>
        <w:ind w:left="2300" w:right="140"/>
        <w:spacing w:after="0" w:line="270" w:lineRule="auto"/>
        <w:rPr>
          <w:sz w:val="20"/>
          <w:szCs w:val="20"/>
          <w:color w:val="auto"/>
        </w:rPr>
      </w:pPr>
      <w:r>
        <w:rPr>
          <w:rFonts w:ascii="Arial" w:cs="Arial" w:eastAsia="Arial" w:hAnsi="Arial"/>
          <w:sz w:val="17"/>
          <w:szCs w:val="17"/>
          <w:color w:val="auto"/>
        </w:rPr>
        <w:t>As used herein, the term “</w:t>
      </w:r>
      <w:r>
        <w:rPr>
          <w:rFonts w:ascii="Arial" w:cs="Arial" w:eastAsia="Arial" w:hAnsi="Arial"/>
          <w:sz w:val="17"/>
          <w:szCs w:val="17"/>
          <w:b w:val="1"/>
          <w:bCs w:val="1"/>
          <w:u w:val="single" w:color="auto"/>
          <w:color w:val="auto"/>
        </w:rPr>
        <w:t>Lease Month</w:t>
      </w:r>
      <w:r>
        <w:rPr>
          <w:rFonts w:ascii="Arial" w:cs="Arial" w:eastAsia="Arial" w:hAnsi="Arial"/>
          <w:sz w:val="17"/>
          <w:szCs w:val="17"/>
          <w:color w:val="auto"/>
        </w:rPr>
        <w:t>” means each calendar month during the Term (and if the Commencement Date does not occur on the first day of a calendar month, the period from the Commencement Date to the first day of the next calendar month shall be included in the first Lease Month for purposes of determining the duration of the Term and the monthly Basic Rent rate applicable for such partial month).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A RIATA TRACE PARKWAY, BUILDINGS</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442"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7"/>
                <w:szCs w:val="17"/>
                <w:color w:val="auto"/>
              </w:rPr>
              <w:t>Security Deposit: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$75,138.99 (equal to the estimated gross Rent for the first three Lease Months, disregarding any rental abatement).</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Additional 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Tenant’s Proportionate Share of Operating Costs, Taxes and Electrical Costs.</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Basic Rent, Additional Rent, and all other sums that Tenant may owe to Landlord or otherwise be required to pay under the Lease.</w:t>
            </w: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Permitted Use: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General office use, including limited medical diagnostic laboratory use not involving live animals, incompliance with all Laws and in</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compliance with Section 9 of the Lease. Tenant shall be solely responsible for ensuring that its intended uses in the Building are</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permitted by Law; provided that Landlord shall not initiate any zoning change during the Term that would affect the compliance of</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the Permitted Use with all Laws.</w:t>
            </w:r>
          </w:p>
        </w:tc>
        <w:tc>
          <w:tcPr>
            <w:tcW w:w="3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Tenant’s Proportionate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11.05%, which is the percentage obtained by dividing (a) the number of rentable square feet in the Premises as stated above by</w:t>
            </w:r>
          </w:p>
        </w:tc>
      </w:tr>
      <w:tr>
        <w:trPr>
          <w:trHeight w:val="210"/>
        </w:trPr>
        <w:tc>
          <w:tcPr>
            <w:tcW w:w="1840" w:type="dxa"/>
            <w:vAlign w:val="bottom"/>
          </w:tcPr>
          <w:p>
            <w:pPr>
              <w:spacing w:after="0"/>
              <w:rPr>
                <w:sz w:val="20"/>
                <w:szCs w:val="20"/>
                <w:color w:val="auto"/>
              </w:rPr>
            </w:pPr>
            <w:r>
              <w:rPr>
                <w:rFonts w:ascii="Arial" w:cs="Arial" w:eastAsia="Arial" w:hAnsi="Arial"/>
                <w:sz w:val="17"/>
                <w:szCs w:val="17"/>
                <w:color w:val="auto"/>
              </w:rPr>
              <w:t>Share: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8"/>
              </w:rPr>
              <w:t>(b) the 93,828 rentable square feet in the Project. Landlord and Tenant stipulate that the number of rentable square feet in the</w:t>
            </w:r>
          </w:p>
        </w:tc>
      </w:tr>
      <w:tr>
        <w:trPr>
          <w:trHeight w:val="222"/>
        </w:trPr>
        <w:tc>
          <w:tcPr>
            <w:tcW w:w="1840" w:type="dxa"/>
            <w:vAlign w:val="bottom"/>
          </w:tcPr>
          <w:p>
            <w:pPr>
              <w:spacing w:after="0"/>
              <w:rPr>
                <w:sz w:val="19"/>
                <w:szCs w:val="19"/>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Premises and in the Project set forth above is conclusive and shall be binding upon them.</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Tenant’s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Prior to Commencement Date:</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Following Commencement Date:</w:t>
            </w: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Veracyte, Inc.</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Veracyte, Inc.</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7000 Shoreline Ct. Suite 250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12357 A Riata Trace Parkway, Building 5, Suite 100</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South San Francisco, CA 94080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Austin, TX 78727</w:t>
            </w:r>
          </w:p>
        </w:tc>
      </w:tr>
      <w:tr>
        <w:trPr>
          <w:trHeight w:val="183"/>
        </w:trPr>
        <w:tc>
          <w:tcPr>
            <w:tcW w:w="1840" w:type="dxa"/>
            <w:vAlign w:val="bottom"/>
          </w:tcPr>
          <w:p>
            <w:pPr>
              <w:spacing w:after="0"/>
              <w:rPr>
                <w:sz w:val="15"/>
                <w:szCs w:val="15"/>
                <w:color w:val="auto"/>
              </w:rPr>
            </w:pPr>
          </w:p>
        </w:tc>
        <w:tc>
          <w:tcPr>
            <w:tcW w:w="3760" w:type="dxa"/>
            <w:vAlign w:val="bottom"/>
          </w:tcPr>
          <w:p>
            <w:pPr>
              <w:ind w:left="240"/>
              <w:spacing w:after="0" w:line="183" w:lineRule="exact"/>
              <w:rPr>
                <w:sz w:val="20"/>
                <w:szCs w:val="20"/>
                <w:color w:val="auto"/>
              </w:rPr>
            </w:pPr>
            <w:r>
              <w:rPr>
                <w:rFonts w:ascii="Arial" w:cs="Arial" w:eastAsia="Arial" w:hAnsi="Arial"/>
                <w:sz w:val="17"/>
                <w:szCs w:val="17"/>
                <w:color w:val="auto"/>
              </w:rPr>
              <w:t>Attention: Chief Financial Officer</w:t>
            </w:r>
          </w:p>
        </w:tc>
        <w:tc>
          <w:tcPr>
            <w:tcW w:w="5820" w:type="dxa"/>
            <w:vAlign w:val="bottom"/>
            <w:gridSpan w:val="4"/>
          </w:tcPr>
          <w:p>
            <w:pPr>
              <w:ind w:left="440"/>
              <w:spacing w:after="0" w:line="183" w:lineRule="exact"/>
              <w:rPr>
                <w:sz w:val="20"/>
                <w:szCs w:val="20"/>
                <w:color w:val="auto"/>
              </w:rPr>
            </w:pPr>
            <w:r>
              <w:rPr>
                <w:rFonts w:ascii="Arial" w:cs="Arial" w:eastAsia="Arial" w:hAnsi="Arial"/>
                <w:sz w:val="17"/>
                <w:szCs w:val="17"/>
                <w:color w:val="auto"/>
              </w:rPr>
              <w:t>Attention: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Telephone: 650.243.6300</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Telephone: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Facsimile: 650.243.6301</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Facsimile: [To be determined pursuant to Exhibit E hereto.]</w:t>
            </w:r>
          </w:p>
        </w:tc>
      </w:tr>
      <w:tr>
        <w:trPr>
          <w:trHeight w:val="438"/>
        </w:trPr>
        <w:tc>
          <w:tcPr>
            <w:tcW w:w="1840" w:type="dxa"/>
            <w:vAlign w:val="bottom"/>
          </w:tcPr>
          <w:p>
            <w:pPr>
              <w:spacing w:after="0"/>
              <w:rPr>
                <w:sz w:val="20"/>
                <w:szCs w:val="20"/>
                <w:color w:val="auto"/>
              </w:rPr>
            </w:pPr>
            <w:r>
              <w:rPr>
                <w:rFonts w:ascii="Arial" w:cs="Arial" w:eastAsia="Arial" w:hAnsi="Arial"/>
                <w:sz w:val="17"/>
                <w:szCs w:val="17"/>
                <w:color w:val="auto"/>
              </w:rPr>
              <w:t>Landlord’s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For all Notices:</w:t>
            </w:r>
          </w:p>
        </w:tc>
        <w:tc>
          <w:tcPr>
            <w:tcW w:w="3420" w:type="dxa"/>
            <w:vAlign w:val="bottom"/>
          </w:tcPr>
          <w:p>
            <w:pPr>
              <w:ind w:left="440"/>
              <w:spacing w:after="0"/>
              <w:rPr>
                <w:sz w:val="20"/>
                <w:szCs w:val="20"/>
                <w:color w:val="auto"/>
              </w:rPr>
            </w:pPr>
            <w:r>
              <w:rPr>
                <w:rFonts w:ascii="Arial" w:cs="Arial" w:eastAsia="Arial" w:hAnsi="Arial"/>
                <w:sz w:val="17"/>
                <w:szCs w:val="17"/>
                <w:color w:val="auto"/>
              </w:rPr>
              <w:t>With a copy to:</w:t>
            </w:r>
          </w:p>
        </w:tc>
        <w:tc>
          <w:tcPr>
            <w:tcW w:w="660" w:type="dxa"/>
            <w:vAlign w:val="bottom"/>
            <w:tcBorders>
              <w:top w:val="single" w:sz="8" w:color="auto"/>
            </w:tcBorders>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Riata Holdings, L.P.</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Riata Holdings, L.P.</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c/o Spear Street Capital</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c/o Spear Street Capital</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One Market Plaza, Spear Tower, Suite 4125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One Market Plaza, Spear Tower, Suite 4125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San Francisco, CA 94105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San Francisco, CA 94105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Attention: John S. Grassi - Riata</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Attention: Asset Manager - Riata</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Telephone: 415.222.7420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Telephone: 415.222.7420</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Facsimile: 415.856.0348</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Facsimile: 415.856.0348</w:t>
            </w:r>
          </w:p>
        </w:tc>
      </w:tr>
    </w:tbl>
    <w:p>
      <w:pPr>
        <w:spacing w:after="0" w:line="198"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The foregoing Basic Lease Information is incorporated into and made a part of the Lease identified above. If any conflict exists between any Basic Lease Information and the Lease, then the Lease shall control.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color w:val="auto"/>
              </w:rPr>
              <w:t>ii</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7"/>
                <w:szCs w:val="17"/>
                <w:color w:val="auto"/>
              </w:rPr>
              <w:t>1.</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DEFINITIONS AND BASIC PROVISIONS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2.</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LEASE GRANT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3.</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TENDER OF POSSESSION</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4.</w:t>
            </w:r>
          </w:p>
        </w:tc>
        <w:tc>
          <w:tcPr>
            <w:tcW w:w="1020" w:type="dxa"/>
            <w:vAlign w:val="bottom"/>
          </w:tcPr>
          <w:p>
            <w:pPr>
              <w:ind w:left="340"/>
              <w:spacing w:after="0"/>
              <w:rPr>
                <w:sz w:val="20"/>
                <w:szCs w:val="20"/>
                <w:color w:val="auto"/>
              </w:rPr>
            </w:pPr>
            <w:r>
              <w:rPr>
                <w:rFonts w:ascii="Arial" w:cs="Arial" w:eastAsia="Arial" w:hAnsi="Arial"/>
                <w:sz w:val="17"/>
                <w:szCs w:val="17"/>
                <w:color w:val="auto"/>
              </w:rPr>
              <w:t>RENT</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Payment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Additional Rent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5.</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DELINQUENT PAYMENT; HANDLING CHARGES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6.</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SECURITY DEPOSIT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7.</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LANDLORD’S OBLIGATIONS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Excess Utility Use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Restoration of Services; Abatement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Landlord</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8.</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IMPROVEMENTS; ALTERATIONS; REPAIRS; MAINTENANCE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Improvement; Alterations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Tenant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Performance of Work</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Mechanic’s Liens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8.5</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Janitorial 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1020" w:type="dxa"/>
            <w:vAlign w:val="bottom"/>
          </w:tcPr>
          <w:p>
            <w:pPr>
              <w:ind w:left="340"/>
              <w:spacing w:after="0"/>
              <w:rPr>
                <w:sz w:val="20"/>
                <w:szCs w:val="20"/>
                <w:color w:val="auto"/>
              </w:rPr>
            </w:pPr>
            <w:r>
              <w:rPr>
                <w:rFonts w:ascii="Arial" w:cs="Arial" w:eastAsia="Arial" w:hAnsi="Arial"/>
                <w:sz w:val="17"/>
                <w:szCs w:val="17"/>
                <w:color w:val="auto"/>
              </w:rPr>
              <w:t>USE</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ASSIGNNMENT AND SUBLETTING</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Transfers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Consent Standards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Request for Consent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-5270500</wp:posOffset>
            </wp:positionV>
            <wp:extent cx="12700"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-5270500</wp:posOffset>
            </wp:positionV>
            <wp:extent cx="12700"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10.4</w:t>
            </w:r>
          </w:p>
        </w:tc>
        <w:tc>
          <w:tcPr>
            <w:tcW w:w="7980" w:type="dxa"/>
            <w:vAlign w:val="bottom"/>
          </w:tcPr>
          <w:p>
            <w:pPr>
              <w:spacing w:after="0"/>
              <w:rPr>
                <w:sz w:val="20"/>
                <w:szCs w:val="20"/>
                <w:color w:val="auto"/>
              </w:rPr>
            </w:pPr>
            <w:r>
              <w:rPr>
                <w:rFonts w:ascii="Arial" w:cs="Arial" w:eastAsia="Arial" w:hAnsi="Arial"/>
                <w:sz w:val="17"/>
                <w:szCs w:val="17"/>
                <w:color w:val="auto"/>
              </w:rPr>
              <w:t>Conditions to Consent</w:t>
            </w:r>
          </w:p>
        </w:tc>
        <w:tc>
          <w:tcPr>
            <w:tcW w:w="17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10.5</w:t>
            </w:r>
          </w:p>
        </w:tc>
        <w:tc>
          <w:tcPr>
            <w:tcW w:w="7980" w:type="dxa"/>
            <w:vAlign w:val="bottom"/>
          </w:tcPr>
          <w:p>
            <w:pPr>
              <w:spacing w:after="0"/>
              <w:rPr>
                <w:sz w:val="20"/>
                <w:szCs w:val="20"/>
                <w:color w:val="auto"/>
              </w:rPr>
            </w:pPr>
            <w:r>
              <w:rPr>
                <w:rFonts w:ascii="Arial" w:cs="Arial" w:eastAsia="Arial" w:hAnsi="Arial"/>
                <w:sz w:val="17"/>
                <w:szCs w:val="17"/>
                <w:color w:val="auto"/>
              </w:rPr>
              <w:t>Attornment by Subtenants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10.6</w:t>
            </w:r>
          </w:p>
        </w:tc>
        <w:tc>
          <w:tcPr>
            <w:tcW w:w="7980" w:type="dxa"/>
            <w:vAlign w:val="bottom"/>
          </w:tcPr>
          <w:p>
            <w:pPr>
              <w:spacing w:after="0"/>
              <w:rPr>
                <w:sz w:val="20"/>
                <w:szCs w:val="20"/>
                <w:color w:val="auto"/>
              </w:rPr>
            </w:pPr>
            <w:r>
              <w:rPr>
                <w:rFonts w:ascii="Arial" w:cs="Arial" w:eastAsia="Arial" w:hAnsi="Arial"/>
                <w:sz w:val="17"/>
                <w:szCs w:val="17"/>
                <w:color w:val="auto"/>
              </w:rPr>
              <w:t>Cancellation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10.7</w:t>
            </w:r>
          </w:p>
        </w:tc>
        <w:tc>
          <w:tcPr>
            <w:tcW w:w="7980" w:type="dxa"/>
            <w:vAlign w:val="bottom"/>
          </w:tcPr>
          <w:p>
            <w:pPr>
              <w:spacing w:after="0"/>
              <w:rPr>
                <w:sz w:val="20"/>
                <w:szCs w:val="20"/>
                <w:color w:val="auto"/>
              </w:rPr>
            </w:pPr>
            <w:r>
              <w:rPr>
                <w:rFonts w:ascii="Arial" w:cs="Arial" w:eastAsia="Arial" w:hAnsi="Arial"/>
                <w:sz w:val="17"/>
                <w:szCs w:val="17"/>
                <w:color w:val="auto"/>
              </w:rPr>
              <w:t>Additional Compensation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10.8</w:t>
            </w:r>
          </w:p>
        </w:tc>
        <w:tc>
          <w:tcPr>
            <w:tcW w:w="7980" w:type="dxa"/>
            <w:vAlign w:val="bottom"/>
          </w:tcPr>
          <w:p>
            <w:pPr>
              <w:spacing w:after="0"/>
              <w:rPr>
                <w:sz w:val="20"/>
                <w:szCs w:val="20"/>
                <w:color w:val="auto"/>
              </w:rPr>
            </w:pPr>
            <w:r>
              <w:rPr>
                <w:rFonts w:ascii="Arial" w:cs="Arial" w:eastAsia="Arial" w:hAnsi="Arial"/>
                <w:sz w:val="17"/>
                <w:szCs w:val="17"/>
                <w:color w:val="auto"/>
              </w:rPr>
              <w:t>Permitted Transfers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INSURANCE; WAIVERS; SUBROGATION; 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11.1</w:t>
            </w:r>
          </w:p>
        </w:tc>
        <w:tc>
          <w:tcPr>
            <w:tcW w:w="7980" w:type="dxa"/>
            <w:vAlign w:val="bottom"/>
          </w:tcPr>
          <w:p>
            <w:pPr>
              <w:spacing w:after="0"/>
              <w:rPr>
                <w:sz w:val="20"/>
                <w:szCs w:val="20"/>
                <w:color w:val="auto"/>
              </w:rPr>
            </w:pPr>
            <w:r>
              <w:rPr>
                <w:rFonts w:ascii="Arial" w:cs="Arial" w:eastAsia="Arial" w:hAnsi="Arial"/>
                <w:sz w:val="17"/>
                <w:szCs w:val="17"/>
                <w:color w:val="auto"/>
              </w:rPr>
              <w:t>Tenant’s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11.2</w:t>
            </w:r>
          </w:p>
        </w:tc>
        <w:tc>
          <w:tcPr>
            <w:tcW w:w="7980" w:type="dxa"/>
            <w:vAlign w:val="bottom"/>
          </w:tcPr>
          <w:p>
            <w:pPr>
              <w:spacing w:after="0"/>
              <w:rPr>
                <w:sz w:val="20"/>
                <w:szCs w:val="20"/>
                <w:color w:val="auto"/>
              </w:rPr>
            </w:pPr>
            <w:r>
              <w:rPr>
                <w:rFonts w:ascii="Arial" w:cs="Arial" w:eastAsia="Arial" w:hAnsi="Arial"/>
                <w:sz w:val="17"/>
                <w:szCs w:val="17"/>
                <w:color w:val="auto"/>
              </w:rPr>
              <w:t>Landlord’s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11.3</w:t>
            </w:r>
          </w:p>
        </w:tc>
        <w:tc>
          <w:tcPr>
            <w:tcW w:w="7980" w:type="dxa"/>
            <w:vAlign w:val="bottom"/>
          </w:tcPr>
          <w:p>
            <w:pPr>
              <w:spacing w:after="0"/>
              <w:rPr>
                <w:sz w:val="20"/>
                <w:szCs w:val="20"/>
                <w:color w:val="auto"/>
              </w:rPr>
            </w:pPr>
            <w:r>
              <w:rPr>
                <w:rFonts w:ascii="Arial" w:cs="Arial" w:eastAsia="Arial" w:hAnsi="Arial"/>
                <w:sz w:val="17"/>
                <w:szCs w:val="17"/>
                <w:color w:val="auto"/>
              </w:rPr>
              <w:t>No Subrogation; waiver of Property Claims</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11.4</w:t>
            </w:r>
          </w:p>
        </w:tc>
        <w:tc>
          <w:tcPr>
            <w:tcW w:w="7980" w:type="dxa"/>
            <w:vAlign w:val="bottom"/>
          </w:tcPr>
          <w:p>
            <w:pPr>
              <w:spacing w:after="0"/>
              <w:rPr>
                <w:sz w:val="20"/>
                <w:szCs w:val="20"/>
                <w:color w:val="auto"/>
              </w:rPr>
            </w:pPr>
            <w:r>
              <w:rPr>
                <w:rFonts w:ascii="Arial" w:cs="Arial" w:eastAsia="Arial" w:hAnsi="Arial"/>
                <w:sz w:val="17"/>
                <w:szCs w:val="17"/>
                <w:color w:val="auto"/>
              </w:rPr>
              <w:t>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SUBORDINATION; ATTORNMENT; 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12.1</w:t>
            </w:r>
          </w:p>
        </w:tc>
        <w:tc>
          <w:tcPr>
            <w:tcW w:w="7980" w:type="dxa"/>
            <w:vAlign w:val="bottom"/>
          </w:tcPr>
          <w:p>
            <w:pPr>
              <w:spacing w:after="0"/>
              <w:rPr>
                <w:sz w:val="20"/>
                <w:szCs w:val="20"/>
                <w:color w:val="auto"/>
              </w:rPr>
            </w:pPr>
            <w:r>
              <w:rPr>
                <w:rFonts w:ascii="Arial" w:cs="Arial" w:eastAsia="Arial" w:hAnsi="Arial"/>
                <w:sz w:val="17"/>
                <w:szCs w:val="17"/>
                <w:color w:val="auto"/>
              </w:rPr>
              <w:t>Subordination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12.2</w:t>
            </w:r>
          </w:p>
        </w:tc>
        <w:tc>
          <w:tcPr>
            <w:tcW w:w="7980" w:type="dxa"/>
            <w:vAlign w:val="bottom"/>
          </w:tcPr>
          <w:p>
            <w:pPr>
              <w:spacing w:after="0"/>
              <w:rPr>
                <w:sz w:val="20"/>
                <w:szCs w:val="20"/>
                <w:color w:val="auto"/>
              </w:rPr>
            </w:pPr>
            <w:r>
              <w:rPr>
                <w:rFonts w:ascii="Arial" w:cs="Arial" w:eastAsia="Arial" w:hAnsi="Arial"/>
                <w:sz w:val="17"/>
                <w:szCs w:val="17"/>
                <w:color w:val="auto"/>
              </w:rPr>
              <w:t>Attornment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12.3</w:t>
            </w:r>
          </w:p>
        </w:tc>
        <w:tc>
          <w:tcPr>
            <w:tcW w:w="7980" w:type="dxa"/>
            <w:vAlign w:val="bottom"/>
          </w:tcPr>
          <w:p>
            <w:pPr>
              <w:spacing w:after="0"/>
              <w:rPr>
                <w:sz w:val="20"/>
                <w:szCs w:val="20"/>
                <w:color w:val="auto"/>
              </w:rPr>
            </w:pPr>
            <w:r>
              <w:rPr>
                <w:rFonts w:ascii="Arial" w:cs="Arial" w:eastAsia="Arial" w:hAnsi="Arial"/>
                <w:sz w:val="17"/>
                <w:szCs w:val="17"/>
                <w:color w:val="auto"/>
              </w:rPr>
              <w:t>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12.4</w:t>
            </w:r>
          </w:p>
        </w:tc>
        <w:tc>
          <w:tcPr>
            <w:tcW w:w="7980" w:type="dxa"/>
            <w:vAlign w:val="bottom"/>
          </w:tcPr>
          <w:p>
            <w:pPr>
              <w:spacing w:after="0"/>
              <w:rPr>
                <w:sz w:val="20"/>
                <w:szCs w:val="20"/>
                <w:color w:val="auto"/>
              </w:rPr>
            </w:pPr>
            <w:r>
              <w:rPr>
                <w:rFonts w:ascii="Arial" w:cs="Arial" w:eastAsia="Arial" w:hAnsi="Arial"/>
                <w:sz w:val="17"/>
                <w:szCs w:val="17"/>
                <w:color w:val="auto"/>
              </w:rPr>
              <w:t>Landlord’s Mortgagee’s Protection Provisions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12.5</w:t>
            </w:r>
          </w:p>
        </w:tc>
        <w:tc>
          <w:tcPr>
            <w:tcW w:w="7980" w:type="dxa"/>
            <w:vAlign w:val="bottom"/>
          </w:tcPr>
          <w:p>
            <w:pPr>
              <w:spacing w:after="0"/>
              <w:rPr>
                <w:sz w:val="20"/>
                <w:szCs w:val="20"/>
                <w:color w:val="auto"/>
              </w:rPr>
            </w:pPr>
            <w:r>
              <w:rPr>
                <w:rFonts w:ascii="Arial" w:cs="Arial" w:eastAsia="Arial" w:hAnsi="Arial"/>
                <w:sz w:val="17"/>
                <w:szCs w:val="17"/>
                <w:color w:val="auto"/>
              </w:rPr>
              <w:t>Subordination, Non-Disturbance and Attornment Agreement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RULES AND REGULATIONS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CONDEMNATION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14.1</w:t>
            </w:r>
          </w:p>
        </w:tc>
        <w:tc>
          <w:tcPr>
            <w:tcW w:w="7980" w:type="dxa"/>
            <w:vAlign w:val="bottom"/>
          </w:tcPr>
          <w:p>
            <w:pPr>
              <w:spacing w:after="0"/>
              <w:rPr>
                <w:sz w:val="20"/>
                <w:szCs w:val="20"/>
                <w:color w:val="auto"/>
              </w:rPr>
            </w:pPr>
            <w:r>
              <w:rPr>
                <w:rFonts w:ascii="Arial" w:cs="Arial" w:eastAsia="Arial" w:hAnsi="Arial"/>
                <w:sz w:val="17"/>
                <w:szCs w:val="17"/>
                <w:color w:val="auto"/>
              </w:rPr>
              <w:t>Total Taking</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14.2</w:t>
            </w:r>
          </w:p>
        </w:tc>
        <w:tc>
          <w:tcPr>
            <w:tcW w:w="7980" w:type="dxa"/>
            <w:vAlign w:val="bottom"/>
          </w:tcPr>
          <w:p>
            <w:pPr>
              <w:spacing w:after="0"/>
              <w:rPr>
                <w:sz w:val="20"/>
                <w:szCs w:val="20"/>
                <w:color w:val="auto"/>
              </w:rPr>
            </w:pPr>
            <w:r>
              <w:rPr>
                <w:rFonts w:ascii="Arial" w:cs="Arial" w:eastAsia="Arial" w:hAnsi="Arial"/>
                <w:sz w:val="17"/>
                <w:szCs w:val="17"/>
                <w:color w:val="auto"/>
              </w:rPr>
              <w:t>Partial Taking - 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14.3</w:t>
            </w:r>
          </w:p>
        </w:tc>
        <w:tc>
          <w:tcPr>
            <w:tcW w:w="7980" w:type="dxa"/>
            <w:vAlign w:val="bottom"/>
          </w:tcPr>
          <w:p>
            <w:pPr>
              <w:spacing w:after="0"/>
              <w:rPr>
                <w:sz w:val="20"/>
                <w:szCs w:val="20"/>
                <w:color w:val="auto"/>
              </w:rPr>
            </w:pPr>
            <w:r>
              <w:rPr>
                <w:rFonts w:ascii="Arial" w:cs="Arial" w:eastAsia="Arial" w:hAnsi="Arial"/>
                <w:sz w:val="17"/>
                <w:szCs w:val="17"/>
                <w:color w:val="auto"/>
              </w:rPr>
              <w:t>Partial Taking - 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80" w:type="dxa"/>
            <w:vAlign w:val="bottom"/>
          </w:tcPr>
          <w:p>
            <w:pPr>
              <w:ind w:left="3860"/>
              <w:spacing w:after="0"/>
              <w:rPr>
                <w:sz w:val="20"/>
                <w:szCs w:val="20"/>
                <w:color w:val="auto"/>
              </w:rPr>
            </w:pPr>
            <w:r>
              <w:rPr>
                <w:rFonts w:ascii="Arial" w:cs="Arial" w:eastAsia="Arial" w:hAnsi="Arial"/>
                <w:sz w:val="17"/>
                <w:szCs w:val="17"/>
                <w:color w:val="auto"/>
              </w:rPr>
              <w:t>iii</w:t>
            </w:r>
          </w:p>
        </w:tc>
        <w:tc>
          <w:tcPr>
            <w:tcW w:w="1700" w:type="dxa"/>
            <w:vAlign w:val="bottom"/>
          </w:tcPr>
          <w:p>
            <w:pPr>
              <w:spacing w:after="0"/>
              <w:rPr>
                <w:sz w:val="24"/>
                <w:szCs w:val="24"/>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r>
        <w:trPr>
          <w:trHeight w:val="756"/>
        </w:trPr>
        <w:tc>
          <w:tcPr>
            <w:tcW w:w="56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14.4</w:t>
            </w:r>
          </w:p>
        </w:tc>
        <w:tc>
          <w:tcPr>
            <w:tcW w:w="7980" w:type="dxa"/>
            <w:vAlign w:val="bottom"/>
          </w:tcPr>
          <w:p>
            <w:pPr>
              <w:spacing w:after="0"/>
              <w:rPr>
                <w:sz w:val="20"/>
                <w:szCs w:val="20"/>
                <w:color w:val="auto"/>
              </w:rPr>
            </w:pPr>
            <w:r>
              <w:rPr>
                <w:rFonts w:ascii="Arial" w:cs="Arial" w:eastAsia="Arial" w:hAnsi="Arial"/>
                <w:sz w:val="17"/>
                <w:szCs w:val="17"/>
                <w:color w:val="auto"/>
              </w:rPr>
              <w:t>Award</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FIRE OR OTHER CASUALTY</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15.1</w:t>
            </w:r>
          </w:p>
        </w:tc>
        <w:tc>
          <w:tcPr>
            <w:tcW w:w="7980" w:type="dxa"/>
            <w:vAlign w:val="bottom"/>
          </w:tcPr>
          <w:p>
            <w:pPr>
              <w:spacing w:after="0"/>
              <w:rPr>
                <w:sz w:val="20"/>
                <w:szCs w:val="20"/>
                <w:color w:val="auto"/>
              </w:rPr>
            </w:pPr>
            <w:r>
              <w:rPr>
                <w:rFonts w:ascii="Arial" w:cs="Arial" w:eastAsia="Arial" w:hAnsi="Arial"/>
                <w:sz w:val="17"/>
                <w:szCs w:val="17"/>
                <w:color w:val="auto"/>
              </w:rPr>
              <w:t>Repair Estimate</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15.2</w:t>
            </w:r>
          </w:p>
        </w:tc>
        <w:tc>
          <w:tcPr>
            <w:tcW w:w="7980" w:type="dxa"/>
            <w:vAlign w:val="bottom"/>
          </w:tcPr>
          <w:p>
            <w:pPr>
              <w:spacing w:after="0"/>
              <w:rPr>
                <w:sz w:val="20"/>
                <w:szCs w:val="20"/>
                <w:color w:val="auto"/>
              </w:rPr>
            </w:pPr>
            <w:r>
              <w:rPr>
                <w:rFonts w:ascii="Arial" w:cs="Arial" w:eastAsia="Arial" w:hAnsi="Arial"/>
                <w:sz w:val="17"/>
                <w:szCs w:val="17"/>
                <w:color w:val="auto"/>
              </w:rPr>
              <w:t>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15.3</w:t>
            </w:r>
          </w:p>
        </w:tc>
        <w:tc>
          <w:tcPr>
            <w:tcW w:w="7980" w:type="dxa"/>
            <w:vAlign w:val="bottom"/>
          </w:tcPr>
          <w:p>
            <w:pPr>
              <w:spacing w:after="0"/>
              <w:rPr>
                <w:sz w:val="20"/>
                <w:szCs w:val="20"/>
                <w:color w:val="auto"/>
              </w:rPr>
            </w:pPr>
            <w:r>
              <w:rPr>
                <w:rFonts w:ascii="Arial" w:cs="Arial" w:eastAsia="Arial" w:hAnsi="Arial"/>
                <w:sz w:val="17"/>
                <w:szCs w:val="17"/>
                <w:color w:val="auto"/>
              </w:rPr>
              <w:t>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15.4</w:t>
            </w:r>
          </w:p>
        </w:tc>
        <w:tc>
          <w:tcPr>
            <w:tcW w:w="7980" w:type="dxa"/>
            <w:vAlign w:val="bottom"/>
          </w:tcPr>
          <w:p>
            <w:pPr>
              <w:spacing w:after="0"/>
              <w:rPr>
                <w:sz w:val="20"/>
                <w:szCs w:val="20"/>
                <w:color w:val="auto"/>
              </w:rPr>
            </w:pPr>
            <w:r>
              <w:rPr>
                <w:rFonts w:ascii="Arial" w:cs="Arial" w:eastAsia="Arial" w:hAnsi="Arial"/>
                <w:sz w:val="17"/>
                <w:szCs w:val="17"/>
                <w:color w:val="auto"/>
              </w:rPr>
              <w:t>Repair Obligation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15.5</w:t>
            </w:r>
          </w:p>
        </w:tc>
        <w:tc>
          <w:tcPr>
            <w:tcW w:w="7980" w:type="dxa"/>
            <w:vAlign w:val="bottom"/>
          </w:tcPr>
          <w:p>
            <w:pPr>
              <w:spacing w:after="0"/>
              <w:rPr>
                <w:sz w:val="20"/>
                <w:szCs w:val="20"/>
                <w:color w:val="auto"/>
              </w:rPr>
            </w:pPr>
            <w:r>
              <w:rPr>
                <w:rFonts w:ascii="Arial" w:cs="Arial" w:eastAsia="Arial" w:hAnsi="Arial"/>
                <w:sz w:val="17"/>
                <w:szCs w:val="17"/>
                <w:color w:val="auto"/>
              </w:rPr>
              <w:t>Abatement of Rent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16.</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PERSONAL PROPERTY TAXES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17.</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EVENTS OF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17.1</w:t>
            </w:r>
          </w:p>
        </w:tc>
        <w:tc>
          <w:tcPr>
            <w:tcW w:w="7980" w:type="dxa"/>
            <w:vAlign w:val="bottom"/>
          </w:tcPr>
          <w:p>
            <w:pPr>
              <w:spacing w:after="0"/>
              <w:rPr>
                <w:sz w:val="20"/>
                <w:szCs w:val="20"/>
                <w:color w:val="auto"/>
              </w:rPr>
            </w:pPr>
            <w:r>
              <w:rPr>
                <w:rFonts w:ascii="Arial" w:cs="Arial" w:eastAsia="Arial" w:hAnsi="Arial"/>
                <w:sz w:val="17"/>
                <w:szCs w:val="17"/>
                <w:color w:val="auto"/>
              </w:rPr>
              <w:t>Payment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17.2</w:t>
            </w:r>
          </w:p>
        </w:tc>
        <w:tc>
          <w:tcPr>
            <w:tcW w:w="7980" w:type="dxa"/>
            <w:vAlign w:val="bottom"/>
          </w:tcPr>
          <w:p>
            <w:pPr>
              <w:spacing w:after="0"/>
              <w:rPr>
                <w:sz w:val="20"/>
                <w:szCs w:val="20"/>
                <w:color w:val="auto"/>
              </w:rPr>
            </w:pPr>
            <w:r>
              <w:rPr>
                <w:rFonts w:ascii="Arial" w:cs="Arial" w:eastAsia="Arial" w:hAnsi="Arial"/>
                <w:sz w:val="17"/>
                <w:szCs w:val="17"/>
                <w:color w:val="auto"/>
              </w:rPr>
              <w:t>Abandonment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17.3</w:t>
            </w:r>
          </w:p>
        </w:tc>
        <w:tc>
          <w:tcPr>
            <w:tcW w:w="7980" w:type="dxa"/>
            <w:vAlign w:val="bottom"/>
          </w:tcPr>
          <w:p>
            <w:pPr>
              <w:spacing w:after="0"/>
              <w:rPr>
                <w:sz w:val="20"/>
                <w:szCs w:val="20"/>
                <w:color w:val="auto"/>
              </w:rPr>
            </w:pPr>
            <w:r>
              <w:rPr>
                <w:rFonts w:ascii="Arial" w:cs="Arial" w:eastAsia="Arial" w:hAnsi="Arial"/>
                <w:sz w:val="17"/>
                <w:szCs w:val="17"/>
                <w:color w:val="auto"/>
              </w:rPr>
              <w:t>Estoppel; Subordination; Financial Reports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17.4</w:t>
            </w:r>
          </w:p>
        </w:tc>
        <w:tc>
          <w:tcPr>
            <w:tcW w:w="7980" w:type="dxa"/>
            <w:vAlign w:val="bottom"/>
          </w:tcPr>
          <w:p>
            <w:pPr>
              <w:spacing w:after="0"/>
              <w:rPr>
                <w:sz w:val="20"/>
                <w:szCs w:val="20"/>
                <w:color w:val="auto"/>
              </w:rPr>
            </w:pPr>
            <w:r>
              <w:rPr>
                <w:rFonts w:ascii="Arial" w:cs="Arial" w:eastAsia="Arial" w:hAnsi="Arial"/>
                <w:sz w:val="17"/>
                <w:szCs w:val="17"/>
                <w:color w:val="auto"/>
              </w:rPr>
              <w:t>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17.5</w:t>
            </w:r>
          </w:p>
        </w:tc>
        <w:tc>
          <w:tcPr>
            <w:tcW w:w="7980" w:type="dxa"/>
            <w:vAlign w:val="bottom"/>
          </w:tcPr>
          <w:p>
            <w:pPr>
              <w:spacing w:after="0"/>
              <w:rPr>
                <w:sz w:val="20"/>
                <w:szCs w:val="20"/>
                <w:color w:val="auto"/>
              </w:rPr>
            </w:pPr>
            <w:r>
              <w:rPr>
                <w:rFonts w:ascii="Arial" w:cs="Arial" w:eastAsia="Arial" w:hAnsi="Arial"/>
                <w:sz w:val="17"/>
                <w:szCs w:val="17"/>
                <w:color w:val="auto"/>
              </w:rPr>
              <w:t>Mechanic’s Liens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17.6</w:t>
            </w:r>
          </w:p>
        </w:tc>
        <w:tc>
          <w:tcPr>
            <w:tcW w:w="7980" w:type="dxa"/>
            <w:vAlign w:val="bottom"/>
          </w:tcPr>
          <w:p>
            <w:pPr>
              <w:spacing w:after="0"/>
              <w:rPr>
                <w:sz w:val="20"/>
                <w:szCs w:val="20"/>
                <w:color w:val="auto"/>
              </w:rPr>
            </w:pPr>
            <w:r>
              <w:rPr>
                <w:rFonts w:ascii="Arial" w:cs="Arial" w:eastAsia="Arial" w:hAnsi="Arial"/>
                <w:sz w:val="17"/>
                <w:szCs w:val="17"/>
                <w:color w:val="auto"/>
              </w:rPr>
              <w:t>Other Defaults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17.7</w:t>
            </w:r>
          </w:p>
        </w:tc>
        <w:tc>
          <w:tcPr>
            <w:tcW w:w="7980" w:type="dxa"/>
            <w:vAlign w:val="bottom"/>
          </w:tcPr>
          <w:p>
            <w:pPr>
              <w:spacing w:after="0"/>
              <w:rPr>
                <w:sz w:val="20"/>
                <w:szCs w:val="20"/>
                <w:color w:val="auto"/>
              </w:rPr>
            </w:pPr>
            <w:r>
              <w:rPr>
                <w:rFonts w:ascii="Arial" w:cs="Arial" w:eastAsia="Arial" w:hAnsi="Arial"/>
                <w:sz w:val="17"/>
                <w:szCs w:val="17"/>
                <w:color w:val="auto"/>
              </w:rPr>
              <w:t>Inśolvency</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18.</w:t>
            </w:r>
          </w:p>
        </w:tc>
        <w:tc>
          <w:tcPr>
            <w:tcW w:w="1220" w:type="dxa"/>
            <w:vAlign w:val="bottom"/>
          </w:tcPr>
          <w:p>
            <w:pPr>
              <w:ind w:left="340"/>
              <w:spacing w:after="0"/>
              <w:rPr>
                <w:sz w:val="20"/>
                <w:szCs w:val="20"/>
                <w:color w:val="auto"/>
              </w:rPr>
            </w:pPr>
            <w:r>
              <w:rPr>
                <w:rFonts w:ascii="Arial" w:cs="Arial" w:eastAsia="Arial" w:hAnsi="Arial"/>
                <w:sz w:val="17"/>
                <w:szCs w:val="17"/>
                <w:color w:val="auto"/>
                <w:w w:val="96"/>
              </w:rPr>
              <w:t>REMEDIES</w:t>
            </w:r>
          </w:p>
        </w:tc>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18.1</w:t>
            </w:r>
          </w:p>
        </w:tc>
        <w:tc>
          <w:tcPr>
            <w:tcW w:w="7980" w:type="dxa"/>
            <w:vAlign w:val="bottom"/>
          </w:tcPr>
          <w:p>
            <w:pPr>
              <w:spacing w:after="0"/>
              <w:rPr>
                <w:sz w:val="20"/>
                <w:szCs w:val="20"/>
                <w:color w:val="auto"/>
              </w:rPr>
            </w:pPr>
            <w:r>
              <w:rPr>
                <w:rFonts w:ascii="Arial" w:cs="Arial" w:eastAsia="Arial" w:hAnsi="Arial"/>
                <w:sz w:val="17"/>
                <w:szCs w:val="17"/>
                <w:color w:val="auto"/>
              </w:rPr>
              <w:t>Termination of Lease</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18.2</w:t>
            </w:r>
          </w:p>
        </w:tc>
        <w:tc>
          <w:tcPr>
            <w:tcW w:w="7980" w:type="dxa"/>
            <w:vAlign w:val="bottom"/>
          </w:tcPr>
          <w:p>
            <w:pPr>
              <w:spacing w:after="0"/>
              <w:rPr>
                <w:sz w:val="20"/>
                <w:szCs w:val="20"/>
                <w:color w:val="auto"/>
              </w:rPr>
            </w:pPr>
            <w:r>
              <w:rPr>
                <w:rFonts w:ascii="Arial" w:cs="Arial" w:eastAsia="Arial" w:hAnsi="Arial"/>
                <w:sz w:val="17"/>
                <w:szCs w:val="17"/>
                <w:color w:val="auto"/>
              </w:rPr>
              <w:t>Termination of Possession</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18.3</w:t>
            </w:r>
          </w:p>
        </w:tc>
        <w:tc>
          <w:tcPr>
            <w:tcW w:w="7980" w:type="dxa"/>
            <w:vAlign w:val="bottom"/>
          </w:tcPr>
          <w:p>
            <w:pPr>
              <w:spacing w:after="0"/>
              <w:rPr>
                <w:sz w:val="20"/>
                <w:szCs w:val="20"/>
                <w:color w:val="auto"/>
              </w:rPr>
            </w:pPr>
            <w:r>
              <w:rPr>
                <w:rFonts w:ascii="Arial" w:cs="Arial" w:eastAsia="Arial" w:hAnsi="Arial"/>
                <w:sz w:val="17"/>
                <w:szCs w:val="17"/>
                <w:color w:val="auto"/>
              </w:rPr>
              <w:t>Perform Acts on Behalf of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18.4</w:t>
            </w:r>
          </w:p>
        </w:tc>
        <w:tc>
          <w:tcPr>
            <w:tcW w:w="7980" w:type="dxa"/>
            <w:vAlign w:val="bottom"/>
          </w:tcPr>
          <w:p>
            <w:pPr>
              <w:spacing w:after="0"/>
              <w:rPr>
                <w:sz w:val="20"/>
                <w:szCs w:val="20"/>
                <w:color w:val="auto"/>
              </w:rPr>
            </w:pPr>
            <w:r>
              <w:rPr>
                <w:rFonts w:ascii="Arial" w:cs="Arial" w:eastAsia="Arial" w:hAnsi="Arial"/>
                <w:sz w:val="17"/>
                <w:szCs w:val="17"/>
                <w:color w:val="auto"/>
              </w:rPr>
              <w:t>Suspension of Services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18.5</w:t>
            </w:r>
          </w:p>
        </w:tc>
        <w:tc>
          <w:tcPr>
            <w:tcW w:w="7980" w:type="dxa"/>
            <w:vAlign w:val="bottom"/>
          </w:tcPr>
          <w:p>
            <w:pPr>
              <w:spacing w:after="0"/>
              <w:rPr>
                <w:sz w:val="20"/>
                <w:szCs w:val="20"/>
                <w:color w:val="auto"/>
              </w:rPr>
            </w:pPr>
            <w:r>
              <w:rPr>
                <w:rFonts w:ascii="Arial" w:cs="Arial" w:eastAsia="Arial" w:hAnsi="Arial"/>
                <w:sz w:val="17"/>
                <w:szCs w:val="17"/>
                <w:color w:val="auto"/>
              </w:rPr>
              <w:t>Alteration of Locks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19.</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PAYMENT BY TENANT; NON-WAIVER; CUMULATIVE REMEDIES; 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19.1</w:t>
            </w:r>
          </w:p>
        </w:tc>
        <w:tc>
          <w:tcPr>
            <w:tcW w:w="7980" w:type="dxa"/>
            <w:vAlign w:val="bottom"/>
          </w:tcPr>
          <w:p>
            <w:pPr>
              <w:spacing w:after="0"/>
              <w:rPr>
                <w:sz w:val="20"/>
                <w:szCs w:val="20"/>
                <w:color w:val="auto"/>
              </w:rPr>
            </w:pPr>
            <w:r>
              <w:rPr>
                <w:rFonts w:ascii="Arial" w:cs="Arial" w:eastAsia="Arial" w:hAnsi="Arial"/>
                <w:sz w:val="17"/>
                <w:szCs w:val="17"/>
                <w:color w:val="auto"/>
              </w:rPr>
              <w:t>Payment by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19.2</w:t>
            </w:r>
          </w:p>
        </w:tc>
        <w:tc>
          <w:tcPr>
            <w:tcW w:w="7980" w:type="dxa"/>
            <w:vAlign w:val="bottom"/>
          </w:tcPr>
          <w:p>
            <w:pPr>
              <w:spacing w:after="0"/>
              <w:rPr>
                <w:sz w:val="20"/>
                <w:szCs w:val="20"/>
                <w:color w:val="auto"/>
              </w:rPr>
            </w:pPr>
            <w:r>
              <w:rPr>
                <w:rFonts w:ascii="Arial" w:cs="Arial" w:eastAsia="Arial" w:hAnsi="Arial"/>
                <w:sz w:val="17"/>
                <w:szCs w:val="17"/>
                <w:color w:val="auto"/>
              </w:rPr>
              <w:t>No Waiver</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19.3</w:t>
            </w:r>
          </w:p>
        </w:tc>
        <w:tc>
          <w:tcPr>
            <w:tcW w:w="7980" w:type="dxa"/>
            <w:vAlign w:val="bottom"/>
          </w:tcPr>
          <w:p>
            <w:pPr>
              <w:spacing w:after="0"/>
              <w:rPr>
                <w:sz w:val="20"/>
                <w:szCs w:val="20"/>
                <w:color w:val="auto"/>
              </w:rPr>
            </w:pPr>
            <w:r>
              <w:rPr>
                <w:rFonts w:ascii="Arial" w:cs="Arial" w:eastAsia="Arial" w:hAnsi="Arial"/>
                <w:sz w:val="17"/>
                <w:szCs w:val="17"/>
                <w:color w:val="auto"/>
              </w:rPr>
              <w:t>Cumulative Remedies</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19.4</w:t>
            </w:r>
          </w:p>
        </w:tc>
        <w:tc>
          <w:tcPr>
            <w:tcW w:w="7980" w:type="dxa"/>
            <w:vAlign w:val="bottom"/>
          </w:tcPr>
          <w:p>
            <w:pPr>
              <w:spacing w:after="0"/>
              <w:rPr>
                <w:sz w:val="20"/>
                <w:szCs w:val="20"/>
                <w:color w:val="auto"/>
              </w:rPr>
            </w:pPr>
            <w:r>
              <w:rPr>
                <w:rFonts w:ascii="Arial" w:cs="Arial" w:eastAsia="Arial" w:hAnsi="Arial"/>
                <w:sz w:val="17"/>
                <w:szCs w:val="17"/>
                <w:color w:val="auto"/>
              </w:rPr>
              <w:t>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20.</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LANDLORD’S LIEN</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SURRENDER OF PREMISES</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HOLDING OVER</w:t>
            </w:r>
          </w:p>
        </w:tc>
        <w:tc>
          <w:tcPr>
            <w:tcW w:w="17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CERTAIN RIGHTS RESERVED BY LANDLORD</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23.1</w:t>
            </w:r>
          </w:p>
        </w:tc>
        <w:tc>
          <w:tcPr>
            <w:tcW w:w="7980" w:type="dxa"/>
            <w:vAlign w:val="bottom"/>
          </w:tcPr>
          <w:p>
            <w:pPr>
              <w:spacing w:after="0"/>
              <w:rPr>
                <w:sz w:val="20"/>
                <w:szCs w:val="20"/>
                <w:color w:val="auto"/>
              </w:rPr>
            </w:pPr>
            <w:r>
              <w:rPr>
                <w:rFonts w:ascii="Arial" w:cs="Arial" w:eastAsia="Arial" w:hAnsi="Arial"/>
                <w:sz w:val="17"/>
                <w:szCs w:val="17"/>
                <w:color w:val="auto"/>
              </w:rPr>
              <w:t>Building Operations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23.2</w:t>
            </w:r>
          </w:p>
        </w:tc>
        <w:tc>
          <w:tcPr>
            <w:tcW w:w="7980" w:type="dxa"/>
            <w:vAlign w:val="bottom"/>
          </w:tcPr>
          <w:p>
            <w:pPr>
              <w:spacing w:after="0"/>
              <w:rPr>
                <w:sz w:val="20"/>
                <w:szCs w:val="20"/>
                <w:color w:val="auto"/>
              </w:rPr>
            </w:pPr>
            <w:r>
              <w:rPr>
                <w:rFonts w:ascii="Arial" w:cs="Arial" w:eastAsia="Arial" w:hAnsi="Arial"/>
                <w:sz w:val="17"/>
                <w:szCs w:val="17"/>
                <w:color w:val="auto"/>
              </w:rPr>
              <w:t>Security</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23.3</w:t>
            </w:r>
          </w:p>
        </w:tc>
        <w:tc>
          <w:tcPr>
            <w:tcW w:w="7980" w:type="dxa"/>
            <w:vAlign w:val="bottom"/>
          </w:tcPr>
          <w:p>
            <w:pPr>
              <w:spacing w:after="0"/>
              <w:rPr>
                <w:sz w:val="20"/>
                <w:szCs w:val="20"/>
                <w:color w:val="auto"/>
              </w:rPr>
            </w:pPr>
            <w:r>
              <w:rPr>
                <w:rFonts w:ascii="Arial" w:cs="Arial" w:eastAsia="Arial" w:hAnsi="Arial"/>
                <w:sz w:val="17"/>
                <w:szCs w:val="17"/>
                <w:color w:val="auto"/>
              </w:rPr>
              <w:t>Prospective Purchasers and Lenders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23.4</w:t>
            </w:r>
          </w:p>
        </w:tc>
        <w:tc>
          <w:tcPr>
            <w:tcW w:w="7980" w:type="dxa"/>
            <w:vAlign w:val="bottom"/>
          </w:tcPr>
          <w:p>
            <w:pPr>
              <w:spacing w:after="0"/>
              <w:rPr>
                <w:sz w:val="20"/>
                <w:szCs w:val="20"/>
                <w:color w:val="auto"/>
              </w:rPr>
            </w:pPr>
            <w:r>
              <w:rPr>
                <w:rFonts w:ascii="Arial" w:cs="Arial" w:eastAsia="Arial" w:hAnsi="Arial"/>
                <w:sz w:val="17"/>
                <w:szCs w:val="17"/>
                <w:color w:val="auto"/>
              </w:rPr>
              <w:t>Prospective 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SUBSTITUTION SPACE</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MISCELLANEOUS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-6769100</wp:posOffset>
            </wp:positionV>
            <wp:extent cx="12700"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-6769100</wp:posOffset>
            </wp:positionV>
            <wp:extent cx="12700"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 Transfer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25.3</w:t>
            </w:r>
          </w:p>
        </w:tc>
        <w:tc>
          <w:tcPr>
            <w:tcW w:w="5500" w:type="dxa"/>
            <w:vAlign w:val="bottom"/>
            <w:gridSpan w:val="3"/>
          </w:tcPr>
          <w:p>
            <w:pPr>
              <w:spacing w:after="0"/>
              <w:rPr>
                <w:sz w:val="20"/>
                <w:szCs w:val="20"/>
                <w:color w:val="auto"/>
              </w:rPr>
            </w:pPr>
            <w:r>
              <w:rPr>
                <w:rFonts w:ascii="Arial" w:cs="Arial" w:eastAsia="Arial" w:hAnsi="Arial"/>
                <w:sz w:val="17"/>
                <w:szCs w:val="17"/>
                <w:color w:val="auto"/>
              </w:rPr>
              <w:t>Force Majeure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25.4</w:t>
            </w:r>
          </w:p>
        </w:tc>
        <w:tc>
          <w:tcPr>
            <w:tcW w:w="5500" w:type="dxa"/>
            <w:vAlign w:val="bottom"/>
            <w:gridSpan w:val="3"/>
          </w:tcPr>
          <w:p>
            <w:pPr>
              <w:spacing w:after="0"/>
              <w:rPr>
                <w:sz w:val="20"/>
                <w:szCs w:val="20"/>
                <w:color w:val="auto"/>
              </w:rPr>
            </w:pPr>
            <w:r>
              <w:rPr>
                <w:rFonts w:ascii="Arial" w:cs="Arial" w:eastAsia="Arial" w:hAnsi="Arial"/>
                <w:sz w:val="17"/>
                <w:szCs w:val="17"/>
                <w:color w:val="auto"/>
              </w:rPr>
              <w:t>Brokerage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25.5</w:t>
            </w:r>
          </w:p>
        </w:tc>
        <w:tc>
          <w:tcPr>
            <w:tcW w:w="5500" w:type="dxa"/>
            <w:vAlign w:val="bottom"/>
            <w:gridSpan w:val="3"/>
          </w:tcPr>
          <w:p>
            <w:pPr>
              <w:spacing w:after="0"/>
              <w:rPr>
                <w:sz w:val="20"/>
                <w:szCs w:val="20"/>
                <w:color w:val="auto"/>
              </w:rPr>
            </w:pPr>
            <w:r>
              <w:rPr>
                <w:rFonts w:ascii="Arial" w:cs="Arial" w:eastAsia="Arial" w:hAnsi="Arial"/>
                <w:sz w:val="17"/>
                <w:szCs w:val="17"/>
                <w:color w:val="auto"/>
              </w:rPr>
              <w:t>Estoppel Certificates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25.6</w:t>
            </w:r>
          </w:p>
        </w:tc>
        <w:tc>
          <w:tcPr>
            <w:tcW w:w="5500" w:type="dxa"/>
            <w:vAlign w:val="bottom"/>
            <w:gridSpan w:val="3"/>
          </w:tcPr>
          <w:p>
            <w:pPr>
              <w:spacing w:after="0"/>
              <w:rPr>
                <w:sz w:val="20"/>
                <w:szCs w:val="20"/>
                <w:color w:val="auto"/>
              </w:rPr>
            </w:pPr>
            <w:r>
              <w:rPr>
                <w:rFonts w:ascii="Arial" w:cs="Arial" w:eastAsia="Arial" w:hAnsi="Arial"/>
                <w:sz w:val="17"/>
                <w:szCs w:val="17"/>
                <w:color w:val="auto"/>
              </w:rPr>
              <w:t>Notices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25.7</w:t>
            </w:r>
          </w:p>
        </w:tc>
        <w:tc>
          <w:tcPr>
            <w:tcW w:w="5500" w:type="dxa"/>
            <w:vAlign w:val="bottom"/>
            <w:gridSpan w:val="3"/>
          </w:tcPr>
          <w:p>
            <w:pPr>
              <w:spacing w:after="0"/>
              <w:rPr>
                <w:sz w:val="20"/>
                <w:szCs w:val="20"/>
                <w:color w:val="auto"/>
              </w:rPr>
            </w:pPr>
            <w:r>
              <w:rPr>
                <w:rFonts w:ascii="Arial" w:cs="Arial" w:eastAsia="Arial" w:hAnsi="Arial"/>
                <w:sz w:val="17"/>
                <w:szCs w:val="17"/>
                <w:color w:val="auto"/>
              </w:rPr>
              <w:t>Separability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25.8</w:t>
            </w:r>
          </w:p>
        </w:tc>
        <w:tc>
          <w:tcPr>
            <w:tcW w:w="5500" w:type="dxa"/>
            <w:vAlign w:val="bottom"/>
            <w:gridSpan w:val="3"/>
          </w:tcPr>
          <w:p>
            <w:pPr>
              <w:spacing w:after="0"/>
              <w:rPr>
                <w:sz w:val="20"/>
                <w:szCs w:val="20"/>
                <w:color w:val="auto"/>
              </w:rPr>
            </w:pPr>
            <w:r>
              <w:rPr>
                <w:rFonts w:ascii="Arial" w:cs="Arial" w:eastAsia="Arial" w:hAnsi="Arial"/>
                <w:sz w:val="17"/>
                <w:szCs w:val="17"/>
                <w:color w:val="auto"/>
              </w:rPr>
              <w:t>Amendments; Binding Effect; No Electronic Records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25.9</w:t>
            </w:r>
          </w:p>
        </w:tc>
        <w:tc>
          <w:tcPr>
            <w:tcW w:w="5500" w:type="dxa"/>
            <w:vAlign w:val="bottom"/>
            <w:gridSpan w:val="3"/>
          </w:tcPr>
          <w:p>
            <w:pPr>
              <w:spacing w:after="0"/>
              <w:rPr>
                <w:sz w:val="20"/>
                <w:szCs w:val="20"/>
                <w:color w:val="auto"/>
              </w:rPr>
            </w:pPr>
            <w:r>
              <w:rPr>
                <w:rFonts w:ascii="Arial" w:cs="Arial" w:eastAsia="Arial" w:hAnsi="Arial"/>
                <w:sz w:val="17"/>
                <w:szCs w:val="17"/>
                <w:color w:val="auto"/>
              </w:rPr>
              <w:t>Counterparts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25.10</w:t>
            </w:r>
          </w:p>
        </w:tc>
        <w:tc>
          <w:tcPr>
            <w:tcW w:w="5500" w:type="dxa"/>
            <w:vAlign w:val="bottom"/>
            <w:gridSpan w:val="3"/>
          </w:tcPr>
          <w:p>
            <w:pPr>
              <w:spacing w:after="0"/>
              <w:rPr>
                <w:sz w:val="20"/>
                <w:szCs w:val="20"/>
                <w:color w:val="auto"/>
              </w:rPr>
            </w:pPr>
            <w:r>
              <w:rPr>
                <w:rFonts w:ascii="Arial" w:cs="Arial" w:eastAsia="Arial" w:hAnsi="Arial"/>
                <w:sz w:val="17"/>
                <w:szCs w:val="17"/>
                <w:color w:val="auto"/>
              </w:rPr>
              <w:t>Quiet Enjoyment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25.11</w:t>
            </w:r>
          </w:p>
        </w:tc>
        <w:tc>
          <w:tcPr>
            <w:tcW w:w="5500" w:type="dxa"/>
            <w:vAlign w:val="bottom"/>
            <w:gridSpan w:val="3"/>
          </w:tcPr>
          <w:p>
            <w:pPr>
              <w:spacing w:after="0"/>
              <w:rPr>
                <w:sz w:val="20"/>
                <w:szCs w:val="20"/>
                <w:color w:val="auto"/>
              </w:rPr>
            </w:pPr>
            <w:r>
              <w:rPr>
                <w:rFonts w:ascii="Arial" w:cs="Arial" w:eastAsia="Arial" w:hAnsi="Arial"/>
                <w:sz w:val="17"/>
                <w:szCs w:val="17"/>
                <w:color w:val="auto"/>
              </w:rPr>
              <w:t>No Merger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25.12</w:t>
            </w:r>
          </w:p>
        </w:tc>
        <w:tc>
          <w:tcPr>
            <w:tcW w:w="5500" w:type="dxa"/>
            <w:vAlign w:val="bottom"/>
            <w:gridSpan w:val="3"/>
          </w:tcPr>
          <w:p>
            <w:pPr>
              <w:spacing w:after="0"/>
              <w:rPr>
                <w:sz w:val="20"/>
                <w:szCs w:val="20"/>
                <w:color w:val="auto"/>
              </w:rPr>
            </w:pPr>
            <w:r>
              <w:rPr>
                <w:rFonts w:ascii="Arial" w:cs="Arial" w:eastAsia="Arial" w:hAnsi="Arial"/>
                <w:sz w:val="17"/>
                <w:szCs w:val="17"/>
                <w:color w:val="auto"/>
              </w:rPr>
              <w:t>No Offer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25.13</w:t>
            </w:r>
          </w:p>
        </w:tc>
        <w:tc>
          <w:tcPr>
            <w:tcW w:w="5500" w:type="dxa"/>
            <w:vAlign w:val="bottom"/>
            <w:gridSpan w:val="3"/>
          </w:tcPr>
          <w:p>
            <w:pPr>
              <w:spacing w:after="0"/>
              <w:rPr>
                <w:sz w:val="20"/>
                <w:szCs w:val="20"/>
                <w:color w:val="auto"/>
              </w:rPr>
            </w:pPr>
            <w:r>
              <w:rPr>
                <w:rFonts w:ascii="Arial" w:cs="Arial" w:eastAsia="Arial" w:hAnsi="Arial"/>
                <w:sz w:val="17"/>
                <w:szCs w:val="17"/>
                <w:color w:val="auto"/>
              </w:rPr>
              <w:t>Entire Agreement; No Reliance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40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RIATA CORPORATE PARK</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12357 A RIATA TRACE PARKWAY, BUILDINGS</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AUSTIN, TEXAS 78727</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80"/>
              <w:spacing w:after="0"/>
              <w:rPr>
                <w:sz w:val="20"/>
                <w:szCs w:val="20"/>
                <w:color w:val="auto"/>
              </w:rPr>
            </w:pPr>
            <w:r>
              <w:rPr>
                <w:rFonts w:ascii="Arial" w:cs="Arial" w:eastAsia="Arial" w:hAnsi="Arial"/>
                <w:sz w:val="17"/>
                <w:szCs w:val="17"/>
                <w:color w:val="auto"/>
              </w:rPr>
              <w:t>iv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9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25.14</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Jury Trial</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25.15</w:t>
            </w:r>
          </w:p>
        </w:tc>
        <w:tc>
          <w:tcPr>
            <w:tcW w:w="5500" w:type="dxa"/>
            <w:vAlign w:val="bottom"/>
            <w:gridSpan w:val="3"/>
          </w:tcPr>
          <w:p>
            <w:pPr>
              <w:spacing w:after="0"/>
              <w:rPr>
                <w:sz w:val="20"/>
                <w:szCs w:val="20"/>
                <w:color w:val="auto"/>
              </w:rPr>
            </w:pPr>
            <w:r>
              <w:rPr>
                <w:rFonts w:ascii="Arial" w:cs="Arial" w:eastAsia="Arial" w:hAnsi="Arial"/>
                <w:sz w:val="17"/>
                <w:szCs w:val="17"/>
                <w:color w:val="auto"/>
              </w:rPr>
              <w:t>Governing Law</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25.16</w:t>
            </w:r>
          </w:p>
        </w:tc>
        <w:tc>
          <w:tcPr>
            <w:tcW w:w="5500" w:type="dxa"/>
            <w:vAlign w:val="bottom"/>
            <w:gridSpan w:val="3"/>
          </w:tcPr>
          <w:p>
            <w:pPr>
              <w:spacing w:after="0"/>
              <w:rPr>
                <w:sz w:val="20"/>
                <w:szCs w:val="20"/>
                <w:color w:val="auto"/>
              </w:rPr>
            </w:pPr>
            <w:r>
              <w:rPr>
                <w:rFonts w:ascii="Arial" w:cs="Arial" w:eastAsia="Arial" w:hAnsi="Arial"/>
                <w:sz w:val="17"/>
                <w:szCs w:val="17"/>
                <w:color w:val="auto"/>
              </w:rPr>
              <w:t>Recording</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25.17</w:t>
            </w:r>
          </w:p>
        </w:tc>
        <w:tc>
          <w:tcPr>
            <w:tcW w:w="5500" w:type="dxa"/>
            <w:vAlign w:val="bottom"/>
            <w:gridSpan w:val="3"/>
          </w:tcPr>
          <w:p>
            <w:pPr>
              <w:spacing w:after="0"/>
              <w:rPr>
                <w:sz w:val="20"/>
                <w:szCs w:val="20"/>
                <w:color w:val="auto"/>
              </w:rPr>
            </w:pPr>
            <w:r>
              <w:rPr>
                <w:rFonts w:ascii="Arial" w:cs="Arial" w:eastAsia="Arial" w:hAnsi="Arial"/>
                <w:sz w:val="17"/>
                <w:szCs w:val="17"/>
                <w:color w:val="auto"/>
              </w:rPr>
              <w:t>Water or Mold Notification</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25.18</w:t>
            </w:r>
          </w:p>
        </w:tc>
        <w:tc>
          <w:tcPr>
            <w:tcW w:w="5500" w:type="dxa"/>
            <w:vAlign w:val="bottom"/>
            <w:gridSpan w:val="3"/>
          </w:tcPr>
          <w:p>
            <w:pPr>
              <w:spacing w:after="0"/>
              <w:rPr>
                <w:sz w:val="20"/>
                <w:szCs w:val="20"/>
                <w:color w:val="auto"/>
              </w:rPr>
            </w:pPr>
            <w:r>
              <w:rPr>
                <w:rFonts w:ascii="Arial" w:cs="Arial" w:eastAsia="Arial" w:hAnsi="Arial"/>
                <w:sz w:val="17"/>
                <w:szCs w:val="17"/>
                <w:color w:val="auto"/>
              </w:rPr>
              <w:t>Joint and Several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25.19</w:t>
            </w:r>
          </w:p>
        </w:tc>
        <w:tc>
          <w:tcPr>
            <w:tcW w:w="5500" w:type="dxa"/>
            <w:vAlign w:val="bottom"/>
            <w:gridSpan w:val="3"/>
          </w:tcPr>
          <w:p>
            <w:pPr>
              <w:spacing w:after="0"/>
              <w:rPr>
                <w:sz w:val="20"/>
                <w:szCs w:val="20"/>
                <w:color w:val="auto"/>
              </w:rPr>
            </w:pPr>
            <w:r>
              <w:rPr>
                <w:rFonts w:ascii="Arial" w:cs="Arial" w:eastAsia="Arial" w:hAnsi="Arial"/>
                <w:sz w:val="17"/>
                <w:szCs w:val="17"/>
                <w:color w:val="auto"/>
              </w:rPr>
              <w:t>Financial Reports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25.20</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Fees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25.21</w:t>
            </w:r>
          </w:p>
        </w:tc>
        <w:tc>
          <w:tcPr>
            <w:tcW w:w="5500" w:type="dxa"/>
            <w:vAlign w:val="bottom"/>
            <w:gridSpan w:val="3"/>
          </w:tcPr>
          <w:p>
            <w:pPr>
              <w:spacing w:after="0"/>
              <w:rPr>
                <w:sz w:val="20"/>
                <w:szCs w:val="20"/>
                <w:color w:val="auto"/>
              </w:rPr>
            </w:pPr>
            <w:r>
              <w:rPr>
                <w:rFonts w:ascii="Arial" w:cs="Arial" w:eastAsia="Arial" w:hAnsi="Arial"/>
                <w:sz w:val="17"/>
                <w:szCs w:val="17"/>
                <w:color w:val="auto"/>
              </w:rPr>
              <w:t>Telecommunications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25.22</w:t>
            </w:r>
          </w:p>
        </w:tc>
        <w:tc>
          <w:tcPr>
            <w:tcW w:w="5500" w:type="dxa"/>
            <w:vAlign w:val="bottom"/>
            <w:gridSpan w:val="3"/>
          </w:tcPr>
          <w:p>
            <w:pPr>
              <w:spacing w:after="0"/>
              <w:rPr>
                <w:sz w:val="20"/>
                <w:szCs w:val="20"/>
                <w:color w:val="auto"/>
              </w:rPr>
            </w:pPr>
            <w:r>
              <w:rPr>
                <w:rFonts w:ascii="Arial" w:cs="Arial" w:eastAsia="Arial" w:hAnsi="Arial"/>
                <w:sz w:val="17"/>
                <w:szCs w:val="17"/>
                <w:color w:val="auto"/>
              </w:rPr>
              <w:t>Confidentiality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25.23</w:t>
            </w:r>
          </w:p>
        </w:tc>
        <w:tc>
          <w:tcPr>
            <w:tcW w:w="5500" w:type="dxa"/>
            <w:vAlign w:val="bottom"/>
            <w:gridSpan w:val="3"/>
          </w:tcPr>
          <w:p>
            <w:pPr>
              <w:spacing w:after="0"/>
              <w:rPr>
                <w:sz w:val="20"/>
                <w:szCs w:val="20"/>
                <w:color w:val="auto"/>
              </w:rPr>
            </w:pPr>
            <w:r>
              <w:rPr>
                <w:rFonts w:ascii="Arial" w:cs="Arial" w:eastAsia="Arial" w:hAnsi="Arial"/>
                <w:sz w:val="17"/>
                <w:szCs w:val="17"/>
                <w:color w:val="auto"/>
              </w:rPr>
              <w:t>Authority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25.24</w:t>
            </w:r>
          </w:p>
        </w:tc>
        <w:tc>
          <w:tcPr>
            <w:tcW w:w="5500" w:type="dxa"/>
            <w:vAlign w:val="bottom"/>
            <w:gridSpan w:val="3"/>
          </w:tcPr>
          <w:p>
            <w:pPr>
              <w:spacing w:after="0"/>
              <w:rPr>
                <w:sz w:val="20"/>
                <w:szCs w:val="20"/>
                <w:color w:val="auto"/>
              </w:rPr>
            </w:pPr>
            <w:r>
              <w:rPr>
                <w:rFonts w:ascii="Arial" w:cs="Arial" w:eastAsia="Arial" w:hAnsi="Arial"/>
                <w:sz w:val="17"/>
                <w:szCs w:val="17"/>
                <w:color w:val="auto"/>
              </w:rPr>
              <w:t>Hazardous Materials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25.25</w:t>
            </w:r>
          </w:p>
        </w:tc>
        <w:tc>
          <w:tcPr>
            <w:tcW w:w="5500" w:type="dxa"/>
            <w:vAlign w:val="bottom"/>
            <w:gridSpan w:val="3"/>
          </w:tcPr>
          <w:p>
            <w:pPr>
              <w:spacing w:after="0"/>
              <w:rPr>
                <w:sz w:val="20"/>
                <w:szCs w:val="20"/>
                <w:color w:val="auto"/>
              </w:rPr>
            </w:pPr>
            <w:r>
              <w:rPr>
                <w:rFonts w:ascii="Arial" w:cs="Arial" w:eastAsia="Arial" w:hAnsi="Arial"/>
                <w:sz w:val="17"/>
                <w:szCs w:val="17"/>
                <w:color w:val="auto"/>
              </w:rPr>
              <w:t>List of Exhibits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25.26</w:t>
            </w:r>
          </w:p>
        </w:tc>
        <w:tc>
          <w:tcPr>
            <w:tcW w:w="5500" w:type="dxa"/>
            <w:vAlign w:val="bottom"/>
            <w:gridSpan w:val="3"/>
          </w:tcPr>
          <w:p>
            <w:pPr>
              <w:spacing w:after="0"/>
              <w:rPr>
                <w:sz w:val="20"/>
                <w:szCs w:val="20"/>
                <w:color w:val="auto"/>
              </w:rPr>
            </w:pPr>
            <w:r>
              <w:rPr>
                <w:rFonts w:ascii="Arial" w:cs="Arial" w:eastAsia="Arial" w:hAnsi="Arial"/>
                <w:sz w:val="17"/>
                <w:szCs w:val="17"/>
                <w:color w:val="auto"/>
              </w:rPr>
              <w:t>Determination of Charges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25.27</w:t>
            </w:r>
          </w:p>
        </w:tc>
        <w:tc>
          <w:tcPr>
            <w:tcW w:w="5500" w:type="dxa"/>
            <w:vAlign w:val="bottom"/>
            <w:gridSpan w:val="3"/>
          </w:tcPr>
          <w:p>
            <w:pPr>
              <w:spacing w:after="0"/>
              <w:rPr>
                <w:sz w:val="20"/>
                <w:szCs w:val="20"/>
                <w:color w:val="auto"/>
              </w:rPr>
            </w:pPr>
            <w:r>
              <w:rPr>
                <w:rFonts w:ascii="Arial" w:cs="Arial" w:eastAsia="Arial" w:hAnsi="Arial"/>
                <w:sz w:val="17"/>
                <w:szCs w:val="17"/>
                <w:color w:val="auto"/>
              </w:rPr>
              <w:t>Prohibited Persons and Transactions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25.28</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Consumer Rights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408"/>
        </w:trPr>
        <w:tc>
          <w:tcPr>
            <w:tcW w:w="900" w:type="dxa"/>
            <w:vAlign w:val="bottom"/>
          </w:tcPr>
          <w:p>
            <w:pPr>
              <w:spacing w:after="0"/>
              <w:rPr>
                <w:sz w:val="20"/>
                <w:szCs w:val="20"/>
                <w:color w:val="auto"/>
              </w:rPr>
            </w:pPr>
            <w:r>
              <w:rPr>
                <w:rFonts w:ascii="Arial" w:cs="Arial" w:eastAsia="Arial" w:hAnsi="Arial"/>
                <w:sz w:val="17"/>
                <w:szCs w:val="17"/>
                <w:color w:val="auto"/>
              </w:rPr>
              <w:t>26.</w:t>
            </w:r>
          </w:p>
        </w:tc>
        <w:tc>
          <w:tcPr>
            <w:tcW w:w="6380" w:type="dxa"/>
            <w:vAlign w:val="bottom"/>
            <w:gridSpan w:val="4"/>
          </w:tcPr>
          <w:p>
            <w:pPr>
              <w:spacing w:after="0"/>
              <w:rPr>
                <w:sz w:val="20"/>
                <w:szCs w:val="20"/>
                <w:color w:val="auto"/>
              </w:rPr>
            </w:pPr>
            <w:r>
              <w:rPr>
                <w:rFonts w:ascii="Arial" w:cs="Arial" w:eastAsia="Arial" w:hAnsi="Arial"/>
                <w:sz w:val="17"/>
                <w:szCs w:val="17"/>
                <w:color w:val="auto"/>
              </w:rPr>
              <w:t>OTHER PROVISIONS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26.1</w:t>
            </w:r>
          </w:p>
        </w:tc>
        <w:tc>
          <w:tcPr>
            <w:tcW w:w="5500" w:type="dxa"/>
            <w:vAlign w:val="bottom"/>
            <w:gridSpan w:val="3"/>
          </w:tcPr>
          <w:p>
            <w:pPr>
              <w:spacing w:after="0"/>
              <w:rPr>
                <w:sz w:val="20"/>
                <w:szCs w:val="20"/>
                <w:color w:val="auto"/>
              </w:rPr>
            </w:pPr>
            <w:r>
              <w:rPr>
                <w:rFonts w:ascii="Arial" w:cs="Arial" w:eastAsia="Arial" w:hAnsi="Arial"/>
                <w:sz w:val="17"/>
                <w:szCs w:val="17"/>
                <w:color w:val="auto"/>
              </w:rPr>
              <w:t>Signage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26.2</w:t>
            </w:r>
          </w:p>
        </w:tc>
        <w:tc>
          <w:tcPr>
            <w:tcW w:w="5500" w:type="dxa"/>
            <w:vAlign w:val="bottom"/>
            <w:gridSpan w:val="3"/>
          </w:tcPr>
          <w:p>
            <w:pPr>
              <w:spacing w:after="0"/>
              <w:rPr>
                <w:sz w:val="20"/>
                <w:szCs w:val="20"/>
                <w:color w:val="auto"/>
              </w:rPr>
            </w:pPr>
            <w:r>
              <w:rPr>
                <w:rFonts w:ascii="Arial" w:cs="Arial" w:eastAsia="Arial" w:hAnsi="Arial"/>
                <w:sz w:val="17"/>
                <w:szCs w:val="17"/>
                <w:color w:val="auto"/>
              </w:rPr>
              <w:t>Early Entry by Tenant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26.3</w:t>
            </w:r>
          </w:p>
        </w:tc>
        <w:tc>
          <w:tcPr>
            <w:tcW w:w="5500" w:type="dxa"/>
            <w:vAlign w:val="bottom"/>
            <w:gridSpan w:val="3"/>
          </w:tcPr>
          <w:p>
            <w:pPr>
              <w:spacing w:after="0"/>
              <w:rPr>
                <w:sz w:val="20"/>
                <w:szCs w:val="20"/>
                <w:color w:val="auto"/>
              </w:rPr>
            </w:pPr>
            <w:r>
              <w:rPr>
                <w:rFonts w:ascii="Arial" w:cs="Arial" w:eastAsia="Arial" w:hAnsi="Arial"/>
                <w:sz w:val="17"/>
                <w:szCs w:val="17"/>
                <w:color w:val="auto"/>
              </w:rPr>
              <w:t>Rooftop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26.4</w:t>
            </w:r>
          </w:p>
        </w:tc>
        <w:tc>
          <w:tcPr>
            <w:tcW w:w="5500" w:type="dxa"/>
            <w:vAlign w:val="bottom"/>
            <w:gridSpan w:val="3"/>
          </w:tcPr>
          <w:p>
            <w:pPr>
              <w:spacing w:after="0"/>
              <w:rPr>
                <w:sz w:val="20"/>
                <w:szCs w:val="20"/>
                <w:color w:val="auto"/>
              </w:rPr>
            </w:pPr>
            <w:r>
              <w:rPr>
                <w:rFonts w:ascii="Arial" w:cs="Arial" w:eastAsia="Arial" w:hAnsi="Arial"/>
                <w:sz w:val="17"/>
                <w:szCs w:val="17"/>
                <w:color w:val="auto"/>
              </w:rPr>
              <w:t>Generator and UPS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26.5</w:t>
            </w:r>
          </w:p>
        </w:tc>
        <w:tc>
          <w:tcPr>
            <w:tcW w:w="5500" w:type="dxa"/>
            <w:vAlign w:val="bottom"/>
            <w:gridSpan w:val="3"/>
          </w:tcPr>
          <w:p>
            <w:pPr>
              <w:spacing w:after="0"/>
              <w:rPr>
                <w:sz w:val="20"/>
                <w:szCs w:val="20"/>
                <w:color w:val="auto"/>
              </w:rPr>
            </w:pPr>
            <w:r>
              <w:rPr>
                <w:rFonts w:ascii="Arial" w:cs="Arial" w:eastAsia="Arial" w:hAnsi="Arial"/>
                <w:sz w:val="17"/>
                <w:szCs w:val="17"/>
                <w:color w:val="auto"/>
              </w:rPr>
              <w:t>Existing Security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60"/>
              <w:spacing w:after="0"/>
              <w:rPr>
                <w:sz w:val="20"/>
                <w:szCs w:val="20"/>
                <w:color w:val="auto"/>
              </w:rPr>
            </w:pPr>
            <w:r>
              <w:rPr>
                <w:rFonts w:ascii="Arial" w:cs="Arial" w:eastAsia="Arial" w:hAnsi="Arial"/>
                <w:sz w:val="17"/>
                <w:szCs w:val="17"/>
                <w:color w:val="auto"/>
                <w:w w:val="93"/>
              </w:rPr>
              <w:t>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00" w:type="dxa"/>
            <w:vAlign w:val="bottom"/>
            <w:gridSpan w:val="3"/>
          </w:tcPr>
          <w:p>
            <w:pPr>
              <w:jc w:val="center"/>
              <w:ind w:left="2273"/>
              <w:spacing w:after="0"/>
              <w:rPr>
                <w:sz w:val="20"/>
                <w:szCs w:val="20"/>
                <w:color w:val="auto"/>
              </w:rPr>
            </w:pPr>
            <w:r>
              <w:rPr>
                <w:rFonts w:ascii="Arial" w:cs="Arial" w:eastAsia="Arial" w:hAnsi="Arial"/>
                <w:sz w:val="17"/>
                <w:szCs w:val="17"/>
                <w:b w:val="1"/>
                <w:bCs w:val="1"/>
                <w:color w:val="auto"/>
              </w:rPr>
              <w:t>LIST OF DEFINED TERMS</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00"/>
        </w:trPr>
        <w:tc>
          <w:tcPr>
            <w:tcW w:w="1780" w:type="dxa"/>
            <w:vAlign w:val="bottom"/>
            <w:gridSpan w:val="2"/>
          </w:tcPr>
          <w:p>
            <w:pPr>
              <w:spacing w:after="0"/>
              <w:rPr>
                <w:sz w:val="20"/>
                <w:szCs w:val="20"/>
                <w:color w:val="auto"/>
              </w:rPr>
            </w:pPr>
            <w:r>
              <w:rPr>
                <w:rFonts w:ascii="Arial" w:cs="Arial" w:eastAsia="Arial" w:hAnsi="Arial"/>
                <w:sz w:val="17"/>
                <w:szCs w:val="17"/>
                <w:color w:val="auto"/>
              </w:rPr>
              <w:t>Additional Rent</w:t>
            </w: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Affiliate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Approved Janitorial Contractor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Architect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Auxiliary Power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Basic Lease Information</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Basic Rent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Building</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Structure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Systems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Casualty</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Collateral</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Commencement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Corporate Debt Rating</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Corporate Debt Rating Requirement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Damage Notice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w w:val="93"/>
              </w:rPr>
              <w:t>Default Rate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Disabilities Acts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Electrical Costs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Estimated Delivery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Event of Default</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4"/>
              </w:rPr>
              <w:t>Existing Security System</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GAAP</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Generator</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1780" w:type="dxa"/>
            <w:vAlign w:val="bottom"/>
            <w:gridSpan w:val="2"/>
          </w:tcPr>
          <w:p>
            <w:pPr>
              <w:spacing w:after="0"/>
              <w:rPr>
                <w:sz w:val="20"/>
                <w:szCs w:val="20"/>
                <w:color w:val="auto"/>
              </w:rPr>
            </w:pPr>
            <w:r>
              <w:rPr>
                <w:rFonts w:ascii="Arial" w:cs="Arial" w:eastAsia="Arial" w:hAnsi="Arial"/>
                <w:sz w:val="17"/>
                <w:szCs w:val="17"/>
                <w:color w:val="auto"/>
              </w:rPr>
              <w:t>Hazardous Materials</w:t>
            </w: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-7842885</wp:posOffset>
            </wp:positionV>
            <wp:extent cx="12700"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-7842885</wp:posOffset>
            </wp:positionV>
            <wp:extent cx="12700" cy="292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-4204970</wp:posOffset>
            </wp:positionV>
            <wp:extent cx="12700" cy="292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-4204970</wp:posOffset>
            </wp:positionV>
            <wp:extent cx="12700" cy="292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HVAC</w:t>
            </w:r>
          </w:p>
        </w:tc>
        <w:tc>
          <w:tcPr>
            <w:tcW w:w="73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including</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Landlord’s Mortgagee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Date</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Month</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Loss</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Mandatory Removal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Monetary Event of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Moody’s</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negotiating to lease space</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Non-Standard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OFAC</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Operating Costs</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Parking Area</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Transferee</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Use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419"/>
        </w:trPr>
        <w:tc>
          <w:tcPr>
            <w:tcW w:w="4160" w:type="dxa"/>
            <w:vAlign w:val="bottom"/>
          </w:tcPr>
          <w:p>
            <w:pPr>
              <w:spacing w:after="0"/>
              <w:rPr>
                <w:sz w:val="24"/>
                <w:szCs w:val="24"/>
                <w:color w:val="auto"/>
              </w:rPr>
            </w:pPr>
          </w:p>
        </w:tc>
        <w:tc>
          <w:tcPr>
            <w:tcW w:w="7300" w:type="dxa"/>
            <w:vAlign w:val="bottom"/>
          </w:tcPr>
          <w:p>
            <w:pPr>
              <w:jc w:val="right"/>
              <w:ind w:right="5593"/>
              <w:spacing w:after="0"/>
              <w:rPr>
                <w:sz w:val="20"/>
                <w:szCs w:val="20"/>
                <w:color w:val="auto"/>
              </w:rPr>
            </w:pPr>
            <w:r>
              <w:rPr>
                <w:rFonts w:ascii="Arial" w:cs="Arial" w:eastAsia="Arial" w:hAnsi="Arial"/>
                <w:sz w:val="17"/>
                <w:szCs w:val="17"/>
                <w:color w:val="auto"/>
              </w:rPr>
              <w:t>vi</w:t>
            </w:r>
          </w:p>
        </w:tc>
      </w:tr>
      <w:tr>
        <w:trPr>
          <w:trHeight w:val="128"/>
        </w:trPr>
        <w:tc>
          <w:tcPr>
            <w:tcW w:w="4160" w:type="dxa"/>
            <w:vAlign w:val="bottom"/>
            <w:tcBorders>
              <w:bottom w:val="single" w:sz="8" w:color="010101"/>
            </w:tcBorders>
          </w:tcPr>
          <w:p>
            <w:pPr>
              <w:spacing w:after="0"/>
              <w:rPr>
                <w:sz w:val="11"/>
                <w:szCs w:val="11"/>
                <w:color w:val="auto"/>
              </w:rPr>
            </w:pPr>
          </w:p>
        </w:tc>
        <w:tc>
          <w:tcPr>
            <w:tcW w:w="7300" w:type="dxa"/>
            <w:vAlign w:val="bottom"/>
            <w:tcBorders>
              <w:bottom w:val="single" w:sz="8" w:color="010101"/>
            </w:tcBorders>
          </w:tcPr>
          <w:p>
            <w:pPr>
              <w:spacing w:after="0"/>
              <w:rPr>
                <w:sz w:val="11"/>
                <w:szCs w:val="11"/>
                <w:color w:val="auto"/>
              </w:rPr>
            </w:pPr>
          </w:p>
        </w:tc>
      </w:tr>
      <w:tr>
        <w:trPr>
          <w:trHeight w:val="745"/>
        </w:trPr>
        <w:tc>
          <w:tcPr>
            <w:tcW w:w="4160" w:type="dxa"/>
            <w:vAlign w:val="bottom"/>
          </w:tcPr>
          <w:p>
            <w:pPr>
              <w:spacing w:after="0"/>
              <w:rPr>
                <w:sz w:val="20"/>
                <w:szCs w:val="20"/>
                <w:color w:val="auto"/>
              </w:rPr>
            </w:pPr>
            <w:r>
              <w:rPr>
                <w:rFonts w:ascii="Arial" w:cs="Arial" w:eastAsia="Arial" w:hAnsi="Arial"/>
                <w:sz w:val="17"/>
                <w:szCs w:val="17"/>
                <w:color w:val="auto"/>
              </w:rPr>
              <w:t>Prevailing Rental Rate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Primary 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Project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Punchlist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reasonable wear and tear</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Reconciliation Statement</w:t>
            </w:r>
          </w:p>
        </w:tc>
        <w:tc>
          <w:tcPr>
            <w:tcW w:w="73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related complex</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Release</w:t>
            </w:r>
          </w:p>
        </w:tc>
        <w:tc>
          <w:tcPr>
            <w:tcW w:w="73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Removal Notice</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Rent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Repair Period</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Rooftop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S&amp;P</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Security Deposit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Space Plans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 Completion</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Substantially Completed</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Substitute 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Taking</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Worth/Credit Threshold</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Taxes</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Telecommunications Services</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Party</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Off-Premises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Proportionate Share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Term</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Test-Fit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UCC</w:t>
            </w:r>
          </w:p>
        </w:tc>
        <w:tc>
          <w:tcPr>
            <w:tcW w:w="73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UPS System</w:t>
            </w:r>
          </w:p>
        </w:tc>
        <w:tc>
          <w:tcPr>
            <w:tcW w:w="73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Visible 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Wiring and Cabling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Working Drawings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Working Drawings Delivery Deadline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-5570220</wp:posOffset>
            </wp:positionV>
            <wp:extent cx="12700"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-5570220</wp:posOffset>
            </wp:positionV>
            <wp:extent cx="12700" cy="292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LEASE</w:t>
      </w:r>
    </w:p>
    <w:p>
      <w:pPr>
        <w:sectPr>
          <w:pgSz w:w="11900" w:h="16838" w:orient="portrait"/>
          <w:cols w:equalWidth="0" w:num="1">
            <w:col w:w="11460"/>
          </w:cols>
          <w:pgMar w:left="240" w:top="127" w:right="199" w:bottom="121" w:gutter="0" w:footer="0" w:header="0"/>
        </w:sectPr>
      </w:pPr>
    </w:p>
    <w:bookmarkStart w:id="293" w:name="page294"/>
    <w:bookmarkEnd w:id="293"/>
    <w:p>
      <w:pPr>
        <w:ind w:right="160" w:firstLine="629"/>
        <w:spacing w:after="0" w:line="297" w:lineRule="auto"/>
        <w:rPr>
          <w:sz w:val="20"/>
          <w:szCs w:val="20"/>
          <w:color w:val="auto"/>
        </w:rPr>
      </w:pPr>
      <w:r>
        <w:rPr>
          <w:rFonts w:ascii="Arial" w:cs="Arial" w:eastAsia="Arial" w:hAnsi="Arial"/>
          <w:sz w:val="17"/>
          <w:szCs w:val="17"/>
          <w:color w:val="auto"/>
        </w:rPr>
        <w:t xml:space="preserve">This Lease Agreement (this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is entered into as of the Lease Date between Landlord and Tenant (as each such term is defined in the Basic Lease Information).</w:t>
      </w:r>
    </w:p>
    <w:p>
      <w:pPr>
        <w:spacing w:after="0" w:line="145" w:lineRule="exact"/>
        <w:rPr>
          <w:sz w:val="20"/>
          <w:szCs w:val="20"/>
          <w:color w:val="auto"/>
        </w:rPr>
      </w:pPr>
    </w:p>
    <w:p>
      <w:pPr>
        <w:ind w:right="20" w:firstLine="634"/>
        <w:spacing w:after="0" w:line="279" w:lineRule="auto"/>
        <w:tabs>
          <w:tab w:leader="none" w:pos="1258" w:val="left"/>
        </w:tabs>
        <w:numPr>
          <w:ilvl w:val="0"/>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 and Basic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definitions and basic provisions set forth in the Basic Lease Information (the “</w:t>
      </w:r>
      <w:r>
        <w:rPr>
          <w:rFonts w:ascii="Arial" w:cs="Arial" w:eastAsia="Arial" w:hAnsi="Arial"/>
          <w:sz w:val="16"/>
          <w:szCs w:val="16"/>
          <w:b w:val="1"/>
          <w:bCs w:val="1"/>
          <w:u w:val="single" w:color="auto"/>
          <w:color w:val="auto"/>
        </w:rPr>
        <w:t>Basic Lease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are incorporated herein by reference for all purposes. Additionally, the following terms shall have the following meanings when used in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any person or entity which, directly or indirectly, through one or more intermediaries, controls, is controlled by, or is under common control with the party in question; “</w:t>
      </w:r>
      <w:r>
        <w:rPr>
          <w:rFonts w:ascii="Arial" w:cs="Arial" w:eastAsia="Arial" w:hAnsi="Arial"/>
          <w:sz w:val="16"/>
          <w:szCs w:val="16"/>
          <w:b w:val="1"/>
          <w:bCs w:val="1"/>
          <w:u w:val="single" w:color="auto"/>
          <w:color w:val="auto"/>
        </w:rPr>
        <w:t>Building’s Structure</w:t>
      </w:r>
      <w:r>
        <w:rPr>
          <w:rFonts w:ascii="Arial" w:cs="Arial" w:eastAsia="Arial" w:hAnsi="Arial"/>
          <w:sz w:val="16"/>
          <w:szCs w:val="16"/>
          <w:color w:val="auto"/>
        </w:rPr>
        <w:t>” means the Building’s roof and roof membrane, elevator shafts, footings, foundations, structural portions of load-bearing walls, structural floors and subfloors, structural columns and beams, and curtain walls; “</w:t>
      </w:r>
      <w:r>
        <w:rPr>
          <w:rFonts w:ascii="Arial" w:cs="Arial" w:eastAsia="Arial" w:hAnsi="Arial"/>
          <w:sz w:val="16"/>
          <w:szCs w:val="16"/>
          <w:b w:val="1"/>
          <w:bCs w:val="1"/>
          <w:u w:val="single" w:color="auto"/>
          <w:color w:val="auto"/>
        </w:rPr>
        <w:t>Building’s Systems</w:t>
      </w:r>
      <w:r>
        <w:rPr>
          <w:rFonts w:ascii="Arial" w:cs="Arial" w:eastAsia="Arial" w:hAnsi="Arial"/>
          <w:sz w:val="16"/>
          <w:szCs w:val="16"/>
          <w:color w:val="auto"/>
        </w:rPr>
        <w:t>” means the Building’s HVAC, life-safety, plumbing, electrical, mechanical and elevator systems; “</w:t>
      </w:r>
      <w:r>
        <w:rPr>
          <w:rFonts w:ascii="Arial" w:cs="Arial" w:eastAsia="Arial" w:hAnsi="Arial"/>
          <w:sz w:val="16"/>
          <w:szCs w:val="16"/>
          <w:b w:val="1"/>
          <w:bCs w:val="1"/>
          <w:u w:val="single" w:color="auto"/>
          <w:color w:val="auto"/>
        </w:rPr>
        <w:t>including</w:t>
      </w:r>
      <w:r>
        <w:rPr>
          <w:rFonts w:ascii="Arial" w:cs="Arial" w:eastAsia="Arial" w:hAnsi="Arial"/>
          <w:sz w:val="16"/>
          <w:szCs w:val="16"/>
          <w:color w:val="auto"/>
        </w:rPr>
        <w:t>” means including, without limitation;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means all federal, state and local laws, ordinances, building codes and standards, rules and regulations, all court orders, governmental directives, and governmental orders and all interpretations of the foregoing, and all restrictive covenants affecting the Project, and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means any of the foregoing; “</w:t>
      </w:r>
      <w:r>
        <w:rPr>
          <w:rFonts w:ascii="Arial" w:cs="Arial" w:eastAsia="Arial" w:hAnsi="Arial"/>
          <w:sz w:val="16"/>
          <w:szCs w:val="16"/>
          <w:b w:val="1"/>
          <w:bCs w:val="1"/>
          <w:u w:val="single" w:color="auto"/>
          <w:color w:val="auto"/>
        </w:rPr>
        <w:t>Tenant’s Off-Premises Equipment</w:t>
      </w:r>
      <w:r>
        <w:rPr>
          <w:rFonts w:ascii="Arial" w:cs="Arial" w:eastAsia="Arial" w:hAnsi="Arial"/>
          <w:sz w:val="16"/>
          <w:szCs w:val="16"/>
          <w:color w:val="auto"/>
        </w:rPr>
        <w:t>” means any of Tenant’s equipment or other property that may be located on or about the Project or the related complex (other than inside the Premises); and “</w:t>
      </w:r>
      <w:r>
        <w:rPr>
          <w:rFonts w:ascii="Arial" w:cs="Arial" w:eastAsia="Arial" w:hAnsi="Arial"/>
          <w:sz w:val="16"/>
          <w:szCs w:val="16"/>
          <w:b w:val="1"/>
          <w:bCs w:val="1"/>
          <w:u w:val="single" w:color="auto"/>
          <w:color w:val="auto"/>
        </w:rPr>
        <w:t>Tenant Party</w:t>
      </w:r>
      <w:r>
        <w:rPr>
          <w:rFonts w:ascii="Arial" w:cs="Arial" w:eastAsia="Arial" w:hAnsi="Arial"/>
          <w:sz w:val="16"/>
          <w:szCs w:val="16"/>
          <w:u w:val="single" w:color="auto"/>
          <w:color w:val="auto"/>
        </w:rPr>
        <w:t>”</w:t>
      </w:r>
      <w:r>
        <w:rPr>
          <w:rFonts w:ascii="Arial" w:cs="Arial" w:eastAsia="Arial" w:hAnsi="Arial"/>
          <w:sz w:val="16"/>
          <w:szCs w:val="16"/>
          <w:color w:val="auto"/>
        </w:rPr>
        <w:t xml:space="preserve"> means any of the following persons: Tenant; any assignees claiming by, through, or under Tenant; any subtenants claiming by, through, or under Tenant; and any of their respective agents, contractors, officers, employees, licensees, guests and invitees.</w:t>
      </w:r>
    </w:p>
    <w:p>
      <w:pPr>
        <w:spacing w:after="0" w:line="164" w:lineRule="exact"/>
        <w:rPr>
          <w:rFonts w:ascii="Arial" w:cs="Arial" w:eastAsia="Arial" w:hAnsi="Arial"/>
          <w:sz w:val="16"/>
          <w:szCs w:val="16"/>
          <w:color w:val="auto"/>
        </w:rPr>
      </w:pPr>
    </w:p>
    <w:p>
      <w:pPr>
        <w:ind w:left="1260" w:hanging="626"/>
        <w:spacing w:after="0"/>
        <w:tabs>
          <w:tab w:leader="none" w:pos="1260" w:val="left"/>
        </w:tabs>
        <w:numPr>
          <w:ilvl w:val="0"/>
          <w:numId w:val="415"/>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Lease, Landlord leases to Tenant, and Tenant leases from Landlord, the Premises.</w:t>
      </w:r>
    </w:p>
    <w:p>
      <w:pPr>
        <w:spacing w:after="0" w:line="224" w:lineRule="exact"/>
        <w:rPr>
          <w:rFonts w:ascii="Arial" w:cs="Arial" w:eastAsia="Arial" w:hAnsi="Arial"/>
          <w:sz w:val="17"/>
          <w:szCs w:val="17"/>
          <w:color w:val="auto"/>
        </w:rPr>
      </w:pPr>
    </w:p>
    <w:p>
      <w:pPr>
        <w:ind w:firstLine="634"/>
        <w:spacing w:after="0" w:line="278" w:lineRule="auto"/>
        <w:tabs>
          <w:tab w:leader="none" w:pos="1258" w:val="left"/>
        </w:tabs>
        <w:numPr>
          <w:ilvl w:val="0"/>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Tender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presently anticipate that possession of the Premises will be tendered to Tenant in the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this Lease on or about February 1, 2013 or, if later, 65 days following Tenant’s execution and delivery of this Lease to Landlord, regardless of the date on which Landlord countersigns this Lease (such later date being the “</w:t>
      </w:r>
      <w:r>
        <w:rPr>
          <w:rFonts w:ascii="Arial" w:cs="Arial" w:eastAsia="Arial" w:hAnsi="Arial"/>
          <w:sz w:val="16"/>
          <w:szCs w:val="16"/>
          <w:b w:val="1"/>
          <w:bCs w:val="1"/>
          <w:u w:val="single" w:color="auto"/>
          <w:color w:val="auto"/>
        </w:rPr>
        <w:t>Estimated Delivery Date</w:t>
      </w:r>
      <w:r>
        <w:rPr>
          <w:rFonts w:ascii="Arial" w:cs="Arial" w:eastAsia="Arial" w:hAnsi="Arial"/>
          <w:sz w:val="16"/>
          <w:szCs w:val="16"/>
          <w:color w:val="auto"/>
        </w:rPr>
        <w:t xml:space="preserve">”). If Landlord does not tender possession of the Premises with the Work Substantially Completed to Tenant by the Estimated Delivery Date, then (a) the validity of this Lease shall not be affected or impaired thereby, (b) Landlord shall not be in default hereunder or be liable for damages therefor, and (c) Tenant shall accept possession of the Premises when Landlord tenders possession thereof to Tenant. Tenant shall have early access to the Premises as provided in Section 26.2. By occupying the Premises, Tenant shall be deemed to have accepted the Premises in their condition as of the date of such occupancy, subject to the performance of punch-list items that remain to be performed by Landlord, if any. Prior to occupying the Premises, Tenant shall execute and deliver to Landlord a letter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however, the failure of the parties to execute such letter shall not defer the Commencement Date or otherwise invalidate this Lease. Entry into the Premises by any Tenant Party prior to the Commencement Date shall be subject to all of the provisions of this Lease excepting only those requiring the payment of Basic Rent and Additional Rent.</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0"/>
          <w:numId w:val="415"/>
        </w:numPr>
        <w:rPr>
          <w:rFonts w:ascii="Arial" w:cs="Arial" w:eastAsia="Arial" w:hAnsi="Arial"/>
          <w:sz w:val="17"/>
          <w:szCs w:val="17"/>
          <w:color w:val="auto"/>
        </w:rPr>
      </w:pPr>
      <w:r>
        <w:rPr>
          <w:rFonts w:ascii="Arial" w:cs="Arial" w:eastAsia="Arial" w:hAnsi="Arial"/>
          <w:sz w:val="17"/>
          <w:szCs w:val="17"/>
          <w:b w:val="1"/>
          <w:bCs w:val="1"/>
          <w:u w:val="single" w:color="auto"/>
          <w:color w:val="auto"/>
        </w:rPr>
        <w:t>Rent</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8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timely pay to Landlord Rent, without notice, demand, deduction or set off (except as otherwise expressly provided herein), by good and sufficient check drawn on a national banking association, or, at either party’s election, by electronic or wire transfer, at Landlord’s address provided for in this Lease or such other address as may be specified in writing by Landlord, and shall be accompanied by all applicable state and local sales or use taxes; provided, that following any monetary Event of Default by Tenant, Landlord shall be permitted to require alternative methods of payment, in Landlord’s sole discretion. The obligations of Tenant to pay Rent to Landlord and the obligations of Landlord under this Lease are independent obligations. Basic Rent, adjusted as herein provided, shall be payable monthly in advance. The first monthly installment of Basic Rent, in the amount payable under this Lease after the end of all Basic Rent abatement periods provided in the Basic Lease Information, is due upon execution of this Lease by Tenant; thereafter, Basic Rent shall be payable on the first day of each calendar month, subject to any Basic Rent abatement provision in the Basic Lease Information. The monthly Basic Rent for any partial month at the beginning of the Term shall equal the product of 1/365 of the annual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Basic Rent in effect during the partial month and the number of days in the partial month, and such Basic Rent payment is due upon execution of this Lease by Tenant; however, if the Commencement Date is not a fixed date that is ascertainable as of the Lease Date, then such Basic Rent payment for any fractional calendar month at the beginning of the Term shall be due by Tenant on the Commencement Date. Payments of Basic Rent for any fractional calendar month at the end of the Term shall be similarly prorated. Tenant shall pay to Landlord monthly installments of Additional Rent in advance on the first day of each calendar month and otherwise on the same terms and conditions described above with respect to Basic Rent, Unless a shorter time period is specified in this Lease, all payments of miscellaneous Rent charges hereunder (that is, all Rent other than Basic Rent and Additional Rent) shall be due and payable within 30 days following Landlord’s delivery to Tenant of an invoice therefor.</w:t>
      </w:r>
    </w:p>
    <w:p>
      <w:pPr>
        <w:spacing w:after="0" w:line="17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Additional Rent</w:t>
      </w:r>
      <w:r>
        <w:rPr>
          <w:rFonts w:ascii="Arial" w:cs="Arial" w:eastAsia="Arial" w:hAnsi="Arial"/>
          <w:sz w:val="16"/>
          <w:szCs w:val="16"/>
          <w:b w:val="1"/>
          <w:bCs w:val="1"/>
          <w:color w:val="auto"/>
        </w:rPr>
        <w:t>.</w:t>
      </w:r>
    </w:p>
    <w:p>
      <w:pPr>
        <w:spacing w:after="0" w:line="224"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Operating Costs</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pay to Landlord Tenant’s Proportionate Share of Operating Costs. Prior to each calendar year Landlord shall provide to Tenant in writing a good faith estimate of Operating Costs to be due by Tenant for the following calendar year or part thereof during the Term. Landlord estimates that Operating Costs for calendar year 2013 shall be $10.50 per rentable square foot; however, such amount is merely an estimate and shall not be binding on Landlord or Tenant. During each calendar year or partial calendar year of the Term, Tenant shall pay to Landlord, in advance concurrently with each monthly installment of Basic Rent, an amount equal to Tenant’s estimated Operating Costs for such calendar year or part thereof divided by the number of months therein. From time to time, Landlord may re-estimate (but Landlord may not re-estimate more than twice in any calendar year), the Operating Costs to be due by Tenant and deliver a copy of the re-estimate to Tenant. Thereafter, the monthly installments of Operating Costs payable by Tenant shall be appropriately adjusted in accordance with the estimations so that, by the end of the calendar year in question, Tenant shall have paid all of the Operating Costs as estimated by Landlord. Any amounts paid based on such an estimate shall be subject to adjustment as herein provided when actual Operating Costs are available for each calendar year.</w:t>
      </w:r>
    </w:p>
    <w:p>
      <w:pPr>
        <w:spacing w:after="0" w:line="168" w:lineRule="exact"/>
        <w:rPr>
          <w:sz w:val="20"/>
          <w:szCs w:val="20"/>
          <w:color w:val="auto"/>
        </w:rPr>
      </w:pPr>
    </w:p>
    <w:p>
      <w:pPr>
        <w:ind w:left="640" w:right="40" w:firstLine="1258"/>
        <w:spacing w:after="0" w:line="300"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b w:val="1"/>
          <w:bCs w:val="1"/>
          <w:u w:val="single" w:color="auto"/>
          <w:color w:val="auto"/>
        </w:rPr>
        <w:t>Operating Costs Defined</w:t>
      </w:r>
      <w:r>
        <w:rPr>
          <w:rFonts w:ascii="Arial" w:cs="Arial" w:eastAsia="Arial" w:hAnsi="Arial"/>
          <w:sz w:val="15"/>
          <w:szCs w:val="15"/>
          <w:b w:val="1"/>
          <w:bCs w:val="1"/>
          <w:color w:val="auto"/>
        </w:rPr>
        <w:t>.</w:t>
      </w:r>
      <w:r>
        <w:rPr>
          <w:rFonts w:ascii="Arial" w:cs="Arial" w:eastAsia="Arial" w:hAnsi="Arial"/>
          <w:sz w:val="15"/>
          <w:szCs w:val="15"/>
          <w:color w:val="auto"/>
        </w:rPr>
        <w:t xml:space="preserve"> The term “</w:t>
      </w:r>
      <w:r>
        <w:rPr>
          <w:rFonts w:ascii="Arial" w:cs="Arial" w:eastAsia="Arial" w:hAnsi="Arial"/>
          <w:sz w:val="15"/>
          <w:szCs w:val="15"/>
          <w:b w:val="1"/>
          <w:bCs w:val="1"/>
          <w:u w:val="single" w:color="auto"/>
          <w:color w:val="auto"/>
        </w:rPr>
        <w:t>Operating Costs</w:t>
      </w:r>
      <w:r>
        <w:rPr>
          <w:rFonts w:ascii="Arial" w:cs="Arial" w:eastAsia="Arial" w:hAnsi="Arial"/>
          <w:sz w:val="15"/>
          <w:szCs w:val="15"/>
          <w:color w:val="auto"/>
        </w:rPr>
        <w:t>” means all costs, expenses and disbursements (subject to the limitations set forth below) that Landlord incurs in connection with the ownership, operation, and maintenance of the Project and performing Landlord’s obligations under this Lease, in each case, determined in accordance with sound accounting principles consistently applied, including the following costs:</w:t>
      </w:r>
    </w:p>
    <w:p>
      <w:pPr>
        <w:ind w:left="640" w:hanging="6"/>
        <w:spacing w:after="0" w:line="299" w:lineRule="auto"/>
        <w:tabs>
          <w:tab w:leader="none" w:pos="878" w:val="left"/>
        </w:tabs>
        <w:numPr>
          <w:ilvl w:val="0"/>
          <w:numId w:val="416"/>
        </w:numPr>
        <w:rPr>
          <w:rFonts w:ascii="Arial" w:cs="Arial" w:eastAsia="Arial" w:hAnsi="Arial"/>
          <w:sz w:val="15"/>
          <w:szCs w:val="15"/>
          <w:color w:val="auto"/>
        </w:rPr>
      </w:pPr>
      <w:r>
        <w:rPr>
          <w:rFonts w:ascii="Arial" w:cs="Arial" w:eastAsia="Arial" w:hAnsi="Arial"/>
          <w:sz w:val="15"/>
          <w:szCs w:val="15"/>
          <w:color w:val="auto"/>
        </w:rPr>
        <w:t>wages and salaries of all on-site employees at or below the grade of general manager engaged in the operation, maintenance or security of the Project (together with Landlord’s reasonable allocation of expenses of off-site employees at or below the grade of general manager who perform a portion of their services in connection with the operation, maintenance or security of the Project including accounting personnel), including taxes, insurance and benefits relating thereto; (b) all supplies and materials used in the operation, maintenance, repair, replacement, and security of the Project; (c)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amendment to or any</w:t>
      </w:r>
    </w:p>
    <w:p>
      <w:pPr>
        <w:sectPr>
          <w:pgSz w:w="11900" w:h="16838" w:orient="portrait"/>
          <w:cols w:equalWidth="0" w:num="1">
            <w:col w:w="11420"/>
          </w:cols>
          <w:pgMar w:left="240" w:top="121" w:right="239" w:bottom="0" w:gutter="0" w:footer="0" w:header="0"/>
        </w:sectPr>
      </w:pPr>
    </w:p>
    <w:bookmarkStart w:id="294" w:name="page295"/>
    <w:bookmarkEnd w:id="294"/>
    <w:p>
      <w:pPr>
        <w:ind w:left="6" w:right="40"/>
        <w:spacing w:after="0" w:line="279" w:lineRule="auto"/>
        <w:rPr>
          <w:sz w:val="20"/>
          <w:szCs w:val="20"/>
          <w:color w:val="auto"/>
        </w:rPr>
      </w:pPr>
      <w:r>
        <w:rPr>
          <w:rFonts w:ascii="Arial" w:cs="Arial" w:eastAsia="Arial" w:hAnsi="Arial"/>
          <w:sz w:val="16"/>
          <w:szCs w:val="16"/>
          <w:color w:val="auto"/>
        </w:rPr>
        <w:t>interpretation hereafter rendered with respect to any existing Law that have the effect of changing the legal requirements applicable to the Project from those currently in effect, as amortized using a commercially reasonable interest rate over the useful economic life of such improvements as determined by Landlord in its reasonable discretion; (d) cost of all utilities, except Electrical Costs and the cost of any utilities directly reimbursable to Landlord by the Project’s tenants other than pursuant to a provision similar to this Section 4.2.2; (e) insurance expenses, including the cost of any commercially reasonable deductibles; (f) repairs, replacements, and general maintenance of the Project; (g) fair market rental and other costs with respect to the management office for the Project; and (h) service, maintenance and management contracts and fees (payable to Landlord, Landlord’s affiliate or a third-party management company; provided that any costs paid to Landlord or Landlord’s affiliate for management services shall exclude amounts paid in excess of the competitive rates for management services of comparable quality rendered by persons or entities of similar skill, competence and experience) for the operation, maintenance, management, repair, replacement, or security of the Project (including alarm service, window cleaning, janitorial, security, landscape maintenance and elevator</w:t>
      </w:r>
    </w:p>
    <w:p>
      <w:pPr>
        <w:spacing w:after="0" w:line="16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spacing w:after="0" w:line="285" w:lineRule="auto"/>
        <w:rPr>
          <w:sz w:val="20"/>
          <w:szCs w:val="20"/>
          <w:color w:val="auto"/>
        </w:rPr>
      </w:pPr>
      <w:r>
        <w:rPr>
          <w:rFonts w:ascii="Arial" w:cs="Arial" w:eastAsia="Arial" w:hAnsi="Arial"/>
          <w:sz w:val="16"/>
          <w:szCs w:val="16"/>
          <w:color w:val="auto"/>
        </w:rPr>
        <w:t>maintenance), provided that in no event shall the management fee exceed 4% of the gross revenues of the Project. Landlord shall have the right to allocate costs among different uses of space in the Project if Landlord reasonably determines the costs for operating, maintaining and repairing such different spaces differ from other spaces within the Project. To the extent any Operating Costs, Taxes or Electrical Costs are shared among the multi-building complex of which the Building is a part (the “</w:t>
      </w:r>
      <w:r>
        <w:rPr>
          <w:rFonts w:ascii="Arial" w:cs="Arial" w:eastAsia="Arial" w:hAnsi="Arial"/>
          <w:sz w:val="16"/>
          <w:szCs w:val="16"/>
          <w:b w:val="1"/>
          <w:bCs w:val="1"/>
          <w:u w:val="single" w:color="auto"/>
          <w:color w:val="auto"/>
        </w:rPr>
        <w:t>related complex</w:t>
      </w:r>
      <w:r>
        <w:rPr>
          <w:rFonts w:ascii="Arial" w:cs="Arial" w:eastAsia="Arial" w:hAnsi="Arial"/>
          <w:sz w:val="16"/>
          <w:szCs w:val="16"/>
          <w:color w:val="auto"/>
        </w:rPr>
        <w:t>” which includes both Riata Corporate Park and Riata Crossing), such amounts shall be prorated among the Project and the other buildings of the related complex, as reasonably determined by Landlord.</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7"/>
          <w:szCs w:val="17"/>
          <w:color w:val="auto"/>
        </w:rPr>
        <w:t>Operating Costs shall not include costs for (1) capital improvements made to the Project, other than capital improvements described in</w:t>
      </w:r>
    </w:p>
    <w:p>
      <w:pPr>
        <w:spacing w:after="0" w:line="26" w:lineRule="exact"/>
        <w:rPr>
          <w:sz w:val="20"/>
          <w:szCs w:val="20"/>
          <w:color w:val="auto"/>
        </w:rPr>
      </w:pPr>
    </w:p>
    <w:p>
      <w:pPr>
        <w:ind w:left="6" w:right="60"/>
        <w:spacing w:after="0" w:line="291" w:lineRule="auto"/>
        <w:rPr>
          <w:sz w:val="20"/>
          <w:szCs w:val="20"/>
          <w:color w:val="auto"/>
        </w:rPr>
      </w:pPr>
      <w:r>
        <w:rPr>
          <w:rFonts w:ascii="Arial" w:cs="Arial" w:eastAsia="Arial" w:hAnsi="Arial"/>
          <w:sz w:val="15"/>
          <w:szCs w:val="15"/>
          <w:color w:val="auto"/>
        </w:rPr>
        <w:t>Section 4.2.2(c) and except for items which are generally considered maintenance and repair items, such as painting and wall covering of common areas, replacement of carpet or other floor coverings in elevator lobbies and common areas, and the like; (2) repair, replacements and general maintenance paid by proceeds of insurance, condemnation awards, or directly by Tenant or other third parties; (3) interest, amortization or other payments on loans to Landlord; (4) depreciation; (5) leasing commissions; (6) legal expenses for services, other than those that benefit the Project tenants generally (e.g., tax disputes and negotiation of vendor contracts); (7) renovating or otherwise improving space for specific occupants of the Project or vacant leasable space in the Project, other than costs for repairs, maintenance and compliance with Laws provided or made available to the Project tenants generally; (8) Taxes;</w:t>
      </w:r>
    </w:p>
    <w:p>
      <w:pPr>
        <w:spacing w:after="0" w:line="4" w:lineRule="exact"/>
        <w:rPr>
          <w:sz w:val="20"/>
          <w:szCs w:val="20"/>
          <w:color w:val="auto"/>
        </w:rPr>
      </w:pPr>
    </w:p>
    <w:p>
      <w:pPr>
        <w:ind w:left="6" w:right="20" w:hanging="6"/>
        <w:spacing w:after="0" w:line="275" w:lineRule="auto"/>
        <w:tabs>
          <w:tab w:leader="none" w:pos="253" w:val="left"/>
        </w:tabs>
        <w:numPr>
          <w:ilvl w:val="0"/>
          <w:numId w:val="417"/>
        </w:numPr>
        <w:rPr>
          <w:rFonts w:ascii="Arial" w:cs="Arial" w:eastAsia="Arial" w:hAnsi="Arial"/>
          <w:sz w:val="16"/>
          <w:szCs w:val="16"/>
          <w:color w:val="auto"/>
        </w:rPr>
      </w:pPr>
      <w:r>
        <w:rPr>
          <w:rFonts w:ascii="Arial" w:cs="Arial" w:eastAsia="Arial" w:hAnsi="Arial"/>
          <w:sz w:val="16"/>
          <w:szCs w:val="16"/>
          <w:color w:val="auto"/>
        </w:rPr>
        <w:t>federal income taxes imposed on or measured by the income of Landlord from the operation of the Project; (10) Electrical Costs; (11) costs of advertising and public relations, or other promotional costs associated with promoting the Project, Building or the Land (but not including Tenant-appreciation or other similar events held for the benefit of Building tenants, which may be included in Operating Costs); (12) except as permitted by clause (6) above, costs incurred in connection with disputes (including a breach by Landlord under any lease at the Project or any other agreement) with actual or prospective tenants or other occupants of the Building, or with actual or prospective employees, consultants, management agents, leasing agents, purchasers, ground lessors or mortgagees of the Project or any portion thereof; (13) costs incurred in connection with the sale, financing, refinancing, mortgaging, selling, leasing (underlying or space) or change of ownership (directly or indirectly) or other similar transactions relating to the Project or any portion thereof; (14) base rent payments made on any ground or underlying lease; (15) lease takeover or takeback costs incurred by Landlord in connection with leases in the Project; (16) costs paid or incurred in connection with the removal, replacement, enclosure, encapsulation or other treatment of any Hazardous Materials brought into the Project in violation of Laws as enacted and interpreted as of the Lease Date (except that there may be included in Operating Costs the costs of disposing from the Project Hazardous Materials which (i) are used in compliance with applicable Laws; (ii) are used in the ordinary day-to-day operation and maintenance of the Project, and (iii) are not attached to the Building [e.g., costs of disposing of cleaning fluids or photocopying toner would be includable]); (17) all costs and expenses incurred by Landlord in connection with the formation, and maintaining in good standing, of any corporate or other legal entity that constitutes Landlord or any affiliate of Landlord; (18) all charitable or political contributions; and (19) costs due to Landlord’s gross negligence or willful misconduct. In no event shall Operating Costs include any costs or expenses directly or indirectly related to the acquisition, design, entitlement, permitting, construction, operation, maintenance or repair of any parking lot or facility acquired in connection with the Project or related complex for the benefit of any other tenant or occupant of the Project or related complex, the use of which is not offered to Tenant.</w:t>
      </w:r>
    </w:p>
    <w:p>
      <w:pPr>
        <w:spacing w:after="0" w:line="173" w:lineRule="exact"/>
        <w:rPr>
          <w:sz w:val="20"/>
          <w:szCs w:val="20"/>
          <w:color w:val="auto"/>
        </w:rPr>
      </w:pPr>
    </w:p>
    <w:p>
      <w:pPr>
        <w:ind w:left="6" w:right="40" w:firstLine="1258"/>
        <w:spacing w:after="0" w:line="280"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u w:val="single" w:color="auto"/>
          <w:color w:val="auto"/>
        </w:rPr>
        <w:t>Taxes; Taxes Defined</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also pay Tenant’s Proportionate Share of Taxes. Tenant shall pay Tenant’s Proportionate Share of Taxes in the same manner as provided above for Tenant’s Proportionate Share of Operating Costs.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[including assessments from any applicable property owner’s association] for common charges under a restrictive covenant, declaration of covenants, restrictions and easements or other private agreement that are not treated as part of Operating Costs) now or hereafter attributable to the Project (or its operation), excluding, however, penalties and interest thereon and federal and state taxes on income. However, if the present method of taxation changes so that in lieu of or in addition to the whole or any part of any Taxes, there is levied on Landlord a capital tax directly on the rents or revenues received from the Project or a franchise tax, margin tax, assessment, or charge based upon</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 w:right="100"/>
        <w:spacing w:after="0" w:line="297" w:lineRule="auto"/>
        <w:rPr>
          <w:sz w:val="20"/>
          <w:szCs w:val="20"/>
          <w:color w:val="auto"/>
        </w:rPr>
      </w:pPr>
      <w:r>
        <w:rPr>
          <w:rFonts w:ascii="Arial" w:cs="Arial" w:eastAsia="Arial" w:hAnsi="Arial"/>
          <w:sz w:val="15"/>
          <w:szCs w:val="15"/>
          <w:color w:val="auto"/>
        </w:rPr>
        <w:t>such rents or revenues for the Project, then all such taxes, assessments, or charges, or the part thereof so based, shall be deemed to be included within the term “Taxes” for purposes hereof, but only to the extent such capital tax, franchise tax, margin tax, assessment or charge is attributable to rents from the Project, and excluding (i) any federal income tax payable by Landlord, and (ii) any tax on rents received from other property owned by Landlord.</w:t>
      </w:r>
    </w:p>
    <w:p>
      <w:pPr>
        <w:spacing w:after="0" w:line="1" w:lineRule="exact"/>
        <w:rPr>
          <w:sz w:val="20"/>
          <w:szCs w:val="20"/>
          <w:color w:val="auto"/>
        </w:rPr>
      </w:pPr>
    </w:p>
    <w:p>
      <w:pPr>
        <w:ind w:left="6" w:right="20"/>
        <w:spacing w:after="0" w:line="278" w:lineRule="auto"/>
        <w:rPr>
          <w:sz w:val="20"/>
          <w:szCs w:val="20"/>
          <w:color w:val="auto"/>
        </w:rPr>
      </w:pPr>
      <w:r>
        <w:rPr>
          <w:rFonts w:ascii="Arial" w:cs="Arial" w:eastAsia="Arial" w:hAnsi="Arial"/>
          <w:sz w:val="16"/>
          <w:szCs w:val="16"/>
          <w:color w:val="auto"/>
        </w:rPr>
        <w:t>Notwithstanding anything to the contrary herein, Taxes shall include the Texas margin tax and/or any other business tax imposed under Texas Tax Code Chapter 171 and/or any successor statutory provision to the extent attributable to rents received from the Project, and excluding (i) any federal income tax payable by Landlord, and (ii) any tax on rents received from other property owned by Landlord. Taxes shall include the costs of consultants retained in an effort to lower taxes and all costs incurred in disputing any taxes or in seeking to lower the tax valuation of the Project. For property tax purposes, Tenant waives all rights to protest or appeal the appraised value of the Premises, as well as the Project, and all rights to receive notices of reappraisement as set forth in Sections 41.413 and 42.015 of the Texas Tax Code. From time to time during any calendar year, Landlord may estimate or re-estimate the Taxes to be due by Tenant for that calendar year and deliver a copy of the estimate or re-estimate to Tenant. Thereafter, the monthly installments of Taxes payable by Tenant shall be appropriately adjusted in accordance with the estimations.</w:t>
      </w:r>
    </w:p>
    <w:p>
      <w:pPr>
        <w:spacing w:after="0" w:line="165" w:lineRule="exact"/>
        <w:rPr>
          <w:sz w:val="20"/>
          <w:szCs w:val="20"/>
          <w:color w:val="auto"/>
        </w:rPr>
      </w:pPr>
    </w:p>
    <w:p>
      <w:pPr>
        <w:ind w:left="1266"/>
        <w:spacing w:after="0"/>
        <w:tabs>
          <w:tab w:leader="none" w:pos="1865"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b w:val="1"/>
          <w:bCs w:val="1"/>
          <w:u w:val="single" w:color="auto"/>
          <w:color w:val="auto"/>
        </w:rPr>
        <w:t>Electrical Costs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Tenant shall also pay to Landlord Tenant’s Proportionate Share of Electrical Costs. As used herein,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Electrical Costs</w:t>
      </w:r>
      <w:r>
        <w:rPr>
          <w:rFonts w:ascii="Arial" w:cs="Arial" w:eastAsia="Arial" w:hAnsi="Arial"/>
          <w:sz w:val="16"/>
          <w:szCs w:val="16"/>
          <w:color w:val="auto"/>
        </w:rPr>
        <w:t>” means the cost of all electricity used by the Project, which shall include sales, use, excise or other taxes assessed by governmental</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authorities on electrical services supplied to the Project, but which shall not include separately metered electricity payable directly to Landlord by Tenant</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or any other tenant or occupant of the Project. Such amount shall be payable in monthly installments on the Commencement Date and on the first day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5"/>
          <w:szCs w:val="15"/>
          <w:color w:val="auto"/>
        </w:rPr>
        <w:t>each calendar month thereafter. Each installment shall be based on Landlord’s estimate of the amount due for each month. From time to time during any</w:t>
      </w:r>
    </w:p>
    <w:p>
      <w:pPr>
        <w:sectPr>
          <w:pgSz w:w="11900" w:h="16838" w:orient="portrait"/>
          <w:cols w:equalWidth="0" w:num="1">
            <w:col w:w="10786"/>
          </w:cols>
          <w:pgMar w:left="874" w:top="127" w:right="239" w:bottom="0" w:gutter="0" w:footer="0" w:header="0"/>
        </w:sectPr>
      </w:pPr>
    </w:p>
    <w:bookmarkStart w:id="295" w:name="page296"/>
    <w:bookmarkEnd w:id="295"/>
    <w:p>
      <w:pPr>
        <w:jc w:val="both"/>
        <w:ind w:left="640" w:right="200"/>
        <w:spacing w:after="0" w:line="273" w:lineRule="auto"/>
        <w:rPr>
          <w:sz w:val="20"/>
          <w:szCs w:val="20"/>
          <w:color w:val="auto"/>
        </w:rPr>
      </w:pPr>
      <w:r>
        <w:rPr>
          <w:rFonts w:ascii="Arial" w:cs="Arial" w:eastAsia="Arial" w:hAnsi="Arial"/>
          <w:sz w:val="17"/>
          <w:szCs w:val="17"/>
          <w:color w:val="auto"/>
        </w:rPr>
        <w:t>calendar year, Landlord may estimate or re-estimate the Electrical Costs to be due by Tenant for that calendar year and deliver a copy of the estimate or re-estimate to Tenant. Thereafter, the monthly installments of Electrical Costs payable by Tenant shall be appropriately adjusted in accordance with the estimations.</w:t>
      </w:r>
    </w:p>
    <w:p>
      <w:pPr>
        <w:spacing w:after="0" w:line="166"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By April 30 of each calendar year, or as soon thereafter as practicable (but in no event later than June 30 of any calendar year, unless there is a pending tax contest or similar item beyond Landlord’s reasonable control), Landlord shall furnish to Tenant a statement of Operating Costs and Electrical Costs for the previous year, in each case adjusted as provided in Section 4.2.6, and of the Taxes for the previous year (the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color w:val="auto"/>
        </w:rPr>
        <w:t>”). If Tenant’s estimated payments of Operating Costs, Taxes or Electrical Costs under this Section 4.2 for the year covered by the Reconciliation Statement exceed Tenant’s Proportionate Share of such items as indicated in the Reconciliation Statement, then Landlord shall credit or reimburse Tenant for such excess within 30 days after Landlord furnishes the Reconciliation Statement to Tenant; likewise, if Tenant’s estimated payments of Operating Costs, Taxes or Electrical Costs under this Section 4.2 for such year are less than Tenant’s Proportionate Share of such items as indicated in the Reconciliation Statement, then Tenant shall pay Landlord such deficiency within 30 days of invoice from Landlord. If a reimbursement from Landlord or a payment from Tenant is due with respect to Tenant’s payments of estimated Additional Rent for the year in which the Term of the Lease expires, then such obligation shall survive expiration of the Lease and such reimbursement by Landlord or payment by Tenant, as applicable, shall be due within thirty (30) days of Landlord’s delivery of the Reconciliation Statement.</w:t>
      </w:r>
    </w:p>
    <w:p>
      <w:pPr>
        <w:spacing w:after="0" w:line="164" w:lineRule="exact"/>
        <w:rPr>
          <w:sz w:val="20"/>
          <w:szCs w:val="20"/>
          <w:color w:val="auto"/>
        </w:rPr>
      </w:pPr>
    </w:p>
    <w:p>
      <w:pPr>
        <w:ind w:left="640" w:right="120" w:firstLine="1258"/>
        <w:spacing w:after="0" w:line="267"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b w:val="1"/>
          <w:bCs w:val="1"/>
          <w:u w:val="single" w:color="auto"/>
          <w:color w:val="auto"/>
        </w:rPr>
        <w:t>Gross Up</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any calendar year or partial calendar year in which the Project is not occupied to the extent of 95% of the rentable area thereof, or Landlord is not supplying comparable services to 95% of the rentable area thereof, the Operating Costs and Electrical Costs for such period which vary with the occupancy of the Project or level of service shall, for the purposes hereof, be increased to the amount which would have been incurred had the Project been occupied to the extent of 95% of the rentable area thereof and Landlord had been supplying comparable services to 95% of the rentable area thereof.</w:t>
      </w:r>
    </w:p>
    <w:p>
      <w:pPr>
        <w:spacing w:after="0" w:line="171" w:lineRule="exact"/>
        <w:rPr>
          <w:sz w:val="20"/>
          <w:szCs w:val="20"/>
          <w:color w:val="auto"/>
        </w:rPr>
      </w:pPr>
    </w:p>
    <w:p>
      <w:pPr>
        <w:ind w:right="180" w:firstLine="634"/>
        <w:spacing w:after="0" w:line="297" w:lineRule="auto"/>
        <w:tabs>
          <w:tab w:leader="none" w:pos="1258" w:val="left"/>
        </w:tabs>
        <w:numPr>
          <w:ilvl w:val="0"/>
          <w:numId w:val="418"/>
        </w:numPr>
        <w:rPr>
          <w:rFonts w:ascii="Arial" w:cs="Arial" w:eastAsia="Arial" w:hAnsi="Arial"/>
          <w:sz w:val="17"/>
          <w:szCs w:val="17"/>
          <w:color w:val="auto"/>
        </w:rPr>
      </w:pPr>
      <w:r>
        <w:rPr>
          <w:rFonts w:ascii="Arial" w:cs="Arial" w:eastAsia="Arial" w:hAnsi="Arial"/>
          <w:sz w:val="17"/>
          <w:szCs w:val="17"/>
          <w:b w:val="1"/>
          <w:bCs w:val="1"/>
          <w:u w:val="single" w:color="auto"/>
          <w:color w:val="auto"/>
        </w:rPr>
        <w:t>Delinquent Payment; Handling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All payments required of Tenant hereunder that are more than five days past due shall bear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due until paid at the lesser of eighteen percent per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RIATA TRACEPARKWAY, BUILDING 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annum or the maximum lawful rate of interest (such lesser amount is referred to herein as the “</w:t>
      </w:r>
      <w:r>
        <w:rPr>
          <w:rFonts w:ascii="Arial" w:cs="Arial" w:eastAsia="Arial" w:hAnsi="Arial"/>
          <w:sz w:val="15"/>
          <w:szCs w:val="15"/>
          <w:b w:val="1"/>
          <w:bCs w:val="1"/>
          <w:u w:val="single" w:color="auto"/>
          <w:color w:val="auto"/>
        </w:rPr>
        <w:t>Default Rate</w:t>
      </w:r>
      <w:r>
        <w:rPr>
          <w:rFonts w:ascii="Arial" w:cs="Arial" w:eastAsia="Arial" w:hAnsi="Arial"/>
          <w:sz w:val="15"/>
          <w:szCs w:val="15"/>
          <w:color w:val="auto"/>
        </w:rPr>
        <w:t>”); additionally, Landlord, in addition to all other rights and remedies available to it, may charge Tenant a late fee equal to the greater of (a) five percent of the delinquent payment, or (b) $250,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commercial rate of interest.</w:t>
      </w:r>
    </w:p>
    <w:p>
      <w:pPr>
        <w:spacing w:after="0" w:line="137" w:lineRule="exact"/>
        <w:rPr>
          <w:sz w:val="20"/>
          <w:szCs w:val="20"/>
          <w:color w:val="auto"/>
        </w:rPr>
      </w:pPr>
    </w:p>
    <w:p>
      <w:pPr>
        <w:ind w:firstLine="634"/>
        <w:spacing w:after="0" w:line="277" w:lineRule="auto"/>
        <w:tabs>
          <w:tab w:leader="none" w:pos="1258" w:val="left"/>
        </w:tabs>
        <w:numPr>
          <w:ilvl w:val="0"/>
          <w:numId w:val="419"/>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Contemporaneously with the execution of this Lease, Tenant shall pay to Landlord the Security Deposit, which shall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Provided that Tenant has performed all of its obligations hereunder, Landlord shall, within 60 days after the expiration of the Term and Tenant’s surrender of the Premises in compliance with the provisions of this Lease, return to Tenant the portion of the Security Deposit which was not applied to satisfy Tenant’s obligations. Notwithstanding the preceding sentence and to the extent permitted by applicable Law, Landlord may retain that portion of the Security Deposit which Landlord reasonably estimates is necessary to pay all amounts payable by Tenant under this Lease (including all reconciliation amounts payable by Tenant for the year in which the Term expires) until such time after the expiration of the Term that Landlord is actually able to reconcile and confirm such amounts payable by Tenant under this Lease have been paid in full by Tenant (e.g., Landlord cannot reconcile and confirm Tenant has paid Tenant’s Proportionate Share of Taxes for the calendar year in which the Term expires if Landlord has not received a Tax bill from all applicable taxing authorities at the time of such expiration); provided, however, the portion of the Security Deposit retained by Landlord pursuant to the foregoing shall not exceed 50% of the total Security Deposit required by this Lease. The Security Deposit may be commingled with other funds, and no interest shall be paid thereon. If Landlord transfers its interest in the Premises and the transferee assumes Landlord’s obligations under this Lease, then Landlord may assign the Security Deposit to the transferee and Landlord thereafter shall have no further liability for the return of the Security Deposit. The rights and obligations of Landlord and Tenant under this Section 6 are subject to any other requirements and conditions imposed by Laws applicable to the Security Deposit.</w:t>
      </w:r>
    </w:p>
    <w:p>
      <w:pPr>
        <w:spacing w:after="0" w:line="165" w:lineRule="exact"/>
        <w:rPr>
          <w:rFonts w:ascii="Arial" w:cs="Arial" w:eastAsia="Arial" w:hAnsi="Arial"/>
          <w:sz w:val="16"/>
          <w:szCs w:val="16"/>
          <w:color w:val="auto"/>
        </w:rPr>
      </w:pPr>
    </w:p>
    <w:p>
      <w:pPr>
        <w:ind w:left="1260" w:hanging="626"/>
        <w:spacing w:after="0"/>
        <w:tabs>
          <w:tab w:leader="none" w:pos="1260" w:val="left"/>
        </w:tabs>
        <w:numPr>
          <w:ilvl w:val="0"/>
          <w:numId w:val="419"/>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Obligations</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7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use all reasonable efforts to furnish to Tenant; (a) water at those points of supply provided for general use of tenants of the Building; (b) the equipment to provide heated and refrigerated air conditioning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as appropriate, at such temperatures and in such amounts as are standard for comparable buildings with comparable densities and heat loads in the vicinity of the Building (not to exceed the current HVAC system’s capacity existing as of the Lease Date); (c) janitorial service to the Premises five days per week, other than holidays, for Building-standard installations and such window washing as may from time to time be reasonably required; (d) elevators for ingress and egress to the floor on which the Premises are located, in common with other tenants, provided that Landlord may reasonably limit the number of operating elevators during non-business hours and holidays; and (e) electrical current during normal business hours for equipment that does not require more than 110 volts and whose electrical energy consumption does not exceed normal office usage. If Tenant desires janitorial service at other than normal service times, or HVAC service: (1) at any time other than between 7:00 a.m. and 7:00 p.m. on weekdays and between 8:00 a.m. and 1:00 p.m. on Saturdays (in each case other than holidays), or (2) on Sundays or holidays, then such services shall be supplied to Tenant upon the written request (or such other means as may be provided by Landlord for all Building tenants) by Tenant delivered to Landlord’s designated property manager before 3:00 p.m. on the business day preceding such extra usage, and Tenant shall pay to Landlord its then standard cost of such services (which shall not be included in Tenant’s Proportionate Share of Operating Costs or Electrical Costs) within 30 days after Landlord has delivered to Tenant an invoice therefor. Tenant acknowledges that the cost components for providing after-hours HVAC service to the Premises are not separately metered; accordingly, Landlord’s determination of after-hours HVAC charges is an estimate of the costs incurred by Landlord in providing such after-hours HVAC service to Tenant. The costs charged to Tenant for such after-hours service shall include Landlord’s reasonable allocation of the costs for electricity, water, sewage, water treatment, labor, metering, filtering, equipment depreciation, wear and tear and maintenance to provide such service</w:t>
      </w:r>
    </w:p>
    <w:p>
      <w:pPr>
        <w:sectPr>
          <w:pgSz w:w="11900" w:h="16838" w:orient="portrait"/>
          <w:cols w:equalWidth="0" w:num="1">
            <w:col w:w="11420"/>
          </w:cols>
          <w:pgMar w:left="240" w:top="128" w:right="239" w:bottom="188"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188" w:gutter="0" w:footer="0" w:header="0"/>
          <w:type w:val="continuous"/>
        </w:sectPr>
      </w:pPr>
    </w:p>
    <w:bookmarkStart w:id="296" w:name="page297"/>
    <w:bookmarkEnd w:id="296"/>
    <w:p>
      <w:pPr>
        <w:ind w:right="120"/>
        <w:spacing w:after="0" w:line="314" w:lineRule="auto"/>
        <w:rPr>
          <w:sz w:val="20"/>
          <w:szCs w:val="20"/>
          <w:color w:val="auto"/>
        </w:rPr>
      </w:pPr>
      <w:r>
        <w:rPr>
          <w:rFonts w:ascii="Arial" w:cs="Arial" w:eastAsia="Arial" w:hAnsi="Arial"/>
          <w:sz w:val="15"/>
          <w:szCs w:val="15"/>
          <w:color w:val="auto"/>
        </w:rPr>
        <w:t>and an administrative fee of 15%. Landlord’s reasonable estimate of 2012 after-hours charges for HVAC is $15.00 per hour per zone in the Building (with a two-hour minimum), plus any applicable sales or other taxes; however, Landlord and Tenant agree that such figure may be adjusted for increases in Landlord’s costs for providing such services and shall not be interpreted as the maximum amount which may be charged to Tenant during the Term. With respect to the calculation of the foregoing, Landlord covenants that, during the Term, there shall be no more than two HVAC zones in the Premises leased to Tenant as of the Lease Date.</w:t>
      </w:r>
    </w:p>
    <w:p>
      <w:pPr>
        <w:spacing w:after="0" w:line="14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Excess Utility Use</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not be required to furnish electrical power that exceeds Tenant’s floor proportionate share of the electrical capacity of the Building floor on which the Premises are located made available for general tenant usage. If Tenant’s requirements for or consumption of electricity exceed the electricity to be provided by Landlord as described in Section 7.1, Landlord shall, at Tenant’s expense, make reasonable efforts to supply such service through the then-existing feeders and risers serving the Building and the Premises, provided the additional use of such feeders and risers caused by Tenant’s excess electrical requirements do not adversely affect Landlord’s ability to provide reasonable electrical service to the balance of the Building (as determined by Landlord in the exercise of its reasonable discretion); and Tenant shall pay to Landlord the cost of such service within 30 days after Landlord has delivered to Tenant an invoice therefor. Landlord may determine the amount of such additional consumption and potential consumption by any verifiable method, including installation of a separate meter in the Premises installed, maintained, and read by Landlord, at Tenant’s expense. Tenant shall not install any electrical equipment requiring special wiring or requiring voltage in excess of 110 volts unless approved in advance by Landlord, which approval shall not be unreasonably withheld. Tenant shall not install any electrical equipment requiring voltage in excess of the prorata capacity available to Tenant as of the date of this Lease unless approved in advance by Landlord, which approval may be withheld in Landlord’s sole discretion. The use of electricity in the Premises shall not exceed the capacity of existing feeders and risers to or wiring in the Premises. Any risers or wiring required to meet Tenant’s excess electrical requirements shall, upon Tenant’s written request, be installed by Landlord, at Tenant’s cost, if, in Landlord’s judgment, the same are necessary and shall not cause permanent damage to the Building or the Premises, cause or create a dangerous or hazardous condition, entail excessive or unreasonable alterations, repairs, or expenses, adversely affect Landlord’s ability to provide reasonable service to the balance of the Building, or interfere with or disturb other tenants of the Building. If Tenant (a) uses machines or equipment in the Premises or (b) operates within the Premises at a density, either of which (1) affects the temperature otherwise maintained by the air conditioning system or (2) otherwise overloads any utility, Landlord may install supplemental air conditioning units or other supplemental equipment in the Premises, and the cost thereof, including the cost of design, installation, operation, use, and maintenance, in each case plus an administrative fee of 15% of such cost, shall be paid by Tenant to Landlord within 30 days after Landlord has delivered to Tenant an invoice therefor. To the extent practicable, and subject to Landlord’s prior written consent, not to be unreasonably withheld, conditioned or delayed, Tenant shall have the right to elect, at Tenant’s sole cost and expense, to separately submeter electricity consumption in the entire Premises or any portion thereof. If Tenant elects, and Landlord approves, separately submetering the any portion of the Premises, Landlord and Tenant shall enter into an amendment to this Lease revising Tenant’s obligations for the payment of Electrical Costs, including separately submetered electricity usage, common area electricity usage, and any portions of the Premises not covered by the separate submeter(s).</w:t>
      </w:r>
    </w:p>
    <w:p>
      <w:pPr>
        <w:spacing w:after="0" w:line="168" w:lineRule="exact"/>
        <w:rPr>
          <w:sz w:val="20"/>
          <w:szCs w:val="20"/>
          <w:color w:val="auto"/>
        </w:rPr>
      </w:pPr>
    </w:p>
    <w:p>
      <w:pPr>
        <w:ind w:right="20" w:firstLine="1259"/>
        <w:spacing w:after="0" w:line="30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u w:val="single" w:color="auto"/>
          <w:color w:val="auto"/>
        </w:rPr>
        <w:t>Restoration of Services; Abatement</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use reasonable efforts to restore any service required of it under Section 7.1 that becomes unavailable; however, such unavailability shall not render Landlord liable for any damages caused thereby, be a constructive eviction of Tenant, constitute a breach of any implied warranty, or, except as provided in the next sentence, entitle Tenant to any abatement of Tenant’s obligations hereunder. If, however, Tenant is prevented from using, and does not use, any portion of the Premises because of the unavailability of any such service for a period of ten consecutive business days following Landlord’s receipt from Tenant of a written notice regarding such unavailability, and such unavailability was not caused by a Tenant Party or a governmental directive, then Tenant shall, as its exclusive remedy, be entitled to a proportionate abatement of Basic Rent and Additional Rent based upon the portion of the Premises affected, for each consecutive day (after such ten-business-day period) that Tenant is so prevented from using the Premises.</w:t>
      </w:r>
    </w:p>
    <w:p>
      <w:pPr>
        <w:spacing w:after="0" w:line="149"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Repair and Maintenance by Landlord</w:t>
      </w:r>
      <w:r>
        <w:rPr>
          <w:rFonts w:ascii="Arial" w:cs="Arial" w:eastAsia="Arial" w:hAnsi="Arial"/>
          <w:sz w:val="17"/>
          <w:szCs w:val="17"/>
          <w:b w:val="1"/>
          <w:bCs w:val="1"/>
          <w:color w:val="auto"/>
        </w:rPr>
        <w:t>.</w:t>
      </w:r>
      <w:r>
        <w:rPr>
          <w:rFonts w:ascii="Arial" w:cs="Arial" w:eastAsia="Arial" w:hAnsi="Arial"/>
          <w:sz w:val="17"/>
          <w:szCs w:val="17"/>
          <w:color w:val="auto"/>
        </w:rPr>
        <w:t xml:space="preserve"> Landlord shall maintain and repair the common areas of the Project, Building’s Structure (including any structural elements within or affecting the Premises), the core portions of the Building’s Systems, the parking areas and other exterior areas of the Project, including driveways, alleys, landscape and grounds of the Project and utility lines in a good condition, consistent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with the operation of similar class office buildings in the market in which the Project is located, including maintenance, repair and replacement of the exterior of the Project (including painting), landscaping, sprinkler systems and any items normally associated with the foregoing. All costs in performing the work described in this Section shall be included in Operating Costs except to the extent excluded by Section 4.2. In no event shall Landlord be responsible for alterations to the Building’s Structure required by applicable Law solely because of Tenant’s specific use of the Premises (as opposed to alterations required by applicable Law which are generally applicable to tenants of the Building), or alterations or improvements to the Premises made by or for a Tenant Party (which alterations shall be made by Landlord at Tenant’s sole cost and expense and on the same terms and conditions as Landlord performed repairs as described in Section 8.2 below). Notwithstanding anything to the contrary contained herein, Landlord shall, in its commercially-reasonable discretion, determine whether, and to the extent, repairs or replacements are the appropriate remedial action.</w:t>
      </w:r>
    </w:p>
    <w:p>
      <w:pPr>
        <w:spacing w:after="0" w:line="175" w:lineRule="exact"/>
        <w:rPr>
          <w:sz w:val="20"/>
          <w:szCs w:val="20"/>
          <w:color w:val="auto"/>
        </w:rPr>
      </w:pPr>
    </w:p>
    <w:p>
      <w:pPr>
        <w:ind w:left="1260" w:hanging="626"/>
        <w:spacing w:after="0"/>
        <w:tabs>
          <w:tab w:leader="none" w:pos="1260" w:val="left"/>
        </w:tabs>
        <w:numPr>
          <w:ilvl w:val="0"/>
          <w:numId w:val="420"/>
        </w:numPr>
        <w:rPr>
          <w:rFonts w:ascii="Arial" w:cs="Arial" w:eastAsia="Arial" w:hAnsi="Arial"/>
          <w:sz w:val="17"/>
          <w:szCs w:val="17"/>
          <w:color w:val="auto"/>
        </w:rPr>
      </w:pPr>
      <w:r>
        <w:rPr>
          <w:rFonts w:ascii="Arial" w:cs="Arial" w:eastAsia="Arial" w:hAnsi="Arial"/>
          <w:sz w:val="17"/>
          <w:szCs w:val="17"/>
          <w:b w:val="1"/>
          <w:bCs w:val="1"/>
          <w:u w:val="single" w:color="auto"/>
          <w:color w:val="auto"/>
        </w:rPr>
        <w:t>Improvements; Alterations; Repairs; Maintenance</w:t>
      </w:r>
      <w:r>
        <w:rPr>
          <w:rFonts w:ascii="Arial" w:cs="Arial" w:eastAsia="Arial" w:hAnsi="Arial"/>
          <w:sz w:val="17"/>
          <w:szCs w:val="17"/>
          <w:b w:val="1"/>
          <w:bCs w:val="1"/>
          <w:color w:val="auto"/>
        </w:rPr>
        <w:t>.</w:t>
      </w:r>
    </w:p>
    <w:p>
      <w:pPr>
        <w:spacing w:after="0" w:line="224" w:lineRule="exact"/>
        <w:rPr>
          <w:sz w:val="20"/>
          <w:szCs w:val="20"/>
          <w:color w:val="auto"/>
        </w:rPr>
      </w:pPr>
    </w:p>
    <w:p>
      <w:pPr>
        <w:ind w:right="140" w:firstLine="1259"/>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Improvements; Alterations</w:t>
      </w:r>
      <w:r>
        <w:rPr>
          <w:rFonts w:ascii="Arial" w:cs="Arial" w:eastAsia="Arial" w:hAnsi="Arial"/>
          <w:sz w:val="16"/>
          <w:szCs w:val="16"/>
          <w:b w:val="1"/>
          <w:bCs w:val="1"/>
          <w:color w:val="auto"/>
        </w:rPr>
        <w:t>.</w:t>
      </w:r>
      <w:r>
        <w:rPr>
          <w:rFonts w:ascii="Arial" w:cs="Arial" w:eastAsia="Arial" w:hAnsi="Arial"/>
          <w:sz w:val="16"/>
          <w:szCs w:val="16"/>
          <w:color w:val="auto"/>
        </w:rPr>
        <w:t xml:space="preserve"> Improvements to the Premises shall be installed at Tenant’s expense only in accordance with plans and specifications which have been previously submitted to and approved in writing by Landlord, which approval shall be governed by the provisions set forth in this Section 8.1. No alterations or physical additions in or to the Premises (including the installation of systems furniture or other equipment or personal property that affects or otherwise connects to the Building’s Systems) may be made without Landlord’s prior written consent, which shall not be unreasonably withheld or delayed; however, Landlord may withhold its consent to any alteration or addition that would (a) adversely affect (in the reasonable discretion of Landlord) the Building’s Structure or the Building’s Systems (including the Project’s restrooms or mechanical rooms), or (b) affect (in the sole discretion of Landlord) the</w:t>
      </w:r>
    </w:p>
    <w:p>
      <w:pPr>
        <w:spacing w:after="0" w:line="2" w:lineRule="exact"/>
        <w:rPr>
          <w:sz w:val="20"/>
          <w:szCs w:val="20"/>
          <w:color w:val="auto"/>
        </w:rPr>
      </w:pPr>
    </w:p>
    <w:p>
      <w:pPr>
        <w:ind w:firstLine="5"/>
        <w:spacing w:after="0" w:line="295" w:lineRule="auto"/>
        <w:tabs>
          <w:tab w:leader="none" w:pos="24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exterior appearance of the Project, (2) appearance of the Project’s common areas or elevator lobby areas, (3) quiet enjoyment of other tenants or occupants of the Project, or (4) provision of services to other occupants of the Project. To the extent that Landlord grants Tenant the right to use areas within the Project, whether pursuant to the terms of this Lease or through plans and specifications subsequently approved by Landlord (and without implying that Landlord shall grant any such approvals), (A) in no event may Tenant use more than its Proportionate Share of the areas within the Building or utility capacity made available by Landlord for general tenant usage for Tenant’s installations and operations in the Premises (including chilled water, electricity, telecommunications room space, electrical room space, plenum space and riser space), and (B) Tenant shall comply with the provisions of this Section with respect to all such items, including Tenant’s Off-Premises Equipment.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Notwithstanding the foregoing, but subject to Section 8.2 below with respect to the Visible Premises, Tenant shall not be required to obtain Landlord’s consent for repainting, recarpeting, or other alterations, tenant improvements, or physical additions to the Premises which are cosmetic in nature totaling less than $15,000 in any single instance or series of related alterations performed within a six-month period (“</w:t>
      </w:r>
      <w:r>
        <w:rPr>
          <w:rFonts w:ascii="Arial" w:cs="Arial" w:eastAsia="Arial" w:hAnsi="Arial"/>
          <w:sz w:val="15"/>
          <w:szCs w:val="15"/>
          <w:b w:val="1"/>
          <w:bCs w:val="1"/>
          <w:u w:val="single" w:color="auto"/>
          <w:color w:val="auto"/>
        </w:rPr>
        <w:t>Permitted Alterations</w:t>
      </w:r>
      <w:r>
        <w:rPr>
          <w:rFonts w:ascii="Arial" w:cs="Arial" w:eastAsia="Arial" w:hAnsi="Arial"/>
          <w:sz w:val="15"/>
          <w:szCs w:val="15"/>
          <w:color w:val="auto"/>
        </w:rPr>
        <w:t>”) (provided that Tenant shall not perform any improvements, alterations or additions to the Premises in stages as a means to subvert this provision), in each case provided that (i) Tenant delivers to Landlord written notice thereof, a list of contractors and subcontractors to perform the work (and certificates of insurance for each such party) and any plans and specifications therefor prior to commencing any such alterations, additions, or improvements (for informational purposes only so long as no consent is required by Landlord as required by this Lease), (ii) the installation thereof does not require the issuance of any building permit or other governmental approval, or involve any</w:t>
      </w:r>
    </w:p>
    <w:p>
      <w:pPr>
        <w:sectPr>
          <w:pgSz w:w="11900" w:h="16838" w:orient="portrait"/>
          <w:cols w:equalWidth="0" w:num="1">
            <w:col w:w="11420"/>
          </w:cols>
          <w:pgMar w:left="240" w:top="337" w:right="239" w:bottom="0" w:gutter="0" w:footer="0" w:header="0"/>
        </w:sectPr>
      </w:pPr>
    </w:p>
    <w:bookmarkStart w:id="297" w:name="page298"/>
    <w:bookmarkEnd w:id="297"/>
    <w:p>
      <w:pPr>
        <w:spacing w:after="0"/>
        <w:rPr>
          <w:sz w:val="20"/>
          <w:szCs w:val="20"/>
          <w:color w:val="auto"/>
        </w:rPr>
      </w:pPr>
      <w:r>
        <w:rPr>
          <w:rFonts w:ascii="Arial" w:cs="Arial" w:eastAsia="Arial" w:hAnsi="Arial"/>
          <w:sz w:val="16"/>
          <w:szCs w:val="16"/>
          <w:color w:val="auto"/>
        </w:rPr>
        <w:t>core drilling or the configuration or location of any exterior or interior walls of the Building, and (iii) such alterations, additions and improvements will not affect</w:t>
      </w:r>
    </w:p>
    <w:p>
      <w:pPr>
        <w:spacing w:after="0" w:line="38" w:lineRule="exact"/>
        <w:rPr>
          <w:sz w:val="20"/>
          <w:szCs w:val="20"/>
          <w:color w:val="auto"/>
        </w:rPr>
      </w:pPr>
    </w:p>
    <w:p>
      <w:pPr>
        <w:ind w:firstLine="5"/>
        <w:spacing w:after="0" w:line="261" w:lineRule="auto"/>
        <w:tabs>
          <w:tab w:leader="none" w:pos="24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Building’s Structure or the Building’s Systems, (y) the provision of services to other Building tenants, or (z) the appearance of the Building’s common areas or the exterior of the Building.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w:t>
      </w:r>
    </w:p>
    <w:p>
      <w:pPr>
        <w:spacing w:after="0" w:line="178"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Repair and Maintenance by Tenant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shall maintain the Premises in a clean, safe, and operable condition, and shall not permit or allow to remain any waste or damage to any portion of the Premises. If the Premises include, now or hereafter, one or more floors of the Building in their entirety, all corridors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and restroom facilities located on such full floor(s) shall be considered to be a part of the Premises. Additionally, Tenant, at its sole expense, shall repair, replace and maintain in good condition and in accordance with all Laws and the equipment manufacturer’s suggested service programs, all portions of the Premises (excluding the core portion of the Building’s Systems, which shall be maintained by Landlord pursuant to Section 7.4, and the branch lines of the plumbing, electrical and HVAC systems, including all duct work, exclusively serving the Premises, which shall be maintained by Landlord at Tenant’s cost and expense) and Tenant’s Off-Premises Equipment, if any, and all areas, improvements and separate systems, e.g., supplemental HVAC systems, if any, exclusively serving the Premises. Notwithstanding any other provision in this Lease to the contrary, with respect to any portion of the Premises visible from any common area inside or outside of the Building (the “</w:t>
      </w:r>
      <w:r>
        <w:rPr>
          <w:rFonts w:ascii="Arial" w:cs="Arial" w:eastAsia="Arial" w:hAnsi="Arial"/>
          <w:sz w:val="16"/>
          <w:szCs w:val="16"/>
          <w:b w:val="1"/>
          <w:bCs w:val="1"/>
          <w:u w:val="single" w:color="auto"/>
          <w:color w:val="auto"/>
        </w:rPr>
        <w:t>Visible Premises</w:t>
      </w:r>
      <w:r>
        <w:rPr>
          <w:rFonts w:ascii="Arial" w:cs="Arial" w:eastAsia="Arial" w:hAnsi="Arial"/>
          <w:sz w:val="16"/>
          <w:szCs w:val="16"/>
          <w:color w:val="auto"/>
        </w:rPr>
        <w:t>”). Tenant shall (a) maintain such Visible Premises and furniture, fixtures and equipment located therein in a neat and first-class condition throughout the Term and any extension thereof, (b) not use the Visible Premises for storage, (c) obtain Landlord’s prior written consent as to the interior paint color, signage, carpeting, furniture and equipment contained in the Visible Premises, (d) complete within the Visible Premises any requested cleaning within one business day after Landlord’s written request therefor, and (e) complete within the Visible Premises any requested repairs, alterations or changes within five business days after Landlord’s written request therefor. Tenant shall repair or replace, subject to Landlord’s direction and supervision, any damage to the Project caused by a Tenant Party. If (1) Tenant fails to commence to make such repairs or replacements within 15 days after the occurrence of such damage and thereafter diligently pursue the completion thereof (or, in the case of an emergency, such shorter period of time as is reasonable given the circumstances), or (2) notwithstanding such diligence, Tenant fails to complete such repairs or replacements within 30 days after the occurrence of such damage (or, in the case of an emergency, such shorter period of time as is reasonable given the circumstances), then Landlord may make the same at Tenant’s cost. If any such damage occurs outside of the Premises, or if such damage occurs inside the Premises but affects the Building’s Systems and/or Building’s Structure or any other area outside the Premises, then Landlord may elect to repair such damage at Tenant’s expense, rather than having Tenant repair such damage. The actual, reasonable out-of-pocket cost of all maintenance, repair or replacement work performed by Landlord under this Section 8, in each case plus an administrative fee of 15% of such cost, shall be paid by Tenant to Landlord within 30 days after Landlord has invoiced Tenant therefor.</w:t>
      </w:r>
    </w:p>
    <w:p>
      <w:pPr>
        <w:spacing w:after="0" w:line="169"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All work described in this Section 8 shall be performed only by Landlord or by contractors and subcontractors approved in writing by Landlord and only in accordance with plans and specifications approved by Landlord in writing. If Landlord elects, in its sole discretion, to supervise any work described in this Section 8, Tenant shall pay to Landlord a construction management fee equal to 5% of the cost of such work. Tenant shall cause all contractors and subcontractors to procure and maintain insurance coverage naming Landlord, Landlord’s Mortgagee, Landlord’s property management company and Landlord’s asset management company as additional insureds against such risks, in such amounts, and with such companies as Landlord may reasonably require.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and shall use materials of a quality that is at least equal to the quality designated by Landlord as the minimum standard for the Building, and in such manner as to cause a minimum of disruption to the other occupants of the Project and interference with other construction in progress and with the transaction of business in the Project and the related complex. Landlord may designate reasonable rules, regulations and procedures for the performance of all such work in the Building (including insurance requirements for contractors) and, to the extent reasonably necessary to avoid disruption to the occupants of the Building, shall have the right to designate the time when such work may be performed. All such work which may affect the Building’s Structure or the Building’s Systems must be approved by the Project’s engineer of record, at Tenant’s expense and, at Landlord’s election, must be performed by Landlord’s usual contractor for such work. All work affecting the roof of the Building must be performed by Landlord’s roofing contractor and no such work will be permitted if it would void or reduce or otherwise adversely affect the warranty on the roof. Upon completion of any work described in this Section 8, except with respect to any Permitted Alterations or any repairs required to be made by Tenant under Section 8.2, Tenant shall furnish Landlord with accurate reproducible “as-built” CADD files of the improvements as constructed.</w:t>
      </w:r>
    </w:p>
    <w:p>
      <w:pPr>
        <w:spacing w:after="0" w:line="177"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Mechanic’s Liens</w:t>
      </w:r>
      <w:r>
        <w:rPr>
          <w:rFonts w:ascii="Arial" w:cs="Arial" w:eastAsia="Arial" w:hAnsi="Arial"/>
          <w:sz w:val="17"/>
          <w:szCs w:val="17"/>
          <w:b w:val="1"/>
          <w:bCs w:val="1"/>
          <w:color w:val="auto"/>
        </w:rPr>
        <w:t>.</w:t>
      </w:r>
      <w:r>
        <w:rPr>
          <w:rFonts w:ascii="Arial" w:cs="Arial" w:eastAsia="Arial" w:hAnsi="Arial"/>
          <w:sz w:val="17"/>
          <w:szCs w:val="17"/>
          <w:color w:val="auto"/>
        </w:rPr>
        <w:t xml:space="preserve"> All work performed, materials furnished, or obligations incurred by or at the request of a Tenant Party shall be deemed authorized and ordered by Tenant only, and Tenant shall not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permit any mechanic’s or construction liens to be filed against the Premises or the Project in connection therewith. Upon completion of any such work, Tenant shall deliver to Landlord final unconditional lien waivers from all contractors, subcontractors and materialmen who performed such work. If such a lien is filed, then Tenant shall, within ten business days after Landlord has delivered notice of the filing thereof to Tenant (or such earlier time period as may be necessary to prevent the forfeiture of the Premises, the Project or any interest of Landlord therein or the imposition of a civil or criminal fine with respect thereto), either</w:t>
      </w:r>
    </w:p>
    <w:p>
      <w:pPr>
        <w:spacing w:after="0" w:line="2" w:lineRule="exact"/>
        <w:rPr>
          <w:sz w:val="20"/>
          <w:szCs w:val="20"/>
          <w:color w:val="auto"/>
        </w:rPr>
      </w:pPr>
    </w:p>
    <w:p>
      <w:pPr>
        <w:ind w:right="40" w:firstLine="5"/>
        <w:spacing w:after="0" w:line="296" w:lineRule="auto"/>
        <w:tabs>
          <w:tab w:leader="none" w:pos="238" w:val="left"/>
        </w:tabs>
        <w:numPr>
          <w:ilvl w:val="0"/>
          <w:numId w:val="423"/>
        </w:numPr>
        <w:rPr>
          <w:rFonts w:ascii="Arial" w:cs="Arial" w:eastAsia="Arial" w:hAnsi="Arial"/>
          <w:sz w:val="15"/>
          <w:szCs w:val="15"/>
          <w:color w:val="auto"/>
        </w:rPr>
      </w:pPr>
      <w:r>
        <w:rPr>
          <w:rFonts w:ascii="Arial" w:cs="Arial" w:eastAsia="Arial" w:hAnsi="Arial"/>
          <w:sz w:val="15"/>
          <w:szCs w:val="15"/>
          <w:color w:val="auto"/>
        </w:rPr>
        <w:t>pay the amount of the lien and cause the lien to be released of record, or (b) diligently contest such lien and deliver to Landlord a bond or other security reasonably satisfactory to Landlord. If Tenant fails to timely take either such action, then Landlord may pay the lien claim, and any amounts so paid, including actual, out-of-pocket expenses and applicable interest, shall be paid by Tenant to Landlord within ten business days after Landlord has invoiced Tenant therefor. Landlord and Tenant acknowledge and agree that their relationship is and shall be solely that of “landlord-tenant” (thereby excluding a relationship of “owner-contractor,” “owner-agent” or other similar relationships) and that Tenant is not authorized to act as Landlord’s common law agent or construction agent in connection with any work performed in the Premises.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w:t>
      </w:r>
    </w:p>
    <w:p>
      <w:pPr>
        <w:sectPr>
          <w:pgSz w:w="11900" w:h="16838" w:orient="portrait"/>
          <w:cols w:equalWidth="0" w:num="1">
            <w:col w:w="11420"/>
          </w:cols>
          <w:pgMar w:left="240" w:top="128" w:right="239" w:bottom="0" w:gutter="0" w:footer="0" w:header="0"/>
        </w:sectPr>
      </w:pPr>
    </w:p>
    <w:bookmarkStart w:id="298" w:name="page299"/>
    <w:bookmarkEnd w:id="298"/>
    <w:p>
      <w:pPr>
        <w:spacing w:after="0" w:line="57" w:lineRule="exact"/>
        <w:rPr>
          <w:sz w:val="20"/>
          <w:szCs w:val="20"/>
          <w:color w:val="auto"/>
        </w:rPr>
      </w:pPr>
    </w:p>
    <w:p>
      <w:pPr>
        <w:ind w:right="320"/>
        <w:spacing w:after="0" w:line="322" w:lineRule="auto"/>
        <w:rPr>
          <w:sz w:val="20"/>
          <w:szCs w:val="20"/>
          <w:color w:val="auto"/>
        </w:rPr>
      </w:pPr>
      <w:r>
        <w:rPr>
          <w:rFonts w:ascii="Arial" w:cs="Arial" w:eastAsia="Arial" w:hAnsi="Arial"/>
          <w:sz w:val="16"/>
          <w:szCs w:val="16"/>
          <w:color w:val="auto"/>
        </w:rPr>
        <w:t>Tenant Party, except to the extent such claim, demand, cause of action, suit, judgment, damage or expense is solely attributable to Landlord’s failure to comply with the Lease (including the provisions of this Section 8). This indemnity provision shall survive termination or expiration of this Lease.</w:t>
      </w:r>
    </w:p>
    <w:p>
      <w:pPr>
        <w:spacing w:after="0" w:line="13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Janitorial Services</w:t>
      </w:r>
      <w:r>
        <w:rPr>
          <w:rFonts w:ascii="Arial" w:cs="Arial" w:eastAsia="Arial" w:hAnsi="Arial"/>
          <w:sz w:val="16"/>
          <w:szCs w:val="16"/>
          <w:color w:val="auto"/>
        </w:rPr>
        <w:t>. Landlord, as part of Operating Costs, shall provide janitorial services in the Premises and arrange for trash removal and recycling services from the Premises. Notwithstanding the forgoing, Tenant shall have the right to provide janitorial services to the Premises at Tenant’s sole cost and expense, in lieu of using the janitorial service provided by Landlord, provided (a) Tenant gives Landlord prior written notice that Tenant intends to provide such service, which notice shall specify the name of the janitorial service provider Tenant desires to use and the date Tenant desires to commence providing such service (which notice may be given prior to the Commencement Date), (b) Tenant shall not be permitted to use more than one janitorial service provider to provide janitorial services to the Premises (so that different portions of the Premises may not be cleaned by different janitorial service providers), (c) Tenant obtains Landlord’s prior written approval (not to be unreasonably withheld or delayed) of such janitorial service provider (or any replacement for such provider), (d) Tenant’s janitorial service provider provides janitorial and recycling services for the Premises on weekdays during the Term (exclusive of holidays) in accordance with cleaning specifications that are reasonable and customary for the first class office space, (e) Tenant’s provision of janitorial services does not cause any labor disharmony or disruption (subject to the following terms of this Section), (f) Tenant’s janitorial service provider is bonded and maintains at all times insurance reasonably required by Landlord (and furnishes evidence to Landlord of such insurance upon request from Landlord, which evidence may include, without limitation, a certificate of insurance, if requested by Landlord) and (g) Landlord shall have the right to require Tenant to cause its janitorial service provider to use “green” cleaning products and equipment to clean the Premises or, if Landlord is maintaining or seeking to obtain a LEED certification for the Building, such products and equipment as are required to be used in order to obtain or maintain such certification. Once Tenant has obtained the necessary approvals from Landlord, Landlord and Tenant shall coordinate to select a date on which Tenant shall commence to provide janitorial services to the Premises and Tenant shall commence to provide such services in accordance with this Section 8.5 on the date agreed upon, using the janitorial service provider approved by Landlord (the “</w:t>
      </w:r>
      <w:r>
        <w:rPr>
          <w:rFonts w:ascii="Arial" w:cs="Arial" w:eastAsia="Arial" w:hAnsi="Arial"/>
          <w:sz w:val="16"/>
          <w:szCs w:val="16"/>
          <w:b w:val="1"/>
          <w:bCs w:val="1"/>
          <w:u w:val="single" w:color="auto"/>
          <w:color w:val="auto"/>
        </w:rPr>
        <w:t>Approved Janitorial Contractor</w:t>
      </w:r>
      <w:r>
        <w:rPr>
          <w:rFonts w:ascii="Arial" w:cs="Arial" w:eastAsia="Arial" w:hAnsi="Arial"/>
          <w:sz w:val="16"/>
          <w:szCs w:val="16"/>
          <w:color w:val="auto"/>
        </w:rPr>
        <w:t>”) and from and after such date Landlord shall have no further obligation to provide janitorial services to the Premises, except as set forth in the next sentence. If Tenant subsequently elects not to provide janitorial services to the Premises in accordance with this Section 8.5, Landlord agrees to resume providing janitorial services to the Premises in the manner specified above, upon at least 30 days’ prior written notice from Tenant and, thereafter, Tenant shall have no further right to provide janitorial services to the Premises. Landlord will not unreasonably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withhold its consent to Tenant’s janitorial service provider as long as such provider is a reputable, adequately bonded and insured company (in Landlord’s reasonable judgment) with experience cleaning office space in commercial buildings and will not cause labor disharmony or disruption at the Building. If the presence of Tenant’s Approved Janitorial Contractor at the Building causes labor disharmony or disruption (as determined by Landlord), Tenant shall take any actions reasonably necessary to resolve such disruption, including having any pickets removed and, at the request of Landlord, suspending any work being performed in the Premises giving rise to such dispute until such time as Landlord shall have given its written consent for the resumption of such work (which consent shall not be unreasonably withheld or delayed). If such dispute cannot be resolved within a reasonable period of time, Tenant’s right to provide such janitorial services to the Premises shall terminate, and Landlord shall provide janitorial services to the Premises in the manner specified above.</w:t>
      </w:r>
    </w:p>
    <w:p>
      <w:pPr>
        <w:spacing w:after="0" w:line="164" w:lineRule="exact"/>
        <w:rPr>
          <w:sz w:val="20"/>
          <w:szCs w:val="20"/>
          <w:color w:val="auto"/>
        </w:rPr>
      </w:pPr>
    </w:p>
    <w:p>
      <w:pPr>
        <w:ind w:firstLine="634"/>
        <w:spacing w:after="0" w:line="275" w:lineRule="auto"/>
        <w:tabs>
          <w:tab w:leader="none" w:pos="1258" w:val="left"/>
        </w:tabs>
        <w:numPr>
          <w:ilvl w:val="0"/>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color w:val="auto"/>
        </w:rPr>
        <w:t>. Tenant shall continuously occupy and use the Premises only for the Permitted Use and shall comply with all Laws relating to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 access to, and occupancy of the Premises and will not commit waste, overload the Building’s Structure or the Building’s Systems or subject the Premises to use that would damage the Premises. The population density within the Premises as a whole shall at no time exceed one person for each 250 rentable square feet in the Premises; however, such population density may from time to time exceed such number on a temporary basis for meetings, conferences and other events of a temporary nature. Subject to the Building rules and regulations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the other provisions of this Lease, Tenant will be provided access to the Premises 24 hours per day, seven days per week. Tenant may use the Premises after normal business hours; however, such hours of operation shall not affect (i) the normal Building hours specified in Section 7.1, or (ii) Tenant’s obligation to request and pay for, among other things, after-hours HVAC service as provided in Section 7.1 and all costs and expenses incurred by Landlord as a result of Tenant operating in the Premises beyond the normal Building hours specified in Section 7.1, including any additional cost and expense to provide the services contemplated by this Lease, such as any additional janitorial and day porter service to the common areas, and such costs and services shall be paid by Tenant to Landlord within 30 days following Landlord’s delivery to Tenant of an invoice therefor, and such costs shall not be included in Operating Costs. Notwithstanding anything in this Lease to the contrary, as between Landlord and Tenant, (a) except as expressly provided below,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6"/>
          <w:szCs w:val="16"/>
          <w:b w:val="1"/>
          <w:bCs w:val="1"/>
          <w:u w:val="single" w:color="auto"/>
          <w:color w:val="auto"/>
        </w:rPr>
        <w:t>Disabilities Acts</w:t>
      </w:r>
      <w:r>
        <w:rPr>
          <w:rFonts w:ascii="Arial" w:cs="Arial" w:eastAsia="Arial" w:hAnsi="Arial"/>
          <w:sz w:val="16"/>
          <w:szCs w:val="16"/>
          <w:color w:val="auto"/>
        </w:rPr>
        <w:t xml:space="preserve">”) in the Premises, and (b) Landlord shall bear the risk of (1) complying with the Disabilities Acts in the common areas of the Building, as well as (2) complying with the Disabilities Acts (as such Disabilities Acts are codified and interpreted as of the date of this Lease) in the Premises to the extent such non-compliance was caused by a condition which existed due to the construction of the Premises (but only if the Working Drawings complied with the Disabilities Acts) as of the date Landlord tenders possession of the Premises to Tenant, in each case in clause (1) and (2) above other than compliance that is necessitated by the use of the Premises for other than the Permitted Use or as a result of any alterations or additions, including the design of any initial tenant improvement work, made by or on behalf of a Tenant Party (which risk and responsibility shall be borne by Tenant). If, however, any non-compliance with the Disabilities Acts in the Premises is due to a defect in the Architect’s Working Drawings (as each is defined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Tenant’s sole remedy shall be an action against the Architect, and Landlord shall have no liability therefor (however Landlord, at no cost to Landlord, shall reasonably cooperate with Tenant in any actions against the Architect). The Premises shall not be used for any use which is disreputable, creates extraordinary fire hazards, or results in an increased rate of insurance on the Project or its contents, or for the storage of any Hazardous Materials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found in typical office supplies [e.g., photocopier toner] and then only in compliance with all Laws and in a reasonable and prudent manner). Tenant shall not use any substantial portion of the Premises for a “call center,” any other telemarketing use, or any credit processing use. Tenant may use any existing wiring or cabling in the Premises in its current “</w:t>
      </w:r>
      <w:r>
        <w:rPr>
          <w:rFonts w:ascii="Arial" w:cs="Arial" w:eastAsia="Arial" w:hAnsi="Arial"/>
          <w:sz w:val="16"/>
          <w:szCs w:val="16"/>
          <w:b w:val="1"/>
          <w:bCs w:val="1"/>
          <w:color w:val="auto"/>
        </w:rPr>
        <w:t>AS-IS</w:t>
      </w:r>
      <w:r>
        <w:rPr>
          <w:rFonts w:ascii="Arial" w:cs="Arial" w:eastAsia="Arial" w:hAnsi="Arial"/>
          <w:sz w:val="16"/>
          <w:szCs w:val="16"/>
          <w:color w:val="auto"/>
        </w:rPr>
        <w:t>” condition (and Landlord covenants that such existing wiring shall remain in the Premises during the Term to the extent permitted by Laws); however, any additional wiring or cabling installed by Tenant or modifications made to the existing wiring or cabling shall be at Tenant’s sole cost and expense. During the Term, Tenant shall leave any pre-existing but unused wiring and cabling undamaged and in a neat and organized fashion, labeled, and comparable to its current condition. If, because of a Tenant Party’s acts or omissions or because Tenant vacates the Premises, the rate of insurance on the Building or its contents increases, then such acts or omissions shall be an Event of Default,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25"/>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and Subletting</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330"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Except as provided in Section 10.8, Tenant shall not, without the prior written consent of Landlord, (a) assign, transfer, or encumber this Lease or any estate or interest herein, whether directly or by operation of law, (b) permit any other entity to become Tenant hereunder by merger, consolidation, or other reorganization, (c) if Tenant is an entity other than a corporation whose stock is publicly traded, permit the transfer of an ownership interest</w:t>
      </w:r>
    </w:p>
    <w:p>
      <w:pPr>
        <w:sectPr>
          <w:pgSz w:w="11900" w:h="16895" w:orient="portrait"/>
          <w:cols w:equalWidth="0" w:num="1">
            <w:col w:w="11420"/>
          </w:cols>
          <w:pgMar w:left="240" w:top="127" w:right="239" w:bottom="0" w:gutter="0" w:footer="0" w:header="0"/>
        </w:sectPr>
      </w:pPr>
    </w:p>
    <w:bookmarkStart w:id="299" w:name="page300"/>
    <w:bookmarkEnd w:id="299"/>
    <w:p>
      <w:pPr>
        <w:spacing w:after="0" w:line="1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Tenant so as to result in a change in the current direct or indirect control of Tenant, (d) sublet any portion of the Premises, (e) grant any license, concession, or other right of occupancy of any portion of the Premises, (f) permit the use of the Premises by any parties other than Tenant, or (g) sell or otherwise transfer, in one or more transactions, a majority of Tenant’s assets (any of the events listed in Section 10.1(a) through 10.1(g) being a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w:t>
      </w:r>
    </w:p>
    <w:p>
      <w:pPr>
        <w:spacing w:after="0" w:line="148" w:lineRule="exact"/>
        <w:rPr>
          <w:sz w:val="20"/>
          <w:szCs w:val="20"/>
          <w:color w:val="auto"/>
        </w:rPr>
      </w:pPr>
    </w:p>
    <w:p>
      <w:pPr>
        <w:ind w:right="20" w:firstLine="1259"/>
        <w:spacing w:after="0" w:line="27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Consent Standards</w:t>
      </w:r>
      <w:r>
        <w:rPr>
          <w:rFonts w:ascii="Arial" w:cs="Arial" w:eastAsia="Arial" w:hAnsi="Arial"/>
          <w:sz w:val="16"/>
          <w:szCs w:val="16"/>
          <w:color w:val="auto"/>
        </w:rPr>
        <w:t>. Landlord shall not unreasonably withhold its consent to any assignment of Tenant’s entire interest in this Lease or subletting of the Premises, so long as the proposed transferee (a) is creditworthy, (b)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the Project or the related complex, (c) will not use the Premises, Building or Project in a manner that would materially increase Operating Costs or the pedestrian or vehicular traffic to the Premises, Building or Project, (d) is not a governmental or quasi-governmental entity, or subdivision or agency thereof, or any other entity entitled to the defense of sovereign immunity, (e) is not another occupant of the Project or the related complex or an Affiliate of such occupant, (f) is not currently and has not in the past been involved in litigation with Landlord or any of its Affiliates, (g) meets Landlord’s reasonable standards for tenants of the Project and is otherwise compatible with the character of the occupancy of the Project and the related complex, and (h) is not a person or entity with whom Landlord is then, or has been within the nine-month period prior to the time Tenant seeks to enter into such assignment or subletting, negotiating to lease space in the Project or the related complex or any Affiliate of any such person or entity; otherwise, Landlord may withhold its consent in its sole discretion. Additionally, Landlord may withhold its consent in its sole discretion to any proposed Transfer if any Event of Default by Tenant then exists. For the purposes of clause (h) above, “</w:t>
      </w:r>
      <w:r>
        <w:rPr>
          <w:rFonts w:ascii="Arial" w:cs="Arial" w:eastAsia="Arial" w:hAnsi="Arial"/>
          <w:sz w:val="16"/>
          <w:szCs w:val="16"/>
          <w:b w:val="1"/>
          <w:bCs w:val="1"/>
          <w:u w:val="single" w:color="auto"/>
          <w:color w:val="auto"/>
        </w:rPr>
        <w:t>negotiating to lease space</w:t>
      </w:r>
      <w:r>
        <w:rPr>
          <w:rFonts w:ascii="Arial" w:cs="Arial" w:eastAsia="Arial" w:hAnsi="Arial"/>
          <w:sz w:val="16"/>
          <w:szCs w:val="16"/>
          <w:color w:val="auto"/>
        </w:rPr>
        <w:t>” shall mean any of the following: Landlord has received a request for proposal from a prospective tenant or its broker, Landlord has submitted a written lease proposal, or Landlord has initiated space planning for a prospective tenant. Any Transfer made while an Event of Default exists hereunder, irrespective whether Landlord’s consent is required hereunder with respect to the Transfer, shall be voidable by Landlord in Landlord’s sole discretion. In agreeing to act reasonably, Landlord is agreeing to act in a manner consistent with the standards followed by large institutional owners of commercial real estate and Landlord is permitted to consider the financial terms of the Transfer and the impact of the Transfer on Landlord’s own leasing efforts and the value of the Project. Landlord may condition its consent to a Transfer on an increase in the Security Deposit or receipt of a guaranty from a suitable party. Landlord shall not be required to act reasonably in considering any request to pledge or encumber this Lease or any interest therein.</w:t>
      </w:r>
    </w:p>
    <w:p>
      <w:pPr>
        <w:spacing w:after="0" w:line="175"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Request for Consent</w:t>
      </w:r>
      <w:r>
        <w:rPr>
          <w:rFonts w:ascii="Arial" w:cs="Arial" w:eastAsia="Arial" w:hAnsi="Arial"/>
          <w:sz w:val="17"/>
          <w:szCs w:val="17"/>
          <w:color w:val="auto"/>
        </w:rPr>
        <w:t>. If Tenant requests Landlord’s consent to a Transfer, then,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Concurrently with Tenant’s notice of any request for consent to a Transfer, Tenant shall pay to Landlord a fee of $500 to defray Landlord’s expenses in reviewing such request, and Tenant shall also reimburse Landlord immediately upon request for its reasonable attorneys’ fees and other expenses incurred in connection with considering any request for consent to a Transfer (which shall not exceed $1,500, provided Landlord’s standard consent form is used without material modification or negotiation).</w:t>
      </w:r>
    </w:p>
    <w:p>
      <w:pPr>
        <w:spacing w:after="0" w:line="177" w:lineRule="exact"/>
        <w:rPr>
          <w:sz w:val="20"/>
          <w:szCs w:val="20"/>
          <w:color w:val="auto"/>
        </w:rPr>
      </w:pPr>
    </w:p>
    <w:p>
      <w:pPr>
        <w:jc w:val="both"/>
        <w:ind w:right="200" w:firstLine="1259"/>
        <w:spacing w:after="0" w:line="30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Conditions to Consent</w:t>
      </w:r>
      <w:r>
        <w:rPr>
          <w:rFonts w:ascii="Arial" w:cs="Arial" w:eastAsia="Arial" w:hAnsi="Arial"/>
          <w:sz w:val="16"/>
          <w:szCs w:val="16"/>
          <w:color w:val="auto"/>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Transfer shall release Tenant from its obligations under this Lease, but rather Tenant and its transferee shall be jointly and severally liable therefor. Landlord’s consent to any Transfer shall not waive Landlord’s rights as to any subsequent Transfers and no subtenant of any portion of the Premises shall be permitted to further sublease any portion of its subleased space.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Landlord shall not be responsible for the costs of any demising walls or other improvements necessitated by a proposed subletting or assignment.</w:t>
      </w:r>
    </w:p>
    <w:p>
      <w:pPr>
        <w:spacing w:after="0" w:line="147" w:lineRule="exact"/>
        <w:rPr>
          <w:sz w:val="20"/>
          <w:szCs w:val="20"/>
          <w:color w:val="auto"/>
        </w:rPr>
      </w:pPr>
    </w:p>
    <w:p>
      <w:pPr>
        <w:ind w:right="80" w:firstLine="1259"/>
        <w:spacing w:after="0" w:line="29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b w:val="1"/>
          <w:bCs w:val="1"/>
          <w:u w:val="single" w:color="auto"/>
          <w:color w:val="auto"/>
        </w:rPr>
        <w:t>Attornment by Subtenants</w:t>
      </w:r>
      <w:r>
        <w:rPr>
          <w:rFonts w:ascii="Arial" w:cs="Arial" w:eastAsia="Arial" w:hAnsi="Arial"/>
          <w:sz w:val="15"/>
          <w:szCs w:val="15"/>
          <w:color w:val="auto"/>
        </w:rPr>
        <w:t>. Each sublease by Tenant hereunder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take over all of the right, title and interest of Tenant, as sublandlord, under such sublease, and such subtenant shall, at Landlord’s option, attorn to Landlord pursuant to the then executory provisions of such sublease, except that Landlord shall not be</w:t>
      </w:r>
    </w:p>
    <w:p>
      <w:pPr>
        <w:jc w:val="both"/>
        <w:ind w:right="80" w:firstLine="5"/>
        <w:spacing w:after="0" w:line="291" w:lineRule="auto"/>
        <w:tabs>
          <w:tab w:leader="none" w:pos="238" w:val="left"/>
        </w:tabs>
        <w:numPr>
          <w:ilvl w:val="0"/>
          <w:numId w:val="426"/>
        </w:numPr>
        <w:rPr>
          <w:rFonts w:ascii="Arial" w:cs="Arial" w:eastAsia="Arial" w:hAnsi="Arial"/>
          <w:sz w:val="15"/>
          <w:szCs w:val="15"/>
          <w:color w:val="auto"/>
        </w:rPr>
      </w:pPr>
      <w:r>
        <w:rPr>
          <w:rFonts w:ascii="Arial" w:cs="Arial" w:eastAsia="Arial" w:hAnsi="Arial"/>
          <w:sz w:val="15"/>
          <w:szCs w:val="15"/>
          <w:color w:val="auto"/>
        </w:rPr>
        <w:t>liable for any previous act or omission of Tenant under such sublease, (b) subject to any counterclaim, offset or defense that such subtenant might have against Tenant, (c) bound by any previous modification of such sublease not approved by Landlord in writing or by any rent or additional rent or advance rent which such subtenant might have paid for more than the current month to Tenant, and all such rent shall remain due and owing, notwithstanding such advance payment,</w:t>
      </w:r>
    </w:p>
    <w:p>
      <w:pPr>
        <w:spacing w:after="0" w:line="1" w:lineRule="exact"/>
        <w:rPr>
          <w:rFonts w:ascii="Arial" w:cs="Arial" w:eastAsia="Arial" w:hAnsi="Arial"/>
          <w:sz w:val="15"/>
          <w:szCs w:val="15"/>
          <w:color w:val="auto"/>
        </w:rPr>
      </w:pPr>
    </w:p>
    <w:p>
      <w:pPr>
        <w:ind w:right="20" w:firstLine="5"/>
        <w:spacing w:after="0" w:line="261" w:lineRule="auto"/>
        <w:tabs>
          <w:tab w:leader="none" w:pos="247" w:val="left"/>
        </w:tabs>
        <w:numPr>
          <w:ilvl w:val="0"/>
          <w:numId w:val="427"/>
        </w:numPr>
        <w:rPr>
          <w:rFonts w:ascii="Arial" w:cs="Arial" w:eastAsia="Arial" w:hAnsi="Arial"/>
          <w:sz w:val="17"/>
          <w:szCs w:val="17"/>
          <w:color w:val="auto"/>
        </w:rPr>
      </w:pPr>
      <w:r>
        <w:rPr>
          <w:rFonts w:ascii="Arial" w:cs="Arial" w:eastAsia="Arial" w:hAnsi="Arial"/>
          <w:sz w:val="17"/>
          <w:szCs w:val="17"/>
          <w:color w:val="auto"/>
        </w:rPr>
        <w:t>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w:t>
      </w:r>
    </w:p>
    <w:p>
      <w:pPr>
        <w:spacing w:after="0" w:line="175" w:lineRule="exact"/>
        <w:rPr>
          <w:sz w:val="20"/>
          <w:szCs w:val="20"/>
          <w:color w:val="auto"/>
        </w:rPr>
      </w:pPr>
    </w:p>
    <w:p>
      <w:pPr>
        <w:ind w:right="20" w:firstLine="1259"/>
        <w:spacing w:after="0" w:line="26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Cancellation</w:t>
      </w:r>
      <w:r>
        <w:rPr>
          <w:rFonts w:ascii="Arial" w:cs="Arial" w:eastAsia="Arial" w:hAnsi="Arial"/>
          <w:sz w:val="17"/>
          <w:szCs w:val="17"/>
          <w:color w:val="auto"/>
        </w:rPr>
        <w:t>. In the event of a proposed assignment of the Lease or a sublease of more than 35% of the Premises leased to Tenant as of the Lease Date, Landlord may, within 30 days after submission of Tenant’s written request for Landlord’s consent to such assignment or subletting, cancel this Lease as to the portion of the Premises proposed to be sublet or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the portion of the Premises covered by the proposed Transfer. Thereafter, Landlord may lease such portion of the Premises to the prospective transferee (or to any other person) without liability to Tenant. For purposes of clarification and the avoidance of doubt, Landlord’s rights under this Section 10.6 shall not apply with respect to any Permitted Transfer (defined below).</w:t>
      </w:r>
    </w:p>
    <w:p>
      <w:pPr>
        <w:spacing w:after="0" w:line="173" w:lineRule="exact"/>
        <w:rPr>
          <w:sz w:val="20"/>
          <w:szCs w:val="20"/>
          <w:color w:val="auto"/>
        </w:rPr>
      </w:pPr>
    </w:p>
    <w:p>
      <w:pPr>
        <w:ind w:right="200" w:firstLine="1259"/>
        <w:spacing w:after="0" w:line="29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Additional Compensation</w:t>
      </w:r>
      <w:r>
        <w:rPr>
          <w:rFonts w:ascii="Arial" w:cs="Arial" w:eastAsia="Arial" w:hAnsi="Arial"/>
          <w:sz w:val="16"/>
          <w:szCs w:val="16"/>
          <w:color w:val="auto"/>
        </w:rPr>
        <w:t>. Tenant shall pay to Landlord, immediately upon receipt thereof, 50% of the excess (or while an Event of Default exists, 100% of the excess) of (a) all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(b) the Rent allocable to the portion of the Premises covered thereby.</w:t>
      </w:r>
    </w:p>
    <w:p>
      <w:pPr>
        <w:spacing w:after="0" w:line="153" w:lineRule="exact"/>
        <w:rPr>
          <w:sz w:val="20"/>
          <w:szCs w:val="20"/>
          <w:color w:val="auto"/>
        </w:rPr>
      </w:pPr>
    </w:p>
    <w:p>
      <w:pPr>
        <w:ind w:firstLine="1259"/>
        <w:spacing w:after="0" w:line="36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b w:val="1"/>
          <w:bCs w:val="1"/>
          <w:u w:val="single" w:color="auto"/>
          <w:color w:val="auto"/>
        </w:rPr>
        <w:t>Permitted Transfers</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Section 10.1, Tenant may Transfer all or part of its interest in this Lease or all or part of the Premises or an ownership interest in Tenant so as to result in a change in the direct or indirect control of Tenant (a “</w:t>
      </w:r>
      <w:r>
        <w:rPr>
          <w:rFonts w:ascii="Arial" w:cs="Arial" w:eastAsia="Arial" w:hAnsi="Arial"/>
          <w:sz w:val="15"/>
          <w:szCs w:val="15"/>
          <w:b w:val="1"/>
          <w:bCs w:val="1"/>
          <w:u w:val="single" w:color="auto"/>
          <w:color w:val="auto"/>
        </w:rPr>
        <w:t>Permitted Transfer</w:t>
      </w:r>
      <w:r>
        <w:rPr>
          <w:rFonts w:ascii="Arial" w:cs="Arial" w:eastAsia="Arial" w:hAnsi="Arial"/>
          <w:sz w:val="15"/>
          <w:szCs w:val="15"/>
          <w:color w:val="auto"/>
        </w:rPr>
        <w:t>”) to the following types of</w:t>
      </w:r>
    </w:p>
    <w:p>
      <w:pPr>
        <w:sectPr>
          <w:pgSz w:w="11900" w:h="16857" w:orient="portrait"/>
          <w:cols w:equalWidth="0" w:num="1">
            <w:col w:w="11420"/>
          </w:cols>
          <w:pgMar w:left="240" w:top="127" w:right="239" w:bottom="0" w:gutter="0" w:footer="0" w:header="0"/>
        </w:sectPr>
      </w:pPr>
    </w:p>
    <w:bookmarkStart w:id="300" w:name="page301"/>
    <w:bookmarkEnd w:id="300"/>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entities (a “</w:t>
      </w:r>
      <w:r>
        <w:rPr>
          <w:rFonts w:ascii="Arial" w:cs="Arial" w:eastAsia="Arial" w:hAnsi="Arial"/>
          <w:sz w:val="17"/>
          <w:szCs w:val="17"/>
          <w:b w:val="1"/>
          <w:bCs w:val="1"/>
          <w:u w:val="single" w:color="auto"/>
          <w:color w:val="auto"/>
        </w:rPr>
        <w:t>Permitted Transferee</w:t>
      </w:r>
      <w:r>
        <w:rPr>
          <w:rFonts w:ascii="Arial" w:cs="Arial" w:eastAsia="Arial" w:hAnsi="Arial"/>
          <w:sz w:val="17"/>
          <w:szCs w:val="17"/>
          <w:color w:val="auto"/>
        </w:rPr>
        <w:t>”) without the written consent of Landlord:</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6"/>
          <w:szCs w:val="16"/>
          <w:color w:val="auto"/>
        </w:rPr>
        <w:t>an Affiliate of Tenant;</w:t>
      </w:r>
    </w:p>
    <w:p>
      <w:pPr>
        <w:spacing w:after="0" w:line="224" w:lineRule="exact"/>
        <w:rPr>
          <w:sz w:val="20"/>
          <w:szCs w:val="20"/>
          <w:color w:val="auto"/>
        </w:rPr>
      </w:pPr>
    </w:p>
    <w:p>
      <w:pPr>
        <w:ind w:left="640" w:right="40" w:firstLine="1258"/>
        <w:spacing w:after="0" w:line="289" w:lineRule="auto"/>
        <w:rPr>
          <w:sz w:val="20"/>
          <w:szCs w:val="20"/>
          <w:color w:val="auto"/>
        </w:rPr>
      </w:pPr>
      <w:r>
        <w:rPr>
          <w:rFonts w:ascii="Arial" w:cs="Arial" w:eastAsia="Arial" w:hAnsi="Arial"/>
          <w:sz w:val="17"/>
          <w:szCs w:val="17"/>
          <w:color w:val="auto"/>
        </w:rPr>
        <w:t>10.8.2 any corporation, limited partnership, limited liability partnership, limited liability company or other business entity in which or with which Tenant, or its corporate successors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assigns, is merged or consolidated, in accordance with applicable statutory provisions governing merger and consolidation of business entities, so long as</w:t>
      </w:r>
    </w:p>
    <w:p>
      <w:pPr>
        <w:spacing w:after="0" w:line="49" w:lineRule="exact"/>
        <w:rPr>
          <w:sz w:val="20"/>
          <w:szCs w:val="20"/>
          <w:color w:val="auto"/>
        </w:rPr>
      </w:pPr>
    </w:p>
    <w:p>
      <w:pPr>
        <w:ind w:left="640" w:right="400" w:hanging="6"/>
        <w:spacing w:after="0" w:line="275" w:lineRule="auto"/>
        <w:tabs>
          <w:tab w:leader="none" w:pos="874"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Tenant’s obligations hereunder are assumed by the entity surviving such merger or created by such consolidation; and (b) the proposed transferee satisfies the Tangible Net Worth/Credit Threshold as of the effective date of the Permitted Transfer;</w:t>
      </w:r>
    </w:p>
    <w:p>
      <w:pPr>
        <w:spacing w:after="0" w:line="169" w:lineRule="exact"/>
        <w:rPr>
          <w:sz w:val="20"/>
          <w:szCs w:val="20"/>
          <w:color w:val="auto"/>
        </w:rPr>
      </w:pPr>
    </w:p>
    <w:p>
      <w:pPr>
        <w:ind w:left="640" w:right="160" w:firstLine="1258"/>
        <w:spacing w:after="0" w:line="298" w:lineRule="auto"/>
        <w:rPr>
          <w:sz w:val="20"/>
          <w:szCs w:val="20"/>
          <w:color w:val="auto"/>
        </w:rPr>
      </w:pPr>
      <w:r>
        <w:rPr>
          <w:rFonts w:ascii="Arial" w:cs="Arial" w:eastAsia="Arial" w:hAnsi="Arial"/>
          <w:sz w:val="16"/>
          <w:szCs w:val="16"/>
          <w:color w:val="auto"/>
        </w:rPr>
        <w:t>10.8.3 any corporation, limited partnership, limited liability partnership, limited liability company or other business entity acquiring all or substantially all of Tenant’s assets, so long as (a) Tenant’s obligations hereunder are assumed by the entity acquiring such assets; and (b) the proposed transferee satisfies the Tangible Net Worth/Credit Threshold as of the effective date of the Permitted Transfer; or</w:t>
      </w:r>
    </w:p>
    <w:p>
      <w:pPr>
        <w:spacing w:after="0" w:line="154" w:lineRule="exact"/>
        <w:rPr>
          <w:sz w:val="20"/>
          <w:szCs w:val="20"/>
          <w:color w:val="auto"/>
        </w:rPr>
      </w:pPr>
    </w:p>
    <w:p>
      <w:pPr>
        <w:ind w:left="640" w:firstLine="1258"/>
        <w:spacing w:after="0" w:line="298" w:lineRule="auto"/>
        <w:rPr>
          <w:sz w:val="20"/>
          <w:szCs w:val="20"/>
          <w:color w:val="auto"/>
        </w:rPr>
      </w:pPr>
      <w:r>
        <w:rPr>
          <w:rFonts w:ascii="Arial" w:cs="Arial" w:eastAsia="Arial" w:hAnsi="Arial"/>
          <w:sz w:val="16"/>
          <w:szCs w:val="16"/>
          <w:color w:val="auto"/>
        </w:rPr>
        <w:t>10.8.4 any corporation, limited partnership, limited liability partnership, limited liability company or other business entity or individuals acquiring, directly or indirectly, and whether through an initial public offering of stock or otherwise, a controlling interest in Tenant or any indirect owner of Tenant, so long as Tenant continues to satisfy the Tangible Net Worth/Credit Threshold as of the effective date of the Permitted Transfer.</w:t>
      </w:r>
    </w:p>
    <w:p>
      <w:pPr>
        <w:spacing w:after="0" w:line="154" w:lineRule="exact"/>
        <w:rPr>
          <w:sz w:val="20"/>
          <w:szCs w:val="20"/>
          <w:color w:val="auto"/>
        </w:rPr>
      </w:pPr>
    </w:p>
    <w:p>
      <w:pPr>
        <w:ind w:left="640"/>
        <w:spacing w:after="0" w:line="276" w:lineRule="auto"/>
        <w:rPr>
          <w:sz w:val="20"/>
          <w:szCs w:val="20"/>
          <w:color w:val="auto"/>
        </w:rPr>
      </w:pPr>
      <w:r>
        <w:rPr>
          <w:rFonts w:ascii="Arial" w:cs="Arial" w:eastAsia="Arial" w:hAnsi="Arial"/>
          <w:sz w:val="16"/>
          <w:szCs w:val="16"/>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or the Project or the related complex, Landlord or other tenants of the Project or the related complex. No later than ten business days after the effective date of any Permitted Transfer, Tenant agrees to furnish Landlord with (1) copies of the instrument effecting any of the foregoing Transfers, (2) documentation establishing Tenant’s satisfaction of the requirements set forth above applicable to any such Transfer, and (3) evidence of insurance as required under this Lease with respect to the Permitted Transferee. The occurrence of a Permitted Transfer shall not waive Landlord’s rights as to any subsequent Transfers, and any subsequent Transfer by a Permitted Transferee shall be subject to the terms of this Section 10. As used herein, the term “</w:t>
      </w:r>
      <w:r>
        <w:rPr>
          <w:rFonts w:ascii="Arial" w:cs="Arial" w:eastAsia="Arial" w:hAnsi="Arial"/>
          <w:sz w:val="16"/>
          <w:szCs w:val="16"/>
          <w:b w:val="1"/>
          <w:bCs w:val="1"/>
          <w:u w:val="single" w:color="auto"/>
          <w:color w:val="auto"/>
        </w:rPr>
        <w:t>Tangible Net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Worth/Credit Threshold</w:t>
      </w:r>
      <w:r>
        <w:rPr>
          <w:rFonts w:ascii="Arial" w:cs="Arial" w:eastAsia="Arial" w:hAnsi="Arial"/>
          <w:sz w:val="16"/>
          <w:szCs w:val="16"/>
          <w:color w:val="auto"/>
        </w:rPr>
        <w:t>” shall mean (A) the proposed Permitted Transferee has a Tangible Net Worth equal to or greater than $50,000,000 as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by financial statements audited by a certified public accounting firm reasonably acceptable to Landlord, and (B) if the proposed Permitted Transferee has been assigned a Corporate Debt Rating, then such proposed Permitted Transferee’s Corporate Debt Rating satisfies the Corporate Debt Rating Requirement. As used herein, “</w:t>
      </w:r>
      <w:r>
        <w:rPr>
          <w:rFonts w:ascii="Arial" w:cs="Arial" w:eastAsia="Arial" w:hAnsi="Arial"/>
          <w:sz w:val="16"/>
          <w:szCs w:val="16"/>
          <w:b w:val="1"/>
          <w:bCs w:val="1"/>
          <w:u w:val="single" w:color="auto"/>
          <w:color w:val="auto"/>
        </w:rPr>
        <w:t>Tangible Net Worth</w:t>
      </w:r>
      <w:r>
        <w:rPr>
          <w:rFonts w:ascii="Arial" w:cs="Arial" w:eastAsia="Arial" w:hAnsi="Arial"/>
          <w:sz w:val="16"/>
          <w:szCs w:val="16"/>
          <w:color w:val="auto"/>
        </w:rPr>
        <w:t>” means the excess of total assets over total liabilities, in each case as determined in accordance with generally accepted accounting principles consistently applied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excluding, however, from the determination of total assets all assets which would be classified as intangible assets under GAAP including goodwill, licenses, patents, trademarks, trade names, copyrights, and franchises. “</w:t>
      </w:r>
      <w:r>
        <w:rPr>
          <w:rFonts w:ascii="Arial" w:cs="Arial" w:eastAsia="Arial" w:hAnsi="Arial"/>
          <w:sz w:val="16"/>
          <w:szCs w:val="16"/>
          <w:b w:val="1"/>
          <w:bCs w:val="1"/>
          <w:u w:val="single" w:color="auto"/>
          <w:color w:val="auto"/>
        </w:rPr>
        <w:t>Corporate Debt Rating</w:t>
      </w:r>
      <w:r>
        <w:rPr>
          <w:rFonts w:ascii="Arial" w:cs="Arial" w:eastAsia="Arial" w:hAnsi="Arial"/>
          <w:sz w:val="16"/>
          <w:szCs w:val="16"/>
          <w:color w:val="auto"/>
        </w:rPr>
        <w:t>” shall mean either a general corporate debt rating or an unsecured corporate debt rating by either Standard &amp; Poor’s Corporation (“</w:t>
      </w:r>
      <w:r>
        <w:rPr>
          <w:rFonts w:ascii="Arial" w:cs="Arial" w:eastAsia="Arial" w:hAnsi="Arial"/>
          <w:sz w:val="16"/>
          <w:szCs w:val="16"/>
          <w:b w:val="1"/>
          <w:bCs w:val="1"/>
          <w:u w:val="single" w:color="auto"/>
          <w:color w:val="auto"/>
        </w:rPr>
        <w:t>S&amp;P</w:t>
      </w:r>
      <w:r>
        <w:rPr>
          <w:rFonts w:ascii="Arial" w:cs="Arial" w:eastAsia="Arial" w:hAnsi="Arial"/>
          <w:sz w:val="16"/>
          <w:szCs w:val="16"/>
          <w:color w:val="auto"/>
        </w:rPr>
        <w:t>”) or Moody’s Investor Service (“</w:t>
      </w:r>
      <w:r>
        <w:rPr>
          <w:rFonts w:ascii="Arial" w:cs="Arial" w:eastAsia="Arial" w:hAnsi="Arial"/>
          <w:sz w:val="16"/>
          <w:szCs w:val="16"/>
          <w:b w:val="1"/>
          <w:bCs w:val="1"/>
          <w:u w:val="single" w:color="auto"/>
          <w:color w:val="auto"/>
        </w:rPr>
        <w:t>Moody’s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Corporate Debt Rating Requirement</w:t>
      </w:r>
      <w:r>
        <w:rPr>
          <w:rFonts w:ascii="Arial" w:cs="Arial" w:eastAsia="Arial" w:hAnsi="Arial"/>
          <w:sz w:val="16"/>
          <w:szCs w:val="16"/>
          <w:color w:val="auto"/>
        </w:rPr>
        <w:t>” shall mean a Corporate Debt Rating of BBB or better (as determined by S&amp;P) and Baa2 or better (as determined by Moody’s).</w:t>
      </w:r>
    </w:p>
    <w:p>
      <w:pPr>
        <w:spacing w:after="0" w:line="171" w:lineRule="exact"/>
        <w:rPr>
          <w:sz w:val="20"/>
          <w:szCs w:val="20"/>
          <w:color w:val="auto"/>
        </w:rPr>
      </w:pPr>
    </w:p>
    <w:p>
      <w:pPr>
        <w:ind w:left="1260" w:hanging="626"/>
        <w:spacing w:after="0"/>
        <w:tabs>
          <w:tab w:leader="none" w:pos="1260" w:val="left"/>
        </w:tabs>
        <w:numPr>
          <w:ilvl w:val="0"/>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 Waivers; Subrogation; Indemnity</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Effective as of the earlier of (a) the date Tenant enters or occupies the Premises, or (b) the Commencement Date, and continuing throughout the Term, Tenant shall maintain the following insurance policies: (1) commercial general liability insurance (including property damage, bodily injury and personal injury coverage) in amounts of $1,000,000 per occurrence in primary coverage, with an additional $5,000,000 in umbrella coverage or, following the expiration of the initial Term, such greater amounts as landlords of similar class buildings in the Northwest Austin, Texas submarket are then generally requiring (and, if the use and occupancy of the Premises include any activity or matter that is or may be excluded from coverage under a commercial general liability policy [e.g., use of hazardous materials or the sale, service or consumption of alcoholic beverages], Tenant shall obtain such endorsements to the commercial general liability policy or otherwise obtain insurance to insure all liability arising from such activity or matter [including liquor liability, if applicable] in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amounts as Landlord may reasonably require), insuring Tenant (and naming as additional insureds Landlord and, provided in each case that Landlord has delivered to Tenant written notice of the names and addresses thereof, Landlord’s property management company, Landlord’s asset management company and, if requested in writing by Landlord, Landlord’s Mortgagee), against liability for injury to or death of a person or persons or damage to property arising from the use and occupancy of the Premises and (without implying any consent by Landlord to the installation thereof) the installation, operation, maintenance, repair or removal of Tenant’s Off-Premises Equipment, (2) cause of loss-special risk form (formerly “all-risk”) insurance (including, but not limited to, sprinkler leakage, ordinance and law, sewer back-up, windstorm and collapse coverage) covering the full value of all alterations and improvements and betterments in the Premises, naming Landlord and Landlord’s Mortgagee as additional loss payees as their interests may appear, (3) cause of loss-special risk form (formerly “all-risk”) insurance covering the full value of all furniture, trade fixtures, equipment and personal property (including property of Tenant or others) in the Premises or otherwise placed in the Project by or on behalf of a Tenant Party (including Tenant’s Off-Premises Equipment), (4) contractual liability insurance sufficient to cover Tenant’s indemnity obligations hereunder (but only if such contractual liability insurance is not already included in Tenant’s commercial general liability insurance policy),</w:t>
      </w:r>
    </w:p>
    <w:p>
      <w:pPr>
        <w:spacing w:after="0" w:line="4" w:lineRule="exact"/>
        <w:rPr>
          <w:sz w:val="20"/>
          <w:szCs w:val="20"/>
          <w:color w:val="auto"/>
        </w:rPr>
      </w:pPr>
    </w:p>
    <w:p>
      <w:pPr>
        <w:ind w:right="20" w:firstLine="5"/>
        <w:spacing w:after="0" w:line="297" w:lineRule="auto"/>
        <w:tabs>
          <w:tab w:leader="none" w:pos="247" w:val="left"/>
        </w:tabs>
        <w:numPr>
          <w:ilvl w:val="0"/>
          <w:numId w:val="430"/>
        </w:numPr>
        <w:rPr>
          <w:rFonts w:ascii="Arial" w:cs="Arial" w:eastAsia="Arial" w:hAnsi="Arial"/>
          <w:sz w:val="15"/>
          <w:szCs w:val="15"/>
          <w:color w:val="auto"/>
        </w:rPr>
      </w:pPr>
      <w:r>
        <w:rPr>
          <w:rFonts w:ascii="Arial" w:cs="Arial" w:eastAsia="Arial" w:hAnsi="Arial"/>
          <w:sz w:val="15"/>
          <w:szCs w:val="15"/>
          <w:color w:val="auto"/>
        </w:rPr>
        <w:t>commercial auto liability insurance (if applicable) covering automobiles owned, hired or used by Tenant in carrying on its business with limits not less than $1,000,000 combined single limit for each accident, insuring Tenant (and naming as additional insureds Landlord, Landlord’s property management company, Landlord’s asset management company and, if requested in writing by Landlord, Landlord’s Mortgagee, in each case to the extent Landlord has provided written notice of such names and addressses), (6) worker’s compensation insurance and employer’s liability insurance with statutory limits, and (7) business interruption insurance in an amount equal to or greater than 12 months of Tenant’s actual, sustained probable loss. Tenant’s insurance shall be primary and non-contributory when any policy issued to Landlord provides duplicate or similar coverage, and in such circumstance Landlord’s policy will be excess over Tenant’s policy. Tenant shall furnish to Landlord certificates of such insurance, proof that Tenant’s laboratory use is covered by its commercial general liability policy or that Tenant has obtained separate environmental coverage (provided that Tenant shall not be required to obtain or carry separate pollution liability coverage), and such other evidence reasonably satisfactory to Landlord of the maintenance of all insurance coverages required hereunder at least ten days prior to the earlier of the Commencement Date or the date Tenant enters or occupies the Premises (in any event, within ten days of the effective date of coverage), and at least 15 days prior to each renewal of said insurance, and Tenant shall endeavor to obtain a written obligation on the part of each insurance company to notify Landlord at least 30</w:t>
      </w:r>
    </w:p>
    <w:p>
      <w:pPr>
        <w:sectPr>
          <w:pgSz w:w="11900" w:h="16872" w:orient="portrait"/>
          <w:cols w:equalWidth="0" w:num="1">
            <w:col w:w="11420"/>
          </w:cols>
          <w:pgMar w:left="240" w:top="121" w:right="239" w:bottom="0" w:gutter="0" w:footer="0" w:header="0"/>
        </w:sectPr>
      </w:pPr>
    </w:p>
    <w:bookmarkStart w:id="301" w:name="page302"/>
    <w:bookmarkEnd w:id="301"/>
    <w:p>
      <w:pPr>
        <w:spacing w:after="0" w:line="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days before cancellation or a material change of any such insurance policies (and if Tenant is not successful, Tenant shall notify Landlord in writing of such cancellation or material change by the deadlines set forth above). All such insurance policies shall be issued by companies with an A.M. Best rating of A+:VIII or better. However, no review or approval of any insurance certificate or policy by Landlord shall derogate from or diminish Landlord’s rights or Tenant’s obligations hereunder.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15% of such cost.</w:t>
      </w:r>
    </w:p>
    <w:p>
      <w:pPr>
        <w:spacing w:after="0" w:line="16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b w:val="1"/>
          <w:bCs w:val="1"/>
          <w:u w:val="single" w:color="auto"/>
          <w:color w:val="auto"/>
        </w:rPr>
        <w:t>Landlord’s Insurance</w:t>
      </w:r>
      <w:r>
        <w:rPr>
          <w:rFonts w:ascii="Arial" w:cs="Arial" w:eastAsia="Arial" w:hAnsi="Arial"/>
          <w:sz w:val="16"/>
          <w:szCs w:val="16"/>
          <w:color w:val="auto"/>
        </w:rPr>
        <w:t>. Throughout the Term of this Lease, Landlord shall maintain, as a minimum, the following insurance policies:</w:t>
      </w:r>
    </w:p>
    <w:p>
      <w:pPr>
        <w:spacing w:after="0" w:line="32" w:lineRule="exact"/>
        <w:rPr>
          <w:sz w:val="20"/>
          <w:szCs w:val="20"/>
          <w:color w:val="auto"/>
        </w:rPr>
      </w:pPr>
    </w:p>
    <w:p>
      <w:pPr>
        <w:ind w:left="240" w:hanging="235"/>
        <w:spacing w:after="0"/>
        <w:tabs>
          <w:tab w:leader="none" w:pos="2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property insurance for the Building’s replacement value (excluding property required to be insured by Tenant), less a commercially-reasonable deductible if</w:t>
      </w:r>
    </w:p>
    <w:p>
      <w:pPr>
        <w:spacing w:after="0" w:line="25" w:lineRule="exact"/>
        <w:rPr>
          <w:rFonts w:ascii="Arial" w:cs="Arial" w:eastAsia="Arial" w:hAnsi="Arial"/>
          <w:sz w:val="16"/>
          <w:szCs w:val="16"/>
          <w:color w:val="auto"/>
        </w:rPr>
      </w:pPr>
    </w:p>
    <w:p>
      <w:pPr>
        <w:ind w:right="20"/>
        <w:spacing w:after="0" w:line="259" w:lineRule="auto"/>
        <w:rPr>
          <w:rFonts w:ascii="Arial" w:cs="Arial" w:eastAsia="Arial" w:hAnsi="Arial"/>
          <w:sz w:val="16"/>
          <w:szCs w:val="16"/>
          <w:color w:val="auto"/>
        </w:rPr>
      </w:pPr>
      <w:r>
        <w:rPr>
          <w:rFonts w:ascii="Arial" w:cs="Arial" w:eastAsia="Arial" w:hAnsi="Arial"/>
          <w:sz w:val="17"/>
          <w:szCs w:val="17"/>
          <w:color w:val="auto"/>
        </w:rPr>
        <w:t>Landlord so chooses, and (b) commercial general liability insurance in an amount of not less than $5,000,000. Landlord may, but is not obligated to, maintain such other insurance and additional coverages as it may deem necessary. The cost of all insurance carried by Landlord with respect to the Project shall be included in Operating Costs. The foregoing insurance policies and any other insurance carried by Landlord shall be for the sole benefit of Landlord and under Landlord’s sole control, and Tenant shall have no right or claim to any proceeds thereof or any other rights thereunder. Any insurance required to be maintained by Landlord may be taken out under a blanket insurance policy or policies covering other buildings, property or insureds in addition to the Building and Landlord. In such event, the costs of any such blanket insurance policy or policies shall be reasonably allocated to the Project and the other properties covered by such policy or policies as reasonably determined by Landlord and included as part of Operating Costs. Notwithstanding anything in this Lease to the contrary, Landlord’s indemnity obligations under this Lease shall be limited to the extent any such claim is insured against under the terms of any insurance policy maintained by Landlord (or is required to be maintained by Landlord under the terms of this Lease); provided that such limitation shall not apply if the act for which there is an indemnity obligation falls under the policy exclusions.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No Subrogation; Waiver of Property Claims</w:t>
      </w:r>
      <w:r>
        <w:rPr>
          <w:rFonts w:ascii="Arial" w:cs="Arial" w:eastAsia="Arial" w:hAnsi="Arial"/>
          <w:sz w:val="16"/>
          <w:szCs w:val="16"/>
          <w:color w:val="auto"/>
        </w:rPr>
        <w:t xml:space="preserve">. Landlord and Tenant each waives any claim it might have against the other for any damage to or theft, destruction, loss, or loss of use of any property, to the extent the same is insured (or required by this Lease to be insured) against under any insurance policy of the types described in this Section 11 that covers the Project, the Premises, Landlord’s or Tenant’s fixtures, personal property, leasehold improvements, or business, or is required to be insured against under the terms hereof, </w:t>
      </w:r>
      <w:r>
        <w:rPr>
          <w:rFonts w:ascii="Arial" w:cs="Arial" w:eastAsia="Arial" w:hAnsi="Arial"/>
          <w:sz w:val="16"/>
          <w:szCs w:val="16"/>
          <w:b w:val="1"/>
          <w:bCs w:val="1"/>
          <w:color w:val="auto"/>
        </w:rPr>
        <w:t>regardless of whether the negligence of the other party caused such</w:t>
      </w:r>
      <w:r>
        <w:rPr>
          <w:rFonts w:ascii="Arial" w:cs="Arial" w:eastAsia="Arial" w:hAnsi="Arial"/>
          <w:sz w:val="16"/>
          <w:szCs w:val="16"/>
          <w:color w:val="auto"/>
        </w:rPr>
        <w:t xml:space="preserve"> </w:t>
      </w:r>
      <w:r>
        <w:rPr>
          <w:rFonts w:ascii="Arial" w:cs="Arial" w:eastAsia="Arial" w:hAnsi="Arial"/>
          <w:sz w:val="16"/>
          <w:szCs w:val="16"/>
          <w:b w:val="1"/>
          <w:bCs w:val="1"/>
          <w:color w:val="auto"/>
        </w:rPr>
        <w:t>Loss (defined below)</w:t>
      </w:r>
      <w:r>
        <w:rPr>
          <w:rFonts w:ascii="Arial" w:cs="Arial" w:eastAsia="Arial" w:hAnsi="Arial"/>
          <w:sz w:val="16"/>
          <w:szCs w:val="16"/>
          <w:color w:val="auto"/>
        </w:rPr>
        <w:t>. Additionally, Tenant waives any claim it may have against Landlord for any Loss to the extent such Loss is caused by a terrorist act.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or the related complex, caused by casualty, theft, fire, third parties or any other matter or cause, </w:t>
      </w:r>
      <w:r>
        <w:rPr>
          <w:rFonts w:ascii="Arial" w:cs="Arial" w:eastAsia="Arial" w:hAnsi="Arial"/>
          <w:sz w:val="16"/>
          <w:szCs w:val="16"/>
          <w:b w:val="1"/>
          <w:bCs w:val="1"/>
          <w:color w:val="auto"/>
        </w:rPr>
        <w:t>regardless of whether the negligence of any party caused such loss in whole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 in part. </w:t>
      </w:r>
      <w:r>
        <w:rPr>
          <w:rFonts w:ascii="Arial" w:cs="Arial" w:eastAsia="Arial" w:hAnsi="Arial"/>
          <w:sz w:val="16"/>
          <w:szCs w:val="16"/>
          <w:color w:val="auto"/>
        </w:rPr>
        <w:t>Tenant acknowledges that Landlord shall not carry insurance on, and shall not be responsible for damage to, any property of any Tenant Party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or about the Project or the related complex.</w:t>
      </w:r>
    </w:p>
    <w:p>
      <w:pPr>
        <w:spacing w:after="0" w:line="169" w:lineRule="exact"/>
        <w:rPr>
          <w:sz w:val="20"/>
          <w:szCs w:val="20"/>
          <w:color w:val="auto"/>
        </w:rPr>
      </w:pPr>
    </w:p>
    <w:p>
      <w:pPr>
        <w:ind w:right="40" w:firstLine="1259"/>
        <w:spacing w:after="0" w:line="279"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Subject to Section 11.3,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Arial" w:cs="Arial" w:eastAsia="Arial" w:hAnsi="Arial"/>
          <w:sz w:val="16"/>
          <w:szCs w:val="16"/>
          <w:b w:val="1"/>
          <w:bCs w:val="1"/>
          <w:u w:val="single" w:color="auto"/>
          <w:color w:val="auto"/>
        </w:rPr>
        <w:t>Loss</w:t>
      </w:r>
      <w:r>
        <w:rPr>
          <w:rFonts w:ascii="Arial" w:cs="Arial" w:eastAsia="Arial" w:hAnsi="Arial"/>
          <w:sz w:val="16"/>
          <w:szCs w:val="16"/>
          <w:color w:val="auto"/>
        </w:rPr>
        <w:t>”) (a) occurring in or on the Project (other than within the Premises) to the extent caused by the negligence or willful misconduct of any Tenant Party, (b) occurring in the Premises, or</w:t>
      </w:r>
    </w:p>
    <w:p>
      <w:pPr>
        <w:spacing w:after="0" w:line="1" w:lineRule="exact"/>
        <w:rPr>
          <w:sz w:val="20"/>
          <w:szCs w:val="20"/>
          <w:color w:val="auto"/>
        </w:rPr>
      </w:pPr>
    </w:p>
    <w:p>
      <w:pPr>
        <w:ind w:right="40" w:firstLine="5"/>
        <w:spacing w:after="0" w:line="276" w:lineRule="auto"/>
        <w:tabs>
          <w:tab w:leader="none" w:pos="238"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arising out of the installation, operation, maintenance, repair or removal of any property of any Tenant Party located in or about the Project, including Tenant’s Off-Premises Equipment. </w:t>
      </w:r>
      <w:r>
        <w:rPr>
          <w:rFonts w:ascii="Arial" w:cs="Arial" w:eastAsia="Arial" w:hAnsi="Arial"/>
          <w:sz w:val="16"/>
          <w:szCs w:val="16"/>
          <w:b w:val="1"/>
          <w:bCs w:val="1"/>
          <w:color w:val="auto"/>
        </w:rPr>
        <w:t>It being agreed that clauses (b) and (c) of this indemnity are intended to indemnify Landlord and its agents against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consequences of their own negligence or fault, 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 </w:t>
      </w:r>
      <w:r>
        <w:rPr>
          <w:rFonts w:ascii="Arial" w:cs="Arial" w:eastAsia="Arial" w:hAnsi="Arial"/>
          <w:sz w:val="16"/>
          <w:szCs w:val="16"/>
          <w:color w:val="auto"/>
        </w:rPr>
        <w:t>Subject to Section 11.3,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defend, indemnify, and hold harmless Tenant and its agents from and against all claims, demands, liabilities, causes of action, suits, judgments, damages, and expenses (including reasonable attorneys’ fees) for any Loss arising from any occurrence (1) in or on the Building’s or Project’s common areas to the extent caused by the negligence of Landlord or its agents, or (2) anywhere at the Project (including the Premises) to the extent caused by the gross negligence or willful misconduct of Landlord or its agents.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1"/>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 Attornment: Notice to Landlord’s Mortgagee</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This Lease shall be subordinate to any deed of trust, mortgage, or other security instrument (each, a “</w:t>
      </w:r>
      <w:r>
        <w:rPr>
          <w:rFonts w:ascii="Arial" w:cs="Arial" w:eastAsia="Arial" w:hAnsi="Arial"/>
          <w:sz w:val="16"/>
          <w:szCs w:val="16"/>
          <w:b w:val="1"/>
          <w:bCs w:val="1"/>
          <w:u w:val="single" w:color="auto"/>
          <w:color w:val="auto"/>
        </w:rPr>
        <w:t>Mortgage</w:t>
      </w:r>
      <w:r>
        <w:rPr>
          <w:rFonts w:ascii="Arial" w:cs="Arial" w:eastAsia="Arial" w:hAnsi="Arial"/>
          <w:sz w:val="16"/>
          <w:szCs w:val="16"/>
          <w:color w:val="auto"/>
        </w:rPr>
        <w:t>”), or any ground lease, master lease, or primary lease (each, a “</w:t>
      </w:r>
      <w:r>
        <w:rPr>
          <w:rFonts w:ascii="Arial" w:cs="Arial" w:eastAsia="Arial" w:hAnsi="Arial"/>
          <w:sz w:val="16"/>
          <w:szCs w:val="16"/>
          <w:b w:val="1"/>
          <w:bCs w:val="1"/>
          <w:u w:val="single" w:color="auto"/>
          <w:color w:val="auto"/>
        </w:rPr>
        <w:t>Primary Lease</w:t>
      </w:r>
      <w:r>
        <w:rPr>
          <w:rFonts w:ascii="Arial" w:cs="Arial" w:eastAsia="Arial" w:hAnsi="Arial"/>
          <w:sz w:val="16"/>
          <w:szCs w:val="16"/>
          <w:color w:val="auto"/>
        </w:rPr>
        <w:t>”), that now or hereafter covers ail or any part of the Premises (the mortgagee under any such Mortgage, beneficiary under any such deed of trust, or the lessor under any such Primary Lease is referred to herein as a “</w:t>
      </w:r>
      <w:r>
        <w:rPr>
          <w:rFonts w:ascii="Arial" w:cs="Arial" w:eastAsia="Arial" w:hAnsi="Arial"/>
          <w:sz w:val="16"/>
          <w:szCs w:val="16"/>
          <w:b w:val="1"/>
          <w:bCs w:val="1"/>
          <w:u w:val="single" w:color="auto"/>
          <w:color w:val="auto"/>
        </w:rPr>
        <w:t>Landlord’s Mortgagee</w:t>
      </w:r>
      <w:r>
        <w:rPr>
          <w:rFonts w:ascii="Arial" w:cs="Arial" w:eastAsia="Arial" w:hAnsi="Arial"/>
          <w:sz w:val="16"/>
          <w:szCs w:val="16"/>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u w:val="single" w:color="auto"/>
          <w:color w:val="auto"/>
        </w:rPr>
        <w:t>Attornment</w:t>
      </w:r>
      <w:r>
        <w:rPr>
          <w:rFonts w:ascii="Arial" w:cs="Arial" w:eastAsia="Arial" w:hAnsi="Arial"/>
          <w:sz w:val="17"/>
          <w:szCs w:val="17"/>
          <w:color w:val="auto"/>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spacing w:after="0" w:line="162" w:lineRule="exact"/>
        <w:rPr>
          <w:sz w:val="20"/>
          <w:szCs w:val="20"/>
          <w:color w:val="auto"/>
        </w:rPr>
      </w:pPr>
    </w:p>
    <w:p>
      <w:pPr>
        <w:ind w:right="320" w:firstLine="1259"/>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u w:val="single" w:color="auto"/>
          <w:color w:val="auto"/>
        </w:rPr>
        <w:t>Notice to Landlord’s Mortgagee</w:t>
      </w:r>
      <w:r>
        <w:rPr>
          <w:rFonts w:ascii="Arial" w:cs="Arial" w:eastAsia="Arial" w:hAnsi="Arial"/>
          <w:sz w:val="17"/>
          <w:szCs w:val="17"/>
          <w:color w:val="auto"/>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by written notice delivered in accordance with Section 25.6 below, and affording such Landlord’s Mortgagee a reasonable opportunity to perform Landlord’s obligations hereunder.</w:t>
      </w:r>
    </w:p>
    <w:p>
      <w:pPr>
        <w:sectPr>
          <w:pgSz w:w="11900" w:h="16854" w:orient="portrait"/>
          <w:cols w:equalWidth="0" w:num="1">
            <w:col w:w="11400"/>
          </w:cols>
          <w:pgMar w:left="240" w:top="127" w:right="259" w:bottom="0" w:gutter="0" w:footer="0" w:header="0"/>
        </w:sectPr>
      </w:pPr>
    </w:p>
    <w:bookmarkStart w:id="302" w:name="page303"/>
    <w:bookmarkEnd w:id="302"/>
    <w:p>
      <w:pPr>
        <w:spacing w:after="0" w:line="1" w:lineRule="exact"/>
        <w:rPr>
          <w:sz w:val="20"/>
          <w:szCs w:val="20"/>
          <w:color w:val="auto"/>
        </w:rPr>
      </w:pPr>
    </w:p>
    <w:p>
      <w:pPr>
        <w:ind w:right="60" w:firstLine="1259"/>
        <w:spacing w:after="0" w:line="276"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u w:val="single" w:color="auto"/>
          <w:color w:val="auto"/>
        </w:rPr>
        <w:t>Landlord’s Mortgagee’s Protection Provisions</w:t>
      </w:r>
      <w:r>
        <w:rPr>
          <w:rFonts w:ascii="Arial" w:cs="Arial" w:eastAsia="Arial" w:hAnsi="Arial"/>
          <w:sz w:val="16"/>
          <w:szCs w:val="16"/>
          <w:color w:val="auto"/>
        </w:rPr>
        <w:t>. If Landlord’s Mortgagee shall succeed to the interest of Landlord under this Lease, Landlord’s Mortgagee shall not be: (a) liable for any act or omission of any prior lessor (including Landlord); (b) bound by any rent or additional rent or advance rent which Tenant might have paid for more than the current month to any prior lessor (including Landlord), and all such rent shall remain due and owing, notwithstanding such advance payment; (c) bound by any security or advance rental deposit made by Tenant which is not delivered or paid over to Landlord’s Mortgagee and with respect to which Tenant shall look solely to Landlord for refund or reimbursement; (d)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(e) subject to the defenses which Tenant might have against any prior lessor (including Landlord); and (f) subject to the offsets which Tenant might have against any prior lessor (including Landlord) except for those offset rights which (1) are expressly provided in this Lease, (2) relate to periods of time following the acquisition of the Building by Landlord’s Mortgagee, and (3)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fee simple title to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 Upon the occurrence of a default by Landlord on its obligations to Landlord’s Mortgagee (a “</w:t>
      </w:r>
      <w:r>
        <w:rPr>
          <w:rFonts w:ascii="Arial" w:cs="Arial" w:eastAsia="Arial" w:hAnsi="Arial"/>
          <w:sz w:val="16"/>
          <w:szCs w:val="16"/>
          <w:b w:val="1"/>
          <w:bCs w:val="1"/>
          <w:u w:val="single" w:color="auto"/>
          <w:color w:val="auto"/>
        </w:rPr>
        <w:t>Mortgage Default</w:t>
      </w:r>
      <w:r>
        <w:rPr>
          <w:rFonts w:ascii="Arial" w:cs="Arial" w:eastAsia="Arial" w:hAnsi="Arial"/>
          <w:sz w:val="16"/>
          <w:szCs w:val="16"/>
          <w:color w:val="auto"/>
        </w:rPr>
        <w:t>”) and while such Mortgage Default is continuing, Landlord’s Mortgagee is authorized to direct Tenant to make all payments of Rent directly to Landlord’s Mortgagee at such address and in such manner as Landlord’s Mortgagee shall designate, and Tenant is hereby authorized to pay all Rent due during the continuance of any such Mortgage Default directly to Landlord’s Mortgagee without any obligation to inquire into or determine (A) the reasons for paying or delivering such amounts to Landlord’s Mortgagee, (B) the application of such amounts, (C) the status of Landlord’s relations with Landlord’s Mortgagee or its agent, (D) whether a Mortgage Default has occurred, or (E) whether the demand is in compliance with the provisions of any loan. If any conflict exists or arise between the terms of this Section 12.4 and the terms of the mortgagee protection provisions contained in any executed subordination, non-disturbance and attornment agreement, the terms of the mortgagee protection provisions in the executed subordination, non-disturbance and attornment agreement shall prevail.</w:t>
      </w:r>
    </w:p>
    <w:p>
      <w:pPr>
        <w:spacing w:after="0" w:line="171"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u w:val="single" w:color="auto"/>
          <w:color w:val="auto"/>
        </w:rPr>
        <w:t>Subordination. Non-Disturbance and Attornment Agreement</w:t>
      </w:r>
      <w:r>
        <w:rPr>
          <w:rFonts w:ascii="Arial" w:cs="Arial" w:eastAsia="Arial" w:hAnsi="Arial"/>
          <w:sz w:val="16"/>
          <w:szCs w:val="16"/>
          <w:color w:val="auto"/>
        </w:rPr>
        <w:t xml:space="preserve">. Landlord shall use reasonable efforts to obtain, within 30 days following Tenant’s execution of this Lease, a subordination, non-disturbance and attornment agreement from the current Landlord’s Mortgagee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or another form reasonably acceptable to Tenant and such Landlord’s Mortgagee; however, Landlord’s failure to obtain such agreement shall not constitute a default by Landlord hereunder or prohibit the mortgaging of the Building; and further provided that any third-party costs associated with obtaining such subordination, non-disturbance and attornment agreement shall be paid by Tenant within 15 days after Landlord’s written request therefor. Landlord represents and warrants to Tenant that, provided Tenant executes the form of subordination, non-disturbance and attornment agreement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without any changes other than completing any blanks, there shall be no charge associated with the initial agreement.</w:t>
      </w:r>
    </w:p>
    <w:p>
      <w:pPr>
        <w:spacing w:after="0" w:line="159" w:lineRule="exact"/>
        <w:rPr>
          <w:sz w:val="20"/>
          <w:szCs w:val="20"/>
          <w:color w:val="auto"/>
        </w:rPr>
      </w:pPr>
    </w:p>
    <w:p>
      <w:pPr>
        <w:ind w:firstLine="634"/>
        <w:spacing w:after="0" w:line="277" w:lineRule="auto"/>
        <w:tabs>
          <w:tab w:leader="none" w:pos="1254" w:val="left"/>
        </w:tabs>
        <w:numPr>
          <w:ilvl w:val="0"/>
          <w:numId w:val="433"/>
        </w:numPr>
        <w:rPr>
          <w:rFonts w:ascii="Arial" w:cs="Arial" w:eastAsia="Arial" w:hAnsi="Arial"/>
          <w:sz w:val="17"/>
          <w:szCs w:val="17"/>
          <w:color w:val="auto"/>
        </w:rPr>
      </w:pPr>
      <w:r>
        <w:rPr>
          <w:rFonts w:ascii="Arial" w:cs="Arial" w:eastAsia="Arial" w:hAnsi="Arial"/>
          <w:sz w:val="17"/>
          <w:szCs w:val="17"/>
          <w:b w:val="1"/>
          <w:bCs w:val="1"/>
          <w:u w:val="single" w:color="auto"/>
          <w:color w:val="auto"/>
        </w:rPr>
        <w:t>Rules and Regulations</w:t>
      </w:r>
      <w:r>
        <w:rPr>
          <w:rFonts w:ascii="Arial" w:cs="Arial" w:eastAsia="Arial" w:hAnsi="Arial"/>
          <w:sz w:val="17"/>
          <w:szCs w:val="17"/>
          <w:color w:val="auto"/>
        </w:rPr>
        <w:t>. Tenant shall comply with the rules and regulations of the Project which are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C</w:t>
      </w:r>
      <w:r>
        <w:rPr>
          <w:rFonts w:ascii="Arial" w:cs="Arial" w:eastAsia="Arial" w:hAnsi="Arial"/>
          <w:sz w:val="17"/>
          <w:szCs w:val="17"/>
          <w:color w:val="auto"/>
        </w:rPr>
        <w:t>.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change such rules and regulations for the safety, care, or cleanliness of the Project and related facilities, provided that such changes are generally applicable to all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tenants of the Project whose leases require such compliance and Tenant is notified of such changes, will not unreasonably interfere with Tenant’s use of the Premises and are enforced by Landlord in a non-discriminatory manner among all tenants whose leases require such compliance. Tenant shall be responsible for the compliance or noncompliance with such rules and regulations by each Tenant Party.</w:t>
      </w:r>
    </w:p>
    <w:p>
      <w:pPr>
        <w:spacing w:after="0" w:line="166" w:lineRule="exact"/>
        <w:rPr>
          <w:sz w:val="20"/>
          <w:szCs w:val="20"/>
          <w:color w:val="auto"/>
        </w:rPr>
      </w:pPr>
    </w:p>
    <w:p>
      <w:pPr>
        <w:ind w:left="1260" w:hanging="626"/>
        <w:spacing w:after="0"/>
        <w:tabs>
          <w:tab w:leader="none" w:pos="1260"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Condemnatio</w:t>
      </w:r>
      <w:r>
        <w:rPr>
          <w:rFonts w:ascii="Arial" w:cs="Arial" w:eastAsia="Arial" w:hAnsi="Arial"/>
          <w:sz w:val="17"/>
          <w:szCs w:val="17"/>
          <w:u w:val="single" w:color="auto"/>
          <w:color w:val="auto"/>
        </w:rPr>
        <w:t>n</w:t>
      </w:r>
      <w:r>
        <w:rPr>
          <w:rFonts w:ascii="Arial" w:cs="Arial" w:eastAsia="Arial" w:hAnsi="Arial"/>
          <w:sz w:val="17"/>
          <w:szCs w:val="17"/>
          <w:color w:val="auto"/>
        </w:rPr>
        <w:t>.</w:t>
      </w:r>
    </w:p>
    <w:p>
      <w:pPr>
        <w:spacing w:after="0" w:line="224"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Total Taking</w:t>
      </w:r>
      <w:r>
        <w:rPr>
          <w:rFonts w:ascii="Arial" w:cs="Arial" w:eastAsia="Arial" w:hAnsi="Arial"/>
          <w:sz w:val="17"/>
          <w:szCs w:val="17"/>
          <w:color w:val="auto"/>
        </w:rPr>
        <w:t>. If the entire Building or Premises are taken by right of eminent domain or conveyed in lieu thereof (a “</w:t>
      </w:r>
      <w:r>
        <w:rPr>
          <w:rFonts w:ascii="Arial" w:cs="Arial" w:eastAsia="Arial" w:hAnsi="Arial"/>
          <w:sz w:val="17"/>
          <w:szCs w:val="17"/>
          <w:b w:val="1"/>
          <w:bCs w:val="1"/>
          <w:u w:val="single" w:color="auto"/>
          <w:color w:val="auto"/>
        </w:rPr>
        <w:t>Taking</w:t>
      </w:r>
      <w:r>
        <w:rPr>
          <w:rFonts w:ascii="Arial" w:cs="Arial" w:eastAsia="Arial" w:hAnsi="Arial"/>
          <w:sz w:val="17"/>
          <w:szCs w:val="17"/>
          <w:color w:val="auto"/>
        </w:rPr>
        <w:t>”), this Lease shall terminate as of the date of the Taking.</w:t>
      </w:r>
    </w:p>
    <w:p>
      <w:pPr>
        <w:spacing w:after="0" w:line="145" w:lineRule="exact"/>
        <w:rPr>
          <w:sz w:val="20"/>
          <w:szCs w:val="20"/>
          <w:color w:val="auto"/>
        </w:rPr>
      </w:pPr>
    </w:p>
    <w:p>
      <w:pPr>
        <w:jc w:val="both"/>
        <w:ind w:right="160" w:firstLine="1259"/>
        <w:spacing w:after="0" w:line="267"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Partial Taking - Tenant’s Rights</w:t>
      </w:r>
      <w:r>
        <w:rPr>
          <w:rFonts w:ascii="Arial" w:cs="Arial" w:eastAsia="Arial" w:hAnsi="Arial"/>
          <w:sz w:val="17"/>
          <w:szCs w:val="17"/>
          <w:color w:val="auto"/>
        </w:rPr>
        <w:t>. If any part of the Building becomes subject to a Taking and such Taking will prevent Tenant from conducting on a permanent basis its business in the Premises in a manner reasonably comparable to that conducted immediately before such Taking, then Tenant may terminate this Lease as of the date of such Taking by giving written notice to Landlord within 30 days after the Taking, and Basic Rent and Additional Rent shall be apportioned as of the date of such Taking. If Tenant does not terminate this Lease, then Basic Rent and Additional Rent shall be abated on a proportional basis as to that portion of the Premises rendered untenantable by the Taking.</w:t>
      </w:r>
    </w:p>
    <w:p>
      <w:pPr>
        <w:spacing w:after="0" w:line="171"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Partial Taking - Landlord’s Rights</w:t>
      </w:r>
      <w:r>
        <w:rPr>
          <w:rFonts w:ascii="Arial" w:cs="Arial" w:eastAsia="Arial" w:hAnsi="Arial"/>
          <w:sz w:val="17"/>
          <w:szCs w:val="17"/>
          <w:color w:val="auto"/>
        </w:rPr>
        <w:t>. If any material portion, but less than all, of the Building or Project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Basic Rent and Additional Rent shall abate as provided in the last sentence of Section 14.2.</w:t>
      </w:r>
    </w:p>
    <w:p>
      <w:pPr>
        <w:spacing w:after="0" w:line="171"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If any Taking occurs, then Landlord shall receive the entire award or other compensation for the Project and other improvements taken; however, Tenant may separately pursue a claim (to the extent it will not reduce Landlord’s award) against the condemnor for the value of Tenant’s personal property which Tenant is entitled to remove under this Lease, moving costs and loss of business.</w:t>
      </w:r>
    </w:p>
    <w:p>
      <w:pPr>
        <w:spacing w:after="0" w:line="162" w:lineRule="exact"/>
        <w:rPr>
          <w:sz w:val="20"/>
          <w:szCs w:val="20"/>
          <w:color w:val="auto"/>
        </w:rPr>
      </w:pPr>
    </w:p>
    <w:p>
      <w:pPr>
        <w:ind w:left="1260" w:hanging="626"/>
        <w:spacing w:after="0"/>
        <w:tabs>
          <w:tab w:leader="none" w:pos="1260" w:val="left"/>
        </w:tabs>
        <w:numPr>
          <w:ilvl w:val="0"/>
          <w:numId w:val="435"/>
        </w:numPr>
        <w:rPr>
          <w:rFonts w:ascii="Arial" w:cs="Arial" w:eastAsia="Arial" w:hAnsi="Arial"/>
          <w:sz w:val="17"/>
          <w:szCs w:val="17"/>
          <w:color w:val="auto"/>
        </w:rPr>
      </w:pPr>
      <w:r>
        <w:rPr>
          <w:rFonts w:ascii="Arial" w:cs="Arial" w:eastAsia="Arial" w:hAnsi="Arial"/>
          <w:sz w:val="17"/>
          <w:szCs w:val="17"/>
          <w:b w:val="1"/>
          <w:bCs w:val="1"/>
          <w:u w:val="single" w:color="auto"/>
          <w:color w:val="auto"/>
        </w:rPr>
        <w:t>Fire or Other Casualty</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330"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Repair Estimate</w:t>
      </w:r>
      <w:r>
        <w:rPr>
          <w:rFonts w:ascii="Arial" w:cs="Arial" w:eastAsia="Arial" w:hAnsi="Arial"/>
          <w:sz w:val="16"/>
          <w:szCs w:val="16"/>
          <w:color w:val="auto"/>
        </w:rPr>
        <w:t>. If the Premises or the Project are damaged by fire or other casualty (a “</w:t>
      </w:r>
      <w:r>
        <w:rPr>
          <w:rFonts w:ascii="Arial" w:cs="Arial" w:eastAsia="Arial" w:hAnsi="Arial"/>
          <w:sz w:val="16"/>
          <w:szCs w:val="16"/>
          <w:b w:val="1"/>
          <w:bCs w:val="1"/>
          <w:u w:val="single" w:color="auto"/>
          <w:color w:val="auto"/>
        </w:rPr>
        <w:t>Casualty</w:t>
      </w:r>
      <w:r>
        <w:rPr>
          <w:rFonts w:ascii="Arial" w:cs="Arial" w:eastAsia="Arial" w:hAnsi="Arial"/>
          <w:sz w:val="16"/>
          <w:szCs w:val="16"/>
          <w:color w:val="auto"/>
        </w:rPr>
        <w:t>”), Landlord shall, within 60 days after such Casualty, deliver to Tenant a good faith estimate (the “</w:t>
      </w:r>
      <w:r>
        <w:rPr>
          <w:rFonts w:ascii="Arial" w:cs="Arial" w:eastAsia="Arial" w:hAnsi="Arial"/>
          <w:sz w:val="16"/>
          <w:szCs w:val="16"/>
          <w:b w:val="1"/>
          <w:bCs w:val="1"/>
          <w:u w:val="single" w:color="auto"/>
          <w:color w:val="auto"/>
        </w:rPr>
        <w:t>Damage Notice</w:t>
      </w:r>
      <w:r>
        <w:rPr>
          <w:rFonts w:ascii="Arial" w:cs="Arial" w:eastAsia="Arial" w:hAnsi="Arial"/>
          <w:sz w:val="16"/>
          <w:szCs w:val="16"/>
          <w:color w:val="auto"/>
        </w:rPr>
        <w:t>”) of the time needed to repair the damage caused by such Casualty.</w:t>
      </w:r>
    </w:p>
    <w:p>
      <w:pPr>
        <w:spacing w:after="0" w:line="123"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Tenant’s Rights</w:t>
      </w:r>
      <w:r>
        <w:rPr>
          <w:rFonts w:ascii="Arial" w:cs="Arial" w:eastAsia="Arial" w:hAnsi="Arial"/>
          <w:sz w:val="17"/>
          <w:szCs w:val="17"/>
          <w:color w:val="auto"/>
        </w:rPr>
        <w:t>. If the Premises are damaged by Casualty such that Tenant is prevented from conducting its business in the Premises in a manner reasonably comparable to that conducted immediately before such Casualty and Landlord estimates that the damage caused thereby for which Landlord is responsible to repair under this Lease pursuant to Section 15.4 below cannot be repaired within 210 days after the commencement of repairs (the “</w:t>
      </w:r>
      <w:r>
        <w:rPr>
          <w:rFonts w:ascii="Arial" w:cs="Arial" w:eastAsia="Arial" w:hAnsi="Arial"/>
          <w:sz w:val="17"/>
          <w:szCs w:val="17"/>
          <w:b w:val="1"/>
          <w:bCs w:val="1"/>
          <w:u w:val="single" w:color="auto"/>
          <w:color w:val="auto"/>
        </w:rPr>
        <w:t>Repair Period</w:t>
      </w:r>
      <w:r>
        <w:rPr>
          <w:rFonts w:ascii="Arial" w:cs="Arial" w:eastAsia="Arial" w:hAnsi="Arial"/>
          <w:sz w:val="17"/>
          <w:szCs w:val="17"/>
          <w:color w:val="auto"/>
        </w:rPr>
        <w:t>”), then Tenant may terminate this Lease by delivering written notice to Landlord of its election to terminate within 30 days after the Damage Notice has been delivered to Tenant.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b w:val="1"/>
          <w:bCs w:val="1"/>
          <w:u w:val="single" w:color="auto"/>
          <w:color w:val="auto"/>
        </w:rPr>
        <w:t>Landlord’s Rights</w:t>
      </w:r>
      <w:r>
        <w:rPr>
          <w:rFonts w:ascii="Arial" w:cs="Arial" w:eastAsia="Arial" w:hAnsi="Arial"/>
          <w:sz w:val="15"/>
          <w:szCs w:val="15"/>
          <w:color w:val="auto"/>
        </w:rPr>
        <w:t>. If a Casualty occurs and (a) Landlord estimates that the damage cannot be repaired within the Repair Period,</w:t>
      </w:r>
    </w:p>
    <w:p>
      <w:pPr>
        <w:spacing w:after="0" w:line="32" w:lineRule="exact"/>
        <w:rPr>
          <w:sz w:val="20"/>
          <w:szCs w:val="20"/>
          <w:color w:val="auto"/>
        </w:rPr>
      </w:pPr>
    </w:p>
    <w:p>
      <w:pPr>
        <w:ind w:right="20" w:firstLine="5"/>
        <w:spacing w:after="0" w:line="343" w:lineRule="auto"/>
        <w:tabs>
          <w:tab w:leader="none" w:pos="247" w:val="left"/>
        </w:tabs>
        <w:numPr>
          <w:ilvl w:val="0"/>
          <w:numId w:val="436"/>
        </w:numPr>
        <w:rPr>
          <w:rFonts w:ascii="Arial" w:cs="Arial" w:eastAsia="Arial" w:hAnsi="Arial"/>
          <w:sz w:val="15"/>
          <w:szCs w:val="15"/>
          <w:color w:val="auto"/>
        </w:rPr>
      </w:pPr>
      <w:r>
        <w:rPr>
          <w:rFonts w:ascii="Arial" w:cs="Arial" w:eastAsia="Arial" w:hAnsi="Arial"/>
          <w:sz w:val="15"/>
          <w:szCs w:val="15"/>
          <w:color w:val="auto"/>
        </w:rPr>
        <w:t>the damage exceeds 50% of the replacement cost thereof (excluding foundations and footings), as estimated by Landlord, and such damage occurs during the last two years of the Term, (c) regardless of the extent of damage, the damage is not fully covered by Landlord’s insurance policies or Landlord makes a good faith</w:t>
      </w:r>
    </w:p>
    <w:p>
      <w:pPr>
        <w:sectPr>
          <w:pgSz w:w="11900" w:h="16839" w:orient="portrait"/>
          <w:cols w:equalWidth="0" w:num="1">
            <w:col w:w="11420"/>
          </w:cols>
          <w:pgMar w:left="240" w:top="331" w:right="239" w:bottom="0" w:gutter="0" w:footer="0" w:header="0"/>
        </w:sectPr>
      </w:pPr>
    </w:p>
    <w:bookmarkStart w:id="303" w:name="page304"/>
    <w:bookmarkEnd w:id="303"/>
    <w:p>
      <w:pPr>
        <w:ind w:right="280"/>
        <w:spacing w:after="0" w:line="273" w:lineRule="auto"/>
        <w:rPr>
          <w:sz w:val="20"/>
          <w:szCs w:val="20"/>
          <w:color w:val="auto"/>
        </w:rPr>
      </w:pPr>
      <w:r>
        <w:rPr>
          <w:rFonts w:ascii="Arial" w:cs="Arial" w:eastAsia="Arial" w:hAnsi="Arial"/>
          <w:sz w:val="17"/>
          <w:szCs w:val="17"/>
          <w:color w:val="auto"/>
        </w:rPr>
        <w:t>determination that restoring the damage would be uneconomical, or (d) Landlord is required to pay any insurance proceeds arising out of the Casualty to a Landlord’s Mortgagee, then Landlord may terminate this Lease by giving written notice of its election to terminate within 30 days after the Damage Notice has been delivered to Tenant.</w:t>
      </w:r>
    </w:p>
    <w:p>
      <w:pPr>
        <w:spacing w:after="0" w:line="166" w:lineRule="exact"/>
        <w:rPr>
          <w:sz w:val="20"/>
          <w:szCs w:val="20"/>
          <w:color w:val="auto"/>
        </w:rPr>
      </w:pPr>
    </w:p>
    <w:p>
      <w:pPr>
        <w:ind w:right="200" w:firstLine="1259"/>
        <w:spacing w:after="0" w:line="277"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Repair Obligation</w:t>
      </w:r>
      <w:r>
        <w:rPr>
          <w:rFonts w:ascii="Arial" w:cs="Arial" w:eastAsia="Arial" w:hAnsi="Arial"/>
          <w:sz w:val="17"/>
          <w:szCs w:val="17"/>
          <w:color w:val="auto"/>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before such Casualty; however, Landlord shall not be required to repair or replace any improvements, alterations or betterments within the Premises (which shall be promptly and with due diligence repaired and restored by Tenant at Tenant’s sole cost and expense) or any furniture, equipment, trade fixtures or personal property of Tenant or others in the Premises or the Project, and Landlord’s obligation to repair or restore the Premises shall be limited to the extent of the insurance proceeds actually received by Landlord for the Casualty in question. If this Lease is terminated under the provisions of this Section 15,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w:t>
      </w:r>
    </w:p>
    <w:p>
      <w:pPr>
        <w:spacing w:after="0" w:line="178"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b w:val="1"/>
          <w:bCs w:val="1"/>
          <w:u w:val="single" w:color="auto"/>
          <w:color w:val="auto"/>
        </w:rPr>
        <w:t>Abatement of Rent</w:t>
      </w:r>
      <w:r>
        <w:rPr>
          <w:rFonts w:ascii="Arial" w:cs="Arial" w:eastAsia="Arial" w:hAnsi="Arial"/>
          <w:sz w:val="17"/>
          <w:szCs w:val="17"/>
          <w:color w:val="auto"/>
        </w:rPr>
        <w:t>. If the Premises are damaged by Casualty, Basic Rent and Additional Rent for the portion of the Premises rendered untenantable by the damage shall be abated on a proportional basis from the date of damage until the earlier of (a) completion of Landlord’s repairs, (b) the date upon which completion of Landlord’s repairs would have occurred but for delays caused by Tenant Parties, or (c) the date of termination of this Lease by Landlord or Tenant as provided above, as the case may be, unless a Tenant Party caused such damage, in which case, Tenant shall continue to pay Basic Rent and Additional Rent without abatement.</w:t>
      </w:r>
    </w:p>
    <w:p>
      <w:pPr>
        <w:spacing w:after="0" w:line="171" w:lineRule="exact"/>
        <w:rPr>
          <w:sz w:val="20"/>
          <w:szCs w:val="20"/>
          <w:color w:val="auto"/>
        </w:rPr>
      </w:pPr>
    </w:p>
    <w:p>
      <w:pPr>
        <w:ind w:right="60" w:firstLine="634"/>
        <w:spacing w:after="0" w:line="281" w:lineRule="auto"/>
        <w:tabs>
          <w:tab w:leader="none" w:pos="1254" w:val="left"/>
        </w:tabs>
        <w:numPr>
          <w:ilvl w:val="0"/>
          <w:numId w:val="437"/>
        </w:numPr>
        <w:rPr>
          <w:rFonts w:ascii="Arial" w:cs="Arial" w:eastAsia="Arial" w:hAnsi="Arial"/>
          <w:sz w:val="16"/>
          <w:szCs w:val="16"/>
          <w:color w:val="auto"/>
        </w:rPr>
      </w:pPr>
      <w:r>
        <w:rPr>
          <w:rFonts w:ascii="Arial" w:cs="Arial" w:eastAsia="Arial" w:hAnsi="Arial"/>
          <w:sz w:val="16"/>
          <w:szCs w:val="16"/>
          <w:b w:val="1"/>
          <w:bCs w:val="1"/>
          <w:u w:val="single" w:color="auto"/>
          <w:color w:val="auto"/>
        </w:rPr>
        <w:t>Personal Property Taxes</w:t>
      </w:r>
      <w:r>
        <w:rPr>
          <w:rFonts w:ascii="Arial" w:cs="Arial" w:eastAsia="Arial" w:hAnsi="Arial"/>
          <w:sz w:val="16"/>
          <w:szCs w:val="16"/>
          <w:color w:val="auto"/>
        </w:rPr>
        <w:t>. Tenant shall be liable for, and shall pay prior to delinquency, all taxes levied or assessed against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furniture, fixtures, betterments, improvements, and alterations placed by any Tenant Party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fixtures, betterments, improvements, and alterations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spacing w:after="0" w:line="164" w:lineRule="exact"/>
        <w:rPr>
          <w:rFonts w:ascii="Arial" w:cs="Arial" w:eastAsia="Arial" w:hAnsi="Arial"/>
          <w:sz w:val="16"/>
          <w:szCs w:val="16"/>
          <w:color w:val="auto"/>
        </w:rPr>
      </w:pPr>
    </w:p>
    <w:p>
      <w:pPr>
        <w:ind w:right="440" w:firstLine="634"/>
        <w:spacing w:after="0" w:line="297" w:lineRule="auto"/>
        <w:tabs>
          <w:tab w:leader="none" w:pos="1254" w:val="left"/>
        </w:tabs>
        <w:numPr>
          <w:ilvl w:val="0"/>
          <w:numId w:val="437"/>
        </w:numPr>
        <w:rPr>
          <w:rFonts w:ascii="Arial" w:cs="Arial" w:eastAsia="Arial" w:hAnsi="Arial"/>
          <w:sz w:val="17"/>
          <w:szCs w:val="17"/>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Each of the following occurrences shall be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(i.e., a default beyond the applicable notice and cure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as provided in this Section 17):</w:t>
      </w:r>
    </w:p>
    <w:p>
      <w:pPr>
        <w:spacing w:after="0" w:line="145"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u w:val="single" w:color="auto"/>
          <w:color w:val="auto"/>
        </w:rPr>
        <w:t>Payment Default</w:t>
      </w:r>
      <w:r>
        <w:rPr>
          <w:rFonts w:ascii="Arial" w:cs="Arial" w:eastAsia="Arial" w:hAnsi="Arial"/>
          <w:sz w:val="17"/>
          <w:szCs w:val="17"/>
          <w:color w:val="auto"/>
        </w:rPr>
        <w:t>. Tenant’s failure to pay Rent within five days after Landlord has delivered written notice to Tenant that the same is due; however, an Event of Default shall occur hereunder without any obligation of Landlord to give any notice if Tenant fails to pay Rent when due and, during the 12 month interval preceding such failure, Landlord has given Tenant written notice of failure to pay Rent on two or more occasions;</w:t>
      </w:r>
    </w:p>
    <w:p>
      <w:pPr>
        <w:spacing w:after="0" w:line="162"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u w:val="single" w:color="auto"/>
          <w:color w:val="auto"/>
        </w:rPr>
        <w:t>Abandonment</w:t>
      </w:r>
      <w:r>
        <w:rPr>
          <w:rFonts w:ascii="Arial" w:cs="Arial" w:eastAsia="Arial" w:hAnsi="Arial"/>
          <w:sz w:val="17"/>
          <w:szCs w:val="17"/>
          <w:color w:val="auto"/>
        </w:rPr>
        <w:t>. Tenant (a) abandons or vacates the Premises or any substantial portion thereof or (b) fails to continuously operate its business in the Premises;</w:t>
      </w:r>
    </w:p>
    <w:p>
      <w:pPr>
        <w:spacing w:after="0" w:line="145"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u w:val="single" w:color="auto"/>
          <w:color w:val="auto"/>
        </w:rPr>
        <w:t>Estoppel; Subordination; Financial Reports</w:t>
      </w:r>
      <w:r>
        <w:rPr>
          <w:rFonts w:ascii="Arial" w:cs="Arial" w:eastAsia="Arial" w:hAnsi="Arial"/>
          <w:sz w:val="17"/>
          <w:szCs w:val="17"/>
          <w:color w:val="auto"/>
        </w:rPr>
        <w:t>. Tenant fails to provide any estoppel certificate, documentation regarding the subordination of this Lease or financial reports after Landlord’s written request therefor pursuant to Section 25.5, Section 12.1, and Section 25.19 respectively, and such failure shall continue for five days after Landlord’s second written notice thereof to Tenant;</w:t>
      </w:r>
    </w:p>
    <w:p>
      <w:pPr>
        <w:spacing w:after="0" w:line="162"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Tenant fails to procure, maintain and deliver to Landlord evidence of the insurance policies and coverages as required under Section 11.1;</w:t>
      </w:r>
    </w:p>
    <w:p>
      <w:pPr>
        <w:spacing w:after="0" w:line="145" w:lineRule="exact"/>
        <w:rPr>
          <w:sz w:val="20"/>
          <w:szCs w:val="20"/>
          <w:color w:val="auto"/>
        </w:rPr>
      </w:pPr>
    </w:p>
    <w:p>
      <w:pPr>
        <w:jc w:val="both"/>
        <w:ind w:right="40" w:firstLine="1259"/>
        <w:spacing w:after="0" w:line="277"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Mechanic’s Liens</w:t>
      </w:r>
      <w:r>
        <w:rPr>
          <w:rFonts w:ascii="Arial" w:cs="Arial" w:eastAsia="Arial" w:hAnsi="Arial"/>
          <w:sz w:val="17"/>
          <w:szCs w:val="17"/>
          <w:color w:val="auto"/>
        </w:rPr>
        <w:t>. Tenant fails to pay and release of record, or diligently contest and bond around, any mechanic’s or construction lien filed against the Premises or the Project for any work performed, materials furnished, or obligation incurred by or at the request of a Tenant Party, within the time and in the manner required by Section 8.4;</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0" w:firstLine="1259"/>
        <w:spacing w:after="0" w:line="368" w:lineRule="auto"/>
        <w:rPr>
          <w:sz w:val="20"/>
          <w:szCs w:val="20"/>
          <w:color w:val="auto"/>
        </w:rPr>
      </w:pPr>
      <w:r>
        <w:rPr>
          <w:rFonts w:ascii="Arial" w:cs="Arial" w:eastAsia="Arial" w:hAnsi="Arial"/>
          <w:sz w:val="15"/>
          <w:szCs w:val="15"/>
          <w:color w:val="auto"/>
        </w:rPr>
        <w:t xml:space="preserve">17.6 </w:t>
      </w:r>
      <w:r>
        <w:rPr>
          <w:rFonts w:ascii="Arial" w:cs="Arial" w:eastAsia="Arial" w:hAnsi="Arial"/>
          <w:sz w:val="15"/>
          <w:szCs w:val="15"/>
          <w:b w:val="1"/>
          <w:bCs w:val="1"/>
          <w:u w:val="single" w:color="auto"/>
          <w:color w:val="auto"/>
        </w:rPr>
        <w:t>Other Defaults</w:t>
      </w:r>
      <w:r>
        <w:rPr>
          <w:rFonts w:ascii="Arial" w:cs="Arial" w:eastAsia="Arial" w:hAnsi="Arial"/>
          <w:sz w:val="15"/>
          <w:szCs w:val="15"/>
          <w:color w:val="auto"/>
        </w:rPr>
        <w:t>. Tenant’s failure to perform, comply with, or observe any agreement or obligation of Tenant under this Lease other than provided in this Section 17 and the continuance of such failure for a period of more than 30 days after Landlord has delivered to Tenant written notice thereof; and</w:t>
      </w:r>
    </w:p>
    <w:p>
      <w:pPr>
        <w:spacing w:after="0" w:line="100" w:lineRule="exact"/>
        <w:rPr>
          <w:sz w:val="20"/>
          <w:szCs w:val="20"/>
          <w:color w:val="auto"/>
        </w:rPr>
      </w:pPr>
    </w:p>
    <w:p>
      <w:pPr>
        <w:ind w:right="240" w:firstLine="1259"/>
        <w:spacing w:after="0" w:line="265"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b w:val="1"/>
          <w:bCs w:val="1"/>
          <w:u w:val="single" w:color="auto"/>
          <w:color w:val="auto"/>
        </w:rPr>
        <w:t>Insolvency</w:t>
      </w:r>
      <w:r>
        <w:rPr>
          <w:rFonts w:ascii="Arial" w:cs="Arial" w:eastAsia="Arial" w:hAnsi="Arial"/>
          <w:sz w:val="17"/>
          <w:szCs w:val="17"/>
          <w:color w:val="auto"/>
        </w:rPr>
        <w:t>. The filing of a petition by or against Tenant (the term “Tenant” shall include, for the purpose of this Section 17.7, any guarantor of Tenant’s obligations hereunder) (a) in any bankruptcy or other insolvency proceeding; (b) seeking any relief under any state or federal debtor relief law; (c) for the appointment of a liquidator or receiver for all or substantially all of Tenant’s property or for Tenant’s interest in this Lease; (d) for the reorganization or modification of Tenant’s capital structure; or (e)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spacing w:after="0" w:line="173" w:lineRule="exact"/>
        <w:rPr>
          <w:sz w:val="20"/>
          <w:szCs w:val="20"/>
          <w:color w:val="auto"/>
        </w:rPr>
      </w:pPr>
    </w:p>
    <w:p>
      <w:pPr>
        <w:ind w:right="400" w:firstLine="634"/>
        <w:spacing w:after="0" w:line="297" w:lineRule="auto"/>
        <w:tabs>
          <w:tab w:leader="none" w:pos="1254"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Upon any Event of Default, Landlord may, in addition to all other rights and remedies afforded Landlord hereunder or by law 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take any one or more of the following actions:</w:t>
      </w:r>
    </w:p>
    <w:p>
      <w:pPr>
        <w:spacing w:after="0" w:line="145" w:lineRule="exact"/>
        <w:rPr>
          <w:sz w:val="20"/>
          <w:szCs w:val="20"/>
          <w:color w:val="auto"/>
        </w:rPr>
      </w:pPr>
    </w:p>
    <w:p>
      <w:pPr>
        <w:ind w:firstLine="1259"/>
        <w:spacing w:after="0" w:line="287"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u w:val="single" w:color="auto"/>
          <w:color w:val="auto"/>
        </w:rPr>
        <w:t>Termination of Lease</w:t>
      </w:r>
      <w:r>
        <w:rPr>
          <w:rFonts w:ascii="Arial" w:cs="Arial" w:eastAsia="Arial" w:hAnsi="Arial"/>
          <w:sz w:val="16"/>
          <w:szCs w:val="16"/>
          <w:color w:val="auto"/>
        </w:rPr>
        <w:t xml:space="preserve">. Terminate this Lease by giving Tenant written notice thereof, in which event Tenant shall pay to Landlord the sum of (a) all Rent accrued hereunder through the date of termination, (b) all amounts due under Section 19.1, and (c) an amount equal to (but in no event less than zero) (1) the total Rent that Tenant would have been required to pay for the remainder of the Term discounted to present value at a per annum rate equal to the “Prime Rate” as published on the date this Lease is terminated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its listing of “Money Rates” minus one percent, minus (2) the then present fair rental value of the Premises, as determined by Landlord in Landlord’s reasonable discretion, for such period, similarly discounted;</w:t>
      </w:r>
    </w:p>
    <w:p>
      <w:pPr>
        <w:sectPr>
          <w:pgSz w:w="11900" w:h="16838" w:orient="portrait"/>
          <w:cols w:equalWidth="0" w:num="1">
            <w:col w:w="11420"/>
          </w:cols>
          <w:pgMar w:left="240" w:top="127" w:right="239" w:bottom="0" w:gutter="0" w:footer="0" w:header="0"/>
        </w:sectPr>
      </w:pPr>
    </w:p>
    <w:bookmarkStart w:id="304" w:name="page305"/>
    <w:bookmarkEnd w:id="304"/>
    <w:p>
      <w:pPr>
        <w:ind w:firstLine="1259"/>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b w:val="1"/>
          <w:bCs w:val="1"/>
          <w:u w:val="single" w:color="auto"/>
          <w:color w:val="auto"/>
        </w:rPr>
        <w:t>Termination of Possession</w:t>
      </w:r>
      <w:r>
        <w:rPr>
          <w:rFonts w:ascii="Arial" w:cs="Arial" w:eastAsia="Arial" w:hAnsi="Arial"/>
          <w:sz w:val="16"/>
          <w:szCs w:val="16"/>
          <w:color w:val="auto"/>
        </w:rPr>
        <w:t>. Terminate Tenant’s right to possess the Premises without terminating this Lease by giving written notice thereof to Tenant, in which event Tenant shall pay to Landlord (a) all Rent and other amounts accrued hereunder to the date of termination of possession, (b) all amounts due from time to time under Section 19.1, and (c) all Rent and other net sums required hereunder to be paid by Tenant during the remainder of the Term, diminished by any net sums thereafter received by Landlord through reletting the Premises during such period, after deducting all costs incurred by Landlord in reletting the Premises. If Landlord elects to terminate Tenant’s right to possession without terminating this Lease, and to retake possession of the Premises (and Landlord shall have no duty to make such election), Landlord shall use reasonable efforts to relet the Premises as further described in Section 19.4 below. Provided Landlord substantially complies with Section 19.4,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18.2. If Landlord elects to proceed under this Section 18.2, it may at any time elect to terminate this Lease under Section 18.1;</w:t>
      </w:r>
    </w:p>
    <w:p>
      <w:pPr>
        <w:spacing w:after="0" w:line="166" w:lineRule="exact"/>
        <w:rPr>
          <w:sz w:val="20"/>
          <w:szCs w:val="20"/>
          <w:color w:val="auto"/>
        </w:rPr>
      </w:pPr>
    </w:p>
    <w:p>
      <w:pPr>
        <w:ind w:firstLine="1259"/>
        <w:spacing w:after="0" w:line="270"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u w:val="single" w:color="auto"/>
          <w:color w:val="auto"/>
        </w:rPr>
        <w:t>Perform Acts on Behalf of Tenant</w:t>
      </w:r>
      <w:r>
        <w:rPr>
          <w:rFonts w:ascii="Arial" w:cs="Arial" w:eastAsia="Arial" w:hAnsi="Arial"/>
          <w:sz w:val="17"/>
          <w:szCs w:val="17"/>
          <w:color w:val="auto"/>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w:t>
      </w:r>
    </w:p>
    <w:p>
      <w:pPr>
        <w:spacing w:after="0" w:line="169"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u w:val="single" w:color="auto"/>
          <w:color w:val="auto"/>
        </w:rPr>
        <w:t>Suspension of Services</w:t>
      </w:r>
      <w:r>
        <w:rPr>
          <w:rFonts w:ascii="Arial" w:cs="Arial" w:eastAsia="Arial" w:hAnsi="Arial"/>
          <w:sz w:val="17"/>
          <w:szCs w:val="17"/>
          <w:color w:val="auto"/>
        </w:rPr>
        <w:t>. Suspend any services required to be provided by Landlord hereunder without being liable for any claim for damages therefor; or</w:t>
      </w:r>
    </w:p>
    <w:p>
      <w:pPr>
        <w:spacing w:after="0" w:line="145" w:lineRule="exact"/>
        <w:rPr>
          <w:sz w:val="20"/>
          <w:szCs w:val="20"/>
          <w:color w:val="auto"/>
        </w:rPr>
      </w:pPr>
    </w:p>
    <w:p>
      <w:pPr>
        <w:ind w:right="540" w:firstLine="1259"/>
        <w:spacing w:after="0" w:line="368" w:lineRule="auto"/>
        <w:rPr>
          <w:sz w:val="20"/>
          <w:szCs w:val="20"/>
          <w:color w:val="auto"/>
        </w:rPr>
      </w:pPr>
      <w:r>
        <w:rPr>
          <w:rFonts w:ascii="Arial" w:cs="Arial" w:eastAsia="Arial" w:hAnsi="Arial"/>
          <w:sz w:val="15"/>
          <w:szCs w:val="15"/>
          <w:color w:val="auto"/>
        </w:rPr>
        <w:t xml:space="preserve">18.5 </w:t>
      </w:r>
      <w:r>
        <w:rPr>
          <w:rFonts w:ascii="Arial" w:cs="Arial" w:eastAsia="Arial" w:hAnsi="Arial"/>
          <w:sz w:val="15"/>
          <w:szCs w:val="15"/>
          <w:b w:val="1"/>
          <w:bCs w:val="1"/>
          <w:u w:val="single" w:color="auto"/>
          <w:color w:val="auto"/>
        </w:rPr>
        <w:t>Alteration of Locks</w:t>
      </w:r>
      <w:r>
        <w:rPr>
          <w:rFonts w:ascii="Arial" w:cs="Arial" w:eastAsia="Arial" w:hAnsi="Arial"/>
          <w:sz w:val="15"/>
          <w:szCs w:val="15"/>
          <w:color w:val="auto"/>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by Tenant; Non-Waiver; Cumulative Remedies; Mitigation of Damage</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u w:val="single" w:color="auto"/>
          <w:color w:val="auto"/>
        </w:rPr>
        <w:t>Payment by Tenant</w:t>
      </w:r>
      <w:r>
        <w:rPr>
          <w:rFonts w:ascii="Arial" w:cs="Arial" w:eastAsia="Arial" w:hAnsi="Arial"/>
          <w:sz w:val="16"/>
          <w:szCs w:val="16"/>
          <w:color w:val="auto"/>
        </w:rPr>
        <w:t>. Upon any Event of Default, Tenant shall pay to Landlord all amounts, costs, losses and/or expenses incurred, abated or foregone by Landlord (including court costs and reasonable attorneys’ fees and expenses) in (a) obtaining possession of the Premises, (b) removing, storing and/or disposing of Tenant’s or any other occupant’s property, (c) repairing, restoring, altering, remodeling, or otherwise putting the Premises into condition acceptable to a new tenant, (d) if Tenant is dispossessed of the Premises and this Lease is not terminated, reletting all or any part of the Premises (including brokerage commissions, cost of tenant finish work, and other costs incidental to such reletting), (e) performing Tenant’s obligations under this Lease which Tenant failed to perform, (f) enforcing, or advising Landlord of, its rights, remedies, and recourses arising out of the default, and (g) securing this Lease, including all commissions, allowances, reasonable attorneys’ fees, and if this Lease or any amendment hereto contains any abated Rent granted by Landlord as an inducement or concession to secure this Lease or amendment hereto, the full amount of all Rent so abated (and such abated amounts shall be payable immediately by Tenant to Landlord, without any obligation by Landlord to provide written notice thereof to Tenant, and Tenant’s right to any abated rent accruing following such Event of Default shall immediately terminate).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69" w:lineRule="exact"/>
        <w:rPr>
          <w:sz w:val="20"/>
          <w:szCs w:val="20"/>
          <w:color w:val="auto"/>
        </w:rPr>
      </w:pPr>
    </w:p>
    <w:p>
      <w:pPr>
        <w:ind w:right="220" w:firstLine="1259"/>
        <w:spacing w:after="0" w:line="287"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Landlord’s acceptance of Rent following an Event of Default shall not waive Landlord’s rights 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58"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b w:val="1"/>
          <w:bCs w:val="1"/>
          <w:u w:val="single" w:color="auto"/>
          <w:color w:val="auto"/>
        </w:rPr>
        <w:t>Cumulative Remedies</w:t>
      </w:r>
      <w:r>
        <w:rPr>
          <w:rFonts w:ascii="Arial" w:cs="Arial" w:eastAsia="Arial" w:hAnsi="Arial"/>
          <w:sz w:val="17"/>
          <w:szCs w:val="17"/>
          <w:color w:val="auto"/>
        </w:rPr>
        <w:t>. Any and all remedies set forth in this Lease: (a) shall be in addition to any and all other remedies Landlord may have at law or in equity, (b) shall be cumulative, and (c) may be pursued successively or concurrently as Landlord may elect. The exercise of any remedy by Landlord shall not be deemed an election of remedies or preclude Landlord from exercising any other remedies in the future. Additionally, Tenant shall defend, indemnify and hold harmless Landlord, Landlord’s Mortgagee and their respective representatives and agents from and against all claims, demands, liabilities, causes of action, suits, judgments, damages and expenses (including reasonable attorneys’ fees) arising from Tenant’s failure to perform its obligations under this Lease.</w:t>
      </w:r>
    </w:p>
    <w:p>
      <w:pPr>
        <w:spacing w:after="0" w:line="173" w:lineRule="exact"/>
        <w:rPr>
          <w:sz w:val="20"/>
          <w:szCs w:val="20"/>
          <w:color w:val="auto"/>
        </w:rPr>
      </w:pPr>
    </w:p>
    <w:p>
      <w:pPr>
        <w:ind w:firstLine="1259"/>
        <w:spacing w:after="0" w:line="294" w:lineRule="auto"/>
        <w:rPr>
          <w:sz w:val="20"/>
          <w:szCs w:val="20"/>
          <w:color w:val="auto"/>
        </w:rPr>
      </w:pPr>
      <w:r>
        <w:rPr>
          <w:rFonts w:ascii="Arial" w:cs="Arial" w:eastAsia="Arial" w:hAnsi="Arial"/>
          <w:sz w:val="15"/>
          <w:szCs w:val="15"/>
          <w:color w:val="auto"/>
        </w:rPr>
        <w:t xml:space="preserve">19.4 </w:t>
      </w:r>
      <w:r>
        <w:rPr>
          <w:rFonts w:ascii="Arial" w:cs="Arial" w:eastAsia="Arial" w:hAnsi="Arial"/>
          <w:sz w:val="15"/>
          <w:szCs w:val="15"/>
          <w:b w:val="1"/>
          <w:bCs w:val="1"/>
          <w:u w:val="single" w:color="auto"/>
          <w:color w:val="auto"/>
        </w:rPr>
        <w:t>Mitigation of Damage</w:t>
      </w:r>
      <w:r>
        <w:rPr>
          <w:rFonts w:ascii="Arial" w:cs="Arial" w:eastAsia="Arial" w:hAnsi="Arial"/>
          <w:sz w:val="15"/>
          <w:szCs w:val="15"/>
          <w:color w:val="auto"/>
        </w:rPr>
        <w:t>. The parties agree any duty imposed by Law on Landlord to mitigate damages after a default by Tenant under this Lease shall be satisfied in full if Landlord uses reasonable efforts to lease the Premises to another tenant (a “</w:t>
      </w:r>
      <w:r>
        <w:rPr>
          <w:rFonts w:ascii="Arial" w:cs="Arial" w:eastAsia="Arial" w:hAnsi="Arial"/>
          <w:sz w:val="15"/>
          <w:szCs w:val="15"/>
          <w:b w:val="1"/>
          <w:bCs w:val="1"/>
          <w:u w:val="single" w:color="auto"/>
          <w:color w:val="auto"/>
        </w:rPr>
        <w:t>Substitute Tenant</w:t>
      </w:r>
      <w:r>
        <w:rPr>
          <w:rFonts w:ascii="Arial" w:cs="Arial" w:eastAsia="Arial" w:hAnsi="Arial"/>
          <w:sz w:val="15"/>
          <w:szCs w:val="15"/>
          <w:color w:val="auto"/>
        </w:rPr>
        <w:t>”) in accordance with the following criteria: (a) Landlord shall have no obligation to solicit or entertain negotiations with any Substitute Tenant for the Premises until 60 days following the date upon which Landlord obtains full and complete possession of the Premises, including the relinquishment by Tenant of any claim to possession of the Premises by written notice from Tenant to Landlord; (b) Landlord shall not be obligated to lease or show the Premises on a priority basis or offer the Premises to any prospective tenant when other space in the Project or the related complex is or soon will be available; (c) Landlord shall not be obligated to lease the Premises to a Substitute Tenant for less than the current fair market value of the Premises, as determined by Landlord in its sole discretion, nor will Landlord be obligated to enter into a new lease for the Premises under other terms and conditions that are unacceptable to Landlord under Landlord’s then-current leasing policies;</w:t>
      </w:r>
    </w:p>
    <w:p>
      <w:pPr>
        <w:spacing w:after="0" w:line="6" w:lineRule="exact"/>
        <w:rPr>
          <w:sz w:val="20"/>
          <w:szCs w:val="20"/>
          <w:color w:val="auto"/>
        </w:rPr>
      </w:pPr>
    </w:p>
    <w:p>
      <w:pPr>
        <w:ind w:right="40" w:firstLine="5"/>
        <w:spacing w:after="0" w:line="273" w:lineRule="auto"/>
        <w:tabs>
          <w:tab w:leader="none" w:pos="247" w:val="left"/>
        </w:tabs>
        <w:numPr>
          <w:ilvl w:val="0"/>
          <w:numId w:val="440"/>
        </w:numPr>
        <w:rPr>
          <w:rFonts w:ascii="Arial" w:cs="Arial" w:eastAsia="Arial" w:hAnsi="Arial"/>
          <w:sz w:val="16"/>
          <w:szCs w:val="16"/>
          <w:color w:val="auto"/>
        </w:rPr>
      </w:pPr>
      <w:r>
        <w:rPr>
          <w:rFonts w:ascii="Arial" w:cs="Arial" w:eastAsia="Arial" w:hAnsi="Arial"/>
          <w:sz w:val="16"/>
          <w:szCs w:val="16"/>
          <w:color w:val="auto"/>
        </w:rPr>
        <w:t>Landlord shall not be obligated to enter into a lease with a Substitute Tenant: (1) whose use would violate any restriction, covenant or requirement contained in the lease of another tenant in the Project or the related complex; (2) whose use would adversely affect the reputation of the Project or the related complex;</w:t>
      </w:r>
    </w:p>
    <w:p>
      <w:pPr>
        <w:ind w:right="140"/>
        <w:spacing w:after="0" w:line="261" w:lineRule="auto"/>
        <w:rPr>
          <w:rFonts w:ascii="Arial" w:cs="Arial" w:eastAsia="Arial" w:hAnsi="Arial"/>
          <w:sz w:val="16"/>
          <w:szCs w:val="16"/>
          <w:color w:val="auto"/>
        </w:rPr>
      </w:pPr>
      <w:r>
        <w:rPr>
          <w:rFonts w:ascii="Arial" w:cs="Arial" w:eastAsia="Arial" w:hAnsi="Arial"/>
          <w:sz w:val="17"/>
          <w:szCs w:val="17"/>
          <w:color w:val="auto"/>
        </w:rPr>
        <w:t>(3) whose use would require any addition to or modification of the Premises or Project or the related complex in order to comply with applicable Law, including building codes; (4) who does not satisfy the Tangible Net Worth/Credit Threshold or who does not have, in Landlord’s sole opinion, the creditworthiness to be an acceptable tenant; (5) that is a governmental entity, or quasi-governmental entity, or subdivision or agency thereof, or any other entity entitled to the defense of sovereign immunity; or (6) that does not meet Landlord’s reasonable standards for tenants of the Project or the related complex or is otherwise incompatible with the character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574" w:gutter="0" w:footer="0" w:header="0"/>
        </w:sectPr>
      </w:pPr>
    </w:p>
    <w:bookmarkStart w:id="305" w:name="page306"/>
    <w:bookmarkEnd w:id="305"/>
    <w:p>
      <w:pPr>
        <w:ind w:right="140"/>
        <w:spacing w:after="0" w:line="278" w:lineRule="auto"/>
        <w:rPr>
          <w:sz w:val="20"/>
          <w:szCs w:val="20"/>
          <w:color w:val="auto"/>
        </w:rPr>
      </w:pPr>
      <w:r>
        <w:rPr>
          <w:rFonts w:ascii="Arial" w:cs="Arial" w:eastAsia="Arial" w:hAnsi="Arial"/>
          <w:sz w:val="16"/>
          <w:szCs w:val="16"/>
          <w:color w:val="auto"/>
        </w:rPr>
        <w:t>occupancy of the Project, as reasonably determined by Landlord; and (e) Landlord shall not be required to expend any amount of money to alter, remodel or otherwise make the Premises suitable for use by a Substitute Tenant unless: (1) Tenant pays any such amount to Landlord prior to Landlord’s execution of a lease with such Substitute Tenant (which payment shall not relieve Tenant of any amount it owes Landlord as a result of Tenant’s default under this Lease); or</w:t>
      </w:r>
    </w:p>
    <w:p>
      <w:pPr>
        <w:spacing w:after="0" w:line="2" w:lineRule="exact"/>
        <w:rPr>
          <w:sz w:val="20"/>
          <w:szCs w:val="20"/>
          <w:color w:val="auto"/>
        </w:rPr>
      </w:pPr>
    </w:p>
    <w:p>
      <w:pPr>
        <w:ind w:right="400" w:firstLine="5"/>
        <w:spacing w:after="0" w:line="275" w:lineRule="auto"/>
        <w:tabs>
          <w:tab w:leader="none" w:pos="247" w:val="left"/>
        </w:tabs>
        <w:numPr>
          <w:ilvl w:val="0"/>
          <w:numId w:val="441"/>
        </w:numPr>
        <w:rPr>
          <w:rFonts w:ascii="Arial" w:cs="Arial" w:eastAsia="Arial" w:hAnsi="Arial"/>
          <w:sz w:val="17"/>
          <w:szCs w:val="17"/>
          <w:color w:val="auto"/>
        </w:rPr>
      </w:pPr>
      <w:r>
        <w:rPr>
          <w:rFonts w:ascii="Arial" w:cs="Arial" w:eastAsia="Arial" w:hAnsi="Arial"/>
          <w:sz w:val="17"/>
          <w:szCs w:val="17"/>
          <w:color w:val="auto"/>
        </w:rPr>
        <w:t>Landlord, in Landlord’s sole discretion, determines any such expenditure is financially prudent in connection with entering into a lease with the Substitute Tenant.</w:t>
      </w:r>
    </w:p>
    <w:p>
      <w:pPr>
        <w:spacing w:after="0" w:line="163" w:lineRule="exact"/>
        <w:rPr>
          <w:rFonts w:ascii="Arial" w:cs="Arial" w:eastAsia="Arial" w:hAnsi="Arial"/>
          <w:sz w:val="17"/>
          <w:szCs w:val="17"/>
          <w:color w:val="auto"/>
        </w:rPr>
      </w:pPr>
    </w:p>
    <w:p>
      <w:pPr>
        <w:ind w:right="20" w:firstLine="634"/>
        <w:spacing w:after="0" w:line="297" w:lineRule="auto"/>
        <w:tabs>
          <w:tab w:leader="none" w:pos="1254" w:val="left"/>
        </w:tabs>
        <w:numPr>
          <w:ilvl w:val="1"/>
          <w:numId w:val="441"/>
        </w:numPr>
        <w:rPr>
          <w:rFonts w:ascii="Arial" w:cs="Arial" w:eastAsia="Arial" w:hAnsi="Arial"/>
          <w:sz w:val="15"/>
          <w:szCs w:val="15"/>
          <w:color w:val="auto"/>
        </w:rPr>
      </w:pPr>
      <w:r>
        <w:rPr>
          <w:rFonts w:ascii="Arial" w:cs="Arial" w:eastAsia="Arial" w:hAnsi="Arial"/>
          <w:sz w:val="15"/>
          <w:szCs w:val="15"/>
          <w:b w:val="1"/>
          <w:bCs w:val="1"/>
          <w:u w:val="single" w:color="auto"/>
          <w:color w:val="auto"/>
        </w:rPr>
        <w:t>Landlord’s Lien</w:t>
      </w:r>
      <w:r>
        <w:rPr>
          <w:rFonts w:ascii="Arial" w:cs="Arial" w:eastAsia="Arial" w:hAnsi="Arial"/>
          <w:sz w:val="15"/>
          <w:szCs w:val="15"/>
          <w:color w:val="auto"/>
        </w:rPr>
        <w:t>. In addition to any statutory landlord’s lien, now or hereafter enacted, Tenant grants to Landlord, to secure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obligations hereunder, a security interest in all of Tenant’s furniture, fixtures, inventory and equipment situated in or upon the Premises or the Project, and all proceeds thereof (except merchandise sold in the ordinary course of business) (collectively, the “</w:t>
      </w:r>
      <w:r>
        <w:rPr>
          <w:rFonts w:ascii="Arial" w:cs="Arial" w:eastAsia="Arial" w:hAnsi="Arial"/>
          <w:sz w:val="15"/>
          <w:szCs w:val="15"/>
          <w:b w:val="1"/>
          <w:bCs w:val="1"/>
          <w:u w:val="single" w:color="auto"/>
          <w:color w:val="auto"/>
        </w:rPr>
        <w:t>Collateral</w:t>
      </w:r>
      <w:r>
        <w:rPr>
          <w:rFonts w:ascii="Arial" w:cs="Arial" w:eastAsia="Arial" w:hAnsi="Arial"/>
          <w:sz w:val="15"/>
          <w:szCs w:val="15"/>
          <w:color w:val="auto"/>
        </w:rPr>
        <w:t>”), and the Collateral shall not be removed from the Premises or the Project without the prior written consent of Landlord until all obligations of Tenant have been fully performed. For the purposes of this Section 20, there shall be a rebuttable presumption that all property located in the Premises is owned by Tenant. For the avoidance of doubt, the Collateral shall not include any contract rights, accounts receivable or other similar intangible property of Tenant located at the Premises or the Project or associated with Tenant’s use of the Premises. Upon the occurrence of an Event of Default, Landlord may, in addition to all other remedies, without notice or demand except as provided below, exercise the rights afforded to a secured party under the Uniform Commercial Code of the state in which the Premises are located (the “</w:t>
      </w:r>
      <w:r>
        <w:rPr>
          <w:rFonts w:ascii="Arial" w:cs="Arial" w:eastAsia="Arial" w:hAnsi="Arial"/>
          <w:sz w:val="15"/>
          <w:szCs w:val="15"/>
          <w:b w:val="1"/>
          <w:bCs w:val="1"/>
          <w:u w:val="single" w:color="auto"/>
          <w:color w:val="auto"/>
        </w:rPr>
        <w:t>UCC</w:t>
      </w:r>
      <w:r>
        <w:rPr>
          <w:rFonts w:ascii="Arial" w:cs="Arial" w:eastAsia="Arial" w:hAnsi="Arial"/>
          <w:sz w:val="15"/>
          <w:szCs w:val="15"/>
          <w:color w:val="auto"/>
        </w:rPr>
        <w:t>”). To the extent the UCC requires Landlord to give to Tenant notice of any act or event and such notice cannot be validly waived before a default occurs, then five-days’ prior written notice thereof shall be reasonable notice of the act or event. In order to perfect such security interest, Landlord may file any financing statement or other instrument necessary at Tenant’s expense at the state and county Uniform Commercial Code filing offices. Upon Tenant’s written request, Landlord shall subordinate the security interest in the Collateral granted to Landlord under this Section 20, to Tenant’s primary line of credit provider so long as such credit provider is an institutional lender unaffiliated with Tenant, and Landlord and Tenant shall, at Tenant’s expense, execute Landlord’s standard form of subordination documentation to evidence such subordination; provided, however, such subordination shall not apply to any Collateral paid for in whole or in part by Landlord.</w:t>
      </w:r>
    </w:p>
    <w:p>
      <w:pPr>
        <w:spacing w:after="0" w:line="157" w:lineRule="exact"/>
        <w:rPr>
          <w:rFonts w:ascii="Arial" w:cs="Arial" w:eastAsia="Arial" w:hAnsi="Arial"/>
          <w:sz w:val="15"/>
          <w:szCs w:val="15"/>
          <w:color w:val="auto"/>
        </w:rPr>
      </w:pPr>
    </w:p>
    <w:p>
      <w:pPr>
        <w:ind w:firstLine="634"/>
        <w:spacing w:after="0" w:line="276" w:lineRule="auto"/>
        <w:tabs>
          <w:tab w:leader="none" w:pos="1254" w:val="left"/>
        </w:tabs>
        <w:numPr>
          <w:ilvl w:val="1"/>
          <w:numId w:val="441"/>
        </w:numPr>
        <w:rPr>
          <w:rFonts w:ascii="Arial" w:cs="Arial" w:eastAsia="Arial" w:hAnsi="Arial"/>
          <w:sz w:val="16"/>
          <w:szCs w:val="16"/>
          <w:color w:val="auto"/>
        </w:rPr>
      </w:pP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by Landlord shall be deemed an acceptance of a surrender of the Premises, and no agreement to accept a</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shall be valid unless it is in writing and signed by Landlord. At the expiration or termination of this Lease or Tenant’s right to possess the Premises, Tenant shall (a) deliver to Landlord the Premises broom-clean with all improvements located therein in good repair and condition (except for condemnation and Casualty damage not caused by Tenant, as to which Sections 14 and 15 shall control, and reasonable wear and tear, defined below), free of any liens or encumbrances and free of Hazardous Materials placed on the Premises during the Term; (b) deliver to Landlord all keys to the Premises and all access cards to the Project; (c) remove all unattached trade fixtures, furniture (including demountable walls), and personal property placed in the Premises or elsewhere in the Project by a Tenant Party and unattached equipment located in the Premises (but Tenant may not remove any such item which was paid for, in whole or in part, by Landlord unless Landlord requires such removal); (d) remove any and all cabling (including conduit) installed in the Premises or elsewhere in the Project by or on behalf of a Tenant Party, including all connections for such cabling, at Tenant’s sole cost (Landlord will have the right, however, upon notice to Tenant, given prior to the expiration or earlier termination of the Term, to require Tenant to abandon and leave in place, without additional payment to Tenant or credit against Rent, any and all such cabling [including conduit], whether located in the Premises or elsewhere in the Project, and if Landlord so elects, Tenant covenants that such cabling (and all pre-existing cabling in the Premises installed by previous tenants and used by Tenant) shall be left in a neat and safe condition in accordance with the requirements of all applicable Laws, including the National Electric Code or any successor statute, and shall be terminated at both ends of a connector, properly labeled at each end and in each electrical closet and junction box); and (e) remove such alterations, additions, improvements, and Tenant’s Off-Premises Equipment as Landlord may require and restore the areas surrounding such Tenant’s Off-Premises Equipment to their conditions existing immediately prior to the installation of such Tenant’s Off-Premises Equipment; however, Tenant shall not be required to remove the existing safety shower or any addition or improvement to the Premises or the Project (including wiring and cabling) if Landlord has specifically agreed in writing that the improvement or addition in question need not be removed. Upon Tenant’s written request made no earlier than six months prior to the expiration of the Term, Landlord shall notify Tenant whether Landlord shall require Tenant to remove all wiring, cabling and conduit installed in or about the Premises or the Project by any Tenant Party during the Term, The term “</w:t>
      </w:r>
      <w:r>
        <w:rPr>
          <w:rFonts w:ascii="Arial" w:cs="Arial" w:eastAsia="Arial" w:hAnsi="Arial"/>
          <w:sz w:val="16"/>
          <w:szCs w:val="16"/>
          <w:b w:val="1"/>
          <w:bCs w:val="1"/>
          <w:u w:val="single" w:color="auto"/>
          <w:color w:val="auto"/>
        </w:rPr>
        <w:t>reasonable wear and tear</w:t>
      </w:r>
      <w:r>
        <w:rPr>
          <w:rFonts w:ascii="Arial" w:cs="Arial" w:eastAsia="Arial" w:hAnsi="Arial"/>
          <w:sz w:val="16"/>
          <w:szCs w:val="16"/>
          <w:color w:val="auto"/>
        </w:rPr>
        <w:t>” as used herein shall mean such reasonable, normal and customary wear and tear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 xml:space="preserve">associated with reasonable, normal and customary use of the item in question that (A) is solely cosmetic in nature and (B) does not impair the function of the item in question for its intended use. Tenant shall repair all damage caused by the removal of the items described above. If Tenant fails to remove any property, including any of the property described above, Landlord may, at Landlord’s option, (1) deem such items to have been abandoned by Tenant, the title thereof shall immediately pass to Landlord at no cost to Landlord, and such items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hereunder or otherwise, (2) remove such items, perform any work required to be performed by Tenant hereunder, and repair all damage caused by such work, and Tenant shall reimburse Landlord on demand for any reasonable expenses which Landlord may incur in effecting compliance with Tenant’s obligations hereunder (including collection costs and attorneys’ fees), plus interest thereon at the Default Rate, or (2) elect any of the actions described in clauses (1) and (2) above as Landlord may elect in its sole discretion. Notwithstanding the requirements of clause (e) above to the contrary, Tenant shall not be required to remove any alterations, installations or improvements constructed inside the Premises as part of the initial Work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which do not exceed or differ in any material respect from customary, standard type of installations or improvements for general, executive and administrative offices or diagnostic testing laboratories in comparable buildings in the submarket in which the Building is located; however, Tenant may be required by Landlord to remove any non-standard alterations, additions or improvements, including server rooms, data centers, computer rooms, specialty ceilings, or any items that would have above-average demolition costs (“</w:t>
      </w:r>
      <w:r>
        <w:rPr>
          <w:rFonts w:ascii="Arial" w:cs="Arial" w:eastAsia="Arial" w:hAnsi="Arial"/>
          <w:sz w:val="15"/>
          <w:szCs w:val="15"/>
          <w:b w:val="1"/>
          <w:bCs w:val="1"/>
          <w:u w:val="single" w:color="auto"/>
          <w:color w:val="auto"/>
        </w:rPr>
        <w:t>Non-Standard Alterations</w:t>
      </w:r>
      <w:r>
        <w:rPr>
          <w:rFonts w:ascii="Arial" w:cs="Arial" w:eastAsia="Arial" w:hAnsi="Arial"/>
          <w:sz w:val="15"/>
          <w:szCs w:val="15"/>
          <w:color w:val="auto"/>
        </w:rPr>
        <w:t>”). In connection with Landlord’s review and approval of any of Tenant’s proposed alterations, additions or improvements to the Premises, Landlord may notify Tenant in writing, contemporaneously with Landlord’s notice of approval to Tenant with respect to the improvements in question, that Landlord will require Tenant to remove such alterations prior to the expiration of the Term; however, if Tenant submits plans and specifications to Landlord for proposed alterations, additions or improvements to the Premises and delivers a Removal Notice (defined below) to Landlord contemporaneously with such submission by Tenant, and Landlord fails to notify Tenant that Tenant will be required to remove such alterations, additions or improvements to the Premises at the expiration of the Term, Landlord may not request such removal at the expiration of the Term. A “</w:t>
      </w:r>
      <w:r>
        <w:rPr>
          <w:rFonts w:ascii="Arial" w:cs="Arial" w:eastAsia="Arial" w:hAnsi="Arial"/>
          <w:sz w:val="15"/>
          <w:szCs w:val="15"/>
          <w:b w:val="1"/>
          <w:bCs w:val="1"/>
          <w:u w:val="single" w:color="auto"/>
          <w:color w:val="auto"/>
        </w:rPr>
        <w:t>Removal Notice</w:t>
      </w:r>
      <w:r>
        <w:rPr>
          <w:rFonts w:ascii="Arial" w:cs="Arial" w:eastAsia="Arial" w:hAnsi="Arial"/>
          <w:sz w:val="15"/>
          <w:szCs w:val="15"/>
          <w:color w:val="auto"/>
        </w:rPr>
        <w:t xml:space="preserve">” means a written notice from Tenant to Landlord that conspicuously states in bold, uppercase typeface that Tenant will not be required to remove the alterations, additions or improvements in question at the end of the Term unless, contemporaneously with Landlord’s notice of approval to Tenant with respect to the improvements in question, Landlord notifies Tenant in writing that Landlord will require Tenant to remove such alterations prior to the expiration of the Term. Notwithstanding the foregoing, if Tenant does not obtain Landlord’s prior written consent for any alterations, additions or improvements to the Premises (whether such approval is required hereunder or otherwise), Tenant shall remove all such alterations, additions, improvements, trade fixtures, personal property, equipment, wiring, conduits, cabling, and furniture (including Tenant’s Off-Premises Equipment) as Landlord may request in writing. For the avoidance of doubt, Tenant shall not be required to remove any laboratory fixtures or equipment existing in the Premises as of the Lease Date or contemplated by the approved Space Plans,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or the Working Drawings, to the extent such Working Drawings provide for the construction only of the tenant improvements depicted on the Space Plans. Notwithstanding anything in this Lease to the contrary, in all cases Tenant shall be required to remove, and to restore the Premises or Project, as applicable, to their previous condition, any wiring and cabling installed in the Premises or elsewhere in the Project by or on behalf of any Tenant Party, any alterations or relocations of base-Building’s Systems made after completion of the initial Work, any improvements or signage incorporating Tenant’s name or logo, internal stairwells, vaults, raised flooring, any alteration, improvement or equipment installed by or on behalf of any Tenant Party not complying with Laws, and, unless Landlord has expressly stated otherwise in writing, all of Tenant’s Off-Premises Equipment, including any</w:t>
      </w:r>
    </w:p>
    <w:p>
      <w:pPr>
        <w:sectPr>
          <w:pgSz w:w="11900" w:h="16838" w:orient="portrait"/>
          <w:cols w:equalWidth="0" w:num="1">
            <w:col w:w="11420"/>
          </w:cols>
          <w:pgMar w:left="240" w:top="127" w:right="239" w:bottom="0" w:gutter="0" w:footer="0" w:header="0"/>
        </w:sectPr>
      </w:pPr>
    </w:p>
    <w:bookmarkStart w:id="306" w:name="page307"/>
    <w:bookmarkEnd w:id="306"/>
    <w:p>
      <w:pPr>
        <w:spacing w:after="0" w:line="57"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color w:val="auto"/>
        </w:rPr>
        <w:t>supplemental HVAC equipment, rooftop equipment, etc. (all such items in this sentence being “</w:t>
      </w:r>
      <w:r>
        <w:rPr>
          <w:rFonts w:ascii="Arial" w:cs="Arial" w:eastAsia="Arial" w:hAnsi="Arial"/>
          <w:sz w:val="17"/>
          <w:szCs w:val="17"/>
          <w:b w:val="1"/>
          <w:bCs w:val="1"/>
          <w:u w:val="single" w:color="auto"/>
          <w:color w:val="auto"/>
        </w:rPr>
        <w:t>Mandatory Removal Items</w:t>
      </w:r>
      <w:r>
        <w:rPr>
          <w:rFonts w:ascii="Arial" w:cs="Arial" w:eastAsia="Arial" w:hAnsi="Arial"/>
          <w:sz w:val="17"/>
          <w:szCs w:val="17"/>
          <w:color w:val="auto"/>
        </w:rPr>
        <w:t>”). The provisions of this Section 21 shall survive the end of the Term.</w:t>
      </w:r>
    </w:p>
    <w:p>
      <w:pPr>
        <w:spacing w:after="0" w:line="145" w:lineRule="exact"/>
        <w:rPr>
          <w:sz w:val="20"/>
          <w:szCs w:val="20"/>
          <w:color w:val="auto"/>
        </w:rPr>
      </w:pPr>
    </w:p>
    <w:p>
      <w:pPr>
        <w:ind w:right="40" w:firstLine="634"/>
        <w:spacing w:after="0" w:line="285" w:lineRule="auto"/>
        <w:tabs>
          <w:tab w:leader="none" w:pos="1254"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fails to vacate the Premises at the end of the Term, then Tenant shall be a tenant at sufferance and,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damages and remedies to which Landlord may be entitled for such holding over, (a) Tenant shall pay, in addition to the other Rent, Basic Rent equal to 150% of the Rent payable during the last month of the Term,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fees) and liability resulting from such failure, including any claims made by any succeeding tenant founded upon such failure to surrender, and any lost profits or other consequential damages to Landlord resulting therefrom.</w:t>
      </w:r>
    </w:p>
    <w:p>
      <w:pPr>
        <w:spacing w:after="0" w:line="152" w:lineRule="exact"/>
        <w:rPr>
          <w:sz w:val="20"/>
          <w:szCs w:val="20"/>
          <w:color w:val="auto"/>
        </w:rPr>
      </w:pPr>
    </w:p>
    <w:p>
      <w:pPr>
        <w:ind w:left="1260" w:hanging="626"/>
        <w:spacing w:after="0"/>
        <w:tabs>
          <w:tab w:leader="none" w:pos="1260"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Rights Reserved by Landlord</w:t>
      </w:r>
      <w:r>
        <w:rPr>
          <w:rFonts w:ascii="Arial" w:cs="Arial" w:eastAsia="Arial" w:hAnsi="Arial"/>
          <w:sz w:val="17"/>
          <w:szCs w:val="17"/>
          <w:color w:val="auto"/>
        </w:rPr>
        <w:t>. Landlord shall have the following rights:</w:t>
      </w:r>
    </w:p>
    <w:p>
      <w:pPr>
        <w:spacing w:after="0" w:line="224"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b w:val="1"/>
          <w:bCs w:val="1"/>
          <w:u w:val="single" w:color="auto"/>
          <w:color w:val="auto"/>
        </w:rPr>
        <w:t>Building Operations</w:t>
      </w:r>
      <w:r>
        <w:rPr>
          <w:rFonts w:ascii="Arial" w:cs="Arial" w:eastAsia="Arial" w:hAnsi="Arial"/>
          <w:sz w:val="17"/>
          <w:szCs w:val="17"/>
          <w:color w:val="auto"/>
        </w:rPr>
        <w:t>. To decorate and to make inspections, repairs, alterations, additions, changes, or improvements,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w:t>
      </w:r>
    </w:p>
    <w:p>
      <w:pPr>
        <w:spacing w:after="0" w:line="173"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Security</w:t>
      </w:r>
      <w:r>
        <w:rPr>
          <w:rFonts w:ascii="Arial" w:cs="Arial" w:eastAsia="Arial" w:hAnsi="Arial"/>
          <w:sz w:val="17"/>
          <w:szCs w:val="17"/>
          <w:color w:val="auto"/>
        </w:rPr>
        <w:t>. To take such reasonable measures as Landlord deems advisable for the security of the Building and its occupants;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 which may include, by way of example but not limitation, that persons entering or leaving the Building, whether or not during normal business hours, identify themselves to a security officer by registration or otherwise and that such persons establish their right to enter or leave the Building;</w:t>
      </w:r>
    </w:p>
    <w:p>
      <w:pPr>
        <w:spacing w:after="0" w:line="173"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Prospective Purchasers and Lenders</w:t>
      </w:r>
      <w:r>
        <w:rPr>
          <w:rFonts w:ascii="Arial" w:cs="Arial" w:eastAsia="Arial" w:hAnsi="Arial"/>
          <w:sz w:val="17"/>
          <w:szCs w:val="17"/>
          <w:color w:val="auto"/>
        </w:rPr>
        <w:t>. Upon at least 24 hours’ advance prior notice (which notice may be verbal) to Tenant, to enter the Premises at all reasonable hours to show the Premises to prospective purchasers or lenders; and</w:t>
      </w:r>
    </w:p>
    <w:p>
      <w:pPr>
        <w:spacing w:after="0" w:line="145" w:lineRule="exact"/>
        <w:rPr>
          <w:sz w:val="20"/>
          <w:szCs w:val="20"/>
          <w:color w:val="auto"/>
        </w:rPr>
      </w:pPr>
    </w:p>
    <w:p>
      <w:pPr>
        <w:ind w:right="60" w:firstLine="1259"/>
        <w:spacing w:after="0" w:line="27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Prospective Tenants</w:t>
      </w:r>
      <w:r>
        <w:rPr>
          <w:rFonts w:ascii="Arial" w:cs="Arial" w:eastAsia="Arial" w:hAnsi="Arial"/>
          <w:sz w:val="17"/>
          <w:szCs w:val="17"/>
          <w:color w:val="auto"/>
        </w:rPr>
        <w:t>. At any time during the last 12 months of the Term (or earlier if Tenant has notified Landlord in writing that it does not desire to renew the Term) upon at least 24 hours’ advance prior notice (which notice may be verbal) to Tenant, or at any time following the occurrence of an Event of Default, to enter the Premises at all reasonable hours to show the Premises to prospective tenants.</w:t>
      </w:r>
    </w:p>
    <w:p>
      <w:pPr>
        <w:spacing w:after="0" w:line="16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In exercising the foregoing rights in this Section 23, Landlord shall use commercially reasonable efforts to minimize any interference with Tenant’s occupancy, access and use of the Premises.</w:t>
      </w:r>
    </w:p>
    <w:p>
      <w:pPr>
        <w:spacing w:after="0" w:line="152" w:lineRule="exact"/>
        <w:rPr>
          <w:sz w:val="20"/>
          <w:szCs w:val="20"/>
          <w:color w:val="auto"/>
        </w:rPr>
      </w:pPr>
    </w:p>
    <w:p>
      <w:pPr>
        <w:ind w:left="1260" w:hanging="626"/>
        <w:spacing w:after="0"/>
        <w:tabs>
          <w:tab w:leader="none" w:pos="1260" w:val="left"/>
        </w:tabs>
        <w:numPr>
          <w:ilvl w:val="0"/>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Substitution Space</w:t>
      </w:r>
      <w:r>
        <w:rPr>
          <w:rFonts w:ascii="Arial" w:cs="Arial" w:eastAsia="Arial" w:hAnsi="Arial"/>
          <w:sz w:val="17"/>
          <w:szCs w:val="17"/>
          <w:color w:val="auto"/>
        </w:rPr>
        <w:t>. [Intentionally deleted].</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b w:val="1"/>
          <w:bCs w:val="1"/>
          <w:u w:val="single" w:color="auto"/>
          <w:color w:val="auto"/>
        </w:rPr>
        <w:t>Landlord Transfer</w:t>
      </w:r>
      <w:r>
        <w:rPr>
          <w:rFonts w:ascii="Arial" w:cs="Arial" w:eastAsia="Arial" w:hAnsi="Arial"/>
          <w:sz w:val="17"/>
          <w:szCs w:val="17"/>
          <w:color w:val="auto"/>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spacing w:after="0" w:line="162" w:lineRule="exact"/>
        <w:rPr>
          <w:sz w:val="20"/>
          <w:szCs w:val="20"/>
          <w:color w:val="auto"/>
        </w:rPr>
      </w:pPr>
    </w:p>
    <w:p>
      <w:pPr>
        <w:ind w:right="100" w:firstLine="1259"/>
        <w:spacing w:after="0" w:line="281"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b w:val="1"/>
          <w:bCs w:val="1"/>
          <w:u w:val="single" w:color="auto"/>
          <w:color w:val="auto"/>
        </w:rPr>
        <w:t>Landlord’s Liability</w:t>
      </w:r>
      <w:r>
        <w:rPr>
          <w:rFonts w:ascii="Arial" w:cs="Arial" w:eastAsia="Arial" w:hAnsi="Arial"/>
          <w:sz w:val="16"/>
          <w:szCs w:val="16"/>
          <w:color w:val="auto"/>
        </w:rPr>
        <w:t>. The liability of Landlord (and its successors,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net proceeds derived from the sale thereof, and, to the extent actually received by Landlord (thus excluding amounts paid to Landlord’s Mortgagees), and following the issuance of a final, non-appealable judgment in favor of Tenant, any undistributed insurance proceeds and condemnation awards that were not applied to the restoration of the Project or any related complex, and Landlord (and its partners, shareholders or members) shall not be personally liable for any deficiency. Additionally, Tenant hereby waives its statutory lien under Section 91.004 of the Texas Property Code. The provisions of this Section shall survive any expiration or termination of this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Other than for Tenant’s or Landlord’s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w:t>
      </w:r>
    </w:p>
    <w:p>
      <w:pPr>
        <w:spacing w:after="0" w:line="171" w:lineRule="exact"/>
        <w:rPr>
          <w:sz w:val="20"/>
          <w:szCs w:val="20"/>
          <w:color w:val="auto"/>
        </w:rPr>
      </w:pPr>
    </w:p>
    <w:p>
      <w:pPr>
        <w:ind w:right="420" w:firstLine="1259"/>
        <w:spacing w:after="0" w:line="292" w:lineRule="auto"/>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b w:val="1"/>
          <w:bCs w:val="1"/>
          <w:u w:val="single" w:color="auto"/>
          <w:color w:val="auto"/>
        </w:rPr>
        <w:t>Brokerage</w:t>
      </w:r>
      <w:r>
        <w:rPr>
          <w:rFonts w:ascii="Arial" w:cs="Arial" w:eastAsia="Arial" w:hAnsi="Arial"/>
          <w:sz w:val="16"/>
          <w:szCs w:val="16"/>
          <w:color w:val="auto"/>
        </w:rPr>
        <w:t>. Neither Landlord nor Tenant has dealt with any broker or agent in connection with the negotiation or execution of this Lease, other than HPI Real Estate, Inc. and Jones Lang LaSalle Brokerage, Inc, whose commissions shall be paid by Landlord pursuant to separate written agreements. Tenant and Landlord shall each indemnify the other against all costs, expenses, attorneys’ fees, liens and other liability for commissions or other compensation claimed by any other broker or agent claiming the same by, through, or under the indemnifying party.</w:t>
      </w:r>
    </w:p>
    <w:p>
      <w:pPr>
        <w:spacing w:after="0" w:line="153" w:lineRule="exact"/>
        <w:rPr>
          <w:sz w:val="20"/>
          <w:szCs w:val="20"/>
          <w:color w:val="auto"/>
        </w:rPr>
      </w:pPr>
    </w:p>
    <w:p>
      <w:pPr>
        <w:ind w:right="180" w:firstLine="1259"/>
        <w:spacing w:after="0" w:line="330" w:lineRule="auto"/>
        <w:rPr>
          <w:sz w:val="20"/>
          <w:szCs w:val="20"/>
          <w:color w:val="auto"/>
        </w:rPr>
      </w:pPr>
      <w:r>
        <w:rPr>
          <w:rFonts w:ascii="Arial" w:cs="Arial" w:eastAsia="Arial" w:hAnsi="Arial"/>
          <w:sz w:val="15"/>
          <w:szCs w:val="15"/>
          <w:color w:val="auto"/>
        </w:rPr>
        <w:t xml:space="preserve">25.5 </w:t>
      </w:r>
      <w:r>
        <w:rPr>
          <w:rFonts w:ascii="Arial" w:cs="Arial" w:eastAsia="Arial" w:hAnsi="Arial"/>
          <w:sz w:val="15"/>
          <w:szCs w:val="15"/>
          <w:b w:val="1"/>
          <w:bCs w:val="1"/>
          <w:u w:val="single" w:color="auto"/>
          <w:color w:val="auto"/>
        </w:rPr>
        <w:t>Estoppel Certificates</w:t>
      </w:r>
      <w:r>
        <w:rPr>
          <w:rFonts w:ascii="Arial" w:cs="Arial" w:eastAsia="Arial" w:hAnsi="Arial"/>
          <w:sz w:val="15"/>
          <w:szCs w:val="15"/>
          <w:color w:val="auto"/>
        </w:rPr>
        <w:t>. From time to time, Tenant shall furnish to any party designated by Landlord, within ten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w:t>
      </w:r>
    </w:p>
    <w:p>
      <w:pPr>
        <w:sectPr>
          <w:pgSz w:w="11900" w:h="16895" w:orient="portrait"/>
          <w:cols w:equalWidth="0" w:num="1">
            <w:col w:w="11420"/>
          </w:cols>
          <w:pgMar w:left="240" w:top="121" w:right="239" w:bottom="0" w:gutter="0" w:footer="0" w:header="0"/>
        </w:sectPr>
      </w:pPr>
    </w:p>
    <w:bookmarkStart w:id="307" w:name="page308"/>
    <w:bookmarkEnd w:id="307"/>
    <w:p>
      <w:pPr>
        <w:ind w:right="120"/>
        <w:spacing w:after="0" w:line="300" w:lineRule="auto"/>
        <w:rPr>
          <w:sz w:val="20"/>
          <w:szCs w:val="20"/>
          <w:color w:val="auto"/>
        </w:rPr>
      </w:pPr>
      <w:r>
        <w:rPr>
          <w:rFonts w:ascii="Arial" w:cs="Arial" w:eastAsia="Arial" w:hAnsi="Arial"/>
          <w:sz w:val="15"/>
          <w:szCs w:val="15"/>
          <w:color w:val="auto"/>
        </w:rPr>
        <w:t xml:space="preserve">estoppel certificate to be signed by Tenant is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If Tenant does not deliver to Landlord the certificate signed by Tenant within such required time period, Landlord, Landlord’s Mortgagee and any prospective purchaser or mortgagee, may conclusively presume and rely upon the following facts:</w:t>
      </w:r>
    </w:p>
    <w:p>
      <w:pPr>
        <w:ind w:right="80" w:firstLine="5"/>
        <w:spacing w:after="0" w:line="263" w:lineRule="auto"/>
        <w:tabs>
          <w:tab w:leader="none" w:pos="238"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this Lease is in full force and effect; (b) the terms and provisions of this Lease have not been changed except as otherwise represented by Landlord; (c) not more than one monthly installment of Basic Rent and other charges have been paid in advance; (d) there are no claims against Landlord nor any defenses or rights of offset against collection of Rent or other charges; and (e) Landlord is not in default under this Lease. In such event, Tenant shall be estopped from denying the truth of the presumed facts.</w:t>
      </w:r>
    </w:p>
    <w:p>
      <w:pPr>
        <w:spacing w:after="0" w:line="174"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given pursuant to this Lease shall be in writing and shall be (a) mailed by first class, United States Mail, postage prepaid, certified, with return receipt requested, and addressed to the parties hereto at the address specified in the Basic Lease Information, (b) hand-delivered to the intended addressee, (c) sent by a nationally recognized overnight courier service, or (d) sent by facsimile transmission during normal business hours followed by a confirmatory letter sent in another manner permitted hereunder. All notices shall be effective upon delivery (which, in the case of delivery by facsimile transmission, shall be deemed to occur at the time of delivery indicated on the electronic confirmation of the facsimile so long as the confirmatory letter referenced above is sent) to the address of the addressee (even if such addressee refuses delivery thereof). The parties hereto may change their addresses by giving notice thereof to the other in conformity with this provision.</w:t>
      </w:r>
    </w:p>
    <w:p>
      <w:pPr>
        <w:spacing w:after="0" w:line="159"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b w:val="1"/>
          <w:bCs w:val="1"/>
          <w:u w:val="single" w:color="auto"/>
          <w:color w:val="auto"/>
        </w:rPr>
        <w:t>Separability</w:t>
      </w:r>
      <w:r>
        <w:rPr>
          <w:rFonts w:ascii="Arial" w:cs="Arial" w:eastAsia="Arial" w:hAnsi="Arial"/>
          <w:sz w:val="17"/>
          <w:szCs w:val="17"/>
          <w:color w:val="auto"/>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62"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25.8 </w:t>
      </w:r>
      <w:r>
        <w:rPr>
          <w:rFonts w:ascii="Arial" w:cs="Arial" w:eastAsia="Arial" w:hAnsi="Arial"/>
          <w:sz w:val="16"/>
          <w:szCs w:val="16"/>
          <w:b w:val="1"/>
          <w:bCs w:val="1"/>
          <w:u w:val="single" w:color="auto"/>
          <w:color w:val="auto"/>
        </w:rPr>
        <w:t>Amendments; Binding Effect; No Electronic Records</w:t>
      </w:r>
      <w:r>
        <w:rPr>
          <w:rFonts w:ascii="Arial" w:cs="Arial" w:eastAsia="Arial" w:hAnsi="Arial"/>
          <w:sz w:val="16"/>
          <w:szCs w:val="16"/>
          <w:color w:val="auto"/>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by facsimile transmission as specifically set forth in Section 25.6 or electronic signatures as specifically set forth in Section 25.9; nor shall the use of the phrase “in writing” or the word “written” be construed to include electronic communications except by facsimile transmissions as specifically set forth in Section 25.6 and other electronic signatures as specifically set forth in Section 25.9. The terms and conditions contained in this Lease shall inure to the benefit of and be binding upon the parties hereto, and upon their respective successors in interest and legal representatives, except as otherwise herein expressly provided. This Lease is for the sole benefit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and, other than Landlord’s Mortgagee, no third party shall be deemed a third party beneficiary hereof.</w:t>
      </w:r>
    </w:p>
    <w:p>
      <w:pPr>
        <w:spacing w:after="0" w:line="218" w:lineRule="exact"/>
        <w:rPr>
          <w:sz w:val="20"/>
          <w:szCs w:val="20"/>
          <w:color w:val="auto"/>
        </w:rPr>
      </w:pPr>
    </w:p>
    <w:p>
      <w:pPr>
        <w:ind w:right="40" w:firstLine="1259"/>
        <w:spacing w:after="0" w:line="270" w:lineRule="auto"/>
        <w:rPr>
          <w:sz w:val="20"/>
          <w:szCs w:val="20"/>
          <w:color w:val="auto"/>
        </w:rPr>
      </w:pPr>
      <w:r>
        <w:rPr>
          <w:rFonts w:ascii="Arial" w:cs="Arial" w:eastAsia="Arial" w:hAnsi="Arial"/>
          <w:sz w:val="17"/>
          <w:szCs w:val="17"/>
          <w:color w:val="auto"/>
        </w:rPr>
        <w:t xml:space="preserve">25.9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(and amendments to this Lease) may be executed in any number of counterparts, each of which shall be deemed to be an original, and all of such counterparts shall constitute one document. To facilitate execution of this Lease, the parties may execute and exchange, by telephone facsimile or electronic mail PDF, counterparts of the signature pages. Signature pages may be detached from the counterparts and attached to a single copy of this Lease to physically form one document.</w:t>
      </w:r>
    </w:p>
    <w:p>
      <w:pPr>
        <w:spacing w:after="0" w:line="169"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color w:val="auto"/>
        </w:rPr>
        <w:t xml:space="preserve">25.10 </w:t>
      </w:r>
      <w:r>
        <w:rPr>
          <w:rFonts w:ascii="Arial" w:cs="Arial" w:eastAsia="Arial" w:hAnsi="Arial"/>
          <w:sz w:val="17"/>
          <w:szCs w:val="17"/>
          <w:b w:val="1"/>
          <w:bCs w:val="1"/>
          <w:u w:val="single" w:color="auto"/>
          <w:color w:val="auto"/>
        </w:rPr>
        <w:t>Quiet Enjoyment</w:t>
      </w:r>
      <w:r>
        <w:rPr>
          <w:rFonts w:ascii="Arial" w:cs="Arial" w:eastAsia="Arial" w:hAnsi="Arial"/>
          <w:sz w:val="17"/>
          <w:szCs w:val="17"/>
          <w:color w:val="auto"/>
        </w:rPr>
        <w:t>. Provided Tenant has performed all of its obligations hereunder, Tenant shall peaceably and quietly hold and enjoy the Premises for the Term, without hindrance from Landlord or any party claiming by, through, or under Landlord, but not otherwise, subject to the terms and conditions of this Lease and all matters of record as of the date of this Lease which are applicable to the Premises.</w:t>
      </w:r>
    </w:p>
    <w:p>
      <w:pPr>
        <w:spacing w:after="0" w:line="162" w:lineRule="exact"/>
        <w:rPr>
          <w:sz w:val="20"/>
          <w:szCs w:val="20"/>
          <w:color w:val="auto"/>
        </w:rPr>
      </w:pPr>
    </w:p>
    <w:p>
      <w:pPr>
        <w:jc w:val="both"/>
        <w:ind w:right="80" w:firstLine="1259"/>
        <w:spacing w:after="0" w:line="277" w:lineRule="auto"/>
        <w:rPr>
          <w:sz w:val="20"/>
          <w:szCs w:val="20"/>
          <w:color w:val="auto"/>
        </w:rPr>
      </w:pPr>
      <w:r>
        <w:rPr>
          <w:rFonts w:ascii="Arial" w:cs="Arial" w:eastAsia="Arial" w:hAnsi="Arial"/>
          <w:sz w:val="17"/>
          <w:szCs w:val="17"/>
          <w:color w:val="auto"/>
        </w:rPr>
        <w:t xml:space="preserve">25.11 </w:t>
      </w:r>
      <w:r>
        <w:rPr>
          <w:rFonts w:ascii="Arial" w:cs="Arial" w:eastAsia="Arial" w:hAnsi="Arial"/>
          <w:sz w:val="17"/>
          <w:szCs w:val="17"/>
          <w:b w:val="1"/>
          <w:bCs w:val="1"/>
          <w:u w:val="single" w:color="auto"/>
          <w:color w:val="auto"/>
        </w:rPr>
        <w:t>No Merger</w:t>
      </w:r>
      <w:r>
        <w:rPr>
          <w:rFonts w:ascii="Arial" w:cs="Arial" w:eastAsia="Arial" w:hAnsi="Arial"/>
          <w:sz w:val="17"/>
          <w:szCs w:val="17"/>
          <w:color w:val="auto"/>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spacing w:after="0" w:line="162" w:lineRule="exact"/>
        <w:rPr>
          <w:sz w:val="20"/>
          <w:szCs w:val="20"/>
          <w:color w:val="auto"/>
        </w:rPr>
      </w:pPr>
    </w:p>
    <w:p>
      <w:pPr>
        <w:ind w:right="360" w:firstLine="1259"/>
        <w:spacing w:after="0" w:line="297" w:lineRule="auto"/>
        <w:rPr>
          <w:sz w:val="20"/>
          <w:szCs w:val="20"/>
          <w:color w:val="auto"/>
        </w:rPr>
      </w:pPr>
      <w:r>
        <w:rPr>
          <w:rFonts w:ascii="Arial" w:cs="Arial" w:eastAsia="Arial" w:hAnsi="Arial"/>
          <w:sz w:val="17"/>
          <w:szCs w:val="17"/>
          <w:color w:val="auto"/>
        </w:rPr>
        <w:t xml:space="preserve">25.12 </w:t>
      </w:r>
      <w:r>
        <w:rPr>
          <w:rFonts w:ascii="Arial" w:cs="Arial" w:eastAsia="Arial" w:hAnsi="Arial"/>
          <w:sz w:val="17"/>
          <w:szCs w:val="17"/>
          <w:b w:val="1"/>
          <w:bCs w:val="1"/>
          <w:u w:val="single" w:color="auto"/>
          <w:color w:val="auto"/>
        </w:rPr>
        <w:t>No Offer</w:t>
      </w:r>
      <w:r>
        <w:rPr>
          <w:rFonts w:ascii="Arial" w:cs="Arial" w:eastAsia="Arial" w:hAnsi="Arial"/>
          <w:sz w:val="17"/>
          <w:szCs w:val="17"/>
          <w:color w:val="auto"/>
        </w:rPr>
        <w:t>. The submission of this Lease to Tenant shall not be construed as an offer, and Tenant shall not have any rights under this Lease unless Landlord executes a copy of this Lease and delivers it to Tenant.</w:t>
      </w:r>
    </w:p>
    <w:p>
      <w:pPr>
        <w:spacing w:after="0" w:line="145" w:lineRule="exact"/>
        <w:rPr>
          <w:sz w:val="20"/>
          <w:szCs w:val="20"/>
          <w:color w:val="auto"/>
        </w:rPr>
      </w:pPr>
    </w:p>
    <w:p>
      <w:pPr>
        <w:ind w:right="20" w:firstLine="1259"/>
        <w:spacing w:after="0" w:line="307" w:lineRule="auto"/>
        <w:rPr>
          <w:sz w:val="20"/>
          <w:szCs w:val="20"/>
          <w:color w:val="auto"/>
        </w:rPr>
      </w:pPr>
      <w:r>
        <w:rPr>
          <w:rFonts w:ascii="Arial" w:cs="Arial" w:eastAsia="Arial" w:hAnsi="Arial"/>
          <w:sz w:val="15"/>
          <w:szCs w:val="15"/>
          <w:color w:val="auto"/>
        </w:rPr>
        <w:t xml:space="preserve">25.13 </w:t>
      </w:r>
      <w:r>
        <w:rPr>
          <w:rFonts w:ascii="Arial" w:cs="Arial" w:eastAsia="Arial" w:hAnsi="Arial"/>
          <w:sz w:val="15"/>
          <w:szCs w:val="15"/>
          <w:b w:val="1"/>
          <w:bCs w:val="1"/>
          <w:u w:val="single" w:color="auto"/>
          <w:color w:val="auto"/>
        </w:rPr>
        <w:t>Entire Agreement; No Reliance</w:t>
      </w:r>
      <w:r>
        <w:rPr>
          <w:rFonts w:ascii="Arial" w:cs="Arial" w:eastAsia="Arial" w:hAnsi="Arial"/>
          <w:sz w:val="15"/>
          <w:szCs w:val="15"/>
          <w:color w:val="auto"/>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Except as otherwise provided herein, no subsequent alteration, amendment, change or addition to this Lease shall be binding unless in writing and signed by Landlord and Tenant. The normal rule of construction that any ambiguities be resolved against the drafting party shall not apply to the interpretation of this Lease or any exhibits or amendments hereto. Further, Tenant disclaims any reliance upon any and all representations, warranties or agreements not expressly set forth in this Lease.</w:t>
      </w:r>
    </w:p>
    <w:p>
      <w:pPr>
        <w:spacing w:after="0" w:line="144" w:lineRule="exact"/>
        <w:rPr>
          <w:sz w:val="20"/>
          <w:szCs w:val="20"/>
          <w:color w:val="auto"/>
        </w:rPr>
      </w:pPr>
    </w:p>
    <w:p>
      <w:pPr>
        <w:ind w:right="100" w:firstLine="1259"/>
        <w:spacing w:after="0" w:line="267" w:lineRule="auto"/>
        <w:rPr>
          <w:sz w:val="20"/>
          <w:szCs w:val="20"/>
          <w:color w:val="auto"/>
        </w:rPr>
      </w:pPr>
      <w:r>
        <w:rPr>
          <w:rFonts w:ascii="Arial" w:cs="Arial" w:eastAsia="Arial" w:hAnsi="Arial"/>
          <w:sz w:val="17"/>
          <w:szCs w:val="17"/>
          <w:color w:val="auto"/>
        </w:rPr>
        <w:t xml:space="preserve">25.14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TO THE MAXIMUM EXTENT PERMITTED BY LAW, TENANT (ON BEHALF OF ITSELF AND ITS RESPECTIVE SUCCESSORS, ASSIGNS AND SUBTENANTS) AND LANDLORD EACH, AFTER CONSULTATION WITH COUNSEL, KNOWINGLY WAIVES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71" w:lineRule="exact"/>
        <w:rPr>
          <w:sz w:val="20"/>
          <w:szCs w:val="20"/>
          <w:color w:val="auto"/>
        </w:rPr>
      </w:pPr>
    </w:p>
    <w:p>
      <w:pPr>
        <w:ind w:right="320" w:firstLine="1259"/>
        <w:spacing w:after="0" w:line="297"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Lease shall be governed by and construed in accordance with the laws of the State of Texas and venue for all purposes shall be Travis County, Texas.</w:t>
      </w:r>
    </w:p>
    <w:p>
      <w:pPr>
        <w:spacing w:after="0" w:line="145" w:lineRule="exact"/>
        <w:rPr>
          <w:sz w:val="20"/>
          <w:szCs w:val="20"/>
          <w:color w:val="auto"/>
        </w:rPr>
      </w:pPr>
    </w:p>
    <w:p>
      <w:pPr>
        <w:ind w:right="40" w:firstLine="1259"/>
        <w:spacing w:after="0" w:line="311" w:lineRule="auto"/>
        <w:rPr>
          <w:sz w:val="20"/>
          <w:szCs w:val="20"/>
          <w:color w:val="auto"/>
        </w:rPr>
      </w:pPr>
      <w:r>
        <w:rPr>
          <w:rFonts w:ascii="Arial" w:cs="Arial" w:eastAsia="Arial" w:hAnsi="Arial"/>
          <w:sz w:val="15"/>
          <w:szCs w:val="15"/>
          <w:color w:val="auto"/>
        </w:rPr>
        <w:t xml:space="preserve">25.16 </w:t>
      </w:r>
      <w:r>
        <w:rPr>
          <w:rFonts w:ascii="Arial" w:cs="Arial" w:eastAsia="Arial" w:hAnsi="Arial"/>
          <w:sz w:val="15"/>
          <w:szCs w:val="15"/>
          <w:b w:val="1"/>
          <w:bCs w:val="1"/>
          <w:u w:val="single" w:color="auto"/>
          <w:color w:val="auto"/>
        </w:rPr>
        <w:t>Recording</w:t>
      </w:r>
      <w:r>
        <w:rPr>
          <w:rFonts w:ascii="Arial" w:cs="Arial" w:eastAsia="Arial" w:hAnsi="Arial"/>
          <w:sz w:val="15"/>
          <w:szCs w:val="15"/>
          <w:color w:val="auto"/>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is coupled with an interest and is irrevocable. Landlord acknowledges and agrees that Tenant shall be entitled to file a copy of this Lease with the Securities and Exchange Commission (“</w:t>
      </w:r>
      <w:r>
        <w:rPr>
          <w:rFonts w:ascii="Arial" w:cs="Arial" w:eastAsia="Arial" w:hAnsi="Arial"/>
          <w:sz w:val="15"/>
          <w:szCs w:val="15"/>
          <w:b w:val="1"/>
          <w:bCs w:val="1"/>
          <w:u w:val="single" w:color="auto"/>
          <w:color w:val="auto"/>
        </w:rPr>
        <w:t>SEC</w:t>
      </w:r>
      <w:r>
        <w:rPr>
          <w:rFonts w:ascii="Arial" w:cs="Arial" w:eastAsia="Arial" w:hAnsi="Arial"/>
          <w:sz w:val="15"/>
          <w:szCs w:val="15"/>
          <w:color w:val="auto"/>
        </w:rPr>
        <w:t>”), to the extent such filing is required by the SEC, and such filing shall not violate this provision.</w:t>
      </w:r>
    </w:p>
    <w:p>
      <w:pPr>
        <w:spacing w:after="0" w:line="141"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25.17 </w:t>
      </w:r>
      <w:r>
        <w:rPr>
          <w:rFonts w:ascii="Arial" w:cs="Arial" w:eastAsia="Arial" w:hAnsi="Arial"/>
          <w:sz w:val="17"/>
          <w:szCs w:val="17"/>
          <w:b w:val="1"/>
          <w:bCs w:val="1"/>
          <w:u w:val="single" w:color="auto"/>
          <w:color w:val="auto"/>
        </w:rPr>
        <w:t>Water or Mold Notification</w:t>
      </w:r>
      <w:r>
        <w:rPr>
          <w:rFonts w:ascii="Arial" w:cs="Arial" w:eastAsia="Arial" w:hAnsi="Arial"/>
          <w:sz w:val="17"/>
          <w:szCs w:val="17"/>
          <w:color w:val="auto"/>
        </w:rPr>
        <w:t>. To the extent Tenant or its agents or employees discover any water leakage, water damage or mold in or about the Premises or Project, Tenant shall promptly notify Landlord thereof in writing.</w:t>
      </w:r>
    </w:p>
    <w:p>
      <w:pPr>
        <w:sectPr>
          <w:pgSz w:w="11900" w:h="16838" w:orient="portrait"/>
          <w:cols w:equalWidth="0" w:num="1">
            <w:col w:w="11420"/>
          </w:cols>
          <w:pgMar w:left="240" w:top="127" w:right="239" w:bottom="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08" w:name="page309"/>
    <w:bookmarkEnd w:id="308"/>
    <w:p>
      <w:pPr>
        <w:ind w:right="20" w:firstLine="1259"/>
        <w:spacing w:after="0" w:line="270" w:lineRule="auto"/>
        <w:rPr>
          <w:sz w:val="20"/>
          <w:szCs w:val="20"/>
          <w:color w:val="auto"/>
        </w:rPr>
      </w:pPr>
      <w:r>
        <w:rPr>
          <w:rFonts w:ascii="Arial" w:cs="Arial" w:eastAsia="Arial" w:hAnsi="Arial"/>
          <w:sz w:val="17"/>
          <w:szCs w:val="17"/>
          <w:color w:val="auto"/>
        </w:rPr>
        <w:t xml:space="preserve">25.18 </w:t>
      </w:r>
      <w:r>
        <w:rPr>
          <w:rFonts w:ascii="Arial" w:cs="Arial" w:eastAsia="Arial" w:hAnsi="Arial"/>
          <w:sz w:val="17"/>
          <w:szCs w:val="17"/>
          <w:b w:val="1"/>
          <w:bCs w:val="1"/>
          <w:u w:val="single" w:color="auto"/>
          <w:color w:val="auto"/>
        </w:rPr>
        <w:t>Joint and Several Liability</w:t>
      </w:r>
      <w:r>
        <w:rPr>
          <w:rFonts w:ascii="Arial" w:cs="Arial" w:eastAsia="Arial" w:hAnsi="Arial"/>
          <w:sz w:val="17"/>
          <w:szCs w:val="17"/>
          <w:color w:val="auto"/>
        </w:rPr>
        <w:t>. If Tenant consists of more than one party (or if Tenant permits any other party to occupy the Premises),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69" w:lineRule="exact"/>
        <w:rPr>
          <w:sz w:val="20"/>
          <w:szCs w:val="20"/>
          <w:color w:val="auto"/>
        </w:rPr>
      </w:pPr>
    </w:p>
    <w:p>
      <w:pPr>
        <w:ind w:firstLine="1259"/>
        <w:spacing w:after="0" w:line="296" w:lineRule="auto"/>
        <w:rPr>
          <w:sz w:val="20"/>
          <w:szCs w:val="20"/>
          <w:color w:val="auto"/>
        </w:rPr>
      </w:pPr>
      <w:r>
        <w:rPr>
          <w:rFonts w:ascii="Arial" w:cs="Arial" w:eastAsia="Arial" w:hAnsi="Arial"/>
          <w:sz w:val="15"/>
          <w:szCs w:val="15"/>
          <w:color w:val="auto"/>
        </w:rPr>
        <w:t xml:space="preserve">25.19 </w:t>
      </w:r>
      <w:r>
        <w:rPr>
          <w:rFonts w:ascii="Arial" w:cs="Arial" w:eastAsia="Arial" w:hAnsi="Arial"/>
          <w:sz w:val="15"/>
          <w:szCs w:val="15"/>
          <w:b w:val="1"/>
          <w:bCs w:val="1"/>
          <w:u w:val="single" w:color="auto"/>
          <w:color w:val="auto"/>
        </w:rPr>
        <w:t>Financial Reports</w:t>
      </w:r>
      <w:r>
        <w:rPr>
          <w:rFonts w:ascii="Arial" w:cs="Arial" w:eastAsia="Arial" w:hAnsi="Arial"/>
          <w:sz w:val="15"/>
          <w:szCs w:val="15"/>
          <w:color w:val="auto"/>
        </w:rPr>
        <w:t>. If Tenant is an entity that is domiciled in the United States of America, and whose securities are funded through a public securities exchange subject to regulation by the United States of America publicly traded over exchanges based in the United States and whose financial statements are readily available at no cost to Landlord, the terms of this Section 25.19 shall not apply. Otherwise,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Landlord will not disclose any aspect of Tenant’s financial statements that Tenant designates to Landlord as confidential except</w:t>
      </w:r>
    </w:p>
    <w:p>
      <w:pPr>
        <w:ind w:right="80" w:firstLine="5"/>
        <w:spacing w:after="0" w:line="266" w:lineRule="auto"/>
        <w:tabs>
          <w:tab w:leader="none" w:pos="238"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to Landlord’s Mortgagee or prospective mortgagees or purchasers of the Building, (b) in litigation between Landlord and Tenant, and/or (c) if required by Law or court order. Tenant shall not be required to deliver the financial statements required under this Section 25.19 more than once in any 12-month period unless requested by Landlord’s Mortgagee or a prospective buyer or lender of the Building or an Event of Default occurs.</w:t>
      </w:r>
    </w:p>
    <w:p>
      <w:pPr>
        <w:spacing w:after="0" w:line="171"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25.20 </w:t>
      </w:r>
      <w:r>
        <w:rPr>
          <w:rFonts w:ascii="Arial" w:cs="Arial" w:eastAsia="Arial" w:hAnsi="Arial"/>
          <w:sz w:val="17"/>
          <w:szCs w:val="17"/>
          <w:b w:val="1"/>
          <w:bCs w:val="1"/>
          <w:u w:val="single" w:color="auto"/>
          <w:color w:val="auto"/>
        </w:rPr>
        <w:t>Landlord’s Fees</w:t>
      </w:r>
      <w:r>
        <w:rPr>
          <w:rFonts w:ascii="Arial" w:cs="Arial" w:eastAsia="Arial" w:hAnsi="Arial"/>
          <w:sz w:val="17"/>
          <w:szCs w:val="17"/>
          <w:color w:val="auto"/>
        </w:rPr>
        <w:t>. Whenever Tenant requests Landlord to take any action not required of Landlord hereunder or give any consent required or permitted under this Lease, Tenant will reimburse Landlord for Landlord’s reasonable, out-of-pocket costs payable to third parties and incurred by Landlord in reviewing and taking the proposed action or consent, including reasonable engineers’ or architects’ fees and reasonable attorneys’ fees (including amounts allocated by Landlord to Landlord’s in-house counsel as well as fees and expenses charged by outside counsel engaged by Landlord), within 30 days after Landlord’s delivery to Tenant of a statement of such costs. Tenant will be obligated to make such reimbursement without regard to whether Landlord consents to any such proposed action.</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25.21</w:t>
      </w:r>
      <w:r>
        <w:rPr>
          <w:sz w:val="20"/>
          <w:szCs w:val="20"/>
          <w:color w:val="auto"/>
        </w:rPr>
        <w:tab/>
      </w:r>
      <w:r>
        <w:rPr>
          <w:rFonts w:ascii="Arial" w:cs="Arial" w:eastAsia="Arial" w:hAnsi="Arial"/>
          <w:sz w:val="15"/>
          <w:szCs w:val="15"/>
          <w:b w:val="1"/>
          <w:bCs w:val="1"/>
          <w:u w:val="single" w:color="auto"/>
          <w:color w:val="auto"/>
        </w:rPr>
        <w:t>Telecommunications</w:t>
      </w:r>
      <w:r>
        <w:rPr>
          <w:rFonts w:ascii="Arial" w:cs="Arial" w:eastAsia="Arial" w:hAnsi="Arial"/>
          <w:sz w:val="15"/>
          <w:szCs w:val="15"/>
          <w:color w:val="auto"/>
        </w:rPr>
        <w:t>. Tenant and its telecommunications companies, including local exchange telecommunications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access vendor services companies, shall have no right of access to and within the Building, for the installation and operation of telecommunications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systems, including voice, video, data, Internet, and any other services provided over wire, fiber optic, microwave, wireless, and any other transmission systems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Telecommunications Services</w:t>
      </w:r>
      <w:r>
        <w:rPr>
          <w:rFonts w:ascii="Arial" w:cs="Arial" w:eastAsia="Arial" w:hAnsi="Arial"/>
          <w:sz w:val="16"/>
          <w:szCs w:val="16"/>
          <w:color w:val="auto"/>
        </w:rPr>
        <w:t>”), for part or all of Tenant’s telecommunications within the Building and from the Building to any other location unless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has previously reviewed and approved all plans, specifications and contracts pertaining to telecommunication service entry points, and any documents to which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 is a party or which may encumber the Project, which consent will not be unreasonably withheld. All providers of Telecommunications Services shall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required to comply with the rules and regulations of the Project, applicable Laws and Landlord’s policies and practices for the Project, and shall be required, 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Landlord’s election, to enter into a license agreement with Landlord to confirm and approve items such as, without limitation, the proposed location (and labeling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wiring, cabling, fiber lines, points of demarcation, entry into the Project, insurance requirements and the like. Tenant acknowledges that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shall not be required to provide or arrange for any Telecommunications Services and that Landlord shall have no liability to any Tenant Party in connection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installation, operation or maintenance of Telecommunications Services or any equipment or facilities relating thereto. Tenant, at its cost and for its own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account, shall be solely responsible for obtaining all Telecommunications Services.</w:t>
      </w:r>
    </w:p>
    <w:p>
      <w:pPr>
        <w:spacing w:after="0" w:line="206"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 xml:space="preserve">25.22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to its attorneys, accountants, employees and existing or prospective financial partners, or if required by Law or court order, provided all parties to whom Tenant is permitted hereunder to disclose such terms and conditions are advised by Tenant of the confidential nature of such terms and conditions and agree to maintain the confidentiality thereof (in each case, prior to disclosure). Tenant shall be liable for any disclosures made in violation of this Section by Tenant or by any entity or individual to whom the terms of and conditions of this Lease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were disclosed or made available by Tenant. The consent by Landlord to any disclosures shall not be deemed to be a waiver on the part of Landlord of any prohibition against any future disclosure.</w:t>
      </w:r>
    </w:p>
    <w:p>
      <w:pPr>
        <w:spacing w:after="0" w:line="152"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 xml:space="preserve">25.23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Tenant (if a corporation, partnership or other business entity) hereby represents and warrants to Landlord that Tenant is and will remain during the Term a duly formed and existing entity qualified to do business in the state in which the Premises are located, that Tenant has full right and authority to execute and deliver this Lease, and that each person signing on behalf of Tenant is authorized to do so, and that Tenant’s organizational identification number assigned by the Delaware Secretary of State is 4198998.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spacing w:after="0" w:line="173"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25.24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The term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means any substance, material, or waste which is now or hereafter classified or considered to be hazardous, toxic, or dangerous under any Law relating to pollution or the protection or regulation of human health, natural resources or the environment, or poses or threatens to pose a hazard to the health or safety of persons on the Premises or in the Project. No Tenant Party shall use, generate, store or Release (defined below), or permit the use, generation, storage or Release of Hazardous Materials on or about the Premises or the Project except in a manner and quantity necessary for the ordinary performance of Tenant’s business, and then in compliance with all Laws and in a reasonable and prudent manner. As used herein,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means depositing, spilling, leaking, pumping, pouring, emitting, emptying, discharging, injecting, escaping, leaching, dumping or disposing. If any Tenant Party breaches its obligations under this Section 25.24, Landlord may immediately take any and all action reasonably appropriate to remedy the same, including taking all appropriate action to clean up or remediate any contamination resulting from such Tenant Party’s use, generation, storage or disposal of Hazardous Materials. Tenant shall defend, indemnify, and hold harmless Landlord and its representatives and agents from and against any and all claims, demands, liabilities, causes of action, suits, judgments, damages and expenses (including reasonable attorneys’ fees and cost of clean up and remediation) arising from any Tenant Party’s failure to comply with the provisions of this Section 25.24. This indemnity provision is intended to allocate responsibility between Landlord and Tenant under environmental Laws and shall survive termination or expiration of this Lease.</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25.25</w:t>
      </w:r>
      <w:r>
        <w:rPr>
          <w:sz w:val="20"/>
          <w:szCs w:val="20"/>
          <w:color w:val="auto"/>
        </w:rPr>
        <w:tab/>
      </w:r>
      <w:r>
        <w:rPr>
          <w:rFonts w:ascii="Arial" w:cs="Arial" w:eastAsia="Arial" w:hAnsi="Arial"/>
          <w:sz w:val="15"/>
          <w:szCs w:val="15"/>
          <w:b w:val="1"/>
          <w:bCs w:val="1"/>
          <w:u w:val="single" w:color="auto"/>
          <w:color w:val="auto"/>
        </w:rPr>
        <w:t>List of Exhibits</w:t>
      </w:r>
      <w:r>
        <w:rPr>
          <w:rFonts w:ascii="Arial" w:cs="Arial" w:eastAsia="Arial" w:hAnsi="Arial"/>
          <w:sz w:val="15"/>
          <w:szCs w:val="15"/>
          <w:color w:val="auto"/>
        </w:rPr>
        <w:t>. All exhibits and attachments attached hereto are incorporated herein by this reference.</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A</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Outline of Premises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B</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Description of the Land</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C</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Building Rules and Regulations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D</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Tenant Finish-Work: Landlord Builds to Plans</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E</w:t>
            </w:r>
          </w:p>
        </w:tc>
        <w:tc>
          <w:tcPr>
            <w:tcW w:w="4080" w:type="dxa"/>
            <w:vAlign w:val="bottom"/>
            <w:gridSpan w:val="2"/>
          </w:tcPr>
          <w:p>
            <w:pPr>
              <w:ind w:left="180"/>
              <w:spacing w:after="0"/>
              <w:rPr>
                <w:sz w:val="20"/>
                <w:szCs w:val="20"/>
                <w:color w:val="auto"/>
              </w:rPr>
            </w:pPr>
            <w:r>
              <w:rPr>
                <w:rFonts w:ascii="Arial" w:cs="Arial" w:eastAsia="Arial" w:hAnsi="Arial"/>
                <w:sz w:val="17"/>
                <w:szCs w:val="17"/>
                <w:color w:val="auto"/>
                <w:w w:val="95"/>
              </w:rPr>
              <w:t>- Form of Confirmation of Commencement Date Letter</w:t>
            </w:r>
          </w:p>
        </w:tc>
      </w:tr>
    </w:tbl>
    <w:p>
      <w:pPr>
        <w:sectPr>
          <w:pgSz w:w="11900" w:h="16838" w:orient="portrait"/>
          <w:cols w:equalWidth="0" w:num="1">
            <w:col w:w="11420"/>
          </w:cols>
          <w:pgMar w:left="240" w:top="567" w:right="239" w:bottom="0" w:gutter="0" w:footer="0" w:header="0"/>
        </w:sectPr>
      </w:pPr>
    </w:p>
    <w:bookmarkStart w:id="309" w:name="page310"/>
    <w:bookmarkEnd w:id="309"/>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F</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Form of Tenant Estoppel Certificate</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G</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Parking</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H</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 Renewal Option</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I</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Form of Subordination, Non-Disturbance and Attornment Agreement</w:t>
            </w:r>
          </w:p>
        </w:tc>
      </w:tr>
    </w:tbl>
    <w:p>
      <w:pPr>
        <w:spacing w:after="0" w:line="192" w:lineRule="exact"/>
        <w:rPr>
          <w:sz w:val="20"/>
          <w:szCs w:val="20"/>
          <w:color w:val="auto"/>
        </w:rPr>
      </w:pPr>
    </w:p>
    <w:p>
      <w:pPr>
        <w:ind w:right="100" w:firstLine="1259"/>
        <w:spacing w:after="0" w:line="277" w:lineRule="auto"/>
        <w:rPr>
          <w:sz w:val="20"/>
          <w:szCs w:val="20"/>
          <w:color w:val="auto"/>
        </w:rPr>
      </w:pPr>
      <w:r>
        <w:rPr>
          <w:rFonts w:ascii="Arial" w:cs="Arial" w:eastAsia="Arial" w:hAnsi="Arial"/>
          <w:sz w:val="17"/>
          <w:szCs w:val="17"/>
          <w:color w:val="auto"/>
        </w:rPr>
        <w:t xml:space="preserve">25.26 </w:t>
      </w:r>
      <w:r>
        <w:rPr>
          <w:rFonts w:ascii="Arial" w:cs="Arial" w:eastAsia="Arial" w:hAnsi="Arial"/>
          <w:sz w:val="17"/>
          <w:szCs w:val="17"/>
          <w:b w:val="1"/>
          <w:bCs w:val="1"/>
          <w:u w:val="single" w:color="auto"/>
          <w:color w:val="auto"/>
        </w:rPr>
        <w:t>Determination of Charges</w:t>
      </w:r>
      <w:r>
        <w:rPr>
          <w:rFonts w:ascii="Arial" w:cs="Arial" w:eastAsia="Arial" w:hAnsi="Arial"/>
          <w:sz w:val="17"/>
          <w:szCs w:val="17"/>
          <w:color w:val="auto"/>
        </w:rPr>
        <w:t>. Landlord and Tenant agree that each provision of this Lease for determining charges and amounts payable by Tenant (including provisions regarding Additional Rent) is commercially reasonable and, as to each such charge or amount, constitutes a statement of the amount of the charge or a method by which the charge is to be computed for purposes of Section 93.012 of the Texas Property Code.</w:t>
      </w:r>
    </w:p>
    <w:p>
      <w:pPr>
        <w:spacing w:after="0" w:line="162" w:lineRule="exact"/>
        <w:rPr>
          <w:sz w:val="20"/>
          <w:szCs w:val="20"/>
          <w:color w:val="auto"/>
        </w:rPr>
      </w:pPr>
    </w:p>
    <w:p>
      <w:pPr>
        <w:ind w:right="220" w:firstLine="1259"/>
        <w:spacing w:after="0" w:line="285" w:lineRule="auto"/>
        <w:rPr>
          <w:sz w:val="20"/>
          <w:szCs w:val="20"/>
          <w:color w:val="auto"/>
        </w:rPr>
      </w:pPr>
      <w:r>
        <w:rPr>
          <w:rFonts w:ascii="Arial" w:cs="Arial" w:eastAsia="Arial" w:hAnsi="Arial"/>
          <w:sz w:val="16"/>
          <w:szCs w:val="16"/>
          <w:color w:val="auto"/>
        </w:rPr>
        <w:t xml:space="preserve">25.27 </w:t>
      </w:r>
      <w:r>
        <w:rPr>
          <w:rFonts w:ascii="Arial" w:cs="Arial" w:eastAsia="Arial" w:hAnsi="Arial"/>
          <w:sz w:val="16"/>
          <w:szCs w:val="16"/>
          <w:b w:val="1"/>
          <w:bCs w:val="1"/>
          <w:u w:val="single" w:color="auto"/>
          <w:color w:val="auto"/>
        </w:rPr>
        <w:t>Prohibited Persons and Transactions</w:t>
      </w:r>
      <w:r>
        <w:rPr>
          <w:rFonts w:ascii="Arial" w:cs="Arial" w:eastAsia="Arial" w:hAnsi="Arial"/>
          <w:sz w:val="16"/>
          <w:szCs w:val="16"/>
          <w:color w:val="auto"/>
        </w:rPr>
        <w:t>. Tenant represents and warrants that neither Tenant nor, to the extent of Tenant’s actual knowledge without duty of inquiry,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of the Department of the Treasury (including those named on OFAC’s Specially Designated Nationals and Blocked Persons List) or under any statute, executive order (including the September 24, 2001, Executive Order Blocking Property and Prohibiting Transactions with Persons Who Commit, Threaten to Commit, or Support Terrorism),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color w:val="auto"/>
        </w:rPr>
        <w:t>other governmental action and is not and will not Transfer this Lease to, contract with or otherwise engage in any dealings or transactions or be otherwise associated with such persons or entities. For purposes hereof, “actual knowledge” shall mean the actual present conscious awareness of Mark Spring, Chief Financial Officer, as of the date of this Lease, but without any personal liability on the part of Mark Spring.</w:t>
      </w:r>
    </w:p>
    <w:p>
      <w:pPr>
        <w:spacing w:after="0" w:line="166"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25.28 </w:t>
      </w:r>
      <w:r>
        <w:rPr>
          <w:rFonts w:ascii="Arial" w:cs="Arial" w:eastAsia="Arial" w:hAnsi="Arial"/>
          <w:sz w:val="17"/>
          <w:szCs w:val="17"/>
          <w:b w:val="1"/>
          <w:bCs w:val="1"/>
          <w:u w:val="single" w:color="auto"/>
          <w:color w:val="auto"/>
        </w:rPr>
        <w:t>Waiver of Consumer Rights</w:t>
      </w:r>
      <w:r>
        <w:rPr>
          <w:rFonts w:ascii="Arial" w:cs="Arial" w:eastAsia="Arial" w:hAnsi="Arial"/>
          <w:sz w:val="17"/>
          <w:szCs w:val="17"/>
          <w:color w:val="auto"/>
        </w:rPr>
        <w:t xml:space="preserve">. Tenant hereby waives all its rights under the Texas Deceptive Trade Practices - Consumer Protection Act, Section 17.41 </w:t>
      </w:r>
      <w:r>
        <w:rPr>
          <w:rFonts w:ascii="Arial" w:cs="Arial" w:eastAsia="Arial" w:hAnsi="Arial"/>
          <w:sz w:val="17"/>
          <w:szCs w:val="17"/>
          <w:i w:val="1"/>
          <w:iCs w:val="1"/>
          <w:color w:val="auto"/>
        </w:rPr>
        <w:t>et seq</w:t>
      </w:r>
      <w:r>
        <w:rPr>
          <w:rFonts w:ascii="Arial" w:cs="Arial" w:eastAsia="Arial" w:hAnsi="Arial"/>
          <w:sz w:val="17"/>
          <w:szCs w:val="17"/>
          <w:color w:val="auto"/>
        </w:rPr>
        <w:t>. of the Texas Business and Commerce Code, a law that gives consumers special rights and protections. After consultation with an attorney of Tenant’s own selection, Tenant voluntarily adopts this waiver.</w:t>
      </w:r>
    </w:p>
    <w:p>
      <w:pPr>
        <w:spacing w:after="0" w:line="162" w:lineRule="exact"/>
        <w:rPr>
          <w:sz w:val="20"/>
          <w:szCs w:val="20"/>
          <w:color w:val="auto"/>
        </w:rPr>
      </w:pPr>
    </w:p>
    <w:p>
      <w:pPr>
        <w:ind w:left="1260" w:hanging="626"/>
        <w:spacing w:after="0"/>
        <w:tabs>
          <w:tab w:leader="none" w:pos="1260" w:val="left"/>
        </w:tabs>
        <w:numPr>
          <w:ilvl w:val="0"/>
          <w:numId w:val="447"/>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Provisions</w:t>
      </w:r>
      <w:r>
        <w:rPr>
          <w:rFonts w:ascii="Arial" w:cs="Arial" w:eastAsia="Arial" w:hAnsi="Arial"/>
          <w:sz w:val="17"/>
          <w:szCs w:val="17"/>
          <w:color w:val="auto"/>
        </w:rPr>
        <w:t>.</w:t>
      </w:r>
    </w:p>
    <w:p>
      <w:pPr>
        <w:spacing w:after="0" w:line="224"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Signage</w:t>
      </w:r>
      <w:r>
        <w:rPr>
          <w:rFonts w:ascii="Arial" w:cs="Arial" w:eastAsia="Arial" w:hAnsi="Arial"/>
          <w:sz w:val="17"/>
          <w:szCs w:val="17"/>
          <w:color w:val="auto"/>
        </w:rPr>
        <w:t>. Landlord shall install, as part of the Work and at Landlord’s expense, Building-standard signage outside of the Premises and include Tenant’s information in any Building directory located in the lobby of the Building.</w:t>
      </w:r>
    </w:p>
    <w:p>
      <w:pPr>
        <w:spacing w:after="0" w:line="145"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b w:val="1"/>
          <w:bCs w:val="1"/>
          <w:u w:val="single" w:color="auto"/>
          <w:color w:val="auto"/>
        </w:rPr>
        <w:t>Early Entry by Tenant</w:t>
      </w:r>
      <w:r>
        <w:rPr>
          <w:rFonts w:ascii="Arial" w:cs="Arial" w:eastAsia="Arial" w:hAnsi="Arial"/>
          <w:sz w:val="17"/>
          <w:szCs w:val="17"/>
          <w:color w:val="auto"/>
        </w:rPr>
        <w:t>. Tenant may enter the Premises up to 15 days before the Premises are Substantially Completed with Landlord’s prior consent (which shall not be unreasonably withheld) solely to install Tenant’s telecommunications wiring and cabling and furniture, fixtures and equipment, provided that (a) Landlord is given prior written notice of any such entry, (b) such entry shall be coordinated with Landlord and shall not interfere with the Work, and (c) Tenant shall deliver to Landlord evidence that the insurance required under Section 11 of this Lease has been obtained. Any such entry shall be on the terms of this Lease, but no Basic Rent or Additional Rent shall accrue during the period that Tenant so enters the Premises prior to Substantial Completion of the Premises. Tenant shall conduct its activities therein so as not to interfere with the Work, and shall do so at its risk and expense. If, in Landlord’s reasonable judgment, Tenant’s activities therein interfere with the Work, Landlord may terminate Tenant’s right to enter the Premises before Substantial Completion of the Premises.</w:t>
      </w:r>
    </w:p>
    <w:p>
      <w:pPr>
        <w:spacing w:after="0" w:line="174"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5"/>
          <w:szCs w:val="15"/>
          <w:b w:val="1"/>
          <w:bCs w:val="1"/>
          <w:u w:val="single" w:color="auto"/>
          <w:color w:val="auto"/>
        </w:rPr>
        <w:t>Rooftop Equipment</w:t>
      </w:r>
      <w:r>
        <w:rPr>
          <w:rFonts w:ascii="Arial" w:cs="Arial" w:eastAsia="Arial" w:hAnsi="Arial"/>
          <w:sz w:val="15"/>
          <w:szCs w:val="15"/>
          <w:color w:val="auto"/>
        </w:rPr>
        <w:t>.</w:t>
      </w:r>
    </w:p>
    <w:p>
      <w:pPr>
        <w:spacing w:after="0" w:line="224" w:lineRule="exact"/>
        <w:rPr>
          <w:sz w:val="20"/>
          <w:szCs w:val="20"/>
          <w:color w:val="auto"/>
        </w:rPr>
      </w:pPr>
    </w:p>
    <w:p>
      <w:pPr>
        <w:ind w:left="640" w:right="140" w:firstLine="1258"/>
        <w:spacing w:after="0" w:line="270" w:lineRule="auto"/>
        <w:rPr>
          <w:sz w:val="20"/>
          <w:szCs w:val="20"/>
          <w:color w:val="auto"/>
        </w:rPr>
      </w:pPr>
      <w:r>
        <w:rPr>
          <w:rFonts w:ascii="Arial" w:cs="Arial" w:eastAsia="Arial" w:hAnsi="Arial"/>
          <w:sz w:val="17"/>
          <w:szCs w:val="17"/>
          <w:color w:val="auto"/>
        </w:rPr>
        <w:t xml:space="preserve">26.3.1 </w:t>
      </w:r>
      <w:r>
        <w:rPr>
          <w:rFonts w:ascii="Arial" w:cs="Arial" w:eastAsia="Arial" w:hAnsi="Arial"/>
          <w:sz w:val="17"/>
          <w:szCs w:val="17"/>
          <w:b w:val="1"/>
          <w:bCs w:val="1"/>
          <w:u w:val="single" w:color="auto"/>
          <w:color w:val="auto"/>
        </w:rPr>
        <w:t>Right to Install Rooftop Equipment</w:t>
      </w:r>
      <w:r>
        <w:rPr>
          <w:rFonts w:ascii="Arial" w:cs="Arial" w:eastAsia="Arial" w:hAnsi="Arial"/>
          <w:sz w:val="17"/>
          <w:szCs w:val="17"/>
          <w:color w:val="auto"/>
        </w:rPr>
        <w:t>. Provided Tenant complies with the terms of this Section 26.3, during the initial Term Tenant may, at its risk and expense, install, operate and maintain a satellite dish/microwave antenna and related equipment and wiring and/or one supplemental HVAC system reasonably necessary for Tenant’s business operations (collectively,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on the roof of the Building at a location approved by Landlord.</w:t>
      </w:r>
    </w:p>
    <w:p>
      <w:pPr>
        <w:spacing w:after="0" w:line="169" w:lineRule="exact"/>
        <w:rPr>
          <w:sz w:val="20"/>
          <w:szCs w:val="20"/>
          <w:color w:val="auto"/>
        </w:rPr>
      </w:pPr>
    </w:p>
    <w:p>
      <w:pPr>
        <w:ind w:left="640" w:firstLine="1258"/>
        <w:spacing w:after="0" w:line="298" w:lineRule="auto"/>
        <w:rPr>
          <w:sz w:val="20"/>
          <w:szCs w:val="20"/>
          <w:color w:val="auto"/>
        </w:rPr>
      </w:pPr>
      <w:r>
        <w:rPr>
          <w:rFonts w:ascii="Arial" w:cs="Arial" w:eastAsia="Arial" w:hAnsi="Arial"/>
          <w:sz w:val="15"/>
          <w:szCs w:val="15"/>
          <w:color w:val="auto"/>
        </w:rPr>
        <w:t xml:space="preserve">26.3.2 </w:t>
      </w:r>
      <w:r>
        <w:rPr>
          <w:rFonts w:ascii="Arial" w:cs="Arial" w:eastAsia="Arial" w:hAnsi="Arial"/>
          <w:sz w:val="15"/>
          <w:szCs w:val="15"/>
          <w:b w:val="1"/>
          <w:bCs w:val="1"/>
          <w:u w:val="single" w:color="auto"/>
          <w:color w:val="auto"/>
        </w:rPr>
        <w:t>Delivery of Plans. Specifications and Permits</w:t>
      </w:r>
      <w:r>
        <w:rPr>
          <w:rFonts w:ascii="Arial" w:cs="Arial" w:eastAsia="Arial" w:hAnsi="Arial"/>
          <w:sz w:val="15"/>
          <w:szCs w:val="15"/>
          <w:color w:val="auto"/>
        </w:rPr>
        <w:t>. Before installing the Rooftop Equipment, Tenant shall submit to Landlord for its approval (which approval shall be given or withheld by Landlord using the same standards described in Section 8.1) (a) construction ready plans and specifications prepared by a registered professional engineer in the State of Texas reasonably approved by Landlord which (1) specify in detail the design, location, size, model, weight, method of installation, method of screening and frequency of the Rooftop Equipment and (2) are sufficiently detailed to allow for the installation of the Rooftop Equipment in a good and workmanlike manner and in accordance with all Laws and (b) all necessary consents, approvals, permits or registrations, including architectural guidelines in effect for the area in which the Building is located as they may be amended from time to time, required for the installation, maintenance, use or operation of the Rooftop Equipment. Notwithstanding anything to the contrary contained herein, Landlord may withhold its consent to the installation of the Rooftop Equipment if such installation would require any penetration of the Building’s roof. Landlord may, as a condition to approving installation of the Rooftop Equipment, require that Tenant screen the Rooftop Equipment with a parapet wall or other screening device acceptable to Landlord. If the Rooftop Equipment uses any electricity, Tenant shall pay for the cost to purchase and install electrical submeter equipment and wiring, and thereafter Tenant shall pay to Landlord the monthly electrical submeter charges throughout the Term. Landlord’s approval of any such plans and specifications shall not constitute a representation or warranty by Landlord that such plans and specifications comply with sound architectural guidelines and/or engineering practices or will comply with all applicable Laws; such compliance shall be the sole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520"/>
        <w:spacing w:after="0" w:line="289" w:lineRule="auto"/>
        <w:rPr>
          <w:sz w:val="20"/>
          <w:szCs w:val="20"/>
          <w:color w:val="auto"/>
        </w:rPr>
      </w:pPr>
      <w:r>
        <w:rPr>
          <w:rFonts w:ascii="Arial" w:cs="Arial" w:eastAsia="Arial" w:hAnsi="Arial"/>
          <w:sz w:val="17"/>
          <w:szCs w:val="17"/>
          <w:color w:val="auto"/>
        </w:rPr>
        <w:t>responsibility of Tenant. Tenant shall maintain all permits necessary for the maintenance and operation of the Rooftop Equipment while it is on the Building, and all such permits shall be in Tenant’s name.</w:t>
      </w:r>
    </w:p>
    <w:p>
      <w:pPr>
        <w:spacing w:after="0" w:line="152" w:lineRule="exact"/>
        <w:rPr>
          <w:sz w:val="20"/>
          <w:szCs w:val="20"/>
          <w:color w:val="auto"/>
        </w:rPr>
      </w:pPr>
    </w:p>
    <w:p>
      <w:pPr>
        <w:ind w:left="640" w:right="80" w:firstLine="1258"/>
        <w:spacing w:after="0" w:line="270" w:lineRule="auto"/>
        <w:rPr>
          <w:sz w:val="20"/>
          <w:szCs w:val="20"/>
          <w:color w:val="auto"/>
        </w:rPr>
      </w:pPr>
      <w:r>
        <w:rPr>
          <w:rFonts w:ascii="Arial" w:cs="Arial" w:eastAsia="Arial" w:hAnsi="Arial"/>
          <w:sz w:val="17"/>
          <w:szCs w:val="17"/>
          <w:color w:val="auto"/>
        </w:rPr>
        <w:t xml:space="preserve">26.3.3 </w:t>
      </w:r>
      <w:r>
        <w:rPr>
          <w:rFonts w:ascii="Arial" w:cs="Arial" w:eastAsia="Arial" w:hAnsi="Arial"/>
          <w:sz w:val="17"/>
          <w:szCs w:val="17"/>
          <w:b w:val="1"/>
          <w:bCs w:val="1"/>
          <w:u w:val="single" w:color="auto"/>
          <w:color w:val="auto"/>
        </w:rPr>
        <w:t>Tenant’s Installation of Rooftop Equipment</w:t>
      </w:r>
      <w:r>
        <w:rPr>
          <w:rFonts w:ascii="Arial" w:cs="Arial" w:eastAsia="Arial" w:hAnsi="Arial"/>
          <w:sz w:val="17"/>
          <w:szCs w:val="17"/>
          <w:b w:val="1"/>
          <w:bCs w:val="1"/>
          <w:color w:val="auto"/>
        </w:rPr>
        <w:t>.</w:t>
      </w:r>
      <w:r>
        <w:rPr>
          <w:rFonts w:ascii="Arial" w:cs="Arial" w:eastAsia="Arial" w:hAnsi="Arial"/>
          <w:sz w:val="17"/>
          <w:szCs w:val="17"/>
          <w:color w:val="auto"/>
        </w:rPr>
        <w:t xml:space="preserve"> If Landlord approves such plans, Tenant shall install (in a good and workmanlike manner) the Rooftop Equipment in accordance with the approved plans and specifications therefor and all Laws (including all applicable permits and consents issued with respect to the Rooftop Equipment) in a manner so as not to damage the Building or interfere with the use of any portion of the Project while such installation is taking place.</w:t>
      </w:r>
    </w:p>
    <w:p>
      <w:pPr>
        <w:spacing w:after="0" w:line="169" w:lineRule="exact"/>
        <w:rPr>
          <w:sz w:val="20"/>
          <w:szCs w:val="20"/>
          <w:color w:val="auto"/>
        </w:rPr>
      </w:pPr>
    </w:p>
    <w:p>
      <w:pPr>
        <w:ind w:left="640" w:right="180" w:firstLine="1258"/>
        <w:spacing w:after="0" w:line="317" w:lineRule="auto"/>
        <w:rPr>
          <w:sz w:val="20"/>
          <w:szCs w:val="20"/>
          <w:color w:val="auto"/>
        </w:rPr>
      </w:pPr>
      <w:r>
        <w:rPr>
          <w:rFonts w:ascii="Arial" w:cs="Arial" w:eastAsia="Arial" w:hAnsi="Arial"/>
          <w:sz w:val="15"/>
          <w:szCs w:val="15"/>
          <w:color w:val="auto"/>
        </w:rPr>
        <w:t xml:space="preserve">26.3.4 </w:t>
      </w:r>
      <w:r>
        <w:rPr>
          <w:rFonts w:ascii="Arial" w:cs="Arial" w:eastAsia="Arial" w:hAnsi="Arial"/>
          <w:sz w:val="15"/>
          <w:szCs w:val="15"/>
          <w:b w:val="1"/>
          <w:bCs w:val="1"/>
          <w:u w:val="single" w:color="auto"/>
          <w:color w:val="auto"/>
        </w:rPr>
        <w:t>Tenant’s Operation and Maintenance of Rooftop Equipment</w:t>
      </w:r>
      <w:r>
        <w:rPr>
          <w:rFonts w:ascii="Arial" w:cs="Arial" w:eastAsia="Arial" w:hAnsi="Arial"/>
          <w:sz w:val="15"/>
          <w:szCs w:val="15"/>
          <w:b w:val="1"/>
          <w:bCs w:val="1"/>
          <w:color w:val="auto"/>
        </w:rPr>
        <w:t>.</w:t>
      </w:r>
      <w:r>
        <w:rPr>
          <w:rFonts w:ascii="Arial" w:cs="Arial" w:eastAsia="Arial" w:hAnsi="Arial"/>
          <w:sz w:val="15"/>
          <w:szCs w:val="15"/>
          <w:color w:val="auto"/>
        </w:rPr>
        <w:t xml:space="preserve"> Tenant shall operate and maintain the Rooftop Equipment and the screening therefor in good repair and condition, in accordance with all Laws, all manufacturer’s suggested maintenance programs, the approved plans and specifications therefor and in such a manner so as not to unreasonably interfere with any other equipment or systems (including other supplemental HVAC system, satellite, antennae, or other transmission facility) in the Project, all at Tenant’s sole cost and expense. All work relating to</w:t>
      </w:r>
    </w:p>
    <w:p>
      <w:pPr>
        <w:sectPr>
          <w:pgSz w:w="11900" w:h="16859" w:orient="portrait"/>
          <w:cols w:equalWidth="0" w:num="1">
            <w:col w:w="11420"/>
          </w:cols>
          <w:pgMar w:left="240" w:top="127" w:right="239" w:bottom="0" w:gutter="0" w:footer="0" w:header="0"/>
        </w:sectPr>
      </w:pPr>
    </w:p>
    <w:bookmarkStart w:id="310" w:name="page311"/>
    <w:bookmarkEnd w:id="310"/>
    <w:p>
      <w:pPr>
        <w:ind w:left="640" w:right="220"/>
        <w:spacing w:after="0" w:line="298" w:lineRule="auto"/>
        <w:rPr>
          <w:sz w:val="20"/>
          <w:szCs w:val="20"/>
          <w:color w:val="auto"/>
        </w:rPr>
      </w:pPr>
      <w:r>
        <w:rPr>
          <w:rFonts w:ascii="Arial" w:cs="Arial" w:eastAsia="Arial" w:hAnsi="Arial"/>
          <w:sz w:val="16"/>
          <w:szCs w:val="16"/>
          <w:color w:val="auto"/>
        </w:rPr>
        <w:t>the Rooftop Equipment shall, at Tenant’s expense, be coordinated with Landlord’s roofing contractor so as not to affect any warranty for the Building’s roof. Tenant shall maintain insurance in respect thereof reasonably satisfactory to Landlord, listing Landlord, Landlord’s Mortgagee and the Building manager, as additional insureds. Tenant’s access to the Building’s roof shall be coordinated with Landlord’s property manager.</w:t>
      </w:r>
    </w:p>
    <w:p>
      <w:pPr>
        <w:spacing w:after="0" w:line="148"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26.3.5 </w:t>
      </w:r>
      <w:r>
        <w:rPr>
          <w:rFonts w:ascii="Arial" w:cs="Arial" w:eastAsia="Arial" w:hAnsi="Arial"/>
          <w:sz w:val="16"/>
          <w:szCs w:val="16"/>
          <w:b w:val="1"/>
          <w:bCs w:val="1"/>
          <w:u w:val="single" w:color="auto"/>
          <w:color w:val="auto"/>
        </w:rPr>
        <w:t>Relocation of Rooftop Equipment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may not relocate any of the Rooftop Equipment without the prior written consent of Landlord. Tenant agrees that, upon at least 30 days’ prior written notice to Tenant from Landlord that Landlord requires Tenant to relocate any Rooftop Equipment in order to accommodate roof repair or replacement (which notice may be given at any time and from time to time during the Term), Tenant shall relocate such Rooftop Equipment (as requested by Landlord) from the then existing location to any substitute location reasonably designated by Landlord on the Building. Tenant shall complete such relocation prior to the expiration of such 30-day period and upon the expiration of such 30-day period Tenant shall have no further right to use or occupy the prior location until the completion of such roof repair or replacement, at which time Landlord may notify Tenant to relocate back to the original location and Tenant will perform such relocation as soon as reasonably practicable after such notice. Tenant shall repair all damage to the Building caused by the installation, maintenance or removal of the Rooftop Equipment at any such prior rooftop locations. If Landlord exercises its right to cause Tenant to relocate all or a portion of the Rooftop Equipment pursuant this Section 26.3.5, Landlord shall use its commercially reasonable efforts to minimize any disruption to Tenant’s operations as a result thereof, and Landlord and Tenant shall equally share the costs of relocating the Rooftop Equipment and restoring the roof as required hereunder.</w:t>
      </w:r>
    </w:p>
    <w:p>
      <w:pPr>
        <w:spacing w:after="0" w:line="164" w:lineRule="exact"/>
        <w:rPr>
          <w:sz w:val="20"/>
          <w:szCs w:val="20"/>
          <w:color w:val="auto"/>
        </w:rPr>
      </w:pPr>
    </w:p>
    <w:p>
      <w:pPr>
        <w:ind w:left="640" w:firstLine="1258"/>
        <w:spacing w:after="0" w:line="278" w:lineRule="auto"/>
        <w:rPr>
          <w:sz w:val="20"/>
          <w:szCs w:val="20"/>
          <w:color w:val="auto"/>
        </w:rPr>
      </w:pPr>
      <w:r>
        <w:rPr>
          <w:rFonts w:ascii="Arial" w:cs="Arial" w:eastAsia="Arial" w:hAnsi="Arial"/>
          <w:sz w:val="16"/>
          <w:szCs w:val="16"/>
          <w:color w:val="auto"/>
        </w:rPr>
        <w:t xml:space="preserve">26.3.6 </w:t>
      </w:r>
      <w:r>
        <w:rPr>
          <w:rFonts w:ascii="Arial" w:cs="Arial" w:eastAsia="Arial" w:hAnsi="Arial"/>
          <w:sz w:val="16"/>
          <w:szCs w:val="16"/>
          <w:b w:val="1"/>
          <w:bCs w:val="1"/>
          <w:u w:val="single" w:color="auto"/>
          <w:color w:val="auto"/>
        </w:rPr>
        <w:t>Rooftop Equipment Removal Obligations; Landlord’s Rights</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the expiration of the Term or Tenant’s vacating the Premises for more than 30 days, or within five business days following the termination of Tenant’s right to possess the Premises or the early termination of this Lease following an Event of Default, Tenant shall, at its risk and expense, remove the Rooftop Equipment. If Tenant fails to do so, Landlord may remove the Rooftop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Rooftop Equipment in good repair and condition, normal wear and tear excepted (damages from Casualty and condemnation excepted), and deliver to Landlord a bill of sale for the Rooftop Equipment and all operating manuals, keys and similar items with respect to the Rooftop Equipment, and thereafter the Rooftop Equipment shall be Landlord’s property. Tenant shall repair any damage to the Building caused by or relating to the Rooftop Equipment, including that which is caused by its installation, maintenance, use, or removal, and Tenant shall restore the area of the roof on which Tenant’s Rooftop Equipment was located to its condition as of the Lease Date. If Tenant fails to do so within 30 days after Landlord’s written request, Landlord may perform such work and Tenant shall pay to Landlord all reasonable costs incurred in connection therewith, plus an administrative fee of 15% of such costs, within 30 days after Landlord’s written request therefor.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20" w:firstLine="1258"/>
        <w:spacing w:after="0" w:line="285" w:lineRule="auto"/>
        <w:rPr>
          <w:sz w:val="20"/>
          <w:szCs w:val="20"/>
          <w:color w:val="auto"/>
        </w:rPr>
      </w:pPr>
      <w:r>
        <w:rPr>
          <w:rFonts w:ascii="Arial" w:cs="Arial" w:eastAsia="Arial" w:hAnsi="Arial"/>
          <w:sz w:val="16"/>
          <w:szCs w:val="16"/>
          <w:color w:val="auto"/>
        </w:rPr>
        <w:t xml:space="preserve">26.3.7 </w:t>
      </w:r>
      <w:r>
        <w:rPr>
          <w:rFonts w:ascii="Arial" w:cs="Arial" w:eastAsia="Arial" w:hAnsi="Arial"/>
          <w:sz w:val="16"/>
          <w:szCs w:val="16"/>
          <w:b w:val="1"/>
          <w:bCs w:val="1"/>
          <w:u w:val="single" w:color="auto"/>
          <w:color w:val="auto"/>
        </w:rPr>
        <w:t>Disclaimer</w:t>
      </w:r>
      <w:r>
        <w:rPr>
          <w:rFonts w:ascii="Arial" w:cs="Arial" w:eastAsia="Arial" w:hAnsi="Arial"/>
          <w:sz w:val="16"/>
          <w:szCs w:val="16"/>
          <w:b w:val="1"/>
          <w:bCs w:val="1"/>
          <w:color w:val="auto"/>
        </w:rPr>
        <w:t>.</w:t>
      </w:r>
      <w:r>
        <w:rPr>
          <w:rFonts w:ascii="Arial" w:cs="Arial" w:eastAsia="Arial" w:hAnsi="Arial"/>
          <w:sz w:val="16"/>
          <w:szCs w:val="16"/>
          <w:color w:val="auto"/>
        </w:rPr>
        <w:t xml:space="preserve"> For all purposes under this Lease, the Rooftop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w:t>
      </w:r>
    </w:p>
    <w:p>
      <w:pPr>
        <w:ind w:left="640" w:right="180"/>
        <w:spacing w:after="0" w:line="261" w:lineRule="auto"/>
        <w:rPr>
          <w:sz w:val="20"/>
          <w:szCs w:val="20"/>
          <w:color w:val="auto"/>
        </w:rPr>
      </w:pPr>
      <w:r>
        <w:rPr>
          <w:rFonts w:ascii="Arial" w:cs="Arial" w:eastAsia="Arial" w:hAnsi="Arial"/>
          <w:sz w:val="17"/>
          <w:szCs w:val="17"/>
          <w:b w:val="1"/>
          <w:bCs w:val="1"/>
          <w:color w:val="auto"/>
        </w:rPr>
        <w:t>EMPLOYEES, CONTRACTORS, VISITORS OR INVITEES FOR, LOSSES, DAMAGES OR INJURY TO PERSONS OR PROPERTY CAUSED BY, RELATED TO, OR ARISING OUT OF OR IN CONNECTION WITH, ANY SUCH CONNECTION TO, USE OF, OR FAILURE, NON-PERFORMANCE OR INADEQUATE PERFORMANCE OF, THE ROOFTOP EQUIPMENT, AND TENANT HEREBY RELEASES LANDLORD FROM ANY AND ALL LIABILITY FOR SUCH LOSSES, DAMAGES OR INJURY, EVEN IF CAUSED BY THE NEGLIGENCE OF LANDLORD OR ITS EMPLOYEES AND/OR AGENTS (BUT NOT TO THE EXTENT CAUSED BY THE GROSS NEGLIGENCE OR WILLFUL MISCONDUCT OF LANDLORD OR ITS EMPLOYEES AND/OR AGENTS).</w:t>
      </w:r>
    </w:p>
    <w:p>
      <w:pPr>
        <w:spacing w:after="0" w:line="175" w:lineRule="exact"/>
        <w:rPr>
          <w:sz w:val="20"/>
          <w:szCs w:val="20"/>
          <w:color w:val="auto"/>
        </w:rPr>
      </w:pPr>
    </w:p>
    <w:p>
      <w:pPr>
        <w:ind w:left="640" w:right="40" w:firstLine="1258"/>
        <w:spacing w:after="0" w:line="277" w:lineRule="auto"/>
        <w:rPr>
          <w:sz w:val="20"/>
          <w:szCs w:val="20"/>
          <w:color w:val="auto"/>
        </w:rPr>
      </w:pPr>
      <w:r>
        <w:rPr>
          <w:rFonts w:ascii="Arial" w:cs="Arial" w:eastAsia="Arial" w:hAnsi="Arial"/>
          <w:sz w:val="17"/>
          <w:szCs w:val="17"/>
          <w:color w:val="auto"/>
        </w:rPr>
        <w:t xml:space="preserve">26.3.8 </w:t>
      </w:r>
      <w:r>
        <w:rPr>
          <w:rFonts w:ascii="Arial" w:cs="Arial" w:eastAsia="Arial" w:hAnsi="Arial"/>
          <w:sz w:val="17"/>
          <w:szCs w:val="17"/>
          <w:b w:val="1"/>
          <w:bCs w:val="1"/>
          <w:u w:val="single" w:color="auto"/>
          <w:color w:val="auto"/>
        </w:rPr>
        <w:t>Personal Right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may only use the Rooftop Equipment in connection with Tenant’s business. Tenant shall not allow any third party to use such equipment, whether by sublease, license, occupancy agreement or otherwise, except in connection with Permitted Transfers and any other Transfers approved by Landlord.</w:t>
      </w:r>
    </w:p>
    <w:p>
      <w:pPr>
        <w:spacing w:after="0" w:line="162" w:lineRule="exact"/>
        <w:rPr>
          <w:sz w:val="20"/>
          <w:szCs w:val="20"/>
          <w:color w:val="auto"/>
        </w:rPr>
      </w:pPr>
    </w:p>
    <w:p>
      <w:pPr>
        <w:ind w:firstLine="1259"/>
        <w:spacing w:after="0" w:line="274" w:lineRule="auto"/>
        <w:rPr>
          <w:sz w:val="20"/>
          <w:szCs w:val="20"/>
          <w:color w:val="auto"/>
        </w:rPr>
      </w:pPr>
      <w:r>
        <w:rPr>
          <w:rFonts w:ascii="Arial" w:cs="Arial" w:eastAsia="Arial" w:hAnsi="Arial"/>
          <w:sz w:val="16"/>
          <w:szCs w:val="16"/>
          <w:color w:val="auto"/>
        </w:rPr>
        <w:t xml:space="preserve">26.4 </w:t>
      </w:r>
      <w:r>
        <w:rPr>
          <w:rFonts w:ascii="Arial" w:cs="Arial" w:eastAsia="Arial" w:hAnsi="Arial"/>
          <w:sz w:val="16"/>
          <w:szCs w:val="16"/>
          <w:b w:val="1"/>
          <w:bCs w:val="1"/>
          <w:u w:val="single" w:color="auto"/>
          <w:color w:val="auto"/>
        </w:rPr>
        <w:t>Generator and UPS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prior tenant of the Premises a generator located adjacent to the Building (the “</w:t>
      </w:r>
      <w:r>
        <w:rPr>
          <w:rFonts w:ascii="Arial" w:cs="Arial" w:eastAsia="Arial" w:hAnsi="Arial"/>
          <w:sz w:val="16"/>
          <w:szCs w:val="16"/>
          <w:b w:val="1"/>
          <w:bCs w:val="1"/>
          <w:u w:val="single" w:color="auto"/>
          <w:color w:val="auto"/>
        </w:rPr>
        <w:t>Generator</w:t>
      </w:r>
      <w:r>
        <w:rPr>
          <w:rFonts w:ascii="Arial" w:cs="Arial" w:eastAsia="Arial" w:hAnsi="Arial"/>
          <w:sz w:val="16"/>
          <w:szCs w:val="16"/>
          <w:color w:val="auto"/>
        </w:rPr>
        <w:t>”) and an uninterruptible power source system in the Premises (“</w:t>
      </w:r>
      <w:r>
        <w:rPr>
          <w:rFonts w:ascii="Arial" w:cs="Arial" w:eastAsia="Arial" w:hAnsi="Arial"/>
          <w:sz w:val="16"/>
          <w:szCs w:val="16"/>
          <w:b w:val="1"/>
          <w:bCs w:val="1"/>
          <w:u w:val="single" w:color="auto"/>
          <w:color w:val="auto"/>
        </w:rPr>
        <w:t>UPS System</w:t>
      </w:r>
      <w:r>
        <w:rPr>
          <w:rFonts w:ascii="Arial" w:cs="Arial" w:eastAsia="Arial" w:hAnsi="Arial"/>
          <w:sz w:val="16"/>
          <w:szCs w:val="16"/>
          <w:color w:val="auto"/>
        </w:rPr>
        <w:t>”, and collectively with the Generator, “</w:t>
      </w:r>
      <w:r>
        <w:rPr>
          <w:rFonts w:ascii="Arial" w:cs="Arial" w:eastAsia="Arial" w:hAnsi="Arial"/>
          <w:sz w:val="16"/>
          <w:szCs w:val="16"/>
          <w:b w:val="1"/>
          <w:bCs w:val="1"/>
          <w:u w:val="single" w:color="auto"/>
          <w:color w:val="auto"/>
        </w:rPr>
        <w:t>Auxiliary Power Equipment</w:t>
      </w:r>
      <w:r>
        <w:rPr>
          <w:rFonts w:ascii="Arial" w:cs="Arial" w:eastAsia="Arial" w:hAnsi="Arial"/>
          <w:sz w:val="16"/>
          <w:szCs w:val="16"/>
          <w:color w:val="auto"/>
        </w:rPr>
        <w:t xml:space="preserve">”). Tenant shall use, maintain, and operate the Auxiliary Power Equipment in a good, clean, and safe condition and in accordance with all Laws and all manufacturer’s suggested maintenance programs, all at Tenant’s sole cost and expense. If the Auxiliary Power Equipment uses any electricity, Tenant shall pay to Landlord the monthly electrical submeter charges throughout the Term (and if the Generator or the UPS System is not currently separately submetered, Tenant shall pay for the cost to purchase and install electrical submeter equipment and wiring therefor). Tenant shall repair all damage caused by the installation, use, maintenance or operation of the Auxiliary Power Equipment. If Tenant fails to do so within 30 days after Landlord’s request, Landlord may perform such work and Tenant shall pay to Landlord all reasonable costs incurred in connection therewith, plus an administrative fee of 15% of such costs, within 30 days after Landlord’s written request therefor. Notwithstanding anything in this Lease to the contrary, prior to the expiration of the Lease, or within five days after (a) the termination of Tenant’s right to possess the Premises, or (b) the termination of this Lease, Tenant shall, at its risk and expense, remove the Auxiliary Power Equipment. If Tenant fails to do so, Landlord may remove the Auxiliary Power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Auxiliary Power Equipment in good repair and condition, normal wear and tear excepted (damages from Casualty and condemnation excepted), and deliver to Landlord a bill of sale for the Auxiliary Power Equipment and all operating manuals, maintenance records, keys, any applicable warranties and similar items with respect to the Auxiliary Power Equipment, and thereafter the Auxiliary Power Equipment shall be Landlord’s property; provided, however, that Landlord’s rights under this sentence shall apply only with respect to the Auxiliary Power Equipment existing as of the Lease Date and not with respect to any new or replacement auxiliary power equipment installed by Tenant (in accordance with Section 8.1) during the Term, unless otherwise agreed in writing at the time Landlord approves the installation of such additional or replacement equipment. For all purposes under this Lease, the Auxiliary Power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 EMPLOYEES, CONTRACTORS,</w:t>
      </w: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VISITORS OR INVITEES FOR, LOSSES, DAMAGES OR INJURY TO PERSONS OR PROPERTY CAUSED BY, RELATED TO, OR ARISING OUT OF OR IN CONNECTION WITH, ANY SUCH CONNECTION TO, USE OF, OR FAILURE, NON-PERFORMANCE OR INADEQUATE PERFORMANCE OF, THE AUXILIARY POWER EQUEPMENT, AND TENANT HEREBY RELEASES LANDLORD FROM ANY AND ALL LIABILITY FOR SUCH LOSSES, DAMAGES OR INJURY, EVEN IF CAUSED BY LANDLORD’S NEGLIGENCE (BUT NOT TO THE EXTENT CAUSED BY LANDLORD’S GROSS NEGLIGENCE OR WILLFUL MISCONDUCT</w:t>
      </w:r>
      <w:r>
        <w:rPr>
          <w:rFonts w:ascii="Arial" w:cs="Arial" w:eastAsia="Arial" w:hAnsi="Arial"/>
          <w:sz w:val="17"/>
          <w:szCs w:val="17"/>
          <w:color w:val="auto"/>
        </w:rPr>
        <w:t>). Except with Landlord’s prior written consent (which consent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in Landlord’s sole discretion),Tenant shall not have the right to sublease, license, sublicense or grant any other rights to use the Auxiliary Power Equipment to any third party, except to assignees or sublessees of Tenant’s entire interest in this Lease. Notwithstanding anything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311" w:name="page312"/>
    <w:bookmarkEnd w:id="311"/>
    <w:p>
      <w:pPr>
        <w:spacing w:after="0" w:line="2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this Section 26.4 to the contrary, Tenant may, with Landlord’s prior written consent, sell the Auxiliary Power Equipment to a succeeding tenant of the Premises; however, it shall be reasonable for Landlord to withhold consent to such a sale for any portion of the Auxiliary Power Equipment that is outdated, not in good working order, or not in compliance with all Laws.</w:t>
      </w:r>
    </w:p>
    <w:p>
      <w:pPr>
        <w:spacing w:after="0" w:line="166" w:lineRule="exact"/>
        <w:rPr>
          <w:sz w:val="20"/>
          <w:szCs w:val="20"/>
          <w:color w:val="auto"/>
        </w:rPr>
      </w:pPr>
    </w:p>
    <w:p>
      <w:pPr>
        <w:ind w:right="180" w:firstLine="1259"/>
        <w:spacing w:after="0" w:line="283"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existing tenant in the Premises the existing electronic security access and control system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color w:val="auto"/>
        </w:rPr>
        <w:t>”) within the Premises installed by the existing tenant. Tenant shall furnish Landlord with a copy of all key codes or access cards and Tenant shall ensure that Landlord shall have access to the Premises at all times. Additionally, Tenant shall ensure that the Existing Security System shall comply with all Laws, including all fire safety laws, and in no event shall Landlord be liable for, and Tenant shall defend, indemnify, and hold harmless Landlord and its representatives and agents from any claims, demands, liabilities, causes of action, suits, judgments, damages and expenses arising from, the Existing Security System or the malfunctioning thereof in accordance with Tenant’s indemnity contained in Section 11.4 hereof. Sections 8 and 21 of this Lease shall govern the maintenance and Landlord’s removal rights with respect to the Existing Security System.</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Lease is executed as of the Lease Date (as defined in the Basic Lease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RIATA HOLDINGS, L.P.</w:t>
            </w:r>
            <w:r>
              <w:rPr>
                <w:rFonts w:ascii="Arial" w:cs="Arial" w:eastAsia="Arial" w:hAnsi="Arial"/>
                <w:sz w:val="17"/>
                <w:szCs w:val="17"/>
                <w:color w:val="auto"/>
              </w:rPr>
              <w:t>, a Delaware limited partnership</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Riata Holdings General Partner, LLC, a Delaware limited liability</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company doing business in Texas as Riata Austin Holdings General</w:t>
            </w:r>
          </w:p>
        </w:tc>
        <w:tc>
          <w:tcPr>
            <w:tcW w:w="40" w:type="dxa"/>
            <w:vAlign w:val="bottom"/>
          </w:tcPr>
          <w:p>
            <w:pPr>
              <w:spacing w:after="0"/>
              <w:rPr>
                <w:sz w:val="18"/>
                <w:szCs w:val="18"/>
                <w:color w:val="auto"/>
              </w:rPr>
            </w:pPr>
          </w:p>
        </w:tc>
      </w:tr>
      <w:tr>
        <w:trPr>
          <w:trHeight w:val="222"/>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Partner, LLC, its general partner</w:t>
            </w:r>
          </w:p>
        </w:tc>
        <w:tc>
          <w:tcPr>
            <w:tcW w:w="40" w:type="dxa"/>
            <w:vAlign w:val="bottom"/>
          </w:tcPr>
          <w:p>
            <w:pPr>
              <w:spacing w:after="0"/>
              <w:rPr>
                <w:sz w:val="19"/>
                <w:szCs w:val="19"/>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John S. Grassi</w:t>
            </w:r>
          </w:p>
        </w:tc>
        <w:tc>
          <w:tcPr>
            <w:tcW w:w="4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7"/>
                <w:szCs w:val="17"/>
                <w:color w:val="auto"/>
                <w:w w:val="90"/>
              </w:rPr>
              <w:t>John S. Grassi, President</w:t>
            </w:r>
          </w:p>
        </w:tc>
        <w:tc>
          <w:tcPr>
            <w:tcW w:w="40" w:type="dxa"/>
            <w:vAlign w:val="bottom"/>
          </w:tcPr>
          <w:p>
            <w:pPr>
              <w:spacing w:after="0"/>
              <w:rPr>
                <w:sz w:val="18"/>
                <w:szCs w:val="18"/>
                <w:color w:val="auto"/>
              </w:rPr>
            </w:pPr>
          </w:p>
        </w:tc>
      </w:tr>
      <w:tr>
        <w:trPr>
          <w:trHeight w:val="617"/>
        </w:trPr>
        <w:tc>
          <w:tcPr>
            <w:tcW w:w="330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VERACYTE, INC.</w:t>
            </w:r>
            <w:r>
              <w:rPr>
                <w:rFonts w:ascii="Arial" w:cs="Arial" w:eastAsia="Arial" w:hAnsi="Arial"/>
                <w:sz w:val="17"/>
                <w:szCs w:val="17"/>
                <w:color w:val="auto"/>
              </w:rPr>
              <w:t>, a Delaware corporation</w:t>
            </w:r>
          </w:p>
        </w:tc>
        <w:tc>
          <w:tcPr>
            <w:tcW w:w="40" w:type="dxa"/>
            <w:vAlign w:val="bottom"/>
          </w:tcPr>
          <w:p>
            <w:pPr>
              <w:spacing w:after="0"/>
              <w:rPr>
                <w:sz w:val="24"/>
                <w:szCs w:val="24"/>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38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Mark E. Spring</w:t>
            </w:r>
          </w:p>
        </w:tc>
        <w:tc>
          <w:tcPr>
            <w:tcW w:w="4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w w:val="91"/>
              </w:rPr>
              <w:t>Name: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Mark E. Spring</w:t>
            </w:r>
          </w:p>
        </w:tc>
        <w:tc>
          <w:tcPr>
            <w:tcW w:w="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Title: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CFO</w:t>
            </w:r>
          </w:p>
        </w:tc>
        <w:tc>
          <w:tcPr>
            <w:tcW w:w="40" w:type="dxa"/>
            <w:vAlign w:val="bottom"/>
          </w:tcPr>
          <w:p>
            <w:pPr>
              <w:spacing w:after="0"/>
              <w:rPr>
                <w:sz w:val="17"/>
                <w:szCs w:val="17"/>
                <w:color w:val="auto"/>
              </w:rPr>
            </w:pPr>
          </w:p>
        </w:tc>
      </w:tr>
      <w:tr>
        <w:trPr>
          <w:trHeight w:val="412"/>
        </w:trPr>
        <w:tc>
          <w:tcPr>
            <w:tcW w:w="3300" w:type="dxa"/>
            <w:vAlign w:val="bottom"/>
          </w:tcPr>
          <w:p>
            <w:pPr>
              <w:spacing w:after="0"/>
              <w:rPr>
                <w:sz w:val="24"/>
                <w:szCs w:val="24"/>
                <w:color w:val="auto"/>
              </w:rPr>
            </w:pPr>
          </w:p>
        </w:tc>
        <w:tc>
          <w:tcPr>
            <w:tcW w:w="2900" w:type="dxa"/>
            <w:vAlign w:val="bottom"/>
          </w:tcPr>
          <w:p>
            <w:pPr>
              <w:ind w:left="2240"/>
              <w:spacing w:after="0"/>
              <w:rPr>
                <w:sz w:val="20"/>
                <w:szCs w:val="20"/>
                <w:color w:val="auto"/>
              </w:rPr>
            </w:pPr>
            <w:r>
              <w:rPr>
                <w:rFonts w:ascii="Arial" w:cs="Arial" w:eastAsia="Arial" w:hAnsi="Arial"/>
                <w:sz w:val="17"/>
                <w:szCs w:val="17"/>
                <w:color w:val="auto"/>
              </w:rPr>
              <w:t>A-32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OUTLINE OF PREMISES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[Floor Plan - Rialta - Building 5 - Floor 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DESCRIPTION OF THE LAND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Lots 4, 5, 6, 7 and 9, Amended Plat, Riata Section Two, Block B, recorded in Book 98, Page 19, of the Plat Records of Travis County, Texas.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BUILDING RULES AND REGULATIONS</w:t>
      </w:r>
    </w:p>
    <w:p>
      <w:pPr>
        <w:spacing w:after="0" w:line="230"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following rules and regulations shall apply to the Premises, the Building, any parking garage or other parking lot or facility associated therewith, and the appurtenances thereto:</w:t>
      </w:r>
    </w:p>
    <w:p>
      <w:pPr>
        <w:spacing w:after="0" w:line="158" w:lineRule="exact"/>
        <w:rPr>
          <w:sz w:val="20"/>
          <w:szCs w:val="20"/>
          <w:color w:val="auto"/>
        </w:rPr>
      </w:pPr>
    </w:p>
    <w:p>
      <w:pPr>
        <w:ind w:right="260" w:firstLine="634"/>
        <w:spacing w:after="0" w:line="326" w:lineRule="auto"/>
        <w:tabs>
          <w:tab w:leader="none" w:pos="1258" w:val="left"/>
        </w:tabs>
        <w:numPr>
          <w:ilvl w:val="0"/>
          <w:numId w:val="448"/>
        </w:numPr>
        <w:rPr>
          <w:rFonts w:ascii="Arial" w:cs="Arial" w:eastAsia="Arial" w:hAnsi="Arial"/>
          <w:sz w:val="15"/>
          <w:szCs w:val="15"/>
          <w:color w:val="auto"/>
        </w:rPr>
      </w:pPr>
      <w:r>
        <w:rPr>
          <w:rFonts w:ascii="Arial" w:cs="Arial" w:eastAsia="Arial" w:hAnsi="Arial"/>
          <w:sz w:val="15"/>
          <w:szCs w:val="15"/>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 The halls, passages, exits, entrances, elevators, stairways, balconies and roof are not for the use of the general public and Landlord shall, in all cases, retain the right to control and prevent</w:t>
      </w:r>
    </w:p>
    <w:p>
      <w:pPr>
        <w:sectPr>
          <w:pgSz w:w="11900" w:h="16867" w:orient="portrait"/>
          <w:cols w:equalWidth="0" w:num="1">
            <w:col w:w="11460"/>
          </w:cols>
          <w:pgMar w:left="240" w:top="127" w:right="199" w:bottom="0" w:gutter="0" w:footer="0" w:header="0"/>
        </w:sectPr>
      </w:pPr>
    </w:p>
    <w:bookmarkStart w:id="312" w:name="page313"/>
    <w:bookmarkEnd w:id="312"/>
    <w:p>
      <w:pPr>
        <w:ind w:right="580"/>
        <w:spacing w:after="0" w:line="289" w:lineRule="auto"/>
        <w:rPr>
          <w:sz w:val="20"/>
          <w:szCs w:val="20"/>
          <w:color w:val="auto"/>
        </w:rPr>
      </w:pPr>
      <w:r>
        <w:rPr>
          <w:rFonts w:ascii="Arial" w:cs="Arial" w:eastAsia="Arial" w:hAnsi="Arial"/>
          <w:sz w:val="17"/>
          <w:szCs w:val="17"/>
          <w:color w:val="auto"/>
        </w:rPr>
        <w:t>access thereto by all persons whose presence in the judgment of Landlord, reasonably exercised, shall be prejudicial to the safety, character, reputation and interests of the Project. No Tenant Party shall go upon the roof of the Project.</w:t>
      </w:r>
    </w:p>
    <w:p>
      <w:pPr>
        <w:spacing w:after="0" w:line="158" w:lineRule="exact"/>
        <w:rPr>
          <w:sz w:val="20"/>
          <w:szCs w:val="20"/>
          <w:color w:val="auto"/>
        </w:rPr>
      </w:pPr>
    </w:p>
    <w:p>
      <w:pPr>
        <w:ind w:right="240" w:firstLine="634"/>
        <w:spacing w:after="0" w:line="273"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71" w:lineRule="exact"/>
        <w:rPr>
          <w:rFonts w:ascii="Arial" w:cs="Arial" w:eastAsia="Arial" w:hAnsi="Arial"/>
          <w:sz w:val="17"/>
          <w:szCs w:val="17"/>
          <w:color w:val="auto"/>
        </w:rPr>
      </w:pPr>
    </w:p>
    <w:p>
      <w:pPr>
        <w:ind w:right="140" w:firstLine="634"/>
        <w:spacing w:after="0" w:line="290" w:lineRule="auto"/>
        <w:tabs>
          <w:tab w:leader="none" w:pos="125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No signs, advertisements or notices (other than those that are not visible outside the Premises) shall be painted or affixed on or to any windows or doors or other part of the Building without the prior written consent of Landlord. No nails, hooks or screws (other than those which are necessary to hang paintings, prints, pictures, or other similar items on the Premises’ interior walls) shall be driven or inserted in any part of the Building except by Building maintenance personnel. No curtains or other window treatments shall be placed between the glass and the Building standard window treatments.</w:t>
      </w:r>
    </w:p>
    <w:p>
      <w:pPr>
        <w:spacing w:after="0" w:line="159" w:lineRule="exact"/>
        <w:rPr>
          <w:rFonts w:ascii="Arial" w:cs="Arial" w:eastAsia="Arial" w:hAnsi="Arial"/>
          <w:sz w:val="16"/>
          <w:szCs w:val="16"/>
          <w:color w:val="auto"/>
        </w:rPr>
      </w:pPr>
    </w:p>
    <w:p>
      <w:pPr>
        <w:ind w:right="100" w:firstLine="634"/>
        <w:spacing w:after="0" w:line="268"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Landlord shall provide all door locks at the entry of each tenant’s leased premises, and no tenant shall place any additional door locks in its leased premises without Landlord’s prior written consent. Landlord shall furnish to each tenant a reasonable number of keys and/or access cards to such tenant’s leased premises, at such tenant’s cost, and no tenant shall make a duplicate thereof. Replacement keys and/or access cards shall be provided on a reasonable basis and at Tenant’s cost.</w:t>
      </w:r>
    </w:p>
    <w:p>
      <w:pPr>
        <w:spacing w:after="0" w:line="175" w:lineRule="exact"/>
        <w:rPr>
          <w:rFonts w:ascii="Arial" w:cs="Arial" w:eastAsia="Arial" w:hAnsi="Arial"/>
          <w:sz w:val="17"/>
          <w:szCs w:val="17"/>
          <w:color w:val="auto"/>
        </w:rPr>
      </w:pPr>
    </w:p>
    <w:p>
      <w:pPr>
        <w:ind w:right="120" w:firstLine="634"/>
        <w:spacing w:after="0" w:line="265"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179" w:lineRule="exact"/>
        <w:rPr>
          <w:rFonts w:ascii="Arial" w:cs="Arial" w:eastAsia="Arial" w:hAnsi="Arial"/>
          <w:sz w:val="17"/>
          <w:szCs w:val="17"/>
          <w:color w:val="auto"/>
        </w:rPr>
      </w:pPr>
    </w:p>
    <w:p>
      <w:pPr>
        <w:ind w:firstLine="634"/>
        <w:spacing w:after="0" w:line="268"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75" w:lineRule="exact"/>
        <w:rPr>
          <w:rFonts w:ascii="Arial" w:cs="Arial" w:eastAsia="Arial" w:hAnsi="Arial"/>
          <w:sz w:val="17"/>
          <w:szCs w:val="17"/>
          <w:color w:val="auto"/>
        </w:rPr>
      </w:pPr>
    </w:p>
    <w:p>
      <w:pPr>
        <w:jc w:val="both"/>
        <w:ind w:right="60" w:firstLine="634"/>
        <w:spacing w:after="0" w:line="273"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Corridor doors, when not in use, shall be kept closed. Nothing shall be swept or thrown into the corridors, halls, elevator shafts or stairways. No bicycles, birds or animals (other than seeing-eye dogs) shall be brought into or kept in, on or about any tenant’s leased premises. No portion of any tenant’s leased premises shall at any time be used or occupied as sleeping or lodging quarters.</w:t>
      </w:r>
    </w:p>
    <w:p>
      <w:pPr>
        <w:spacing w:after="0" w:line="171" w:lineRule="exact"/>
        <w:rPr>
          <w:rFonts w:ascii="Arial" w:cs="Arial" w:eastAsia="Arial" w:hAnsi="Arial"/>
          <w:sz w:val="17"/>
          <w:szCs w:val="17"/>
          <w:color w:val="auto"/>
        </w:rPr>
      </w:pPr>
    </w:p>
    <w:p>
      <w:pPr>
        <w:ind w:right="300" w:firstLine="634"/>
        <w:spacing w:after="0" w:line="289"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Tenant shall cooperate with Landlord’s employees in keeping its leased premises neat and clean. Tenants shall not employ any person for the purpose of such cleaning other than the Building’s cleaning and maintenance personnel.</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To ensure orderly operation of the Building, no ice, mineral or other water, towels, newspapers, etc. shall be delivered to any leased area except by persons approved by Landlord.</w:t>
      </w:r>
    </w:p>
    <w:p>
      <w:pPr>
        <w:spacing w:after="0" w:line="158"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Tenant shall not make or permit any vibration or improper, objectionable or unpleasant noises or odors in the Building or otherwise interfere in any way with other tenants or persons having business with them.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73" w:lineRule="auto"/>
        <w:tabs>
          <w:tab w:leader="none" w:pos="1248" w:val="left"/>
        </w:tabs>
        <w:numPr>
          <w:ilvl w:val="0"/>
          <w:numId w:val="450"/>
        </w:numPr>
        <w:rPr>
          <w:rFonts w:ascii="Arial" w:cs="Arial" w:eastAsia="Arial" w:hAnsi="Arial"/>
          <w:sz w:val="17"/>
          <w:szCs w:val="17"/>
          <w:color w:val="auto"/>
        </w:rPr>
      </w:pPr>
      <w:r>
        <w:rPr>
          <w:rFonts w:ascii="Arial" w:cs="Arial" w:eastAsia="Arial" w:hAnsi="Arial"/>
          <w:sz w:val="17"/>
          <w:szCs w:val="17"/>
          <w:color w:val="auto"/>
        </w:rPr>
        <w:t>No machinery or appliances of any kind (other than normal office equipment and normal break room appliances) shall be operated by any tenant on its leased area without Landlord’s prior written consent, nor shall any tenant use or keep in the Building any flammable or explosive fluid or substance (other than typical office supplies [e.g., photocopier toner] used in compliance with all Laws).</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No vending or dispensing machines of any kind may be maintained in any leased premises without the prior written permission of Landlord.</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Tenant shall not conduct any activity on or about the Premises or Building which will draw pickets, demonstrators, or the like.</w:t>
      </w:r>
    </w:p>
    <w:p>
      <w:pPr>
        <w:spacing w:after="0" w:line="224" w:lineRule="exact"/>
        <w:rPr>
          <w:rFonts w:ascii="Arial" w:cs="Arial" w:eastAsia="Arial" w:hAnsi="Arial"/>
          <w:sz w:val="17"/>
          <w:szCs w:val="17"/>
          <w:color w:val="auto"/>
        </w:rPr>
      </w:pPr>
    </w:p>
    <w:p>
      <w:pPr>
        <w:ind w:right="40" w:firstLine="634"/>
        <w:spacing w:after="0" w:line="263" w:lineRule="auto"/>
        <w:tabs>
          <w:tab w:leader="none" w:pos="125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All vehicles are to be currently licensed, in good operating condition, parked for business purposes having to do with Tenant’s business operated in the Premises, parked within designated parking spaces, one vehicle to each space. No vehicle shall be parked as a “billboard”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“boot” on the vehicle to immobilize it and may levy a charge of $50.00 to remove the “boot.” Tenant shall indemnify, hold and save harmless Landlord of any liability arising from the towing or booting of any vehicles belonging to a Tenant Party.</w:t>
      </w:r>
    </w:p>
    <w:p>
      <w:pPr>
        <w:spacing w:after="0" w:line="183" w:lineRule="exact"/>
        <w:rPr>
          <w:rFonts w:ascii="Arial" w:cs="Arial" w:eastAsia="Arial" w:hAnsi="Arial"/>
          <w:sz w:val="17"/>
          <w:szCs w:val="17"/>
          <w:color w:val="auto"/>
        </w:rPr>
      </w:pPr>
    </w:p>
    <w:p>
      <w:pPr>
        <w:ind w:right="540" w:firstLine="634"/>
        <w:spacing w:after="0" w:line="289" w:lineRule="auto"/>
        <w:tabs>
          <w:tab w:leader="none" w:pos="125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No tenant may enter into phone rooms, electrical rooms, mechanical rooms, or other service areas of the Building unless accompanied by Landlord or the Building manager.</w:t>
      </w:r>
    </w:p>
    <w:p>
      <w:pPr>
        <w:spacing w:after="0" w:line="158" w:lineRule="exact"/>
        <w:rPr>
          <w:rFonts w:ascii="Arial" w:cs="Arial" w:eastAsia="Arial" w:hAnsi="Arial"/>
          <w:sz w:val="17"/>
          <w:szCs w:val="17"/>
          <w:color w:val="auto"/>
        </w:rPr>
      </w:pPr>
    </w:p>
    <w:p>
      <w:pPr>
        <w:ind w:right="320" w:firstLine="634"/>
        <w:spacing w:after="0" w:line="289" w:lineRule="auto"/>
        <w:tabs>
          <w:tab w:leader="none" w:pos="125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Tenant will not permit any Tenant Party to bring onto the Project any handgun, firearm or other weapons of any kind, illegal drugs or, unless expressly permitted by Landlord in writing, alcoholic beverages.</w:t>
      </w:r>
    </w:p>
    <w:p>
      <w:pPr>
        <w:spacing w:after="0" w:line="158" w:lineRule="exact"/>
        <w:rPr>
          <w:rFonts w:ascii="Arial" w:cs="Arial" w:eastAsia="Arial" w:hAnsi="Arial"/>
          <w:sz w:val="17"/>
          <w:szCs w:val="17"/>
          <w:color w:val="auto"/>
        </w:rPr>
      </w:pPr>
    </w:p>
    <w:p>
      <w:pPr>
        <w:ind w:firstLine="634"/>
        <w:spacing w:after="0" w:line="360" w:lineRule="auto"/>
        <w:tabs>
          <w:tab w:leader="none" w:pos="1254" w:val="left"/>
        </w:tabs>
        <w:numPr>
          <w:ilvl w:val="0"/>
          <w:numId w:val="450"/>
        </w:numPr>
        <w:rPr>
          <w:rFonts w:ascii="Arial" w:cs="Arial" w:eastAsia="Arial" w:hAnsi="Arial"/>
          <w:sz w:val="15"/>
          <w:szCs w:val="15"/>
          <w:color w:val="auto"/>
        </w:rPr>
      </w:pPr>
      <w:r>
        <w:rPr>
          <w:rFonts w:ascii="Arial" w:cs="Arial" w:eastAsia="Arial" w:hAnsi="Arial"/>
          <w:sz w:val="15"/>
          <w:szCs w:val="15"/>
          <w:color w:val="auto"/>
        </w:rPr>
        <w:t>Tenant shall not permit any Tenant Party to smoke in the Premises or anywhere else on the Project, except in any Landlord-designated smoking area outside the Building. Tenant shall cooperate with Landlord in enforcing this prohibition and use its best efforts in supervising each Tenant Party in this regard.</w:t>
      </w:r>
    </w:p>
    <w:p>
      <w:pPr>
        <w:spacing w:after="0" w:line="111" w:lineRule="exact"/>
        <w:rPr>
          <w:rFonts w:ascii="Arial" w:cs="Arial" w:eastAsia="Arial" w:hAnsi="Arial"/>
          <w:sz w:val="15"/>
          <w:szCs w:val="15"/>
          <w:color w:val="auto"/>
        </w:rPr>
      </w:pPr>
    </w:p>
    <w:p>
      <w:pPr>
        <w:ind w:left="1260" w:hanging="626"/>
        <w:spacing w:after="0"/>
        <w:tabs>
          <w:tab w:leader="none" w:pos="12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Tenant shall not allow any Tenant Party to use any type of portable space heater in the Premises or the Building.</w:t>
      </w:r>
    </w:p>
    <w:p>
      <w:pPr>
        <w:spacing w:after="0" w:line="224"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Only artificial holiday decorations may be placed in the Premises, no live or cut trees or other real holiday greenery may be maintained in the Premises or the Building.</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Tenant shall not park or operate any semi-trucks or semi-trailers in the parking areas associated with the Building.</w:t>
      </w:r>
    </w:p>
    <w:p>
      <w:pPr>
        <w:sectPr>
          <w:pgSz w:w="11900" w:h="16838" w:orient="portrait"/>
          <w:cols w:equalWidth="0" w:num="1">
            <w:col w:w="11400"/>
          </w:cols>
          <w:pgMar w:left="240" w:top="127" w:right="259" w:bottom="0" w:gutter="0" w:footer="0" w:header="0"/>
        </w:sectPr>
      </w:pPr>
    </w:p>
    <w:bookmarkStart w:id="313" w:name="page314"/>
    <w:bookmarkEnd w:id="313"/>
    <w:p>
      <w:pPr>
        <w:spacing w:after="0" w:line="21" w:lineRule="exact"/>
        <w:rPr>
          <w:sz w:val="20"/>
          <w:szCs w:val="20"/>
          <w:color w:val="auto"/>
        </w:rPr>
      </w:pPr>
    </w:p>
    <w:p>
      <w:pPr>
        <w:jc w:val="both"/>
        <w:ind w:right="220" w:firstLine="634"/>
        <w:spacing w:after="0" w:line="273" w:lineRule="auto"/>
        <w:tabs>
          <w:tab w:leader="none" w:pos="1254"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Tenant shall cooperate fully with Landlord to assure the most effective operation of the Premises or the Project’s heating and air conditioning, and shall refrain from attempting to adjust any controls, other than room thermostats installed for Tenant’s use. Tenant shall keep corridor doors closed and shall turn off all lights before leaving the Project at the end of the day.</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451"/>
        </w:numPr>
        <w:rPr>
          <w:rFonts w:ascii="Arial" w:cs="Arial" w:eastAsia="Arial" w:hAnsi="Arial"/>
          <w:sz w:val="17"/>
          <w:szCs w:val="17"/>
          <w:color w:val="auto"/>
        </w:rPr>
      </w:pPr>
      <w:r>
        <w:rPr>
          <w:rFonts w:ascii="Arial" w:cs="Arial" w:eastAsia="Arial" w:hAnsi="Arial"/>
          <w:sz w:val="17"/>
          <w:szCs w:val="17"/>
          <w:color w:val="auto"/>
        </w:rPr>
        <w:t>Without the prior written consent of Landlord, Tenant shall not use the name of the Project or any picture of the Project in connection with, or in promoting or advertising the business of, Tenant, except Tenant may use the address of the Project as the address of its business.</w:t>
      </w:r>
    </w:p>
    <w:p>
      <w:pPr>
        <w:spacing w:after="0" w:line="158"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Tenant shall not exhibit, sell or offer for sale, rent or exchange in the Premises or at the Project any article, thing or service to the general public or anyone other than Tenant’s employees without the prior written consent of Landlord.</w:t>
      </w:r>
    </w:p>
    <w:p>
      <w:pPr>
        <w:spacing w:after="0" w:line="158" w:lineRule="exact"/>
        <w:rPr>
          <w:rFonts w:ascii="Arial" w:cs="Arial" w:eastAsia="Arial" w:hAnsi="Arial"/>
          <w:sz w:val="17"/>
          <w:szCs w:val="17"/>
          <w:color w:val="auto"/>
        </w:rPr>
      </w:pPr>
    </w:p>
    <w:p>
      <w:pPr>
        <w:ind w:right="520" w:firstLine="634"/>
        <w:spacing w:after="0" w:line="289" w:lineRule="auto"/>
        <w:tabs>
          <w:tab w:leader="none" w:pos="1254"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Tenant shall ensure that all portions of the leased premises visible from any interior Building common areas are lighted at all times during normal business hours regardless whether the leased premises are occupied.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 FINISH-WORK: LANDLORD BUILDS TO PLANS</w:t>
      </w:r>
    </w:p>
    <w:p>
      <w:pPr>
        <w:spacing w:after="0" w:line="224" w:lineRule="exact"/>
        <w:rPr>
          <w:sz w:val="20"/>
          <w:szCs w:val="20"/>
          <w:color w:val="auto"/>
        </w:rPr>
      </w:pPr>
    </w:p>
    <w:p>
      <w:pPr>
        <w:ind w:left="1340" w:hanging="706"/>
        <w:spacing w:after="0"/>
        <w:tabs>
          <w:tab w:leader="none" w:pos="1340" w:val="left"/>
        </w:tabs>
        <w:numPr>
          <w:ilvl w:val="0"/>
          <w:numId w:val="452"/>
        </w:numPr>
        <w:rPr>
          <w:rFonts w:ascii="Arial" w:cs="Arial" w:eastAsia="Arial" w:hAnsi="Arial"/>
          <w:sz w:val="15"/>
          <w:szCs w:val="15"/>
          <w:color w:val="auto"/>
        </w:rPr>
      </w:pPr>
      <w:r>
        <w:rPr>
          <w:rFonts w:ascii="Arial" w:cs="Arial" w:eastAsia="Arial" w:hAnsi="Arial"/>
          <w:sz w:val="15"/>
          <w:szCs w:val="15"/>
          <w:b w:val="1"/>
          <w:bCs w:val="1"/>
          <w:u w:val="single" w:color="auto"/>
          <w:color w:val="auto"/>
        </w:rPr>
        <w:t>Acceptance of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set forth in this Exhibit, Tenant accepts the Premises in their “</w:t>
      </w:r>
      <w:r>
        <w:rPr>
          <w:rFonts w:ascii="Arial" w:cs="Arial" w:eastAsia="Arial" w:hAnsi="Arial"/>
          <w:sz w:val="15"/>
          <w:szCs w:val="15"/>
          <w:b w:val="1"/>
          <w:bCs w:val="1"/>
          <w:color w:val="auto"/>
        </w:rPr>
        <w:t>AS-IS</w:t>
      </w:r>
      <w:r>
        <w:rPr>
          <w:rFonts w:ascii="Arial" w:cs="Arial" w:eastAsia="Arial" w:hAnsi="Arial"/>
          <w:sz w:val="15"/>
          <w:szCs w:val="15"/>
          <w:color w:val="auto"/>
        </w:rPr>
        <w:t>” condition on the date that this Lease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entered into.</w:t>
      </w:r>
    </w:p>
    <w:p>
      <w:pPr>
        <w:spacing w:after="0" w:line="206" w:lineRule="exact"/>
        <w:rPr>
          <w:rFonts w:ascii="Arial" w:cs="Arial" w:eastAsia="Arial" w:hAnsi="Arial"/>
          <w:sz w:val="15"/>
          <w:szCs w:val="15"/>
          <w:color w:val="auto"/>
        </w:rPr>
      </w:pPr>
    </w:p>
    <w:p>
      <w:pPr>
        <w:ind w:right="80" w:firstLine="634"/>
        <w:spacing w:after="0" w:line="241" w:lineRule="auto"/>
        <w:tabs>
          <w:tab w:leader="none" w:pos="1328" w:val="left"/>
        </w:tabs>
        <w:numPr>
          <w:ilvl w:val="0"/>
          <w:numId w:val="452"/>
        </w:numPr>
        <w:rPr>
          <w:rFonts w:ascii="Arial" w:cs="Arial" w:eastAsia="Arial" w:hAnsi="Arial"/>
          <w:sz w:val="17"/>
          <w:szCs w:val="17"/>
          <w:color w:val="auto"/>
        </w:rPr>
      </w:pPr>
      <w:r>
        <w:rPr>
          <w:rFonts w:ascii="Arial" w:cs="Arial" w:eastAsia="Arial" w:hAnsi="Arial"/>
          <w:sz w:val="17"/>
          <w:szCs w:val="17"/>
          <w:b w:val="1"/>
          <w:bCs w:val="1"/>
          <w:u w:val="single" w:color="auto"/>
          <w:color w:val="auto"/>
        </w:rPr>
        <w:t>Space Plans</w:t>
      </w:r>
      <w:r>
        <w:rPr>
          <w:rFonts w:ascii="Arial" w:cs="Arial" w:eastAsia="Arial" w:hAnsi="Arial"/>
          <w:sz w:val="17"/>
          <w:szCs w:val="17"/>
          <w:b w:val="1"/>
          <w:bCs w:val="1"/>
          <w:color w:val="auto"/>
        </w:rPr>
        <w:t xml:space="preserve">. </w:t>
      </w:r>
      <w:r>
        <w:rPr>
          <w:rFonts w:ascii="Arial" w:cs="Arial" w:eastAsia="Arial" w:hAnsi="Arial"/>
          <w:sz w:val="17"/>
          <w:szCs w:val="17"/>
          <w:color w:val="auto"/>
        </w:rPr>
        <w:t>On or before the execution of this Lease, Tenant has delivered to Landlord a space plan depicting improvements to be installed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which plans were prepared by The Lauck Group (“</w:t>
      </w:r>
      <w:r>
        <w:rPr>
          <w:rFonts w:ascii="Arial" w:cs="Arial" w:eastAsia="Arial" w:hAnsi="Arial"/>
          <w:sz w:val="17"/>
          <w:szCs w:val="17"/>
          <w:b w:val="1"/>
          <w:bCs w:val="1"/>
          <w:u w:val="single" w:color="auto"/>
          <w:color w:val="auto"/>
        </w:rPr>
        <w:t>Architect</w:t>
      </w:r>
      <w:r>
        <w:rPr>
          <w:rFonts w:ascii="Arial" w:cs="Arial" w:eastAsia="Arial" w:hAnsi="Arial"/>
          <w:sz w:val="17"/>
          <w:szCs w:val="17"/>
          <w:color w:val="auto"/>
        </w:rPr>
        <w:t>”), dated September 13, 2012, and a pricing schedule prepared by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Construction, LLC and dated October 4, 2012, which plans and schedule are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Space Plans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340" w:hanging="706"/>
        <w:spacing w:after="0"/>
        <w:tabs>
          <w:tab w:leader="none" w:pos="1340" w:val="left"/>
        </w:tabs>
        <w:numPr>
          <w:ilvl w:val="0"/>
          <w:numId w:val="452"/>
        </w:numPr>
        <w:rPr>
          <w:rFonts w:ascii="Arial" w:cs="Arial" w:eastAsia="Arial" w:hAnsi="Arial"/>
          <w:sz w:val="17"/>
          <w:szCs w:val="17"/>
          <w:color w:val="auto"/>
        </w:rPr>
      </w:pPr>
      <w:r>
        <w:rPr>
          <w:rFonts w:ascii="Arial" w:cs="Arial" w:eastAsia="Arial" w:hAnsi="Arial"/>
          <w:sz w:val="17"/>
          <w:szCs w:val="17"/>
          <w:b w:val="1"/>
          <w:bCs w:val="1"/>
          <w:u w:val="single" w:color="auto"/>
          <w:color w:val="auto"/>
        </w:rPr>
        <w:t>Working Drawings</w:t>
      </w:r>
      <w:r>
        <w:rPr>
          <w:rFonts w:ascii="Arial" w:cs="Arial" w:eastAsia="Arial" w:hAnsi="Arial"/>
          <w:sz w:val="17"/>
          <w:szCs w:val="17"/>
          <w:b w:val="1"/>
          <w:bCs w:val="1"/>
          <w:color w:val="auto"/>
        </w:rPr>
        <w:t>.</w:t>
      </w:r>
    </w:p>
    <w:p>
      <w:pPr>
        <w:spacing w:after="0" w:line="224" w:lineRule="exact"/>
        <w:rPr>
          <w:sz w:val="20"/>
          <w:szCs w:val="20"/>
          <w:color w:val="auto"/>
        </w:rPr>
      </w:pPr>
    </w:p>
    <w:p>
      <w:pPr>
        <w:ind w:firstLine="1259"/>
        <w:spacing w:after="0" w:line="27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Preparation and Delivery</w:t>
      </w:r>
      <w:r>
        <w:rPr>
          <w:rFonts w:ascii="Arial" w:cs="Arial" w:eastAsia="Arial" w:hAnsi="Arial"/>
          <w:sz w:val="16"/>
          <w:szCs w:val="16"/>
          <w:b w:val="1"/>
          <w:bCs w:val="1"/>
          <w:color w:val="auto"/>
        </w:rPr>
        <w:t>.</w:t>
      </w:r>
      <w:r>
        <w:rPr>
          <w:rFonts w:ascii="Arial" w:cs="Arial" w:eastAsia="Arial" w:hAnsi="Arial"/>
          <w:sz w:val="16"/>
          <w:szCs w:val="16"/>
          <w:color w:val="auto"/>
        </w:rPr>
        <w:t xml:space="preserve"> On or before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date on which this Lease is fully executed by Landlord and Tenant (the “</w:t>
      </w:r>
      <w:r>
        <w:rPr>
          <w:rFonts w:ascii="Arial" w:cs="Arial" w:eastAsia="Arial" w:hAnsi="Arial"/>
          <w:sz w:val="16"/>
          <w:szCs w:val="16"/>
          <w:b w:val="1"/>
          <w:bCs w:val="1"/>
          <w:u w:val="single" w:color="auto"/>
          <w:color w:val="auto"/>
        </w:rPr>
        <w:t>Working Drawings Delivery Deadline</w:t>
      </w:r>
      <w:r>
        <w:rPr>
          <w:rFonts w:ascii="Arial" w:cs="Arial" w:eastAsia="Arial" w:hAnsi="Arial"/>
          <w:sz w:val="16"/>
          <w:szCs w:val="16"/>
          <w:color w:val="auto"/>
        </w:rPr>
        <w:t>”), Tenant shall provide to Landlord for its approval working drawings, prepared by the Architect, of all improvements that Tenant proposes to install in the Premises; such working drawings shall include the partition layout, ceiling plan, electrical outlets and switches, telephone outlets, drawings for any modifications to the mechanical, electrical, life safety, plumbing and any other systems of the Building, and detailed plans and specifications for the construction of the improvements called for under this Exhibit in accordance with all applicable Laws and suitable for permitting and construction. The working drawings shall be prepared based upon the Space Plans, subject to (i) modifications necessary to obtain a building permit and other permits required by the City of Austin, and (ii) reasonable adjustments made by the Architect for purposes of safety, efficiency, cost, or other design considerations which could not be reasonably incorporated into the Space Plans given the level of detail involved. If Tenant fails to timely deliver such preliminary working drawings, then each day after the Working Drawings Delivery Deadline that such drawings are not delivered to Landlord shall be a Tenant Delay Day.</w:t>
      </w:r>
    </w:p>
    <w:p>
      <w:pPr>
        <w:spacing w:after="0" w:line="169" w:lineRule="exact"/>
        <w:rPr>
          <w:sz w:val="20"/>
          <w:szCs w:val="20"/>
          <w:color w:val="auto"/>
        </w:rPr>
      </w:pPr>
    </w:p>
    <w:p>
      <w:pPr>
        <w:ind w:right="20" w:firstLine="1259"/>
        <w:spacing w:after="0" w:line="29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u w:val="single" w:color="auto"/>
          <w:color w:val="auto"/>
        </w:rPr>
        <w:t>Landlord’s Approval</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notify Tenant whether it approves of the submitted working drawings within six business days after Tenant’s submission thereof. If Landlord disapproves of such working drawings, then Landlord shall notify Tenant thereof specifying in reasonable detail the reasons for such disapproval, in which case Tenant shall, within three business days after such notice, revise such working drawings in accordance with Landlord’s objections and submit the revised working drawings to Landlord for its review and approval. Landlord shall notify Tenant in writing whether it approves of the resubmitted working drawings within three business days after its receipt thereof. This process shall be repeated until the working drawings have been finally approved by Tenant and Landlord. If Landlord fails to notify Tenant that it disapproves of the initial working drawings within six business days (or, in the case of resubmitted working drawings, within three business days) after the submission thereof, then Landlord shall be deemed to have approved the working drawings in question. Landlord and Tenant agree to use all commercially reasonable efforts to respond with comments or revised drawings as soon as practicable, but in no event later than the deadlines set forth herein. If the working drawings are not fully approved (or deemed approved) by both Landlord and Tenant by the</w:t>
      </w:r>
    </w:p>
    <w:p>
      <w:pPr>
        <w:spacing w:after="0" w:line="4" w:lineRule="exact"/>
        <w:rPr>
          <w:sz w:val="20"/>
          <w:szCs w:val="20"/>
          <w:color w:val="auto"/>
        </w:rPr>
      </w:pPr>
    </w:p>
    <w:p>
      <w:pPr>
        <w:jc w:val="both"/>
        <w:ind w:right="80"/>
        <w:spacing w:after="0" w:line="234" w:lineRule="auto"/>
        <w:rPr>
          <w:sz w:val="20"/>
          <w:szCs w:val="20"/>
          <w:color w:val="auto"/>
        </w:rPr>
      </w:pPr>
      <w:r>
        <w:rPr>
          <w:rFonts w:ascii="Arial" w:cs="Arial" w:eastAsia="Arial" w:hAnsi="Arial"/>
          <w:sz w:val="17"/>
          <w:szCs w:val="17"/>
          <w:color w:val="auto"/>
        </w:rPr>
        <w:t>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after the delivery of the initial draft thereof to Landlord, and such delay was not solely caused by Landlord (e.g., by Landlord’s failure to specify in reasonable detail the reasons for any disapproval of Tenant’s proposed working drawings), then each day after such time period that such working drawings are not fully approved (or deemed approved) by both Landlord and Tenant shall constitute a Tenant Delay Day.</w:t>
      </w:r>
    </w:p>
    <w:p>
      <w:pPr>
        <w:spacing w:after="0" w:line="193" w:lineRule="exact"/>
        <w:rPr>
          <w:sz w:val="20"/>
          <w:szCs w:val="20"/>
          <w:color w:val="auto"/>
        </w:rPr>
      </w:pPr>
    </w:p>
    <w:p>
      <w:pPr>
        <w:jc w:val="both"/>
        <w:ind w:right="140" w:firstLine="1259"/>
        <w:spacing w:after="0" w:line="28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Landlord’s Approval; 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If any of Tenant’s proposed construction work will affect the Building’s Structure or the Building’s Systems, then the working drawings pertaining thereto must be approved by the Project’s engineer of record. Landlord’s approval of such working drawings shall not be unreasonably withheld, conditioned or delayed, provided that (a) they comply with all Laws, (b) the improvements depicted thereon do not</w:t>
      </w:r>
    </w:p>
    <w:p>
      <w:pPr>
        <w:spacing w:after="0" w:line="1" w:lineRule="exact"/>
        <w:rPr>
          <w:sz w:val="20"/>
          <w:szCs w:val="20"/>
          <w:color w:val="auto"/>
        </w:rPr>
      </w:pPr>
    </w:p>
    <w:p>
      <w:pPr>
        <w:ind w:right="120" w:firstLine="5"/>
        <w:spacing w:after="0" w:line="309" w:lineRule="auto"/>
        <w:tabs>
          <w:tab w:leader="none" w:pos="247" w:val="left"/>
        </w:tabs>
        <w:numPr>
          <w:ilvl w:val="0"/>
          <w:numId w:val="453"/>
        </w:numPr>
        <w:rPr>
          <w:rFonts w:ascii="Arial" w:cs="Arial" w:eastAsia="Arial" w:hAnsi="Arial"/>
          <w:sz w:val="15"/>
          <w:szCs w:val="15"/>
          <w:color w:val="auto"/>
        </w:rPr>
      </w:pPr>
      <w:r>
        <w:rPr>
          <w:rFonts w:ascii="Arial" w:cs="Arial" w:eastAsia="Arial" w:hAnsi="Arial"/>
          <w:sz w:val="15"/>
          <w:szCs w:val="15"/>
          <w:color w:val="auto"/>
        </w:rPr>
        <w:t>adversely affect (in the reasonable discretion of Landlord) the Building’s Structure or the Building’s Systems (including the Project’s restrooms or mechanical rooms), or (2) affect (in the sole discretion of Landlord) (A) the exterior appearance of the Project, (B) the appearance of the Project’s common areas or elevator lobby areas or (C) the provision of services to other occupants of the Project, (c) such working drawings are sufficiently detailed to allow construction of the improvements and associated work in a good and workmanlike manner, and (d) the improvements depicted thereon conform to the rules and regulations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promulgated from time to time by Landlord for the construction of tenant improvements (a copy of which has been delivered to Tenant). As used herein,</w:t>
      </w:r>
    </w:p>
    <w:p>
      <w:pPr>
        <w:spacing w:after="0" w:line="26"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Working Drawings</w:t>
      </w:r>
      <w:r>
        <w:rPr>
          <w:rFonts w:ascii="Arial" w:cs="Arial" w:eastAsia="Arial" w:hAnsi="Arial"/>
          <w:sz w:val="17"/>
          <w:szCs w:val="17"/>
          <w:color w:val="auto"/>
        </w:rPr>
        <w:t>” means the final working drawings approved by Landlord, as amended from time to time by any approved changes thereto, and “</w:t>
      </w:r>
      <w:r>
        <w:rPr>
          <w:rFonts w:ascii="Arial" w:cs="Arial" w:eastAsia="Arial" w:hAnsi="Arial"/>
          <w:sz w:val="17"/>
          <w:szCs w:val="17"/>
          <w:b w:val="1"/>
          <w:bCs w:val="1"/>
          <w:u w:val="single" w:color="auto"/>
          <w:color w:val="auto"/>
        </w:rPr>
        <w:t>Work</w:t>
      </w:r>
      <w:r>
        <w:rPr>
          <w:rFonts w:ascii="Arial" w:cs="Arial" w:eastAsia="Arial" w:hAnsi="Arial"/>
          <w:sz w:val="17"/>
          <w:szCs w:val="17"/>
          <w:color w:val="auto"/>
        </w:rPr>
        <w:t>” means all improvements to be constructed by Landlord in accordance with and as indicated on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(i) Landlord shall use commercially reasonable efforts to expedite acquisition of all necessary permits and approvals for the completion of the Work, and (ii) Landlord shall cause the Work to be performed in substantial accordance with the Working Drawings, using contractors and subcontractors selected by Landlord.</w:t>
      </w:r>
    </w:p>
    <w:p>
      <w:pPr>
        <w:spacing w:after="0" w:line="178" w:lineRule="exact"/>
        <w:rPr>
          <w:sz w:val="20"/>
          <w:szCs w:val="20"/>
          <w:color w:val="auto"/>
        </w:rPr>
      </w:pPr>
    </w:p>
    <w:p>
      <w:pPr>
        <w:ind w:right="80" w:firstLine="634"/>
        <w:spacing w:after="0" w:line="317" w:lineRule="auto"/>
        <w:tabs>
          <w:tab w:leader="none" w:pos="1328" w:val="left"/>
        </w:tabs>
        <w:numPr>
          <w:ilvl w:val="0"/>
          <w:numId w:val="454"/>
        </w:numPr>
        <w:rPr>
          <w:rFonts w:ascii="Arial" w:cs="Arial" w:eastAsia="Arial" w:hAnsi="Arial"/>
          <w:sz w:val="15"/>
          <w:szCs w:val="15"/>
          <w:color w:val="auto"/>
        </w:rPr>
      </w:pPr>
      <w:r>
        <w:rPr>
          <w:rFonts w:ascii="Arial" w:cs="Arial" w:eastAsia="Arial" w:hAnsi="Arial"/>
          <w:sz w:val="15"/>
          <w:szCs w:val="15"/>
          <w:b w:val="1"/>
          <w:bCs w:val="1"/>
          <w:u w:val="single" w:color="auto"/>
          <w:color w:val="auto"/>
        </w:rPr>
        <w:t>Change Orders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may initiate changes in the Work. Any change to the Working Drawings must receive the prior written approval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such approval not to be unreasonably withheld or delayed; however, (a) if such requested change would adversely affect (in the reasonable discretion of Landlord) (1) the Building’s Structure or the Building’s Systems (including the Project’s restrooms or mechanical rooms), (2) the exterior appearance of the Project, or (3) the appearance of the Project’s common areas or elevator lobby areas, or (b) if any such requested change might delay the Commencement Date,</w:t>
      </w:r>
    </w:p>
    <w:p>
      <w:pPr>
        <w:sectPr>
          <w:pgSz w:w="11900" w:h="16859" w:orient="portrait"/>
          <w:cols w:equalWidth="0" w:num="1">
            <w:col w:w="11420"/>
          </w:cols>
          <w:pgMar w:left="240" w:top="337" w:right="239" w:bottom="0" w:gutter="0" w:footer="0" w:header="0"/>
        </w:sectPr>
      </w:pPr>
    </w:p>
    <w:bookmarkStart w:id="314" w:name="page315"/>
    <w:bookmarkEnd w:id="314"/>
    <w:p>
      <w:pPr>
        <w:ind w:right="20"/>
        <w:spacing w:after="0" w:line="298" w:lineRule="auto"/>
        <w:rPr>
          <w:sz w:val="20"/>
          <w:szCs w:val="20"/>
          <w:color w:val="auto"/>
        </w:rPr>
      </w:pPr>
      <w:r>
        <w:rPr>
          <w:rFonts w:ascii="Arial" w:cs="Arial" w:eastAsia="Arial" w:hAnsi="Arial"/>
          <w:sz w:val="16"/>
          <w:szCs w:val="16"/>
          <w:color w:val="auto"/>
        </w:rPr>
        <w:t>Landlord may withhold its consent in its sole and absolute discretion. Landlord may initiate minor changes required due to construction exigencies, e.g., relocating a wall stud, window or door frame, or an electrical switch or outlet, with Tenant’s prior consent (which request and consent may be verbal). If Tenant fails to respond within eight hours to any request for consent to a minor construction change order, Tenant shall be deemed to have approved the change.</w:t>
      </w:r>
    </w:p>
    <w:p>
      <w:pPr>
        <w:spacing w:after="0" w:line="148" w:lineRule="exact"/>
        <w:rPr>
          <w:sz w:val="20"/>
          <w:szCs w:val="20"/>
          <w:color w:val="auto"/>
        </w:rPr>
      </w:pPr>
    </w:p>
    <w:p>
      <w:pPr>
        <w:ind w:firstLine="634"/>
        <w:spacing w:after="0" w:line="296" w:lineRule="auto"/>
        <w:tabs>
          <w:tab w:leader="none" w:pos="1328" w:val="left"/>
        </w:tabs>
        <w:numPr>
          <w:ilvl w:val="0"/>
          <w:numId w:val="455"/>
        </w:numPr>
        <w:rPr>
          <w:rFonts w:ascii="Arial" w:cs="Arial" w:eastAsia="Arial" w:hAnsi="Arial"/>
          <w:sz w:val="15"/>
          <w:szCs w:val="15"/>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used herein, a “</w:t>
      </w:r>
      <w:r>
        <w:rPr>
          <w:rFonts w:ascii="Arial" w:cs="Arial" w:eastAsia="Arial" w:hAnsi="Arial"/>
          <w:sz w:val="15"/>
          <w:szCs w:val="15"/>
          <w:b w:val="1"/>
          <w:bCs w:val="1"/>
          <w:u w:val="single" w:color="auto"/>
          <w:color w:val="auto"/>
        </w:rPr>
        <w:t>Tenant Delay Day</w:t>
      </w:r>
      <w:r>
        <w:rPr>
          <w:rFonts w:ascii="Arial" w:cs="Arial" w:eastAsia="Arial" w:hAnsi="Arial"/>
          <w:sz w:val="15"/>
          <w:szCs w:val="15"/>
          <w:color w:val="auto"/>
        </w:rPr>
        <w:t>” means each day of delay in the performance of the Work that occurs (a) because Tenant</w:t>
      </w:r>
      <w:r>
        <w:rPr>
          <w:rFonts w:ascii="Arial" w:cs="Arial" w:eastAsia="Arial" w:hAnsi="Arial"/>
          <w:sz w:val="15"/>
          <w:szCs w:val="15"/>
          <w:b w:val="1"/>
          <w:bCs w:val="1"/>
          <w:color w:val="auto"/>
        </w:rPr>
        <w:t xml:space="preserve"> </w:t>
      </w:r>
      <w:r>
        <w:rPr>
          <w:rFonts w:ascii="Arial" w:cs="Arial" w:eastAsia="Arial" w:hAnsi="Arial"/>
          <w:sz w:val="15"/>
          <w:szCs w:val="15"/>
          <w:color w:val="auto"/>
        </w:rPr>
        <w:t>fails to timely furnish any information or deliver or approve any required documents such as the Space Plans or Working Drawings (whether preliminary, interim revisions or final), pricing estimates, construction bids, and the like, (b) solely due to a change order submitted by Tenant to the Space Plans or Working Drawings and approved pursuant to Section (4) above, (c) because Tenant fails to (i) attend (whether by teleconference or videoconference or, at Tenant’s election, in person) any meeting of which Tenant has at least 24 hours prior notice (which notice shall be sent by electronic mail or U.S. Mail to Tenant’s construction representative or his designee, provided that Landlord has received the notice and electronic mail address of such designee), whether such meeting is with Landlord, the architect, any design professional, or any contractor, or their respective employees or representatives, as may be required or scheduled hereunder or otherwise necessary in connection with the preparation or completion of any construction documents, such as the Space Plans or Working Drawings, or in connection with the performance of the Work, (d) because of any specification by Tenant of materials or installations in addition to or other than Landlord’s standard finish-out materials or any materials that are not readily available, after Tenant has been notified in writing by Landlord that such materials or installations are not readily available, or (e) because a Tenant Party otherwise unreasonably delays completion of the Work. As used herein, “</w:t>
      </w:r>
      <w:r>
        <w:rPr>
          <w:rFonts w:ascii="Arial" w:cs="Arial" w:eastAsia="Arial" w:hAnsi="Arial"/>
          <w:sz w:val="15"/>
          <w:szCs w:val="15"/>
          <w:b w:val="1"/>
          <w:bCs w:val="1"/>
          <w:u w:val="single" w:color="auto"/>
          <w:color w:val="auto"/>
        </w:rPr>
        <w:t>Landlord Delay Day</w:t>
      </w:r>
      <w:r>
        <w:rPr>
          <w:rFonts w:ascii="Arial" w:cs="Arial" w:eastAsia="Arial" w:hAnsi="Arial"/>
          <w:sz w:val="15"/>
          <w:szCs w:val="15"/>
          <w:color w:val="auto"/>
        </w:rPr>
        <w:t>” means any delay in the completion of the Work which is directly attributable to the affirmative acts or willful failure to act by Landlord or Landlord’s employees, agents or contractors, e.g., Landlord unreasonably fails to respond to any Tenant request for a change to the Space Plans or Working Drawings within the time-frames set forth in this Exhibit, fails to attend any meeting of which Landlord has at least eight hours’ prior notice, or otherwise unreasonably delays completion of the Work, Provided that Landlord timely files applications for all required permits and approvals, the failure to timely receive such permits and approvals, whether due to Tenant’s failure to provide satisfactory Working Drawings or the failure of the granting authority to respond to such applications in a timely manner, shall not be a Landlord Delay Day. As used herein, “</w:t>
      </w:r>
      <w:r>
        <w:rPr>
          <w:rFonts w:ascii="Arial" w:cs="Arial" w:eastAsia="Arial" w:hAnsi="Arial"/>
          <w:sz w:val="15"/>
          <w:szCs w:val="15"/>
          <w:b w:val="1"/>
          <w:bCs w:val="1"/>
          <w:u w:val="single" w:color="auto"/>
          <w:color w:val="auto"/>
        </w:rPr>
        <w:t>Substantial Completion</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Substantially Completed</w:t>
      </w:r>
      <w:r>
        <w:rPr>
          <w:rFonts w:ascii="Arial" w:cs="Arial" w:eastAsia="Arial" w:hAnsi="Arial"/>
          <w:sz w:val="15"/>
          <w:szCs w:val="15"/>
          <w:color w:val="auto"/>
        </w:rPr>
        <w:t>” and any derivations thereof mean the Work in the Premises is substantially completed (as reasonably determined by Landlord) in substantial accordance with the Working Drawings. Substantial Completion shall have occurred even though minor details of construction, decoration, landscaping and mechanical adjustments remain to be completed by Landlord.</w:t>
      </w:r>
    </w:p>
    <w:p>
      <w:pPr>
        <w:spacing w:after="0" w:line="365" w:lineRule="exact"/>
        <w:rPr>
          <w:rFonts w:ascii="Arial" w:cs="Arial" w:eastAsia="Arial" w:hAnsi="Arial"/>
          <w:sz w:val="15"/>
          <w:szCs w:val="15"/>
          <w:color w:val="auto"/>
        </w:rPr>
      </w:pPr>
    </w:p>
    <w:p>
      <w:pPr>
        <w:ind w:right="160" w:firstLine="634"/>
        <w:spacing w:after="0" w:line="267" w:lineRule="auto"/>
        <w:tabs>
          <w:tab w:leader="none" w:pos="1328" w:val="left"/>
        </w:tabs>
        <w:numPr>
          <w:ilvl w:val="0"/>
          <w:numId w:val="455"/>
        </w:numPr>
        <w:rPr>
          <w:rFonts w:ascii="Arial" w:cs="Arial" w:eastAsia="Arial" w:hAnsi="Arial"/>
          <w:sz w:val="17"/>
          <w:szCs w:val="17"/>
          <w:color w:val="auto"/>
        </w:rPr>
      </w:pPr>
      <w:r>
        <w:rPr>
          <w:rFonts w:ascii="Arial" w:cs="Arial" w:eastAsia="Arial" w:hAnsi="Arial"/>
          <w:sz w:val="17"/>
          <w:szCs w:val="17"/>
          <w:b w:val="1"/>
          <w:bCs w:val="1"/>
          <w:u w:val="single" w:color="auto"/>
          <w:color w:val="auto"/>
        </w:rPr>
        <w:t>Walk-Through; Punchlist</w:t>
      </w:r>
      <w:r>
        <w:rPr>
          <w:rFonts w:ascii="Arial" w:cs="Arial" w:eastAsia="Arial" w:hAnsi="Arial"/>
          <w:sz w:val="17"/>
          <w:szCs w:val="17"/>
          <w:b w:val="1"/>
          <w:bCs w:val="1"/>
          <w:color w:val="auto"/>
        </w:rPr>
        <w:t xml:space="preserve">. </w:t>
      </w:r>
      <w:r>
        <w:rPr>
          <w:rFonts w:ascii="Arial" w:cs="Arial" w:eastAsia="Arial" w:hAnsi="Arial"/>
          <w:sz w:val="17"/>
          <w:szCs w:val="17"/>
          <w:color w:val="auto"/>
        </w:rPr>
        <w:t>When Landlord considers the Work in the Premises to be Substantially Completed, Landlord will notify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within three business days 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Landlord shall use reasonable efforts to cause the contractor performing the Work to complete all punchlist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items within 15 business days after agreement thereon; however, Landlord shall not be obligated to engage overtime labor in order to complete such items.</w:t>
      </w:r>
    </w:p>
    <w:p>
      <w:pPr>
        <w:spacing w:after="0" w:line="230" w:lineRule="exact"/>
        <w:rPr>
          <w:sz w:val="20"/>
          <w:szCs w:val="20"/>
          <w:color w:val="auto"/>
        </w:rPr>
      </w:pPr>
    </w:p>
    <w:p>
      <w:pPr>
        <w:ind w:right="120" w:firstLine="634"/>
        <w:spacing w:after="0" w:line="281" w:lineRule="auto"/>
        <w:tabs>
          <w:tab w:leader="none" w:pos="1328" w:val="left"/>
        </w:tabs>
        <w:numPr>
          <w:ilvl w:val="0"/>
          <w:numId w:val="456"/>
        </w:numPr>
        <w:rPr>
          <w:rFonts w:ascii="Arial" w:cs="Arial" w:eastAsia="Arial" w:hAnsi="Arial"/>
          <w:sz w:val="16"/>
          <w:szCs w:val="16"/>
          <w:color w:val="auto"/>
        </w:rPr>
      </w:pPr>
      <w:r>
        <w:rPr>
          <w:rFonts w:ascii="Arial" w:cs="Arial" w:eastAsia="Arial" w:hAnsi="Arial"/>
          <w:sz w:val="16"/>
          <w:szCs w:val="16"/>
          <w:b w:val="1"/>
          <w:bCs w:val="1"/>
          <w:u w:val="single" w:color="auto"/>
          <w:color w:val="auto"/>
        </w:rPr>
        <w:t>Costs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bear the entire cost of performing the Work depicted on the Space Plans (including the pricing schedule) initially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submitted to and approved by Landlord and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as further depicted on the Working Drawings initially approved by Landlord. Tenant shall bear the entire additional actual, out-of-pocket costs incurred by Landlord in performing the Work solely because of any event specified in the definition of Tenant Delay Day. Tenant shall pay Landlord an amount equal to 90% of the estimated additional costs of any change to the Space Plans or the Working Drawings at the time of such change; Tenant shall pay to Landlord the remaining portion of additional costs incurred in performing the Work because of an event specified in the definition of Tenant Delay Day upon Substantial Completion of the Work. In consideration for Landlord’s management and supervision for services performed in connection with the Work because of any event specified in the definition of Tenant Delay Day, Tenant shall pay to Landlord a construction management fee equal to five percent of the additional costs specified in this Section 7.</w:t>
      </w:r>
    </w:p>
    <w:p>
      <w:pPr>
        <w:spacing w:after="0" w:line="164" w:lineRule="exact"/>
        <w:rPr>
          <w:rFonts w:ascii="Arial" w:cs="Arial" w:eastAsia="Arial" w:hAnsi="Arial"/>
          <w:sz w:val="16"/>
          <w:szCs w:val="16"/>
          <w:color w:val="auto"/>
        </w:rPr>
      </w:pPr>
    </w:p>
    <w:p>
      <w:pPr>
        <w:ind w:firstLine="634"/>
        <w:spacing w:after="0" w:line="292" w:lineRule="auto"/>
        <w:tabs>
          <w:tab w:leader="none" w:pos="1328" w:val="left"/>
        </w:tabs>
        <w:numPr>
          <w:ilvl w:val="0"/>
          <w:numId w:val="456"/>
        </w:numPr>
        <w:rPr>
          <w:rFonts w:ascii="Arial" w:cs="Arial" w:eastAsia="Arial" w:hAnsi="Arial"/>
          <w:sz w:val="16"/>
          <w:szCs w:val="16"/>
          <w:color w:val="auto"/>
        </w:rPr>
      </w:pP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provide Tenant an allowance of up to $3.00 per rentable square foot in the Premises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installation of Tenant’s telecommunications wiring and cabling in the Premises (the “</w:t>
      </w: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color w:val="auto"/>
        </w:rPr>
        <w:t>”). Within 30 days following the date on which Tenant presents Landlord with an invoice and evidence of Tenant’s payment thereof, Landlord shall reimburse Tenant’s actual, out-of-pocket expenses incurred in connection with the purchase and installation of Tenant’s wiring and cabling, up to a maximum amount of the Wiring and Cabling Allowance.</w:t>
      </w:r>
    </w:p>
    <w:p>
      <w:pPr>
        <w:spacing w:after="0" w:line="153" w:lineRule="exact"/>
        <w:rPr>
          <w:rFonts w:ascii="Arial" w:cs="Arial" w:eastAsia="Arial" w:hAnsi="Arial"/>
          <w:sz w:val="16"/>
          <w:szCs w:val="16"/>
          <w:color w:val="auto"/>
        </w:rPr>
      </w:pPr>
    </w:p>
    <w:p>
      <w:pPr>
        <w:jc w:val="both"/>
        <w:ind w:firstLine="634"/>
        <w:spacing w:after="0" w:line="270" w:lineRule="auto"/>
        <w:tabs>
          <w:tab w:leader="none" w:pos="1328" w:val="left"/>
        </w:tabs>
        <w:numPr>
          <w:ilvl w:val="0"/>
          <w:numId w:val="456"/>
        </w:numPr>
        <w:rPr>
          <w:rFonts w:ascii="Arial" w:cs="Arial" w:eastAsia="Arial" w:hAnsi="Arial"/>
          <w:sz w:val="17"/>
          <w:szCs w:val="17"/>
          <w:color w:val="auto"/>
        </w:rPr>
      </w:pPr>
      <w:r>
        <w:rPr>
          <w:rFonts w:ascii="Arial" w:cs="Arial" w:eastAsia="Arial" w:hAnsi="Arial"/>
          <w:sz w:val="17"/>
          <w:szCs w:val="17"/>
          <w:b w:val="1"/>
          <w:bCs w:val="1"/>
          <w:u w:val="single" w:color="auto"/>
          <w:color w:val="auto"/>
        </w:rPr>
        <w:t>Test-Fit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provide Tenant a test-fit allowance of up to $0.10 per rentable square foot in the Premises, or $1,036.40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Test-Fit Allowance</w:t>
      </w:r>
      <w:r>
        <w:rPr>
          <w:rFonts w:ascii="Arial" w:cs="Arial" w:eastAsia="Arial" w:hAnsi="Arial"/>
          <w:sz w:val="17"/>
          <w:szCs w:val="17"/>
          <w:color w:val="auto"/>
        </w:rPr>
        <w:t>”) for the preparation of the Space Plans. Within 30 business days following the date on which Tenant presents Landlord with an invoice from the Architect and evidence of Tenant’s payment thereof, Landlord shall reimburse Tenant’s actual, out-of-pocket expenses incurred in connection with the Architect with respect to the Space Plans, up to a maximum amount of the Test-Fit Allowance.</w:t>
      </w:r>
    </w:p>
    <w:p>
      <w:pPr>
        <w:spacing w:after="0" w:line="169" w:lineRule="exact"/>
        <w:rPr>
          <w:rFonts w:ascii="Arial" w:cs="Arial" w:eastAsia="Arial" w:hAnsi="Arial"/>
          <w:sz w:val="17"/>
          <w:szCs w:val="17"/>
          <w:color w:val="auto"/>
        </w:rPr>
      </w:pPr>
    </w:p>
    <w:p>
      <w:pPr>
        <w:ind w:right="20" w:firstLine="634"/>
        <w:spacing w:after="0" w:line="277" w:lineRule="auto"/>
        <w:tabs>
          <w:tab w:leader="none" w:pos="1284" w:val="left"/>
        </w:tabs>
        <w:numPr>
          <w:ilvl w:val="0"/>
          <w:numId w:val="456"/>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representatives for coordination of construction and approval of change orders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 provided that either party may change its representative upon written notice to the other and Tenant reserves the right to designate a temporary alternate representative for purposes of attending meetings requested by Landlord or the contractor:</w:t>
      </w:r>
    </w:p>
    <w:p>
      <w:pPr>
        <w:sectPr>
          <w:pgSz w:w="11900" w:h="16838" w:orient="portrait"/>
          <w:cols w:equalWidth="0" w:num="1">
            <w:col w:w="11420"/>
          </w:cols>
          <w:pgMar w:left="240" w:top="127" w:right="239" w:bottom="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Landlord’s Representative: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Curt Whitlatch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 HPI Construction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3600 N. Capital of Texas Highway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Building B,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78746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Telephone: 512.719.3050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whitlatch@hpitx.com</w:t>
      </w:r>
    </w:p>
    <w:p>
      <w:pPr>
        <w:spacing w:after="0" w:line="200" w:lineRule="exact"/>
        <w:rPr>
          <w:sz w:val="20"/>
          <w:szCs w:val="20"/>
          <w:color w:val="auto"/>
        </w:rPr>
      </w:pPr>
    </w:p>
    <w:p>
      <w:pPr>
        <w:sectPr>
          <w:pgSz w:w="11900" w:h="16838" w:orient="portrait"/>
          <w:cols w:equalWidth="0" w:num="2">
            <w:col w:w="2960" w:space="720"/>
            <w:col w:w="774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Tenant’s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Mark Spring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Veracyte,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Ct., Suite 250</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Telephone: 650.243.6341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650.243.6301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mark@Veracyte.com</w:t>
      </w:r>
    </w:p>
    <w:p>
      <w:pPr>
        <w:spacing w:after="0" w:line="200" w:lineRule="exact"/>
        <w:rPr>
          <w:sz w:val="20"/>
          <w:szCs w:val="20"/>
          <w:color w:val="auto"/>
        </w:rPr>
      </w:pPr>
    </w:p>
    <w:p>
      <w:pPr>
        <w:sectPr>
          <w:pgSz w:w="11900" w:h="16838" w:orient="portrait"/>
          <w:cols w:equalWidth="0" w:num="2">
            <w:col w:w="2960" w:space="720"/>
            <w:col w:w="7740"/>
          </w:cols>
          <w:pgMar w:left="240" w:top="127" w:right="239" w:bottom="0" w:gutter="0" w:footer="0" w:header="0"/>
          <w:type w:val="continuous"/>
        </w:sectPr>
      </w:pPr>
    </w:p>
    <w:p>
      <w:pPr>
        <w:spacing w:after="0" w:line="6" w:lineRule="exact"/>
        <w:rPr>
          <w:sz w:val="20"/>
          <w:szCs w:val="20"/>
          <w:color w:val="auto"/>
        </w:rPr>
      </w:pPr>
    </w:p>
    <w:p>
      <w:pPr>
        <w:ind w:right="80" w:firstLine="634"/>
        <w:spacing w:after="0" w:line="297" w:lineRule="auto"/>
        <w:tabs>
          <w:tab w:leader="none" w:pos="1278" w:val="left"/>
        </w:tabs>
        <w:numPr>
          <w:ilvl w:val="0"/>
          <w:numId w:val="457"/>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not inconsistent with this Exhibit, Sections 8.1 and 21 of this Lease shall govern the performance of the Work and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respective rights and obligations regarding the improvements installed pursuant thereto.</w:t>
      </w:r>
    </w:p>
    <w:p>
      <w:pPr>
        <w:sectPr>
          <w:pgSz w:w="11900" w:h="16838" w:orient="portrait"/>
          <w:cols w:equalWidth="0" w:num="1">
            <w:col w:w="11420"/>
          </w:cols>
          <w:pgMar w:left="240" w:top="127" w:right="239" w:bottom="0" w:gutter="0" w:footer="0" w:header="0"/>
          <w:type w:val="continuous"/>
        </w:sectPr>
      </w:pPr>
    </w:p>
    <w:bookmarkStart w:id="315" w:name="page316"/>
    <w:bookmarkEnd w:id="315"/>
    <w:p>
      <w:pPr>
        <w:jc w:val="center"/>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APPROVED SPACE PLANS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[1st Floor Approved Floor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900" w:type="dxa"/>
            <w:vAlign w:val="bottom"/>
            <w:gridSpan w:val="2"/>
          </w:tcPr>
          <w:p>
            <w:pPr>
              <w:jc w:val="center"/>
              <w:ind w:right="1113"/>
              <w:spacing w:after="0"/>
              <w:rPr>
                <w:sz w:val="20"/>
                <w:szCs w:val="20"/>
                <w:color w:val="auto"/>
              </w:rPr>
            </w:pPr>
            <w:r>
              <w:rPr>
                <w:rFonts w:ascii="Arial" w:cs="Arial" w:eastAsia="Arial" w:hAnsi="Arial"/>
                <w:sz w:val="17"/>
                <w:szCs w:val="17"/>
                <w:color w:val="auto"/>
                <w:w w:val="93"/>
              </w:rPr>
              <w:t>[6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Street Construction Logo]</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Date of Bid:</w:t>
            </w:r>
          </w:p>
        </w:tc>
        <w:tc>
          <w:tcPr>
            <w:tcW w:w="1400" w:type="dxa"/>
            <w:vAlign w:val="bottom"/>
            <w:gridSpan w:val="2"/>
          </w:tcPr>
          <w:p>
            <w:pPr>
              <w:jc w:val="right"/>
              <w:ind w:right="153"/>
              <w:spacing w:after="0"/>
              <w:rPr>
                <w:sz w:val="20"/>
                <w:szCs w:val="20"/>
                <w:color w:val="auto"/>
              </w:rPr>
            </w:pPr>
            <w:r>
              <w:rPr>
                <w:rFonts w:ascii="Arial" w:cs="Arial" w:eastAsia="Arial" w:hAnsi="Arial"/>
                <w:sz w:val="17"/>
                <w:szCs w:val="17"/>
                <w:color w:val="auto"/>
              </w:rPr>
              <w:t>Thursday,</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0" w:type="dxa"/>
            <w:vAlign w:val="bottom"/>
            <w:gridSpan w:val="2"/>
          </w:tcPr>
          <w:p>
            <w:pPr>
              <w:jc w:val="right"/>
              <w:ind w:right="93"/>
              <w:spacing w:after="0"/>
              <w:rPr>
                <w:sz w:val="20"/>
                <w:szCs w:val="20"/>
                <w:color w:val="auto"/>
              </w:rPr>
            </w:pPr>
            <w:r>
              <w:rPr>
                <w:rFonts w:ascii="Arial" w:cs="Arial" w:eastAsia="Arial" w:hAnsi="Arial"/>
                <w:sz w:val="17"/>
                <w:szCs w:val="17"/>
                <w:color w:val="auto"/>
              </w:rPr>
              <w:t>October 04,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0" w:type="dxa"/>
            <w:vAlign w:val="bottom"/>
            <w:gridSpan w:val="2"/>
          </w:tcPr>
          <w:p>
            <w:pPr>
              <w:jc w:val="right"/>
              <w:ind w:right="333"/>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900" w:type="dxa"/>
            <w:vAlign w:val="bottom"/>
            <w:gridSpan w:val="2"/>
            <w:vMerge w:val="restart"/>
          </w:tcPr>
          <w:p>
            <w:pPr>
              <w:jc w:val="center"/>
              <w:ind w:right="1113"/>
              <w:spacing w:after="0"/>
              <w:rPr>
                <w:sz w:val="20"/>
                <w:szCs w:val="20"/>
                <w:color w:val="auto"/>
              </w:rPr>
            </w:pPr>
            <w:r>
              <w:rPr>
                <w:rFonts w:ascii="Arial" w:cs="Arial" w:eastAsia="Arial" w:hAnsi="Arial"/>
                <w:sz w:val="17"/>
                <w:szCs w:val="17"/>
                <w:color w:val="auto"/>
                <w:w w:val="95"/>
              </w:rPr>
              <w:t>706B West Ben White Blvd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Total Base Bid:</w:t>
            </w:r>
          </w:p>
        </w:tc>
        <w:tc>
          <w:tcPr>
            <w:tcW w:w="7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62,049.48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1"/>
              </w:rPr>
              <w:t>Suite 195</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6"/>
              </w:rPr>
              <w:t>Austin, TX 78704</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spacing w:after="0"/>
              <w:rPr>
                <w:sz w:val="24"/>
                <w:szCs w:val="24"/>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w:t>
            </w:r>
          </w:p>
        </w:tc>
        <w:tc>
          <w:tcPr>
            <w:tcW w:w="1780" w:type="dxa"/>
            <w:vAlign w:val="bottom"/>
          </w:tcPr>
          <w:p>
            <w:pPr>
              <w:ind w:left="20"/>
              <w:spacing w:after="0"/>
              <w:rPr>
                <w:sz w:val="20"/>
                <w:szCs w:val="20"/>
                <w:color w:val="auto"/>
              </w:rPr>
            </w:pPr>
            <w:r>
              <w:rPr>
                <w:rFonts w:ascii="Arial" w:cs="Arial" w:eastAsia="Arial" w:hAnsi="Arial"/>
                <w:sz w:val="17"/>
                <w:szCs w:val="17"/>
                <w:color w:val="auto"/>
              </w:rPr>
              <w:t>Veracyte Test Fit</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Address:</w:t>
            </w:r>
          </w:p>
        </w:tc>
        <w:tc>
          <w:tcPr>
            <w:tcW w:w="2720" w:type="dxa"/>
            <w:vAlign w:val="bottom"/>
            <w:gridSpan w:val="2"/>
          </w:tcPr>
          <w:p>
            <w:pPr>
              <w:ind w:left="20"/>
              <w:spacing w:after="0"/>
              <w:rPr>
                <w:sz w:val="20"/>
                <w:szCs w:val="20"/>
                <w:color w:val="auto"/>
              </w:rPr>
            </w:pPr>
            <w:r>
              <w:rPr>
                <w:rFonts w:ascii="Arial" w:cs="Arial" w:eastAsia="Arial" w:hAnsi="Arial"/>
                <w:sz w:val="17"/>
                <w:szCs w:val="17"/>
                <w:color w:val="auto"/>
              </w:rPr>
              <w:t>12331 Riata Trace Parkway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1st Floor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Austin, Texas 78727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Estimator:</w:t>
            </w:r>
          </w:p>
        </w:tc>
        <w:tc>
          <w:tcPr>
            <w:tcW w:w="1780" w:type="dxa"/>
            <w:vAlign w:val="bottom"/>
          </w:tcPr>
          <w:p>
            <w:pPr>
              <w:ind w:left="20"/>
              <w:spacing w:after="0"/>
              <w:rPr>
                <w:sz w:val="20"/>
                <w:szCs w:val="20"/>
                <w:color w:val="auto"/>
              </w:rPr>
            </w:pPr>
            <w:r>
              <w:rPr>
                <w:rFonts w:ascii="Arial" w:cs="Arial" w:eastAsia="Arial" w:hAnsi="Arial"/>
                <w:sz w:val="17"/>
                <w:szCs w:val="17"/>
                <w:color w:val="auto"/>
              </w:rPr>
              <w:t>Freda Puckett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20" w:type="dxa"/>
            <w:vAlign w:val="bottom"/>
            <w:gridSpan w:val="2"/>
            <w:vMerge w:val="restart"/>
          </w:tcPr>
          <w:p>
            <w:pPr>
              <w:jc w:val="center"/>
              <w:ind w:left="3673"/>
              <w:spacing w:after="0"/>
              <w:rPr>
                <w:sz w:val="20"/>
                <w:szCs w:val="20"/>
                <w:color w:val="auto"/>
              </w:rPr>
            </w:pPr>
            <w:r>
              <w:rPr>
                <w:rFonts w:ascii="Arial" w:cs="Arial" w:eastAsia="Arial" w:hAnsi="Arial"/>
                <w:sz w:val="17"/>
                <w:szCs w:val="17"/>
                <w:color w:val="auto"/>
                <w:w w:val="94"/>
              </w:rPr>
              <w:t>Date of</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7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Architect:</w:t>
            </w:r>
          </w:p>
        </w:tc>
        <w:tc>
          <w:tcPr>
            <w:tcW w:w="1780" w:type="dxa"/>
            <w:vAlign w:val="bottom"/>
          </w:tcPr>
          <w:p>
            <w:pPr>
              <w:ind w:left="420"/>
              <w:spacing w:after="0"/>
              <w:rPr>
                <w:sz w:val="20"/>
                <w:szCs w:val="20"/>
                <w:color w:val="auto"/>
              </w:rPr>
            </w:pPr>
            <w:r>
              <w:rPr>
                <w:rFonts w:ascii="Arial" w:cs="Arial" w:eastAsia="Arial" w:hAnsi="Arial"/>
                <w:sz w:val="17"/>
                <w:szCs w:val="17"/>
                <w:color w:val="auto"/>
              </w:rPr>
              <w:t>Lauckgroup</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00" w:type="dxa"/>
            <w:vAlign w:val="bottom"/>
          </w:tcPr>
          <w:p>
            <w:pPr>
              <w:jc w:val="right"/>
              <w:ind w:right="53"/>
              <w:spacing w:after="0"/>
              <w:rPr>
                <w:sz w:val="20"/>
                <w:szCs w:val="20"/>
                <w:color w:val="auto"/>
              </w:rPr>
            </w:pPr>
            <w:r>
              <w:rPr>
                <w:rFonts w:ascii="Arial" w:cs="Arial" w:eastAsia="Arial" w:hAnsi="Arial"/>
                <w:sz w:val="17"/>
                <w:szCs w:val="17"/>
                <w:color w:val="auto"/>
                <w:w w:val="95"/>
              </w:rPr>
              <w:t>9.13.12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Designer: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0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Engineer: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0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41</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5"/>
              </w:rPr>
              <w:t>Drywall/Acoustical/Demo</w:t>
            </w:r>
          </w:p>
        </w:tc>
        <w:tc>
          <w:tcPr>
            <w:tcW w:w="1780" w:type="dxa"/>
            <w:vAlign w:val="bottom"/>
            <w:vMerge w:val="restart"/>
          </w:tcPr>
          <w:p>
            <w:pPr>
              <w:ind w:left="920"/>
              <w:spacing w:after="0"/>
              <w:rPr>
                <w:sz w:val="20"/>
                <w:szCs w:val="20"/>
                <w:color w:val="auto"/>
              </w:rPr>
            </w:pPr>
            <w:r>
              <w:rPr>
                <w:rFonts w:ascii="Arial" w:cs="Arial" w:eastAsia="Arial" w:hAnsi="Arial"/>
                <w:sz w:val="17"/>
                <w:szCs w:val="17"/>
                <w:color w:val="auto"/>
              </w:rPr>
              <w:t>demo</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vMerge w:val="restart"/>
          </w:tcPr>
          <w:p>
            <w:pPr>
              <w:jc w:val="center"/>
              <w:ind w:right="1073"/>
              <w:spacing w:after="0"/>
              <w:rPr>
                <w:sz w:val="20"/>
                <w:szCs w:val="20"/>
                <w:color w:val="auto"/>
              </w:rPr>
            </w:pPr>
            <w:r>
              <w:rPr>
                <w:rFonts w:ascii="Arial" w:cs="Arial" w:eastAsia="Arial" w:hAnsi="Arial"/>
                <w:sz w:val="17"/>
                <w:szCs w:val="17"/>
                <w:color w:val="auto"/>
                <w:w w:val="92"/>
              </w:rPr>
              <w:t>469.97 Demo as required</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4,075.98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drywall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4"/>
              </w:rPr>
              <w:t>3,093.48 New under grid walls per plan</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acoustical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1"/>
              </w:rPr>
              <w:t>512.53 Patch as required</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4"/>
              </w:rPr>
              <w:t>Doors, Frames, Hardware</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6,782.00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4840" w:type="dxa"/>
            <w:vAlign w:val="bottom"/>
            <w:gridSpan w:val="3"/>
          </w:tcPr>
          <w:p>
            <w:pPr>
              <w:ind w:left="160"/>
              <w:spacing w:after="0"/>
              <w:rPr>
                <w:sz w:val="20"/>
                <w:szCs w:val="20"/>
                <w:color w:val="auto"/>
              </w:rPr>
            </w:pPr>
            <w:r>
              <w:rPr>
                <w:rFonts w:ascii="Arial" w:cs="Arial" w:eastAsia="Arial" w:hAnsi="Arial"/>
                <w:sz w:val="17"/>
                <w:szCs w:val="17"/>
                <w:color w:val="auto"/>
              </w:rPr>
              <w:t>(6) new door units to include locksets, (l) relocat door unit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Plumbing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8,175.00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Break concrete and install a floor drain for shower drain, concrete ptur back to a rough condition, furnish and install (1) emergmcy shower per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specs, mixing valve for shower (required but not in specs), add new sink to match existing</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Mechanical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3,100.00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8"/>
              </w:rPr>
              <w:t>Pre-con service check on exisitng controls and equipment, filter media on bldg return air, add supply and returns for new offices, in house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balance</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16</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Electrical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3,800.00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Demo, install switches in (6) new offices, relocate/reswitch lights as neded, add exit light in office 109, add outlets on each side of new walls,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exisitng power pole and feed to remain as in Wet Lab, no new power included in Wet Lab</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Tape, Float, paint</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2,400.00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Patch and prep existing walls affected, tape and float new walls, paint new walls and walls affected by construction ONLY</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23</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Flooring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b w:val="1"/>
                <w:bCs w:val="1"/>
                <w:color w:val="auto"/>
              </w:rPr>
              <w:t>$12,320.00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5"/>
              </w:rPr>
              <w:t>Furnish/install 80 yds of carpet at $24 sy allownace installed, furnish/install sheet viryl with welded seams (no flash cove), furnish/install rubber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660" w:type="dxa"/>
            <w:vAlign w:val="bottom"/>
            <w:gridSpan w:val="5"/>
          </w:tcPr>
          <w:p>
            <w:pPr>
              <w:ind w:left="160"/>
              <w:spacing w:after="0"/>
              <w:rPr>
                <w:sz w:val="20"/>
                <w:szCs w:val="20"/>
                <w:color w:val="auto"/>
              </w:rPr>
            </w:pPr>
            <w:r>
              <w:rPr>
                <w:rFonts w:ascii="Arial" w:cs="Arial" w:eastAsia="Arial" w:hAnsi="Arial"/>
                <w:sz w:val="17"/>
                <w:szCs w:val="17"/>
                <w:color w:val="auto"/>
                <w:w w:val="93"/>
              </w:rPr>
              <w:t>base, epoxy floor at emergency shower ONLY with 6” base (approx 3x3 area)</w:t>
            </w: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35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Sprinklers</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1,650.00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20</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Millwork</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950.00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Lower cabinet for the (2) new sinks by Shower, repair millwork for shower install, See Alt for Island Millwork</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Alarm Systems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2,543.00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Final Clean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auto"/>
              </w:rPr>
              <w:t>Includes area of construction ONLY</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Miscellaneous</w:t>
            </w:r>
          </w:p>
        </w:tc>
        <w:tc>
          <w:tcPr>
            <w:tcW w:w="2720" w:type="dxa"/>
            <w:vAlign w:val="bottom"/>
            <w:gridSpan w:val="2"/>
            <w:vMerge w:val="restart"/>
          </w:tcPr>
          <w:p>
            <w:pPr>
              <w:ind w:left="460"/>
              <w:spacing w:after="0"/>
              <w:rPr>
                <w:sz w:val="20"/>
                <w:szCs w:val="20"/>
                <w:color w:val="auto"/>
              </w:rPr>
            </w:pPr>
            <w:r>
              <w:rPr>
                <w:rFonts w:ascii="Arial" w:cs="Arial" w:eastAsia="Arial" w:hAnsi="Arial"/>
                <w:sz w:val="17"/>
                <w:szCs w:val="17"/>
                <w:color w:val="auto"/>
                <w:w w:val="93"/>
              </w:rPr>
              <w:t>Fire Cabinets and extinguishers</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ind w:right="33"/>
              <w:spacing w:after="0"/>
              <w:rPr>
                <w:sz w:val="20"/>
                <w:szCs w:val="20"/>
                <w:color w:val="auto"/>
              </w:rPr>
            </w:pPr>
            <w:r>
              <w:rPr>
                <w:rFonts w:ascii="Arial" w:cs="Arial" w:eastAsia="Arial" w:hAnsi="Arial"/>
                <w:sz w:val="17"/>
                <w:szCs w:val="17"/>
                <w:color w:val="auto"/>
                <w:w w:val="96"/>
              </w:rPr>
              <w:t>300.00</w:t>
            </w:r>
          </w:p>
        </w:tc>
        <w:tc>
          <w:tcPr>
            <w:tcW w:w="4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525.00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rPr>
              <w:t>Port-o-can $</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w w:val="96"/>
              </w:rPr>
              <w:t>225.00</w:t>
            </w:r>
          </w:p>
        </w:tc>
        <w:tc>
          <w:tcPr>
            <w:tcW w:w="40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7,255.00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General Conditions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20" w:type="dxa"/>
            <w:vAlign w:val="bottom"/>
            <w:vMerge w:val="restart"/>
          </w:tcPr>
          <w:p>
            <w:pPr>
              <w:jc w:val="right"/>
              <w:ind w:right="2833"/>
              <w:spacing w:after="0"/>
              <w:rPr>
                <w:sz w:val="20"/>
                <w:szCs w:val="20"/>
                <w:color w:val="auto"/>
              </w:rPr>
            </w:pPr>
            <w:r>
              <w:rPr>
                <w:rFonts w:ascii="Arial" w:cs="Arial" w:eastAsia="Arial" w:hAnsi="Arial"/>
                <w:sz w:val="17"/>
                <w:szCs w:val="17"/>
                <w:color w:val="auto"/>
              </w:rPr>
              <w:t>1,350.00</w:t>
            </w:r>
          </w:p>
        </w:tc>
        <w:tc>
          <w:tcPr>
            <w:tcW w:w="7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 Management</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3,780.00</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Supervision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600.00</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General Cleaning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510.00</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Trash Dumpster</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150.00</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Building Protection</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865.00</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Permits</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right"/>
              <w:spacing w:after="0"/>
              <w:rPr>
                <w:sz w:val="20"/>
                <w:szCs w:val="20"/>
                <w:color w:val="auto"/>
              </w:rPr>
            </w:pPr>
            <w:r>
              <w:rPr>
                <w:rFonts w:ascii="Arial" w:cs="Arial" w:eastAsia="Arial" w:hAnsi="Arial"/>
                <w:sz w:val="17"/>
                <w:szCs w:val="17"/>
                <w:b w:val="1"/>
                <w:bCs w:val="1"/>
                <w:color w:val="auto"/>
              </w:rPr>
              <w:t>Sub-Total $54,075.98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0" w:gutter="0" w:footer="0" w:header="0"/>
        </w:sectPr>
      </w:pPr>
    </w:p>
    <w:bookmarkStart w:id="316" w:name="page317"/>
    <w:bookmarkEnd w:id="316"/>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Overhead &amp; Profit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6.00%</w:t>
            </w:r>
          </w:p>
        </w:tc>
        <w:tc>
          <w:tcPr>
            <w:tcW w:w="0" w:type="dxa"/>
            <w:vAlign w:val="bottom"/>
          </w:tcPr>
          <w:p>
            <w:pPr>
              <w:spacing w:after="0"/>
              <w:rPr>
                <w:sz w:val="1"/>
                <w:szCs w:val="1"/>
                <w:color w:val="auto"/>
              </w:rPr>
            </w:pPr>
          </w:p>
        </w:tc>
      </w:tr>
      <w:tr>
        <w:trPr>
          <w:trHeight w:val="210"/>
        </w:trPr>
        <w:tc>
          <w:tcPr>
            <w:tcW w:w="400" w:type="dxa"/>
            <w:vAlign w:val="bottom"/>
          </w:tcPr>
          <w:p>
            <w:pPr>
              <w:ind w:left="100"/>
              <w:spacing w:after="0"/>
              <w:rPr>
                <w:sz w:val="20"/>
                <w:szCs w:val="20"/>
                <w:color w:val="auto"/>
              </w:rPr>
            </w:pPr>
            <w:r>
              <w:rPr>
                <w:rFonts w:ascii="Arial" w:cs="Arial" w:eastAsia="Arial" w:hAnsi="Arial"/>
                <w:sz w:val="17"/>
                <w:szCs w:val="17"/>
                <w:color w:val="auto"/>
              </w:rPr>
              <w:t>99</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Overhead &amp; Profit Total</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3,244.56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Excluding Tax</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57,320.54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100</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8.25%</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Base Bid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62,049.48</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9760" w:type="dxa"/>
            <w:vAlign w:val="bottom"/>
          </w:tcPr>
          <w:p>
            <w:pPr>
              <w:ind w:left="120"/>
              <w:spacing w:after="0" w:line="177" w:lineRule="exact"/>
              <w:rPr>
                <w:sz w:val="20"/>
                <w:szCs w:val="20"/>
                <w:color w:val="auto"/>
              </w:rPr>
            </w:pPr>
            <w:r>
              <w:rPr>
                <w:rFonts w:ascii="Arial" w:cs="Arial" w:eastAsia="Arial" w:hAnsi="Arial"/>
                <w:sz w:val="17"/>
                <w:szCs w:val="17"/>
                <w:color w:val="auto"/>
              </w:rPr>
              <w:t>Alt to Base Bid:</w:t>
            </w:r>
          </w:p>
        </w:tc>
        <w:tc>
          <w:tcPr>
            <w:tcW w:w="3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4,647.17</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20"/>
                <w:szCs w:val="20"/>
                <w:color w:val="auto"/>
              </w:rPr>
            </w:pPr>
            <w:r>
              <w:rPr>
                <w:rFonts w:ascii="Arial" w:cs="Arial" w:eastAsia="Arial" w:hAnsi="Arial"/>
                <w:sz w:val="17"/>
                <w:szCs w:val="17"/>
                <w:color w:val="auto"/>
              </w:rPr>
              <w:t>1</w:t>
            </w:r>
          </w:p>
        </w:tc>
        <w:tc>
          <w:tcPr>
            <w:tcW w:w="9760" w:type="dxa"/>
            <w:vAlign w:val="bottom"/>
          </w:tcPr>
          <w:p>
            <w:pPr>
              <w:ind w:left="120"/>
              <w:spacing w:after="0"/>
              <w:rPr>
                <w:sz w:val="20"/>
                <w:szCs w:val="20"/>
                <w:color w:val="auto"/>
              </w:rPr>
            </w:pPr>
            <w:r>
              <w:rPr>
                <w:rFonts w:ascii="Arial" w:cs="Arial" w:eastAsia="Arial" w:hAnsi="Arial"/>
                <w:sz w:val="17"/>
                <w:szCs w:val="17"/>
                <w:color w:val="auto"/>
              </w:rPr>
              <w:t>Branch duct Into existing fume hood exhaust duct for possible 2nd fume hood, Hood provided by others</w:t>
            </w: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2</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Paint throughout with (2) coats</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7,343.68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7"/>
                <w:szCs w:val="17"/>
                <w:color w:val="auto"/>
              </w:rPr>
              <w:t>3</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Carpet throughout @ $24 Syinstalled and std RB throughout</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20,998.34</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7"/>
                <w:szCs w:val="17"/>
                <w:color w:val="auto"/>
              </w:rPr>
              <w:t>4</w:t>
            </w:r>
          </w:p>
        </w:tc>
        <w:tc>
          <w:tcPr>
            <w:tcW w:w="9760" w:type="dxa"/>
            <w:vAlign w:val="bottom"/>
          </w:tcPr>
          <w:p>
            <w:pPr>
              <w:ind w:left="120"/>
              <w:spacing w:after="0"/>
              <w:rPr>
                <w:sz w:val="20"/>
                <w:szCs w:val="20"/>
                <w:color w:val="auto"/>
              </w:rPr>
            </w:pPr>
            <w:r>
              <w:rPr>
                <w:rFonts w:ascii="Arial" w:cs="Arial" w:eastAsia="Arial" w:hAnsi="Arial"/>
                <w:sz w:val="17"/>
                <w:szCs w:val="17"/>
                <w:color w:val="auto"/>
              </w:rPr>
              <w:t>Add to duplicate free standing Millwork In middle of room with drawers on both sides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26,241.03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Qualifications to Base Bid:</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data and cabling.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Work is figured during regular business hours except loud disruptive work.</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all work associated with security. (card readers, electric locks, electric hinges, wiring, etc.)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Includes permit costs, Asbestos to be supplied by Owner.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CONFIRMATION OF COMMENCEMENT DATE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17,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78727</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rPr>
              <w:t>Re:</w:t>
            </w: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w w:val="94"/>
              </w:rPr>
              <w:t>Lease Agreement (the “</w:t>
            </w:r>
            <w:r>
              <w:rPr>
                <w:rFonts w:ascii="Arial" w:cs="Arial" w:eastAsia="Arial" w:hAnsi="Arial"/>
                <w:sz w:val="17"/>
                <w:szCs w:val="17"/>
                <w:b w:val="1"/>
                <w:bCs w:val="1"/>
                <w:color w:val="auto"/>
                <w:w w:val="94"/>
              </w:rPr>
              <w:t>Lease</w:t>
            </w:r>
            <w:r>
              <w:rPr>
                <w:rFonts w:ascii="Arial" w:cs="Arial" w:eastAsia="Arial" w:hAnsi="Arial"/>
                <w:sz w:val="17"/>
                <w:szCs w:val="17"/>
                <w:color w:val="auto"/>
                <w:w w:val="94"/>
              </w:rPr>
              <w:t xml:space="preserve">”) dated November 28, 2012, between </w:t>
            </w:r>
            <w:r>
              <w:rPr>
                <w:rFonts w:ascii="Arial" w:cs="Arial" w:eastAsia="Arial" w:hAnsi="Arial"/>
                <w:sz w:val="17"/>
                <w:szCs w:val="17"/>
                <w:b w:val="1"/>
                <w:bCs w:val="1"/>
                <w:color w:val="auto"/>
                <w:w w:val="94"/>
              </w:rPr>
              <w:t>RIATA HOLDINGS, L.P.</w:t>
            </w:r>
            <w:r>
              <w:rPr>
                <w:rFonts w:ascii="Arial" w:cs="Arial" w:eastAsia="Arial" w:hAnsi="Arial"/>
                <w:sz w:val="17"/>
                <w:szCs w:val="17"/>
                <w:color w:val="auto"/>
                <w:w w:val="94"/>
              </w:rPr>
              <w:t>, a Delaware limited partnership doing business</w:t>
            </w:r>
          </w:p>
        </w:tc>
      </w:tr>
      <w:tr>
        <w:trPr>
          <w:trHeight w:val="20"/>
        </w:trPr>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10220" w:type="dxa"/>
            <w:vAlign w:val="bottom"/>
            <w:gridSpan w:val="7"/>
          </w:tcPr>
          <w:p>
            <w:pPr>
              <w:ind w:left="200"/>
              <w:spacing w:after="0" w:line="189" w:lineRule="exact"/>
              <w:rPr>
                <w:sz w:val="20"/>
                <w:szCs w:val="20"/>
                <w:color w:val="auto"/>
              </w:rPr>
            </w:pPr>
            <w:r>
              <w:rPr>
                <w:rFonts w:ascii="Arial" w:cs="Arial" w:eastAsia="Arial" w:hAnsi="Arial"/>
                <w:sz w:val="17"/>
                <w:szCs w:val="17"/>
                <w:color w:val="auto"/>
                <w:w w:val="97"/>
              </w:rPr>
              <w:t>in Texas as Riata Austin Holdings, L.P. (“</w:t>
            </w:r>
            <w:r>
              <w:rPr>
                <w:rFonts w:ascii="Arial" w:cs="Arial" w:eastAsia="Arial" w:hAnsi="Arial"/>
                <w:sz w:val="17"/>
                <w:szCs w:val="17"/>
                <w:b w:val="1"/>
                <w:bCs w:val="1"/>
                <w:color w:val="auto"/>
                <w:w w:val="97"/>
              </w:rPr>
              <w:t>Landlord</w:t>
            </w:r>
            <w:r>
              <w:rPr>
                <w:rFonts w:ascii="Arial" w:cs="Arial" w:eastAsia="Arial" w:hAnsi="Arial"/>
                <w:sz w:val="17"/>
                <w:szCs w:val="17"/>
                <w:color w:val="auto"/>
                <w:w w:val="97"/>
              </w:rPr>
              <w:t xml:space="preserve">”), and </w:t>
            </w:r>
            <w:r>
              <w:rPr>
                <w:rFonts w:ascii="Arial" w:cs="Arial" w:eastAsia="Arial" w:hAnsi="Arial"/>
                <w:sz w:val="17"/>
                <w:szCs w:val="17"/>
                <w:b w:val="1"/>
                <w:bCs w:val="1"/>
                <w:color w:val="auto"/>
                <w:w w:val="97"/>
              </w:rPr>
              <w:t>VERACYTE, INC.</w:t>
            </w:r>
            <w:r>
              <w:rPr>
                <w:rFonts w:ascii="Arial" w:cs="Arial" w:eastAsia="Arial" w:hAnsi="Arial"/>
                <w:sz w:val="17"/>
                <w:szCs w:val="17"/>
                <w:color w:val="auto"/>
                <w:w w:val="97"/>
              </w:rPr>
              <w:t>, a Delaware corporation (“</w:t>
            </w:r>
            <w:r>
              <w:rPr>
                <w:rFonts w:ascii="Arial" w:cs="Arial" w:eastAsia="Arial" w:hAnsi="Arial"/>
                <w:sz w:val="17"/>
                <w:szCs w:val="17"/>
                <w:b w:val="1"/>
                <w:bCs w:val="1"/>
                <w:color w:val="auto"/>
                <w:w w:val="97"/>
              </w:rPr>
              <w:t>Tenant</w:t>
            </w:r>
            <w:r>
              <w:rPr>
                <w:rFonts w:ascii="Arial" w:cs="Arial" w:eastAsia="Arial" w:hAnsi="Arial"/>
                <w:sz w:val="17"/>
                <w:szCs w:val="17"/>
                <w:color w:val="auto"/>
                <w:w w:val="97"/>
              </w:rPr>
              <w:t>”). Capitalized terms used</w:t>
            </w:r>
          </w:p>
        </w:tc>
      </w:tr>
      <w:tr>
        <w:trPr>
          <w:trHeight w:val="20"/>
        </w:trPr>
        <w:tc>
          <w:tcPr>
            <w:tcW w:w="42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9"/>
        </w:trPr>
        <w:tc>
          <w:tcPr>
            <w:tcW w:w="420" w:type="dxa"/>
            <w:vAlign w:val="bottom"/>
          </w:tcPr>
          <w:p>
            <w:pPr>
              <w:spacing w:after="0"/>
              <w:rPr>
                <w:sz w:val="19"/>
                <w:szCs w:val="19"/>
                <w:color w:val="auto"/>
              </w:rPr>
            </w:pP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rPr>
              <w:t>herein but not defined shall be given the meanings assigned to them in the Lease.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Landlord and Tenant agree as follows:</w:t>
      </w:r>
    </w:p>
    <w:p>
      <w:pPr>
        <w:spacing w:after="0" w:line="218" w:lineRule="exact"/>
        <w:rPr>
          <w:sz w:val="20"/>
          <w:szCs w:val="20"/>
          <w:color w:val="auto"/>
        </w:rPr>
      </w:pPr>
    </w:p>
    <w:p>
      <w:pPr>
        <w:ind w:right="160" w:firstLine="634"/>
        <w:spacing w:after="0" w:line="270" w:lineRule="auto"/>
        <w:tabs>
          <w:tab w:leader="none" w:pos="1258"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has accepted possession of the Premises pursuant to the Lease. Any improvements required by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to be made by Landlord have been completed to the full and complete satisfaction of Tenant in all respects except for the punchlist items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Punchlist Items</w:t>
      </w:r>
      <w:r>
        <w:rPr>
          <w:rFonts w:ascii="Arial" w:cs="Arial" w:eastAsia="Arial" w:hAnsi="Arial"/>
          <w:sz w:val="17"/>
          <w:szCs w:val="17"/>
          <w:color w:val="auto"/>
        </w:rPr>
        <w:t>”), and except for such Punchlist Items, Landlord has fulfilled all of its duties under the Lease with respect to such initial tenant improvements. Furthermore, Tenant acknowledges that the Premises are suitable for the Permitted Use.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Commencement Date of the Lease is February 1, 2013.</w:t>
      </w:r>
    </w:p>
    <w:p>
      <w:pPr>
        <w:spacing w:after="0" w:line="224" w:lineRule="exact"/>
        <w:rPr>
          <w:rFonts w:ascii="Arial" w:cs="Arial" w:eastAsia="Arial" w:hAnsi="Arial"/>
          <w:sz w:val="17"/>
          <w:szCs w:val="17"/>
          <w:color w:val="auto"/>
        </w:rPr>
      </w:pPr>
    </w:p>
    <w:p>
      <w:pPr>
        <w:ind w:right="760" w:firstLine="634"/>
        <w:spacing w:after="0" w:line="234" w:lineRule="auto"/>
        <w:tabs>
          <w:tab w:leader="none" w:pos="1258"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Expiration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is scheduled to expire on July 31, 2013, which is the last day of the 66</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full calendar month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w:t>
      </w:r>
    </w:p>
    <w:p>
      <w:pPr>
        <w:spacing w:after="0" w:line="192" w:lineRule="exact"/>
        <w:rPr>
          <w:rFonts w:ascii="Arial" w:cs="Arial" w:eastAsia="Arial" w:hAnsi="Arial"/>
          <w:sz w:val="17"/>
          <w:szCs w:val="17"/>
          <w:color w:val="auto"/>
        </w:rPr>
      </w:pPr>
    </w:p>
    <w:p>
      <w:pPr>
        <w:ind w:left="1260" w:hanging="626"/>
        <w:spacing w:after="0"/>
        <w:tabs>
          <w:tab w:leader="none" w:pos="1260"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Contact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contact person in the Premises is:</w:t>
      </w: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Austin, TX 78727</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Attention: Edith Thomas</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Telephone: 512.814.2500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Facsimile: 512.814.2501</w:t>
      </w:r>
    </w:p>
    <w:p>
      <w:pPr>
        <w:spacing w:after="0" w:line="206" w:lineRule="exact"/>
        <w:rPr>
          <w:sz w:val="20"/>
          <w:szCs w:val="20"/>
          <w:color w:val="auto"/>
        </w:rPr>
      </w:pPr>
    </w:p>
    <w:p>
      <w:pPr>
        <w:ind w:right="40" w:firstLine="634"/>
        <w:spacing w:after="0" w:line="304" w:lineRule="auto"/>
        <w:tabs>
          <w:tab w:leader="none" w:pos="1258" w:val="left"/>
        </w:tabs>
        <w:numPr>
          <w:ilvl w:val="1"/>
          <w:numId w:val="459"/>
        </w:numPr>
        <w:rPr>
          <w:rFonts w:ascii="Arial" w:cs="Arial" w:eastAsia="Arial" w:hAnsi="Arial"/>
          <w:sz w:val="15"/>
          <w:szCs w:val="15"/>
          <w:color w:val="auto"/>
        </w:rPr>
      </w:pPr>
      <w:r>
        <w:rPr>
          <w:rFonts w:ascii="Arial" w:cs="Arial" w:eastAsia="Arial" w:hAnsi="Arial"/>
          <w:sz w:val="15"/>
          <w:szCs w:val="15"/>
          <w:b w:val="1"/>
          <w:bCs w:val="1"/>
          <w:u w:val="single" w:color="auto"/>
          <w:color w:val="auto"/>
        </w:rPr>
        <w:t>Ratification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ratifies and confirms its obligations under the Lease, and represents and warrants to Landlord that it has no defenses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thereto. Additionally, Tenant further confirms and ratifies that, as of the date hereof, (a) the Lease is and remains in good standing and in full force and effect, and</w:t>
      </w:r>
    </w:p>
    <w:p>
      <w:pPr>
        <w:ind w:right="320" w:firstLine="5"/>
        <w:spacing w:after="0" w:line="275" w:lineRule="auto"/>
        <w:tabs>
          <w:tab w:leader="none" w:pos="244"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Tenant has no claims, counterclaims, set-offs or defenses against Landlord arising out of the Lease or in any way relating thereto or arising out of any other transaction between Landlord and Tenant.</w:t>
      </w:r>
    </w:p>
    <w:p>
      <w:pPr>
        <w:spacing w:after="0" w:line="163" w:lineRule="exact"/>
        <w:rPr>
          <w:rFonts w:ascii="Arial" w:cs="Arial" w:eastAsia="Arial" w:hAnsi="Arial"/>
          <w:sz w:val="17"/>
          <w:szCs w:val="17"/>
          <w:color w:val="auto"/>
        </w:rPr>
      </w:pPr>
    </w:p>
    <w:p>
      <w:pPr>
        <w:jc w:val="both"/>
        <w:ind w:right="40" w:firstLine="634"/>
        <w:spacing w:after="0" w:line="277" w:lineRule="auto"/>
        <w:tabs>
          <w:tab w:leader="none" w:pos="1258" w:val="left"/>
        </w:tabs>
        <w:numPr>
          <w:ilvl w:val="1"/>
          <w:numId w:val="460"/>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modified hereby, the Lease shall remain in full effect and this letter shall be binding upon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Please indicate your agreement to the above matters by signing this letter in the space indicated below and returning an executed original to us.</w:t>
      </w:r>
    </w:p>
    <w:p>
      <w:pPr>
        <w:spacing w:after="0" w:line="23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Sincerely,</w:t>
      </w:r>
    </w:p>
    <w:p>
      <w:pPr>
        <w:sectPr>
          <w:pgSz w:w="11900" w:h="16857" w:orient="portrait"/>
          <w:cols w:equalWidth="0" w:num="1">
            <w:col w:w="11420"/>
          </w:cols>
          <w:pgMar w:left="240" w:top="127" w:right="239" w:bottom="0" w:gutter="0" w:footer="0" w:header="0"/>
        </w:sectPr>
      </w:pPr>
    </w:p>
    <w:bookmarkStart w:id="317" w:name="page318"/>
    <w:bookmarkEnd w:id="317"/>
    <w:p>
      <w:pPr>
        <w:spacing w:after="0" w:line="62"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STREAM REALTY PARTNERS-AUSTIN, L.P.</w:t>
      </w:r>
      <w:r>
        <w:rPr>
          <w:rFonts w:ascii="Arial" w:cs="Arial" w:eastAsia="Arial" w:hAnsi="Arial"/>
          <w:sz w:val="17"/>
          <w:szCs w:val="17"/>
          <w:color w:val="auto"/>
        </w:rPr>
        <w:t>, on behalf of Landlord</w:t>
      </w:r>
    </w:p>
    <w:p>
      <w:pPr>
        <w:spacing w:after="0" w:line="200" w:lineRule="exact"/>
        <w:rPr>
          <w:sz w:val="20"/>
          <w:szCs w:val="20"/>
          <w:color w:val="auto"/>
        </w:rPr>
      </w:pPr>
    </w:p>
    <w:p>
      <w:pPr>
        <w:spacing w:after="0" w:line="240" w:lineRule="exact"/>
        <w:rPr>
          <w:sz w:val="20"/>
          <w:szCs w:val="20"/>
          <w:color w:val="auto"/>
        </w:rPr>
      </w:pPr>
    </w:p>
    <w:tbl>
      <w:tblPr>
        <w:tblLayout w:type="fixed"/>
        <w:tblInd w:w="60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Buddy Reed</w:t>
            </w:r>
          </w:p>
        </w:tc>
      </w:t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Buddy Reed</w:t>
            </w:r>
          </w:p>
        </w:tc>
      </w:t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GM</w:t>
            </w:r>
          </w:p>
        </w:tc>
      </w:tr>
    </w:tbl>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Agreed and accepted: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Shelly D. Guyer</w:t>
            </w:r>
          </w:p>
        </w:tc>
        <w:tc>
          <w:tcPr>
            <w:tcW w:w="1400" w:type="dxa"/>
            <w:vAlign w:val="bottom"/>
            <w:tcBorders>
              <w:bottom w:val="single" w:sz="8" w:color="auto"/>
            </w:tcBorders>
          </w:tcPr>
          <w:p>
            <w:pPr>
              <w:spacing w:after="0"/>
              <w:rPr>
                <w:sz w:val="19"/>
                <w:szCs w:val="19"/>
                <w:color w:val="auto"/>
              </w:rPr>
            </w:pPr>
          </w:p>
        </w:tc>
        <w:tc>
          <w:tcPr>
            <w:tcW w:w="5940" w:type="dxa"/>
            <w:vAlign w:val="bottom"/>
          </w:tcPr>
          <w:p>
            <w:pPr>
              <w:spacing w:after="0"/>
              <w:rPr>
                <w:sz w:val="19"/>
                <w:szCs w:val="19"/>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Shelly D. Guyer</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40" w:type="dxa"/>
            <w:vAlign w:val="bottom"/>
          </w:tcPr>
          <w:p>
            <w:pPr>
              <w:jc w:val="center"/>
              <w:ind w:right="5453"/>
              <w:spacing w:after="0"/>
              <w:rPr>
                <w:sz w:val="20"/>
                <w:szCs w:val="20"/>
                <w:color w:val="auto"/>
              </w:rPr>
            </w:pPr>
            <w:r>
              <w:rPr>
                <w:rFonts w:ascii="Arial" w:cs="Arial" w:eastAsia="Arial" w:hAnsi="Arial"/>
                <w:sz w:val="17"/>
                <w:szCs w:val="17"/>
                <w:color w:val="auto"/>
                <w:w w:val="93"/>
              </w:rPr>
              <w:t>F-2</w:t>
            </w:r>
          </w:p>
        </w:tc>
      </w:tr>
      <w:tr>
        <w:trPr>
          <w:trHeight w:val="128"/>
        </w:trPr>
        <w:tc>
          <w:tcPr>
            <w:tcW w:w="7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gridSpan w:val="2"/>
          </w:tcPr>
          <w:p>
            <w:pPr>
              <w:spacing w:after="0"/>
              <w:rPr>
                <w:sz w:val="11"/>
                <w:szCs w:val="11"/>
                <w:color w:val="auto"/>
              </w:rPr>
            </w:pPr>
          </w:p>
        </w:tc>
      </w:tr>
      <w:tr>
        <w:trPr>
          <w:trHeight w:val="756"/>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340" w:type="dxa"/>
            <w:vAlign w:val="bottom"/>
            <w:gridSpan w:val="2"/>
          </w:tcPr>
          <w:p>
            <w:pPr>
              <w:jc w:val="center"/>
              <w:ind w:right="4073"/>
              <w:spacing w:after="0"/>
              <w:rPr>
                <w:sz w:val="20"/>
                <w:szCs w:val="20"/>
                <w:color w:val="auto"/>
              </w:rPr>
            </w:pPr>
            <w:r>
              <w:rPr>
                <w:rFonts w:ascii="Arial" w:cs="Arial" w:eastAsia="Arial" w:hAnsi="Arial"/>
                <w:sz w:val="17"/>
                <w:szCs w:val="17"/>
                <w:color w:val="auto"/>
              </w:rPr>
              <w:t>EXHIBIT A</w:t>
            </w:r>
          </w:p>
        </w:tc>
      </w:tr>
      <w:tr>
        <w:trPr>
          <w:trHeight w:val="408"/>
        </w:trPr>
        <w:tc>
          <w:tcPr>
            <w:tcW w:w="4120" w:type="dxa"/>
            <w:vAlign w:val="bottom"/>
            <w:gridSpan w:val="2"/>
          </w:tcPr>
          <w:p>
            <w:pPr>
              <w:spacing w:after="0"/>
              <w:rPr>
                <w:sz w:val="20"/>
                <w:szCs w:val="20"/>
                <w:color w:val="auto"/>
              </w:rPr>
            </w:pPr>
            <w:r>
              <w:rPr>
                <w:rFonts w:ascii="Arial" w:cs="Arial" w:eastAsia="Arial" w:hAnsi="Arial"/>
                <w:sz w:val="17"/>
                <w:szCs w:val="17"/>
                <w:color w:val="auto"/>
              </w:rPr>
              <w:t>Veracyte Commissioning Issues Summary</w:t>
            </w:r>
          </w:p>
        </w:tc>
        <w:tc>
          <w:tcPr>
            <w:tcW w:w="1400" w:type="dxa"/>
            <w:vAlign w:val="bottom"/>
          </w:tcPr>
          <w:p>
            <w:pPr>
              <w:spacing w:after="0"/>
              <w:rPr>
                <w:sz w:val="24"/>
                <w:szCs w:val="24"/>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Priority</w:t>
            </w:r>
          </w:p>
        </w:tc>
      </w:tr>
      <w:tr>
        <w:trPr>
          <w:trHeight w:val="210"/>
        </w:trPr>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1- for completion of commissioning</w:t>
            </w:r>
          </w:p>
        </w:tc>
      </w:tr>
      <w:tr>
        <w:trPr>
          <w:trHeight w:val="222"/>
        </w:trPr>
        <w:tc>
          <w:tcPr>
            <w:tcW w:w="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2 - can follow commissioning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Architectural (to add to the Lauck Group Punchlist)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Lock on the lab door 106</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Clean paint specs on outlet boxes on counter in Lab 106</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Utilities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Resolve safety shower model number</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BAY MEP</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BAY MEP to review water/drain set up</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Resolve access panel for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Resolve trap primer location/access panel</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hot &amp; cold water lines into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Tagging per General Provisions Note 14 of P0.00</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Escutcheons on water pipes entering the lab through the ceiling per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Plumbing General Note 15</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 drawings (Plumbing &amp; Fire Sprinklers in PDF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AutoCAD)</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9 and 10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6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Verification of disinfection per Plumbing General Note 5</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Electrical</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Correct power supplied to the lab - match drawing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Install missing outlets as noted on E3.01 drawings, Phase 1 and Phase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2, dated 4/15/13</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Disconnect switch to the fume hood exhaust fan - this fan and the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MAU to run 24 x 7</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Several 2-pole breakers in the panels need to be switched out to single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pole per the panel schedule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Correct and update panel schedules (Per Identification Labeling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General Note 1 and comments on the panel schedules)</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All outlets on DPUPS to be red with standard cover plate (note 4,</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E3/01). All outlets from DPL to be grey with standard cover plate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Spare circuits to be in the off position</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Lab Panel 1LAB2 (missing name plate)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all outlets and light switches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10</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9"/>
              </w:rPr>
              <w:t>Note location of the roof receptacle on the drawings (how will the use</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Veracyte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Pending</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r>
      <w:tr>
        <w:trPr>
          <w:trHeight w:val="222"/>
        </w:trPr>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of this receptacle be managed since it comes from a Veracyte panel?)</w:t>
            </w:r>
          </w:p>
        </w:tc>
        <w:tc>
          <w:tcPr>
            <w:tcW w:w="1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5440" w:type="dxa"/>
            <w:vAlign w:val="bottom"/>
          </w:tcPr>
          <w:p>
            <w:pPr>
              <w:ind w:left="280"/>
              <w:spacing w:after="0"/>
              <w:rPr>
                <w:sz w:val="20"/>
                <w:szCs w:val="20"/>
                <w:color w:val="auto"/>
              </w:rPr>
            </w:pPr>
            <w:r>
              <w:rPr>
                <w:rFonts w:ascii="Arial" w:cs="Arial" w:eastAsia="Arial" w:hAnsi="Arial"/>
                <w:sz w:val="17"/>
                <w:szCs w:val="17"/>
                <w:color w:val="auto"/>
              </w:rPr>
              <w:t>Provide summary of sub metering infrastructure (E3.01)</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12</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Credit for call box not installed at the front lobby door</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13</w:t>
            </w:r>
          </w:p>
        </w:tc>
        <w:tc>
          <w:tcPr>
            <w:tcW w:w="5440" w:type="dxa"/>
            <w:vAlign w:val="bottom"/>
          </w:tcPr>
          <w:p>
            <w:pPr>
              <w:ind w:left="280"/>
              <w:spacing w:after="0"/>
              <w:rPr>
                <w:sz w:val="20"/>
                <w:szCs w:val="20"/>
                <w:color w:val="auto"/>
              </w:rPr>
            </w:pPr>
            <w:r>
              <w:rPr>
                <w:rFonts w:ascii="Arial" w:cs="Arial" w:eastAsia="Arial" w:hAnsi="Arial"/>
                <w:sz w:val="17"/>
                <w:szCs w:val="17"/>
                <w:color w:val="auto"/>
              </w:rPr>
              <w:t>As-built drawings (PDF and AutoCAD)</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160"/>
        </w:trPr>
        <w:tc>
          <w:tcPr>
            <w:tcW w:w="1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bl>
    <w:p>
      <w:pPr>
        <w:sectPr>
          <w:pgSz w:w="11900" w:h="16900" w:orient="portrait"/>
          <w:cols w:equalWidth="0" w:num="1">
            <w:col w:w="11460"/>
          </w:cols>
          <w:pgMar w:left="240" w:top="331" w:right="199" w:bottom="0" w:gutter="0" w:footer="0" w:header="0"/>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10 of E0.00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7 of E0.00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Close Out requirement per E0.00</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4/127/13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DPUPS Panel is NOT bonded</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2"/>
              </w:rPr>
              <w:t>Veracyte</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Mechanical</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FCU 1-3 smoke detector indication not working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Add fitting to second location near fume hood, re-verify it is balanced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to 100 CFM</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Relocate office system thermostat located in Lab 106 (into the correct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zone)</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8"/>
              </w:rPr>
              <w:t>There is a fan supplying air into Storage 121, please include this in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as-builts and incorporate into the air balance report. (on circuit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1LAB1-17)</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Fume hood alarm is not working, please investigate, this was existing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but needs to be repaired.</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Verify new filters were installed in the base HVAC system per note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in Project Close Out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Written operating narrative per Note D in Project Close Out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Confirm smoke detectors installed for FCU 1-1 and FCU 1-2,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FCU 1-3 - provide copies of Fire Alarm Plans.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As-built drawings (PDF and AutoCAD)</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O&amp;M Manuals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Close Out requirement</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325"/>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Air Balance Report Questions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Please update to include the fan to storage room 121</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The flow hood does not have any calibration information noted -</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describe how this instrument’s accuracy is verified (3/16)</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clarify which instrument was used to measure the pressure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differential and forward a copy of the cal cert (3/16)</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Resolve note on the top of Page 4 with BAYMEP (regarding Note 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on M2.01 - Ph2) (4/16)</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verify that 100 cfm is balanced to the second vent point near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hood (it is currently capped)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add the information on the filters for all of the units (FCU1-1,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1-2, 1-3, MAU and existing HVAC into the air balance report)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w w:val="98"/>
              </w:rPr>
              <w:t>FCU1-1 - page 7, Terminal numbers 5 and 6 need to be rebalanced to</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correct amount (they were swapped)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MAU has blown fuses (4/16/13 Team Service checkout) - was this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Veracyte</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working during the air balancing?</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The fume hood information is indicating 168 FPM across the face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407"/>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OSHA (Federal Occupational Safety and Health Administration)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Appendix A 4. (g) Quality. recommends, “...</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airflow into and within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2"/>
              </w:rPr>
              <w:t>the hood should not be excessively turbulent</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hood face velocity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should be adequate (typically 60-100 Ifm)  ”...</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Is this hood exhausting too much air?</w:t>
            </w: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http://ateam.lbl.gov/hightech/fumehood/students/su00/Fox/</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FHSafety.htm</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No information on the supply into Lab 110 was included in the air</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balance report</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Lab 110 missed two supply locations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w w:val="99"/>
              </w:rPr>
              <w:t>What note 5 is Adrian referring to? There are several “note 5s” on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mechanical plans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In generally, could you ask them to measure all of the supply grills -</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looks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like they missed others. I circled most of the missing locations in the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two</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It would also be preferable to have all air balance information in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single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Punchlist</w:t>
      </w:r>
    </w:p>
    <w:p>
      <w:pPr>
        <w:sectPr>
          <w:pgSz w:w="11900" w:h="16838" w:orient="portrait"/>
          <w:cols w:equalWidth="0" w:num="1">
            <w:col w:w="11460"/>
          </w:cols>
          <w:pgMar w:left="240" w:top="140" w:right="199" w:bottom="0" w:gutter="0" w:footer="0" w:header="0"/>
          <w:type w:val="continuous"/>
        </w:sectPr>
      </w:pPr>
    </w:p>
    <w:bookmarkStart w:id="319" w:name="page320"/>
    <w:bookmarkEnd w:id="319"/>
    <w:tbl>
      <w:tblPr>
        <w:tblLayout w:type="fixed"/>
        <w:tblInd w:w="0" w:type="dxa"/>
        <w:tblCellMar>
          <w:top w:w="0" w:type="dxa"/>
          <w:left w:w="0" w:type="dxa"/>
          <w:bottom w:w="0" w:type="dxa"/>
          <w:right w:w="0" w:type="dxa"/>
        </w:tblCellMar>
      </w:tblPr>
      <w:tr>
        <w:trPr>
          <w:trHeight w:val="167"/>
        </w:trPr>
        <w:tc>
          <w:tcPr>
            <w:tcW w:w="15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Date Noted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190"/>
        </w:trPr>
        <w:tc>
          <w:tcPr>
            <w:tcW w:w="126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4/18/2013</w:t>
            </w: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jc w:val="right"/>
              <w:ind w:right="193"/>
              <w:spacing w:after="0" w:line="190" w:lineRule="exact"/>
              <w:rPr>
                <w:sz w:val="20"/>
                <w:szCs w:val="20"/>
                <w:color w:val="auto"/>
              </w:rPr>
            </w:pPr>
            <w:r>
              <w:rPr>
                <w:rFonts w:ascii="Arial" w:cs="Arial" w:eastAsia="Arial" w:hAnsi="Arial"/>
                <w:sz w:val="17"/>
                <w:szCs w:val="17"/>
                <w:color w:val="auto"/>
              </w:rPr>
              <w:t>1</w:t>
            </w:r>
          </w:p>
        </w:tc>
        <w:tc>
          <w:tcPr>
            <w:tcW w:w="30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Room Lab 108: Caulk joint at wall/millwork near safety shower;</w:t>
            </w: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rPr>
              <w:t>1</w:t>
            </w:r>
          </w:p>
        </w:tc>
        <w:tc>
          <w:tcPr>
            <w:tcW w:w="40" w:type="dxa"/>
            <w:vAlign w:val="bottom"/>
          </w:tcPr>
          <w:p>
            <w:pPr>
              <w:spacing w:after="0"/>
              <w:rPr>
                <w:sz w:val="16"/>
                <w:szCs w:val="16"/>
                <w:color w:val="auto"/>
              </w:rPr>
            </w:pPr>
          </w:p>
        </w:tc>
      </w:tr>
      <w:tr>
        <w:trPr>
          <w:trHeight w:val="210"/>
        </w:trPr>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install backer rod for clean joint if necessary. Rework trap primer as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w w:val="99"/>
              </w:rPr>
              <w:t>directed by Bay Engineers Safety shower substitution is accepted per</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Bay Engineers Receptacles missing at tombstone on millwork</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countertop (labeled 1-LAB2-4) wall-mounted thermostatic mixing</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valve is acceptable per Bay Engineers</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4/18/2013</w:t>
            </w:r>
          </w:p>
        </w:tc>
        <w:tc>
          <w:tcPr>
            <w:tcW w:w="66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5520" w:type="dxa"/>
            <w:vAlign w:val="bottom"/>
            <w:gridSpan w:val="3"/>
          </w:tcPr>
          <w:p>
            <w:pPr>
              <w:ind w:left="300"/>
              <w:spacing w:after="0"/>
              <w:rPr>
                <w:sz w:val="20"/>
                <w:szCs w:val="20"/>
                <w:color w:val="auto"/>
              </w:rPr>
            </w:pPr>
            <w:r>
              <w:rPr>
                <w:rFonts w:ascii="Arial" w:cs="Arial" w:eastAsia="Arial" w:hAnsi="Arial"/>
                <w:sz w:val="17"/>
                <w:szCs w:val="17"/>
                <w:color w:val="auto"/>
              </w:rPr>
              <w:t>Lab Support 106: Complete installation of keyed lockset hardware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20" w:type="dxa"/>
            <w:vAlign w:val="bottom"/>
            <w:gridSpan w:val="3"/>
          </w:tcPr>
          <w:p>
            <w:pPr>
              <w:ind w:left="300"/>
              <w:spacing w:after="0"/>
              <w:rPr>
                <w:sz w:val="20"/>
                <w:szCs w:val="20"/>
                <w:color w:val="auto"/>
              </w:rPr>
            </w:pPr>
            <w:r>
              <w:rPr>
                <w:rFonts w:ascii="Arial" w:cs="Arial" w:eastAsia="Arial" w:hAnsi="Arial"/>
                <w:sz w:val="17"/>
                <w:szCs w:val="17"/>
                <w:color w:val="auto"/>
              </w:rPr>
              <w:t>Missing data coverplate at wall</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4/18/2013</w:t>
            </w:r>
          </w:p>
        </w:tc>
        <w:tc>
          <w:tcPr>
            <w:tcW w:w="6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w:t>
            </w: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w w:val="98"/>
              </w:rPr>
              <w:t>Lab 110: Missing data coverplates at wall Reception desk: SS at south</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7"/>
              </w:rPr>
              <w:t>Arch</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end missing; knee-space panels missing, light ardex coverage at</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corner bead of front facade.</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F</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9"/>
        </w:trPr>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FORM OF TENANT ESTOPPEL CERTIFICATE</w:t>
            </w: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3820" w:type="dxa"/>
            <w:vAlign w:val="bottom"/>
            <w:gridSpan w:val="3"/>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426"/>
        </w:trPr>
        <w:tc>
          <w:tcPr>
            <w:tcW w:w="6160" w:type="dxa"/>
            <w:vAlign w:val="bottom"/>
            <w:gridSpan w:val="5"/>
          </w:tcPr>
          <w:p>
            <w:pPr>
              <w:ind w:left="640"/>
              <w:spacing w:after="0"/>
              <w:rPr>
                <w:sz w:val="20"/>
                <w:szCs w:val="20"/>
                <w:color w:val="auto"/>
              </w:rPr>
            </w:pPr>
            <w:r>
              <w:rPr>
                <w:rFonts w:ascii="Arial" w:cs="Arial" w:eastAsia="Arial" w:hAnsi="Arial"/>
                <w:sz w:val="17"/>
                <w:szCs w:val="17"/>
                <w:color w:val="auto"/>
              </w:rPr>
              <w:t>The undersigned is the Tenant under the Lease (defined below) between</w:t>
            </w:r>
          </w:p>
        </w:tc>
        <w:tc>
          <w:tcPr>
            <w:tcW w:w="580" w:type="dxa"/>
            <w:vAlign w:val="bottom"/>
          </w:tcPr>
          <w:p>
            <w:pPr>
              <w:spacing w:after="0"/>
              <w:rPr>
                <w:sz w:val="24"/>
                <w:szCs w:val="24"/>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auto"/>
              </w:rPr>
              <w:t>, a</w:t>
            </w:r>
          </w:p>
        </w:tc>
        <w:tc>
          <w:tcPr>
            <w:tcW w:w="3460" w:type="dxa"/>
            <w:vAlign w:val="bottom"/>
            <w:gridSpan w:val="2"/>
          </w:tcPr>
          <w:p>
            <w:pPr>
              <w:ind w:left="660"/>
              <w:spacing w:after="0"/>
              <w:rPr>
                <w:sz w:val="20"/>
                <w:szCs w:val="20"/>
                <w:color w:val="auto"/>
              </w:rPr>
            </w:pPr>
            <w:r>
              <w:rPr>
                <w:rFonts w:ascii="Arial" w:cs="Arial" w:eastAsia="Arial" w:hAnsi="Arial"/>
                <w:sz w:val="17"/>
                <w:szCs w:val="17"/>
                <w:color w:val="auto"/>
                <w:w w:val="97"/>
              </w:rPr>
              <w:t>, as Landlord, and the undersigned as</w:t>
            </w:r>
          </w:p>
        </w:tc>
      </w:tr>
      <w:tr>
        <w:trPr>
          <w:trHeight w:val="210"/>
        </w:trPr>
        <w:tc>
          <w:tcPr>
            <w:tcW w:w="2520" w:type="dxa"/>
            <w:vAlign w:val="bottom"/>
            <w:gridSpan w:val="2"/>
          </w:tcPr>
          <w:p>
            <w:pPr>
              <w:spacing w:after="0"/>
              <w:rPr>
                <w:sz w:val="20"/>
                <w:szCs w:val="20"/>
                <w:color w:val="auto"/>
              </w:rPr>
            </w:pPr>
            <w:r>
              <w:rPr>
                <w:rFonts w:ascii="Arial" w:cs="Arial" w:eastAsia="Arial" w:hAnsi="Arial"/>
                <w:sz w:val="17"/>
                <w:szCs w:val="17"/>
                <w:color w:val="auto"/>
              </w:rPr>
              <w:t>Tenant, for the Premises on the</w:t>
            </w:r>
          </w:p>
        </w:tc>
        <w:tc>
          <w:tcPr>
            <w:tcW w:w="3640" w:type="dxa"/>
            <w:vAlign w:val="bottom"/>
            <w:gridSpan w:val="3"/>
          </w:tcPr>
          <w:p>
            <w:pPr>
              <w:ind w:left="360"/>
              <w:spacing w:after="0"/>
              <w:rPr>
                <w:sz w:val="20"/>
                <w:szCs w:val="20"/>
                <w:color w:val="auto"/>
              </w:rPr>
            </w:pPr>
            <w:r>
              <w:rPr>
                <w:rFonts w:ascii="Arial" w:cs="Arial" w:eastAsia="Arial" w:hAnsi="Arial"/>
                <w:sz w:val="17"/>
                <w:szCs w:val="17"/>
                <w:color w:val="auto"/>
              </w:rPr>
              <w:t>floor(s) of the building located at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7"/>
                <w:szCs w:val="17"/>
                <w:color w:val="auto"/>
              </w:rPr>
              <w:t>and commonly known as</w:t>
            </w:r>
          </w:p>
        </w:tc>
        <w:tc>
          <w:tcPr>
            <w:tcW w:w="960" w:type="dxa"/>
            <w:vAlign w:val="bottom"/>
          </w:tcPr>
          <w:p>
            <w:pPr>
              <w:ind w:left="620"/>
              <w:spacing w:after="0"/>
              <w:rPr>
                <w:sz w:val="20"/>
                <w:szCs w:val="20"/>
                <w:color w:val="auto"/>
              </w:rPr>
            </w:pPr>
            <w:r>
              <w:rPr>
                <w:rFonts w:ascii="Arial" w:cs="Arial" w:eastAsia="Arial" w:hAnsi="Arial"/>
                <w:sz w:val="17"/>
                <w:szCs w:val="17"/>
                <w:color w:val="auto"/>
                <w:w w:val="84"/>
              </w:rPr>
              <w:t>, and</w:t>
            </w:r>
          </w:p>
        </w:tc>
      </w:tr>
      <w:tr>
        <w:trPr>
          <w:trHeight w:val="222"/>
        </w:trPr>
        <w:tc>
          <w:tcPr>
            <w:tcW w:w="2520" w:type="dxa"/>
            <w:vAlign w:val="bottom"/>
            <w:gridSpan w:val="2"/>
          </w:tcPr>
          <w:p>
            <w:pPr>
              <w:spacing w:after="0"/>
              <w:rPr>
                <w:sz w:val="20"/>
                <w:szCs w:val="20"/>
                <w:color w:val="auto"/>
              </w:rPr>
            </w:pPr>
            <w:r>
              <w:rPr>
                <w:rFonts w:ascii="Arial" w:cs="Arial" w:eastAsia="Arial" w:hAnsi="Arial"/>
                <w:sz w:val="17"/>
                <w:szCs w:val="17"/>
                <w:color w:val="auto"/>
              </w:rPr>
              <w:t>hereby certifies as follows:</w:t>
            </w: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9"/>
        </w:trPr>
        <w:tc>
          <w:tcPr>
            <w:tcW w:w="1020" w:type="dxa"/>
            <w:vAlign w:val="bottom"/>
          </w:tcPr>
          <w:p>
            <w:pPr>
              <w:ind w:left="640"/>
              <w:spacing w:after="0"/>
              <w:rPr>
                <w:sz w:val="20"/>
                <w:szCs w:val="20"/>
                <w:color w:val="auto"/>
              </w:rPr>
            </w:pPr>
            <w:r>
              <w:rPr>
                <w:rFonts w:ascii="Arial" w:cs="Arial" w:eastAsia="Arial" w:hAnsi="Arial"/>
                <w:sz w:val="17"/>
                <w:szCs w:val="17"/>
                <w:color w:val="auto"/>
              </w:rPr>
              <w:t>1.</w:t>
            </w:r>
          </w:p>
        </w:tc>
        <w:tc>
          <w:tcPr>
            <w:tcW w:w="5140" w:type="dxa"/>
            <w:vAlign w:val="bottom"/>
            <w:gridSpan w:val="4"/>
          </w:tcPr>
          <w:p>
            <w:pPr>
              <w:ind w:left="240"/>
              <w:spacing w:after="0"/>
              <w:rPr>
                <w:sz w:val="20"/>
                <w:szCs w:val="20"/>
                <w:color w:val="auto"/>
              </w:rPr>
            </w:pPr>
            <w:r>
              <w:rPr>
                <w:rFonts w:ascii="Arial" w:cs="Arial" w:eastAsia="Arial" w:hAnsi="Arial"/>
                <w:sz w:val="17"/>
                <w:szCs w:val="17"/>
                <w:color w:val="auto"/>
              </w:rPr>
              <w:t>The Lease consists of the original Lease Agreement dated as of</w:t>
            </w:r>
          </w:p>
        </w:tc>
        <w:tc>
          <w:tcPr>
            <w:tcW w:w="580" w:type="dxa"/>
            <w:vAlign w:val="bottom"/>
          </w:tcPr>
          <w:p>
            <w:pPr>
              <w:spacing w:after="0"/>
              <w:rPr>
                <w:sz w:val="24"/>
                <w:szCs w:val="24"/>
                <w:color w:val="auto"/>
              </w:rPr>
            </w:pPr>
          </w:p>
        </w:tc>
        <w:tc>
          <w:tcPr>
            <w:tcW w:w="4420" w:type="dxa"/>
            <w:vAlign w:val="bottom"/>
            <w:gridSpan w:val="4"/>
          </w:tcPr>
          <w:p>
            <w:pPr>
              <w:ind w:left="260"/>
              <w:spacing w:after="0"/>
              <w:rPr>
                <w:sz w:val="20"/>
                <w:szCs w:val="20"/>
                <w:color w:val="auto"/>
              </w:rPr>
            </w:pPr>
            <w:r>
              <w:rPr>
                <w:rFonts w:ascii="Arial" w:cs="Arial" w:eastAsia="Arial" w:hAnsi="Arial"/>
                <w:sz w:val="17"/>
                <w:szCs w:val="17"/>
                <w:color w:val="auto"/>
                <w:w w:val="98"/>
              </w:rPr>
              <w:t xml:space="preserve">, 20   , between Tenant and Landlord </w:t>
            </w:r>
            <w:r>
              <w:rPr>
                <w:rFonts w:ascii="Arial" w:cs="Arial" w:eastAsia="Arial" w:hAnsi="Arial"/>
                <w:sz w:val="17"/>
                <w:szCs w:val="17"/>
                <w:i w:val="1"/>
                <w:iCs w:val="1"/>
                <w:color w:val="auto"/>
                <w:w w:val="98"/>
              </w:rPr>
              <w:t>[‘s predecessor-in-</w:t>
            </w:r>
          </w:p>
        </w:tc>
      </w:tr>
    </w:tbl>
    <w:p>
      <w:pPr>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and the following amendments or modifications thereto (if none, please state “none”):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documents listed above are herein collectively referred to as the “</w:t>
      </w:r>
      <w:r>
        <w:rPr>
          <w:rFonts w:ascii="Arial" w:cs="Arial" w:eastAsia="Arial" w:hAnsi="Arial"/>
          <w:sz w:val="15"/>
          <w:szCs w:val="15"/>
          <w:b w:val="1"/>
          <w:bCs w:val="1"/>
          <w:u w:val="single" w:color="auto"/>
          <w:color w:val="auto"/>
        </w:rPr>
        <w:t>Lease</w:t>
      </w:r>
      <w:r>
        <w:rPr>
          <w:rFonts w:ascii="Arial" w:cs="Arial" w:eastAsia="Arial" w:hAnsi="Arial"/>
          <w:sz w:val="15"/>
          <w:szCs w:val="15"/>
          <w:color w:val="auto"/>
        </w:rPr>
        <w:t>” and represent the entire agreement between the parties with respect to the Premises.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herein but not defined shall be given the meaning assigned to them in the Lease.</w:t>
      </w:r>
    </w:p>
    <w:p>
      <w:pPr>
        <w:spacing w:after="0" w:line="212" w:lineRule="exact"/>
        <w:rPr>
          <w:sz w:val="20"/>
          <w:szCs w:val="20"/>
          <w:color w:val="auto"/>
        </w:rPr>
      </w:pPr>
    </w:p>
    <w:p>
      <w:pPr>
        <w:ind w:left="1260" w:hanging="626"/>
        <w:spacing w:after="0"/>
        <w:tabs>
          <w:tab w:leader="none" w:pos="12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Lease is in full force and effect and has not been modified, supplemented or amended in any way except as provided in Section 1 above.</w:t>
      </w:r>
    </w:p>
    <w:p>
      <w:pPr>
        <w:spacing w:after="0" w:line="236" w:lineRule="exact"/>
        <w:rPr>
          <w:sz w:val="20"/>
          <w:szCs w:val="20"/>
          <w:color w:val="auto"/>
        </w:rPr>
      </w:pPr>
    </w:p>
    <w:p>
      <w:pPr>
        <w:jc w:val="both"/>
        <w:ind w:right="40" w:firstLine="629"/>
        <w:spacing w:after="0" w:line="284" w:lineRule="auto"/>
        <w:rPr>
          <w:sz w:val="20"/>
          <w:szCs w:val="20"/>
          <w:color w:val="auto"/>
        </w:rPr>
      </w:pPr>
      <w:r>
        <w:rPr>
          <w:rFonts w:ascii="Arial" w:cs="Arial" w:eastAsia="Arial" w:hAnsi="Arial"/>
          <w:sz w:val="17"/>
          <w:szCs w:val="17"/>
          <w:color w:val="auto"/>
        </w:rPr>
        <w:t>3. The Term commenced on , 20 , and the Term expires, excluding any renewal options, on , 20 , and Tenant has no option to purchase all or any part of the Premises or the Building or, except as expressly set forth in the Lease, any option to terminate or cancel the Lease.</w:t>
      </w:r>
    </w:p>
    <w:p>
      <w:pPr>
        <w:spacing w:after="0" w:line="376" w:lineRule="exact"/>
        <w:rPr>
          <w:sz w:val="20"/>
          <w:szCs w:val="20"/>
          <w:color w:val="auto"/>
        </w:rPr>
      </w:pPr>
    </w:p>
    <w:p>
      <w:pPr>
        <w:ind w:right="80" w:firstLine="634"/>
        <w:spacing w:after="0" w:line="289" w:lineRule="auto"/>
        <w:tabs>
          <w:tab w:leader="none" w:pos="1258"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200" w:lineRule="exact"/>
        <w:rPr>
          <w:rFonts w:ascii="Arial" w:cs="Arial" w:eastAsia="Arial" w:hAnsi="Arial"/>
          <w:sz w:val="17"/>
          <w:szCs w:val="17"/>
          <w:color w:val="auto"/>
        </w:rPr>
      </w:pPr>
    </w:p>
    <w:p>
      <w:pPr>
        <w:spacing w:after="0" w:line="377" w:lineRule="exact"/>
        <w:rPr>
          <w:rFonts w:ascii="Arial" w:cs="Arial" w:eastAsia="Arial" w:hAnsi="Arial"/>
          <w:sz w:val="17"/>
          <w:szCs w:val="17"/>
          <w:color w:val="auto"/>
        </w:rPr>
      </w:pPr>
    </w:p>
    <w:p>
      <w:pPr>
        <w:ind w:left="1260" w:hanging="626"/>
        <w:spacing w:after="0"/>
        <w:tabs>
          <w:tab w:leader="none" w:pos="12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All monthly installments of Basic Rent, all Additional Rent and all monthly installments of estimated Additional Rent have been paid when due</w:t>
      </w:r>
    </w:p>
    <w:p>
      <w:pPr>
        <w:spacing w:after="0" w:line="38" w:lineRule="exact"/>
        <w:rPr>
          <w:sz w:val="20"/>
          <w:szCs w:val="20"/>
          <w:color w:val="auto"/>
        </w:rPr>
      </w:pPr>
    </w:p>
    <w:p>
      <w:pPr>
        <w:spacing w:after="0"/>
        <w:tabs>
          <w:tab w:leader="none" w:pos="1400" w:val="left"/>
          <w:tab w:leader="none" w:pos="5820" w:val="left"/>
        </w:tabs>
        <w:rPr>
          <w:sz w:val="20"/>
          <w:szCs w:val="20"/>
          <w:color w:val="auto"/>
        </w:rPr>
      </w:pPr>
      <w:r>
        <w:rPr>
          <w:rFonts w:ascii="Arial" w:cs="Arial" w:eastAsia="Arial" w:hAnsi="Arial"/>
          <w:sz w:val="17"/>
          <w:szCs w:val="17"/>
          <w:color w:val="auto"/>
        </w:rPr>
        <w:t>through</w:t>
      </w:r>
      <w:r>
        <w:rPr>
          <w:sz w:val="20"/>
          <w:szCs w:val="20"/>
          <w:color w:val="auto"/>
        </w:rPr>
        <w:tab/>
      </w:r>
      <w:r>
        <w:rPr>
          <w:rFonts w:ascii="Arial" w:cs="Arial" w:eastAsia="Arial" w:hAnsi="Arial"/>
          <w:sz w:val="17"/>
          <w:szCs w:val="17"/>
          <w:color w:val="auto"/>
        </w:rPr>
        <w:t>. The current monthly installment of Basic Rent is $</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right="220" w:firstLine="634"/>
        <w:spacing w:after="0" w:line="289" w:lineRule="auto"/>
        <w:tabs>
          <w:tab w:leader="none" w:pos="125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158"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As of the date hereof, there are no existing defenses or offsets, or, to Tenant’s knowledge, claims or any basis for a claim, that Tenant has against Landlord and no event has occurred and no condition exists, which, with the giving of notice or the passage of time, or both, will constitute a default under the Lease.</w:t>
      </w:r>
    </w:p>
    <w:p>
      <w:pPr>
        <w:spacing w:after="0" w:line="171" w:lineRule="exact"/>
        <w:rPr>
          <w:rFonts w:ascii="Arial" w:cs="Arial" w:eastAsia="Arial" w:hAnsi="Arial"/>
          <w:sz w:val="17"/>
          <w:szCs w:val="17"/>
          <w:color w:val="auto"/>
        </w:rPr>
      </w:pPr>
    </w:p>
    <w:p>
      <w:pPr>
        <w:ind w:left="5580" w:right="280" w:hanging="4946"/>
        <w:spacing w:after="0" w:line="547" w:lineRule="auto"/>
        <w:tabs>
          <w:tab w:leader="none" w:pos="1265" w:val="left"/>
        </w:tabs>
        <w:numPr>
          <w:ilvl w:val="0"/>
          <w:numId w:val="463"/>
        </w:numPr>
        <w:rPr>
          <w:rFonts w:ascii="Arial" w:cs="Arial" w:eastAsia="Arial" w:hAnsi="Arial"/>
          <w:sz w:val="17"/>
          <w:szCs w:val="17"/>
          <w:color w:val="auto"/>
        </w:rPr>
      </w:pPr>
      <w:r>
        <w:rPr>
          <w:rFonts w:ascii="Arial" w:cs="Arial" w:eastAsia="Arial" w:hAnsi="Arial"/>
          <w:sz w:val="17"/>
          <w:szCs w:val="17"/>
          <w:color w:val="auto"/>
        </w:rPr>
        <w:t>No rental has been paid more than 30 days in advance and no security deposit has been delivered to Landlord except as provided in the Lease. G-1</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right="80" w:firstLine="634"/>
        <w:spacing w:after="0" w:line="268" w:lineRule="auto"/>
        <w:tabs>
          <w:tab w:leader="none" w:pos="125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If Tenant is a corporation, partnership or other business entity, each individual executing this Estoppel Certificate on behalf of Tenant hereby represents and warrants that Tenant is and will remain during the Term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There are no actions pending against Tenant under any bankruptcy or similar laws of the United States or any state.</w:t>
      </w:r>
    </w:p>
    <w:p>
      <w:pPr>
        <w:spacing w:after="0" w:line="224" w:lineRule="exact"/>
        <w:rPr>
          <w:rFonts w:ascii="Arial" w:cs="Arial" w:eastAsia="Arial" w:hAnsi="Arial"/>
          <w:sz w:val="17"/>
          <w:szCs w:val="17"/>
          <w:color w:val="auto"/>
        </w:rPr>
      </w:pPr>
    </w:p>
    <w:p>
      <w:pPr>
        <w:ind w:right="160" w:firstLine="634"/>
        <w:spacing w:after="0" w:line="289" w:lineRule="auto"/>
        <w:tabs>
          <w:tab w:leader="none" w:pos="124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Other than in compliance with all applicable laws and incidental to the ordinary course of the use of the Premises, Tenant has not used or stored any hazardous substances in the Premises.</w:t>
      </w:r>
    </w:p>
    <w:p>
      <w:pPr>
        <w:spacing w:after="0" w:line="158" w:lineRule="exact"/>
        <w:rPr>
          <w:rFonts w:ascii="Arial" w:cs="Arial" w:eastAsia="Arial" w:hAnsi="Arial"/>
          <w:sz w:val="17"/>
          <w:szCs w:val="17"/>
          <w:color w:val="auto"/>
        </w:rPr>
      </w:pPr>
    </w:p>
    <w:p>
      <w:pPr>
        <w:ind w:right="80" w:firstLine="634"/>
        <w:spacing w:after="0" w:line="360" w:lineRule="auto"/>
        <w:tabs>
          <w:tab w:leader="none" w:pos="1254" w:val="left"/>
        </w:tabs>
        <w:numPr>
          <w:ilvl w:val="0"/>
          <w:numId w:val="463"/>
        </w:numPr>
        <w:rPr>
          <w:rFonts w:ascii="Arial" w:cs="Arial" w:eastAsia="Arial" w:hAnsi="Arial"/>
          <w:sz w:val="15"/>
          <w:szCs w:val="15"/>
          <w:color w:val="auto"/>
        </w:rPr>
      </w:pPr>
      <w:r>
        <w:rPr>
          <w:rFonts w:ascii="Arial" w:cs="Arial" w:eastAsia="Arial" w:hAnsi="Arial"/>
          <w:sz w:val="15"/>
          <w:szCs w:val="15"/>
          <w:color w:val="auto"/>
        </w:rPr>
        <w:t>All tenant improvement work to be performed by Landlord under the Lease has been completed in accordance with the Lease and has been accepted by Tenant and all reimbursements and allowances due to Tenant under the Lease in connection with any tenant improvement work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-2028825</wp:posOffset>
            </wp:positionV>
            <wp:extent cx="7271385"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92"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ectPr>
          <w:pgSz w:w="11900" w:h="16838" w:orient="portrait"/>
          <w:cols w:equalWidth="0" w:num="1">
            <w:col w:w="11460"/>
          </w:cols>
          <w:pgMar w:left="240" w:top="327" w:right="199" w:bottom="0" w:gutter="0" w:footer="0" w:header="0"/>
        </w:sectPr>
      </w:pPr>
    </w:p>
    <w:bookmarkStart w:id="320" w:name="page321"/>
    <w:bookmarkEnd w:id="320"/>
    <w:p>
      <w:pPr>
        <w:ind w:left="640"/>
        <w:spacing w:after="0"/>
        <w:rPr>
          <w:sz w:val="20"/>
          <w:szCs w:val="20"/>
          <w:color w:val="auto"/>
        </w:rPr>
      </w:pPr>
      <w:r>
        <w:rPr>
          <w:rFonts w:ascii="Arial" w:cs="Arial" w:eastAsia="Arial" w:hAnsi="Arial"/>
          <w:sz w:val="15"/>
          <w:szCs w:val="15"/>
          <w:color w:val="auto"/>
        </w:rPr>
        <w:t>Executed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3">
            <w:col w:w="2520" w:space="720"/>
            <w:col w:w="260" w:space="120"/>
            <w:col w:w="7780"/>
          </w:cols>
          <w:pgMar w:left="240" w:top="127" w:right="259" w:bottom="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w:t>
      </w:r>
    </w:p>
    <w:p>
      <w:pPr>
        <w:spacing w:after="0" w:line="234" w:lineRule="exact"/>
        <w:rPr>
          <w:sz w:val="20"/>
          <w:szCs w:val="20"/>
          <w:color w:val="auto"/>
        </w:rPr>
      </w:pPr>
    </w:p>
    <w:p>
      <w:pPr>
        <w:sectPr>
          <w:pgSz w:w="11900" w:h="16838" w:orient="portrait"/>
          <w:cols w:equalWidth="0" w:num="2">
            <w:col w:w="7620" w:space="720"/>
            <w:col w:w="3060"/>
          </w:cols>
          <w:pgMar w:left="240" w:top="127" w:right="259" w:bottom="0" w:gutter="0" w:footer="0" w:header="0"/>
          <w:type w:val="continuous"/>
        </w:sect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-123190</wp:posOffset>
            </wp:positionV>
            <wp:extent cx="31883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9525</wp:posOffset>
            </wp:positionV>
            <wp:extent cx="31883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188335"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-123190</wp:posOffset>
            </wp:positionV>
            <wp:extent cx="31883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EXHIBIT G</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PARKING</w:t>
      </w:r>
    </w:p>
    <w:p>
      <w:pPr>
        <w:spacing w:after="0" w:line="224" w:lineRule="exact"/>
        <w:rPr>
          <w:sz w:val="20"/>
          <w:szCs w:val="20"/>
          <w:color w:val="auto"/>
        </w:rPr>
      </w:pPr>
    </w:p>
    <w:p>
      <w:pPr>
        <w:jc w:val="both"/>
        <w:ind w:right="140" w:firstLine="629"/>
        <w:spacing w:after="0" w:line="277" w:lineRule="auto"/>
        <w:rPr>
          <w:sz w:val="20"/>
          <w:szCs w:val="20"/>
          <w:color w:val="auto"/>
        </w:rPr>
      </w:pPr>
      <w:r>
        <w:rPr>
          <w:rFonts w:ascii="Arial" w:cs="Arial" w:eastAsia="Arial" w:hAnsi="Arial"/>
          <w:sz w:val="17"/>
          <w:szCs w:val="17"/>
          <w:color w:val="auto"/>
        </w:rPr>
        <w:t>Tenant shall be entitled to the use of 41 unreserved parking spaces in the parking facilities associated with the Building (the “</w:t>
      </w:r>
      <w:r>
        <w:rPr>
          <w:rFonts w:ascii="Arial" w:cs="Arial" w:eastAsia="Arial" w:hAnsi="Arial"/>
          <w:sz w:val="17"/>
          <w:szCs w:val="17"/>
          <w:b w:val="1"/>
          <w:bCs w:val="1"/>
          <w:u w:val="single" w:color="auto"/>
          <w:color w:val="auto"/>
        </w:rPr>
        <w:t>Parking Area</w:t>
      </w:r>
      <w:r>
        <w:rPr>
          <w:rFonts w:ascii="Arial" w:cs="Arial" w:eastAsia="Arial" w:hAnsi="Arial"/>
          <w:sz w:val="17"/>
          <w:szCs w:val="17"/>
          <w:color w:val="auto"/>
        </w:rPr>
        <w:t>”) subject to such terms, conditions and regulations as are from time to time applicable to patrons of the Parking Area. There shall be no additional charge for Tenant’s use of the unreserved parking spaces during the initial Term and any renewal thereof.</w:t>
      </w:r>
    </w:p>
    <w:p>
      <w:pPr>
        <w:spacing w:after="0" w:line="168"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Tenant shall at all times comply with all Laws respecting the use of the Parking Area. Landlord reserves the right to adopt, modify, and enforce reasonable rules and regulations governing the use of the Parking Area from time to time including designation of assigned parking spaces, requiring use of any key-card, sticker, or other identification or entrance systems and charging a fee for replacement of any such key-card sticker or other item used in connection with any such system and hours of operations. Landlord may refuse to permit any person who violates such rules and regulations to park in the Parking Area, and any violation of the rules and regulations shall subject the car to removal from the Parking Area.</w:t>
      </w:r>
    </w:p>
    <w:p>
      <w:pPr>
        <w:spacing w:after="0" w:line="179"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Unless specified to the contrary above, the parking spaces provided hereunder shall be provided on an unreserved, “first-come, first served” basis. Tenant acknowledges that Landlord has arranged or may arrange for the Parking Area to be operated by an independent contractor, not affiliated with Landlord.</w:t>
      </w:r>
    </w:p>
    <w:p>
      <w:pPr>
        <w:spacing w:after="0" w:line="136" w:lineRule="exact"/>
        <w:rPr>
          <w:sz w:val="20"/>
          <w:szCs w:val="20"/>
          <w:color w:val="auto"/>
        </w:rPr>
      </w:pPr>
    </w:p>
    <w:p>
      <w:pPr>
        <w:ind w:firstLine="629"/>
        <w:spacing w:after="0" w:line="297" w:lineRule="auto"/>
        <w:rPr>
          <w:sz w:val="20"/>
          <w:szCs w:val="20"/>
          <w:color w:val="auto"/>
        </w:rPr>
      </w:pPr>
      <w:r>
        <w:rPr>
          <w:rFonts w:ascii="Arial" w:cs="Arial" w:eastAsia="Arial" w:hAnsi="Arial"/>
          <w:sz w:val="15"/>
          <w:szCs w:val="15"/>
          <w:color w:val="auto"/>
        </w:rPr>
        <w:t xml:space="preserve">All motor vehicles (including all contents thereof) shall be parked in the Parking Area at the sole risk of Tenant and each other Tenant Party, it being expressly agreed and understood Landlord has no duty to insure any of said motor vehicles (including the contents thereof), and Landlord is not responsible for the protection and security of such vehicles. Landlord shall not be responsible for enforcing Tenant’s parking rights against any third parties. </w:t>
      </w:r>
      <w:r>
        <w:rPr>
          <w:rFonts w:ascii="Arial" w:cs="Arial" w:eastAsia="Arial" w:hAnsi="Arial"/>
          <w:sz w:val="15"/>
          <w:szCs w:val="15"/>
          <w:b w:val="1"/>
          <w:bCs w:val="1"/>
          <w:color w:val="auto"/>
        </w:rPr>
        <w:t>NOTWITHSTANDING</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b w:val="1"/>
          <w:bCs w:val="1"/>
          <w:color w:val="auto"/>
        </w:rPr>
        <w:t>ANYTHING TO THE CONTRARY CONTAINED IN THIS LEASE, LANDLORD SHALL HAVE NO LIABILITY WHATSOEVER FOR ANY PROPERTY DAMAGE OR LOSS WHICH MIGHT OCCUR ON THE PARKING AREA OR AS A RESULT OF OR IN CONNECTION WITH THE PARKING OF MOTOR VEHICLES IN ANY OF THE PARKING SPACES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EXHIBIT H</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RENEWAL OPTION</w:t>
      </w:r>
    </w:p>
    <w:p>
      <w:pPr>
        <w:spacing w:after="0" w:line="230"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Tenant may renew this Lease for one additional period of five years, by delivering written notice of the exercise thereof to Landlord not earlier than 15 months nor later than 12 months before the expiration of the Term. The Basic Rent payable for each month during such extended Term shall be the prevailing rental rate (the “</w:t>
      </w:r>
      <w:r>
        <w:rPr>
          <w:rFonts w:ascii="Arial" w:cs="Arial" w:eastAsia="Arial" w:hAnsi="Arial"/>
          <w:sz w:val="17"/>
          <w:szCs w:val="17"/>
          <w:b w:val="1"/>
          <w:bCs w:val="1"/>
          <w:u w:val="single" w:color="auto"/>
          <w:color w:val="auto"/>
        </w:rPr>
        <w:t>Prevailing Rental Rate</w:t>
      </w:r>
      <w:r>
        <w:rPr>
          <w:rFonts w:ascii="Arial" w:cs="Arial" w:eastAsia="Arial" w:hAnsi="Arial"/>
          <w:sz w:val="17"/>
          <w:szCs w:val="17"/>
          <w:color w:val="auto"/>
        </w:rPr>
        <w:t>”), at the commencement of such extended Term, for renewals of space in comparable buildings in the Northwest Austin, Texas submarket (including the Building) of equivalent quality, size, utility and location, with the length of the extended Term, the lack of any parking charges and the credit standing of Tenant to be taken into account on a fair market basis. Within 30 days after receipt of Tenant’s notice to renew, Landlord shall deliver to Tenant written notice of the Prevailing Rental Rate and shall advise Tenant of the required adjustment to Basic Rent, if any, and the other terms and conditions offered. Tenant shall, within 30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and conditions provided in this Lease, except as follows:</w:t>
      </w:r>
    </w:p>
    <w:p>
      <w:pPr>
        <w:spacing w:after="0" w:line="181" w:lineRule="exact"/>
        <w:rPr>
          <w:sz w:val="20"/>
          <w:szCs w:val="20"/>
          <w:color w:val="auto"/>
        </w:rPr>
      </w:pPr>
    </w:p>
    <w:p>
      <w:pPr>
        <w:ind w:left="1880" w:hanging="617"/>
        <w:spacing w:after="0"/>
        <w:tabs>
          <w:tab w:leader="none" w:pos="18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Basic Rent shall be adjusted to the Prevailing Rental Rate;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Tenant shall have no further renewal option unless expressly granted by Landlord in writing; and</w:t>
      </w:r>
    </w:p>
    <w:p>
      <w:pPr>
        <w:spacing w:after="0" w:line="224" w:lineRule="exact"/>
        <w:rPr>
          <w:rFonts w:ascii="Arial" w:cs="Arial" w:eastAsia="Arial" w:hAnsi="Arial"/>
          <w:sz w:val="17"/>
          <w:szCs w:val="17"/>
          <w:color w:val="auto"/>
        </w:rPr>
      </w:pPr>
    </w:p>
    <w:p>
      <w:pPr>
        <w:ind w:left="640" w:right="260" w:firstLine="623"/>
        <w:spacing w:after="0" w:line="289" w:lineRule="auto"/>
        <w:tabs>
          <w:tab w:leader="none" w:pos="1909" w:val="left"/>
        </w:tabs>
        <w:numPr>
          <w:ilvl w:val="0"/>
          <w:numId w:val="464"/>
        </w:numPr>
        <w:rPr>
          <w:rFonts w:ascii="Arial" w:cs="Arial" w:eastAsia="Arial" w:hAnsi="Arial"/>
          <w:sz w:val="17"/>
          <w:szCs w:val="17"/>
          <w:color w:val="auto"/>
        </w:rPr>
      </w:pPr>
      <w:r>
        <w:rPr>
          <w:rFonts w:ascii="Arial" w:cs="Arial" w:eastAsia="Arial" w:hAnsi="Arial"/>
          <w:sz w:val="17"/>
          <w:szCs w:val="17"/>
          <w:color w:val="auto"/>
        </w:rPr>
        <w:t>Landlord shall lease to Tenant the Premises in their then-current condition, and Landlord shall not provide to Tenant any allowances (e.g., moving allowance, construction allowance, and the like) or other tenant inducements.</w:t>
      </w:r>
    </w:p>
    <w:p>
      <w:pPr>
        <w:spacing w:after="0" w:line="158" w:lineRule="exact"/>
        <w:rPr>
          <w:sz w:val="20"/>
          <w:szCs w:val="20"/>
          <w:color w:val="auto"/>
        </w:rPr>
      </w:pPr>
    </w:p>
    <w:p>
      <w:pPr>
        <w:jc w:val="both"/>
        <w:ind w:right="500" w:firstLine="629"/>
        <w:spacing w:after="0" w:line="273" w:lineRule="auto"/>
        <w:rPr>
          <w:sz w:val="20"/>
          <w:szCs w:val="20"/>
          <w:color w:val="auto"/>
        </w:rPr>
      </w:pPr>
      <w:r>
        <w:rPr>
          <w:rFonts w:ascii="Arial" w:cs="Arial" w:eastAsia="Arial" w:hAnsi="Arial"/>
          <w:sz w:val="17"/>
          <w:szCs w:val="17"/>
          <w:color w:val="auto"/>
        </w:rPr>
        <w:t>If Tenant rejects Landlord’s determination of the Prevailing Rental Rate, or fails to timely notify Landlord in writing that Tenant accepts or rejects Landlord’s determination of the Prevailing Rental Rate, time being of the essence with respect thereto, Tenant’s rights under this Exhibit shall terminate and Tenant shall have no right to renew this Lease.</w:t>
      </w:r>
    </w:p>
    <w:p>
      <w:pPr>
        <w:spacing w:after="0" w:line="172"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color w:val="auto"/>
        </w:rPr>
        <w:t>Tenant’s rights under this Exhibit shall terminate, at Landlord’s option, if (a) an uncured Monetary Event of Default exists as of the date of Tenant’s exercise of its rights under this Exhibit or as of the renewal commencement date of the applicable extended Term, (b) this Lease or Tenant’s right to possession of any of the Premises is terminated, (c) Tenant assigns its interest in this Lease or sublets more than 20% of the Premises, (d) Tenant fails to lease from Landlord at least 10,364 rentable square feet of space and to occupy at least 80% of such space, (e) Landlord determines, in its sole but reasonable discretion, that Tenant’s financial condition or creditworthiness has materially deteriorated since the date of this Lease, or (f) Tenant fails to timely exercise its option under this Exhibit, time being of the essence with respect to Tenant’s exercise thereof. If Landlord determines that clause (e) above is applicable, Landlord may, as a condition to Tenant’s right to exercise its renewal option under this Exhibit, require Tenant to provide Landlord with additional security (in the form of a security deposit or, at Landlord’s election, a letter of credit), in an amount reasonably determined by Landlord to secure repayment of Landlord’s out-of-pocket costs incurred as a result of a renewal of the Term. As used above, a “</w:t>
      </w:r>
      <w:r>
        <w:rPr>
          <w:rFonts w:ascii="Arial" w:cs="Arial" w:eastAsia="Arial" w:hAnsi="Arial"/>
          <w:sz w:val="16"/>
          <w:szCs w:val="16"/>
          <w:b w:val="1"/>
          <w:bCs w:val="1"/>
          <w:u w:val="single" w:color="auto"/>
          <w:color w:val="auto"/>
        </w:rPr>
        <w:t>Monetary Event of Default</w:t>
      </w:r>
      <w:r>
        <w:rPr>
          <w:rFonts w:ascii="Arial" w:cs="Arial" w:eastAsia="Arial" w:hAnsi="Arial"/>
          <w:sz w:val="16"/>
          <w:szCs w:val="16"/>
          <w:color w:val="auto"/>
        </w:rPr>
        <w:t>” means any Event of Default under Section 17.1 of this Lease entitled “Payment Default” or Section 17.7 of this Lease entitled “Insolvency”.</w:t>
      </w:r>
    </w:p>
    <w:p>
      <w:pPr>
        <w:sectPr>
          <w:pgSz w:w="11900" w:h="16838" w:orient="portrait"/>
          <w:cols w:equalWidth="0" w:num="1">
            <w:col w:w="11400"/>
          </w:cols>
          <w:pgMar w:left="240" w:top="127" w:right="259" w:bottom="0" w:gutter="0" w:footer="0" w:header="0"/>
          <w:type w:val="continuous"/>
        </w:sectPr>
      </w:pPr>
    </w:p>
    <w:bookmarkStart w:id="321" w:name="page322"/>
    <w:bookmarkEnd w:id="321"/>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LOAN NO. 1000531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I</w:t>
      </w:r>
    </w:p>
    <w:p>
      <w:pPr>
        <w:spacing w:after="0" w:line="224" w:lineRule="exact"/>
        <w:rPr>
          <w:sz w:val="20"/>
          <w:szCs w:val="20"/>
          <w:color w:val="auto"/>
        </w:rPr>
      </w:pPr>
    </w:p>
    <w:p>
      <w:pPr>
        <w:ind w:left="2180"/>
        <w:spacing w:after="0"/>
        <w:rPr>
          <w:sz w:val="20"/>
          <w:szCs w:val="20"/>
          <w:color w:val="auto"/>
        </w:rPr>
      </w:pPr>
      <w:r>
        <w:rPr>
          <w:rFonts w:ascii="Arial" w:cs="Arial" w:eastAsia="Arial" w:hAnsi="Arial"/>
          <w:sz w:val="17"/>
          <w:szCs w:val="17"/>
          <w:b w:val="1"/>
          <w:bCs w:val="1"/>
          <w:u w:val="single" w:color="auto"/>
          <w:color w:val="auto"/>
        </w:rPr>
        <w:t>FORM OF SUBORDINATION, NON-DISTURBANCE AND ATTORNMENT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RECORDING REQUESTED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WHEN RECORDED MAIL 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Commercial Real Estate – Portfolio Services Group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420 Montgomery Street, 6th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 94104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Michael H. Panah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Loan No. 1000531</w:t>
      </w:r>
    </w:p>
    <w:p>
      <w:pPr>
        <w:spacing w:after="0" w:line="206" w:lineRule="exact"/>
        <w:rPr>
          <w:sz w:val="20"/>
          <w:szCs w:val="20"/>
          <w:color w:val="auto"/>
        </w:rPr>
      </w:pPr>
    </w:p>
    <w:p>
      <w:pPr>
        <w:jc w:val="center"/>
        <w:ind w:left="260" w:right="1820"/>
        <w:spacing w:after="0" w:line="289" w:lineRule="auto"/>
        <w:rPr>
          <w:sz w:val="20"/>
          <w:szCs w:val="20"/>
          <w:color w:val="auto"/>
        </w:rPr>
      </w:pPr>
      <w:r>
        <w:rPr>
          <w:rFonts w:ascii="Arial" w:cs="Arial" w:eastAsia="Arial" w:hAnsi="Arial"/>
          <w:sz w:val="17"/>
          <w:szCs w:val="17"/>
          <w:b w:val="1"/>
          <w:bCs w:val="1"/>
          <w:color w:val="auto"/>
        </w:rPr>
        <w:t>SUBORDINATION AGREEMENT; ACKNOWLEDGMENT OF LEASE ASSIGNMENT, ESTOPPEL, ATTORNMENT AND NON-DISTURBANCE AGREEMENT (Lease to Deed of Trust)</w:t>
      </w:r>
    </w:p>
    <w:p>
      <w:pPr>
        <w:spacing w:after="0" w:line="368" w:lineRule="exact"/>
        <w:rPr>
          <w:sz w:val="20"/>
          <w:szCs w:val="20"/>
          <w:color w:val="auto"/>
        </w:rPr>
      </w:pPr>
    </w:p>
    <w:p>
      <w:pPr>
        <w:ind w:left="1060" w:right="180" w:hanging="1056"/>
        <w:spacing w:after="0" w:line="297" w:lineRule="auto"/>
        <w:tabs>
          <w:tab w:leader="none" w:pos="1040" w:val="left"/>
        </w:tabs>
        <w:rPr>
          <w:sz w:val="20"/>
          <w:szCs w:val="20"/>
          <w:color w:val="auto"/>
        </w:rPr>
      </w:pPr>
      <w:r>
        <w:rPr>
          <w:rFonts w:ascii="Arial" w:cs="Arial" w:eastAsia="Arial" w:hAnsi="Arial"/>
          <w:sz w:val="17"/>
          <w:szCs w:val="17"/>
          <w:b w:val="1"/>
          <w:bCs w:val="1"/>
          <w:color w:val="auto"/>
        </w:rPr>
        <w:t>NOTICE:</w:t>
      </w:r>
      <w:r>
        <w:rPr>
          <w:sz w:val="20"/>
          <w:szCs w:val="20"/>
          <w:color w:val="auto"/>
        </w:rPr>
        <w:tab/>
      </w:r>
      <w:r>
        <w:rPr>
          <w:rFonts w:ascii="Arial" w:cs="Arial" w:eastAsia="Arial" w:hAnsi="Arial"/>
          <w:sz w:val="17"/>
          <w:szCs w:val="17"/>
          <w:b w:val="1"/>
          <w:bCs w:val="1"/>
          <w:color w:val="auto"/>
        </w:rPr>
        <w:t>THIS SUBORDINATION AGREEMENT RESULTS IN YOUR SECURITY INTEREST IN THE PROPERTY BECOMING SUBJECT TO AND OF LOWER PRIORITY THAN THE LIEN OF SOME OTHER OR LATER SECURITY INSTRUMENT.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THIS SUBORDINATION AGREEMENT; ACKNOWLEDGMENT OF LEASE ASSIGNMENT, ESTOPPEL, ATTORNMENT AND NON-DISTURBANCE</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AGREEMENT (“Agreement”) is made as of , 2012, by and between RIATA HOLDINGS, L.P., a Delaware limited partnership, doing business in the State of Texas as Riata Austin Holdings, L.P. (“Owner” or “Lessor”), VERACYTE, INC., a Delaware corporation (“Lessee”), and WELLS FARGO BANK, NATIONAL ASSOCIATION, as Administrative Agent (“Administrative Agent”) for the lenders from time to time party to the Loan Agreement, as defined below (“Lenders”).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left="320" w:right="240" w:hanging="315"/>
        <w:spacing w:after="0" w:line="273" w:lineRule="auto"/>
        <w:tabs>
          <w:tab w:leader="none" w:pos="333"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Pursuant to the terms and provisions of a Lease Agreement dated as of November 28, 2012 (“Lease”), Lessee holds a leasehold estate in and to a portion of the property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incorporated herein by this reference (which property, together with all improvements now or hereafter located on the property, is defined as the “Property”).</w:t>
      </w:r>
    </w:p>
    <w:p>
      <w:pPr>
        <w:spacing w:after="0" w:line="171" w:lineRule="exact"/>
        <w:rPr>
          <w:rFonts w:ascii="Arial" w:cs="Arial" w:eastAsia="Arial" w:hAnsi="Arial"/>
          <w:sz w:val="17"/>
          <w:szCs w:val="17"/>
          <w:color w:val="auto"/>
        </w:rPr>
      </w:pPr>
    </w:p>
    <w:p>
      <w:pPr>
        <w:ind w:left="340" w:right="20" w:hanging="335"/>
        <w:spacing w:after="0" w:line="263" w:lineRule="auto"/>
        <w:tabs>
          <w:tab w:leader="none" w:pos="34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Pursuant to the Loan Agreement dated as of August 19, 2008, as amended (“Loan Agreement”), Owner has executed in favor of Administrative Agent, for the benefit of Lenders, a deed of trust with absolute assignment of leases and rents, security agreement and fixture filing, as amended (as amended, “Deed of Trust”) securing, among other things, promissory notes (collectively, “Amended Notes”) in the aggregate principal sum of One Hundred Thirty-Eight Million Three Hundred Seventy Thousand Dollars ($138,370,000), in favor of Lenders, which Amended Notes are payable with interest and upon the terms and conditions described therein and evidence a loan in such aggregate principal sum (“Loan”). The Deed of Trust was recorded on August 22, 2008, as Document No. 2008-142377, Travis County, Texas Official Records.</w:t>
      </w:r>
    </w:p>
    <w:p>
      <w:pPr>
        <w:spacing w:after="0" w:line="183" w:lineRule="exact"/>
        <w:rPr>
          <w:rFonts w:ascii="Arial" w:cs="Arial" w:eastAsia="Arial" w:hAnsi="Arial"/>
          <w:sz w:val="17"/>
          <w:szCs w:val="17"/>
          <w:color w:val="auto"/>
        </w:rPr>
      </w:pPr>
    </w:p>
    <w:p>
      <w:pPr>
        <w:ind w:left="320" w:right="40" w:hanging="315"/>
        <w:spacing w:after="0" w:line="273" w:lineRule="auto"/>
        <w:tabs>
          <w:tab w:leader="none" w:pos="323"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As a condition to making the Loan secured by the Deed of Trust, Administrative Agent and Lenders require that the Deed of Trust be unconditionally and at all times remain a lien on the Property, prior and superior to the Lease and that Lessee specifically and unconditionally subordinate the Lease to the lien of the Deed of Trust.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20" w:firstLine="5"/>
        <w:spacing w:after="0" w:line="579" w:lineRule="auto"/>
        <w:tabs>
          <w:tab w:leader="none" w:pos="353" w:val="left"/>
        </w:tabs>
        <w:numPr>
          <w:ilvl w:val="0"/>
          <w:numId w:val="466"/>
        </w:numPr>
        <w:rPr>
          <w:rFonts w:ascii="Arial" w:cs="Arial" w:eastAsia="Arial" w:hAnsi="Arial"/>
          <w:sz w:val="15"/>
          <w:szCs w:val="15"/>
          <w:color w:val="auto"/>
        </w:rPr>
      </w:pPr>
      <w:r>
        <w:rPr>
          <w:rFonts w:ascii="Arial" w:cs="Arial" w:eastAsia="Arial" w:hAnsi="Arial"/>
          <w:sz w:val="15"/>
          <w:szCs w:val="15"/>
          <w:color w:val="auto"/>
        </w:rPr>
        <w:t>Owner and Lessee have agreed to the subordination, attornment and other agreements herein in favor of Administrative Agent and Lenders. NOW THEREFORE, for valuable consideration, Owner and Lessee hereby agree for the benefit of Administrative Agent and Lenders as follows:</w:t>
      </w:r>
    </w:p>
    <w:p>
      <w:pPr>
        <w:spacing w:after="0" w:line="1" w:lineRule="exact"/>
        <w:rPr>
          <w:sz w:val="20"/>
          <w:szCs w:val="20"/>
          <w:color w:val="auto"/>
        </w:rPr>
      </w:pPr>
    </w:p>
    <w:p>
      <w:pPr>
        <w:ind w:left="640" w:hanging="635"/>
        <w:spacing w:after="0"/>
        <w:tabs>
          <w:tab w:leader="none" w:pos="640" w:val="left"/>
        </w:tabs>
        <w:numPr>
          <w:ilvl w:val="0"/>
          <w:numId w:val="467"/>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Owner and Lessee hereby agree that:</w:t>
      </w:r>
    </w:p>
    <w:p>
      <w:pPr>
        <w:spacing w:after="0" w:line="224" w:lineRule="exact"/>
        <w:rPr>
          <w:rFonts w:ascii="Arial" w:cs="Arial" w:eastAsia="Arial" w:hAnsi="Arial"/>
          <w:sz w:val="17"/>
          <w:szCs w:val="17"/>
          <w:color w:val="auto"/>
        </w:rPr>
      </w:pPr>
    </w:p>
    <w:p>
      <w:pPr>
        <w:ind w:left="1260" w:right="40" w:hanging="629"/>
        <w:spacing w:after="0" w:line="302"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b w:val="1"/>
          <w:bCs w:val="1"/>
          <w:u w:val="single" w:color="auto"/>
          <w:color w:val="auto"/>
        </w:rPr>
        <w:t>Prior Lien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Deed of Trust securing the Amended Notes in favor of Administrative Agent, for the benefit of Lenders, and any modifications,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renewals or extensions thereof (including, without limitation, any modifications, renewals or extensions with respect to any additional advances made subject to the Deed of Trust), shall unconditionally be and at all times remain a lien on the Property prior and superior to the Lease;</w:t>
      </w:r>
    </w:p>
    <w:p>
      <w:pPr>
        <w:spacing w:after="0" w:line="14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5"/>
          <w:szCs w:val="15"/>
          <w:b w:val="1"/>
          <w:bCs w:val="1"/>
          <w:u w:val="single" w:color="auto"/>
          <w:color w:val="auto"/>
        </w:rPr>
        <w:t>Subordination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Lenders would not have made the Loan without this agreement to subordinate; and</w:t>
      </w:r>
    </w:p>
    <w:p>
      <w:pPr>
        <w:spacing w:after="0" w:line="224" w:lineRule="exact"/>
        <w:rPr>
          <w:rFonts w:ascii="Arial" w:cs="Arial" w:eastAsia="Arial" w:hAnsi="Arial"/>
          <w:sz w:val="17"/>
          <w:szCs w:val="17"/>
          <w:color w:val="auto"/>
        </w:rPr>
      </w:pPr>
    </w:p>
    <w:p>
      <w:pPr>
        <w:ind w:left="1260" w:right="160" w:hanging="629"/>
        <w:spacing w:after="0" w:line="270" w:lineRule="auto"/>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shall be the whole agreement and only agreement with regard to the subordination of the Lease to the lien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Deed of Trust and shall supersede and cancel, but only insofar as would affect the priority between the Deed of Trust and the Lease, any prior agreements as to such subordination, including, without limitation, those provisions, if any, contained in the Lease which provide for the subordination of the Lease to a deed or deeds of trust or to a mortgage or mortgages.</w:t>
      </w:r>
    </w:p>
    <w:p>
      <w:pPr>
        <w:spacing w:after="0" w:line="17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AND FURTHER, Lessee individually declares, agrees and acknowledges for the benefit of Administrative Agent and Lenders that:</w:t>
      </w:r>
    </w:p>
    <w:p>
      <w:pPr>
        <w:spacing w:after="0" w:line="218" w:lineRule="exact"/>
        <w:rPr>
          <w:rFonts w:ascii="Arial" w:cs="Arial" w:eastAsia="Arial" w:hAnsi="Arial"/>
          <w:sz w:val="17"/>
          <w:szCs w:val="17"/>
          <w:color w:val="auto"/>
        </w:rPr>
      </w:pPr>
    </w:p>
    <w:p>
      <w:pPr>
        <w:ind w:left="1260" w:right="40" w:hanging="629"/>
        <w:spacing w:after="0" w:line="292" w:lineRule="auto"/>
        <w:rPr>
          <w:rFonts w:ascii="Arial" w:cs="Arial" w:eastAsia="Arial" w:hAnsi="Arial"/>
          <w:sz w:val="17"/>
          <w:szCs w:val="17"/>
          <w:color w:val="auto"/>
        </w:rPr>
      </w:pPr>
      <w:r>
        <w:rPr>
          <w:rFonts w:ascii="Arial" w:cs="Arial" w:eastAsia="Arial" w:hAnsi="Arial"/>
          <w:sz w:val="17"/>
          <w:szCs w:val="17"/>
          <w:color w:val="auto"/>
        </w:rPr>
        <w:t>1.4</w:t>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Lenders, in making disbursements pursuant to the Amended Notes, the Deed of Trust or the Loan Agreement with respect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Property, is under no obligation or duty to, nor have Administrative Agent or Lenders represented that they will, see to the application of such proceeds by the person or persons to whom Lenders disburse such proceeds, and any application or use of such proceeds for purposes other than those provided for in such agreement or agreements shall not defeat this agreement to subordinate in whole or in part;</w:t>
      </w:r>
    </w:p>
    <w:p>
      <w:pPr>
        <w:sectPr>
          <w:pgSz w:w="11900" w:h="16838" w:orient="portrait"/>
          <w:cols w:equalWidth="0" w:num="1">
            <w:col w:w="11420"/>
          </w:cols>
          <w:pgMar w:left="240" w:top="127" w:right="239" w:bottom="50" w:gutter="0" w:footer="0" w:header="0"/>
        </w:sectPr>
      </w:pPr>
    </w:p>
    <w:bookmarkStart w:id="322" w:name="page323"/>
    <w:bookmarkEnd w:id="322"/>
    <w:p>
      <w:pPr>
        <w:ind w:left="1260" w:right="220" w:hanging="628"/>
        <w:spacing w:after="0" w:line="267" w:lineRule="auto"/>
        <w:tabs>
          <w:tab w:leader="none" w:pos="12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b w:val="1"/>
          <w:bCs w:val="1"/>
          <w:u w:val="single" w:color="auto"/>
          <w:color w:val="auto"/>
        </w:rPr>
        <w:t>Waiver, Relinquishment and Subordination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intentionally and unconditionally waives, relinquishes and subordinates all of Lessee’s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right, title and interest in and to the Property to the lien of the Deed of Trust and understands that in reliance upon, and in consideration of, this waiver, relinquishment and subordination, specific loans and advances are being and will be made by Lenders and, as part and parcel thereof, specific monetary and other obligations are being and will be entered into which would not be made or entered into but for said reliance upon this waiver, relinquishment and subordination.</w:t>
      </w:r>
    </w:p>
    <w:p>
      <w:pPr>
        <w:spacing w:after="0" w:line="171" w:lineRule="exact"/>
        <w:rPr>
          <w:sz w:val="20"/>
          <w:szCs w:val="20"/>
          <w:color w:val="auto"/>
        </w:rPr>
      </w:pPr>
    </w:p>
    <w:p>
      <w:pPr>
        <w:ind w:left="580" w:right="660" w:hanging="575"/>
        <w:spacing w:after="0" w:line="297" w:lineRule="auto"/>
        <w:tabs>
          <w:tab w:leader="none" w:pos="578" w:val="left"/>
        </w:tabs>
        <w:numPr>
          <w:ilvl w:val="0"/>
          <w:numId w:val="468"/>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consents to the assignment of the Lease by Lessor in favor of Administrative Agent, for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Lenders.</w:t>
      </w:r>
    </w:p>
    <w:p>
      <w:pPr>
        <w:spacing w:after="0" w:line="145" w:lineRule="exact"/>
        <w:rPr>
          <w:rFonts w:ascii="Arial" w:cs="Arial" w:eastAsia="Arial" w:hAnsi="Arial"/>
          <w:sz w:val="17"/>
          <w:szCs w:val="17"/>
          <w:color w:val="auto"/>
        </w:rPr>
      </w:pPr>
    </w:p>
    <w:p>
      <w:pPr>
        <w:ind w:left="640" w:hanging="635"/>
        <w:spacing w:after="0"/>
        <w:tabs>
          <w:tab w:leader="none" w:pos="640" w:val="left"/>
        </w:tabs>
        <w:numPr>
          <w:ilvl w:val="0"/>
          <w:numId w:val="468"/>
        </w:numPr>
        <w:rPr>
          <w:rFonts w:ascii="Arial" w:cs="Arial" w:eastAsia="Arial" w:hAnsi="Arial"/>
          <w:sz w:val="17"/>
          <w:szCs w:val="17"/>
          <w:color w:val="auto"/>
        </w:rPr>
      </w:pPr>
      <w:r>
        <w:rPr>
          <w:rFonts w:ascii="Arial" w:cs="Arial" w:eastAsia="Arial" w:hAnsi="Arial"/>
          <w:sz w:val="17"/>
          <w:szCs w:val="17"/>
          <w:b w:val="1"/>
          <w:bCs w:val="1"/>
          <w:u w:val="single" w:color="auto"/>
          <w:color w:val="auto"/>
        </w:rPr>
        <w:t>ESTOPPEL</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represents that:</w:t>
      </w:r>
    </w:p>
    <w:p>
      <w:pPr>
        <w:spacing w:after="0" w:line="224" w:lineRule="exact"/>
        <w:rPr>
          <w:rFonts w:ascii="Arial" w:cs="Arial" w:eastAsia="Arial" w:hAnsi="Arial"/>
          <w:sz w:val="17"/>
          <w:szCs w:val="17"/>
          <w:color w:val="auto"/>
        </w:rPr>
      </w:pPr>
    </w:p>
    <w:p>
      <w:pPr>
        <w:ind w:left="1260" w:right="140" w:hanging="629"/>
        <w:spacing w:after="0" w:line="277" w:lineRule="auto"/>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7"/>
          <w:szCs w:val="17"/>
          <w:b w:val="1"/>
          <w:bCs w:val="1"/>
          <w:u w:val="single" w:color="auto"/>
          <w:color w:val="auto"/>
        </w:rPr>
        <w:t>Lease Effective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Lease has been duly executed and delivered by Lessee and, subject to the terms and conditions thereof, the Lease is in full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force and effect, the obligations of Lessee thereunder are valid and binding and there have been no modifications or additions to the Lease, written or oral;</w:t>
      </w:r>
    </w:p>
    <w:p>
      <w:pPr>
        <w:spacing w:after="0" w:line="162" w:lineRule="exact"/>
        <w:rPr>
          <w:rFonts w:ascii="Arial" w:cs="Arial" w:eastAsia="Arial" w:hAnsi="Arial"/>
          <w:sz w:val="17"/>
          <w:szCs w:val="17"/>
          <w:color w:val="auto"/>
        </w:rPr>
      </w:pPr>
    </w:p>
    <w:p>
      <w:pPr>
        <w:ind w:left="1260" w:right="340" w:hanging="629"/>
        <w:spacing w:after="0" w:line="277" w:lineRule="auto"/>
        <w:rPr>
          <w:rFonts w:ascii="Arial" w:cs="Arial" w:eastAsia="Arial" w:hAnsi="Arial"/>
          <w:sz w:val="17"/>
          <w:szCs w:val="17"/>
          <w:color w:val="auto"/>
        </w:rPr>
      </w:pPr>
      <w:r>
        <w:rPr>
          <w:rFonts w:ascii="Arial" w:cs="Arial" w:eastAsia="Arial" w:hAnsi="Arial"/>
          <w:sz w:val="17"/>
          <w:szCs w:val="17"/>
          <w:color w:val="auto"/>
        </w:rPr>
        <w:t>3.2</w:t>
      </w: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 the best of Lessee’s knowledge, as of the date hereof: (i) there exists no breach, default, or event or condition which, with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giving of notice or the passage of time or both, would constitute a breach or default under the Lease; and (ii) there are no existing claims, defenses or offsets against rental due or to become due under the Lease;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4"/>
              </w:rPr>
              <w:t xml:space="preserve">Entire Agreement. </w:t>
            </w:r>
            <w:r>
              <w:rPr>
                <w:rFonts w:ascii="Arial" w:cs="Arial" w:eastAsia="Arial" w:hAnsi="Arial"/>
                <w:sz w:val="17"/>
                <w:szCs w:val="17"/>
                <w:color w:val="auto"/>
                <w:w w:val="94"/>
              </w:rPr>
              <w:t>The Lease constitutes the entire agreement between Lessor and Lessee with respect to the Property and Lessee claims no</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rights with respect to the Property other than as set forth in the Lease; and</w:t>
            </w:r>
          </w:p>
        </w:tc>
        <w:tc>
          <w:tcPr>
            <w:tcW w:w="430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jc w:val="right"/>
              <w:ind w:right="1253"/>
              <w:spacing w:after="0"/>
              <w:rPr>
                <w:sz w:val="20"/>
                <w:szCs w:val="20"/>
                <w:color w:val="auto"/>
              </w:rPr>
            </w:pPr>
            <w:r>
              <w:rPr>
                <w:rFonts w:ascii="Arial" w:cs="Arial" w:eastAsia="Arial" w:hAnsi="Arial"/>
                <w:sz w:val="17"/>
                <w:szCs w:val="17"/>
                <w:color w:val="auto"/>
              </w:rPr>
              <w:t>I-2</w:t>
            </w:r>
          </w:p>
        </w:tc>
        <w:tc>
          <w:tcPr>
            <w:tcW w:w="4300" w:type="dxa"/>
            <w:vAlign w:val="bottom"/>
          </w:tcPr>
          <w:p>
            <w:pPr>
              <w:spacing w:after="0"/>
              <w:rPr>
                <w:sz w:val="24"/>
                <w:szCs w:val="24"/>
                <w:color w:val="auto"/>
              </w:rPr>
            </w:pPr>
          </w:p>
        </w:tc>
      </w:tr>
      <w:tr>
        <w:trPr>
          <w:trHeight w:val="128"/>
        </w:trPr>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860" w:type="dxa"/>
            <w:vAlign w:val="bottom"/>
            <w:tcBorders>
              <w:bottom w:val="single" w:sz="8" w:color="010101"/>
            </w:tcBorders>
            <w:gridSpan w:val="2"/>
          </w:tcPr>
          <w:p>
            <w:pPr>
              <w:spacing w:after="0"/>
              <w:rPr>
                <w:sz w:val="11"/>
                <w:szCs w:val="11"/>
                <w:color w:val="auto"/>
              </w:rPr>
            </w:pPr>
          </w:p>
        </w:tc>
      </w:tr>
      <w:tr>
        <w:trPr>
          <w:trHeight w:val="718"/>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3.4</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Prepaid Rent. </w:t>
            </w:r>
            <w:r>
              <w:rPr>
                <w:rFonts w:ascii="Arial" w:cs="Arial" w:eastAsia="Arial" w:hAnsi="Arial"/>
                <w:sz w:val="17"/>
                <w:szCs w:val="17"/>
                <w:color w:val="auto"/>
                <w:w w:val="95"/>
              </w:rPr>
              <w:t>No deposits or prepayments of rent have been made in connection with the Lease, except as follows (if none, state “None”):</w:t>
            </w: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tcBorders>
            <w:gridSpan w:val="2"/>
          </w:tcPr>
          <w:p>
            <w:pPr>
              <w:spacing w:after="0"/>
              <w:rPr>
                <w:sz w:val="19"/>
                <w:szCs w:val="19"/>
                <w:color w:val="auto"/>
              </w:rPr>
            </w:pPr>
          </w:p>
        </w:tc>
        <w:tc>
          <w:tcPr>
            <w:tcW w:w="4640" w:type="dxa"/>
            <w:vAlign w:val="bottom"/>
            <w:gridSpan w:val="2"/>
          </w:tcPr>
          <w:p>
            <w:pPr>
              <w:jc w:val="right"/>
              <w:ind w:right="4153"/>
              <w:spacing w:after="0"/>
              <w:rPr>
                <w:sz w:val="20"/>
                <w:szCs w:val="20"/>
                <w:color w:val="auto"/>
              </w:rPr>
            </w:pPr>
            <w:r>
              <w:rPr>
                <w:rFonts w:ascii="Arial" w:cs="Arial" w:eastAsia="Arial" w:hAnsi="Arial"/>
                <w:sz w:val="17"/>
                <w:szCs w:val="17"/>
                <w:color w:val="auto"/>
              </w:rPr>
              <w:t>.</w:t>
            </w:r>
          </w:p>
        </w:tc>
        <w:tc>
          <w:tcPr>
            <w:tcW w:w="4300" w:type="dxa"/>
            <w:vAlign w:val="bottom"/>
          </w:tcPr>
          <w:p>
            <w:pPr>
              <w:spacing w:after="0"/>
              <w:rPr>
                <w:sz w:val="19"/>
                <w:szCs w:val="19"/>
                <w:color w:val="auto"/>
              </w:rPr>
            </w:pPr>
          </w:p>
        </w:tc>
      </w:tr>
      <w:tr>
        <w:trPr>
          <w:trHeight w:val="381"/>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3.5</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Broker Liens. </w:t>
            </w:r>
            <w:r>
              <w:rPr>
                <w:rFonts w:ascii="Arial" w:cs="Arial" w:eastAsia="Arial" w:hAnsi="Arial"/>
                <w:sz w:val="17"/>
                <w:szCs w:val="17"/>
                <w:color w:val="auto"/>
                <w:w w:val="95"/>
              </w:rPr>
              <w:t>Neither Lessee nor Owner has incurred any fee or commission with any real estate broker which would give rise to any lien</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 under state or local law, except as follows (if none, state “None”):</w:t>
            </w:r>
          </w:p>
        </w:tc>
        <w:tc>
          <w:tcPr>
            <w:tcW w:w="4300" w:type="dxa"/>
            <w:vAlign w:val="bottom"/>
          </w:tcPr>
          <w:p>
            <w:pPr>
              <w:jc w:val="right"/>
              <w:ind w:right="3433"/>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540" w:right="440" w:hanging="535"/>
        <w:spacing w:after="0" w:line="297" w:lineRule="auto"/>
        <w:tabs>
          <w:tab w:leader="none" w:pos="535" w:val="left"/>
        </w:tabs>
        <w:numPr>
          <w:ilvl w:val="0"/>
          <w:numId w:val="469"/>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Lessee covenants and agrees that, during all such times as Administrative Agent, for the benefit of Lenders, is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under the Deed of Trust:</w:t>
      </w:r>
    </w:p>
    <w:p>
      <w:pPr>
        <w:spacing w:after="0" w:line="145" w:lineRule="exact"/>
        <w:rPr>
          <w:sz w:val="20"/>
          <w:szCs w:val="20"/>
          <w:color w:val="auto"/>
        </w:rPr>
      </w:pPr>
    </w:p>
    <w:p>
      <w:pPr>
        <w:ind w:left="1280" w:right="280" w:hanging="640"/>
        <w:spacing w:after="0" w:line="302" w:lineRule="auto"/>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b w:val="1"/>
          <w:bCs w:val="1"/>
          <w:u w:val="single" w:color="auto"/>
          <w:color w:val="auto"/>
        </w:rPr>
        <w:t>Modification, Termination and Cancellation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 consent to any modification, amendment, termination or cancellation of the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Lease (in whole or in part) without Administrative Agent’s prior written consent and will not make any payment to Lessor in consideration of any modification, termination or cancellation of the Lease (in whole or in part) without Administrative Agent’s prior written consent;</w:t>
      </w:r>
    </w:p>
    <w:p>
      <w:pPr>
        <w:spacing w:after="0" w:line="144" w:lineRule="exact"/>
        <w:rPr>
          <w:sz w:val="20"/>
          <w:szCs w:val="20"/>
          <w:color w:val="auto"/>
        </w:rPr>
      </w:pPr>
    </w:p>
    <w:p>
      <w:pPr>
        <w:ind w:left="1260" w:right="120" w:hanging="628"/>
        <w:spacing w:after="0" w:line="283" w:lineRule="auto"/>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Notice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notify Administrative Agent in writing concurrently with any notice given to Lessor of any default by Lessor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under the Lease, and Lessee agrees that Administrative Agent and Lenders have the right (but not the obligation) to cure any breach or default specified in such notice within the time periods set forth below and Lessee will not declare a default of the Lease, as to Lenders, if Administrative Agent or any Lender cures such default within fifteen (15) days from and after the expiration of the time period provided in the Lease for the cure thereof by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default cannot with diligence be cured by Administrative Agent or Lenders within such fifteen (15) day period, the commencement of action by Administrative Agent or any Lender within such fifteen (15) day period to remedy the same shall be deemed sufficient so long as Administrative Agent or such Lender pursues such cure with diligence;</w:t>
      </w:r>
    </w:p>
    <w:p>
      <w:pPr>
        <w:spacing w:after="0" w:line="159" w:lineRule="exact"/>
        <w:rPr>
          <w:sz w:val="20"/>
          <w:szCs w:val="20"/>
          <w:color w:val="auto"/>
        </w:rPr>
      </w:pPr>
    </w:p>
    <w:p>
      <w:pPr>
        <w:ind w:left="1260" w:right="500" w:hanging="628"/>
        <w:spacing w:after="0" w:line="297" w:lineRule="auto"/>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b w:val="1"/>
          <w:bCs w:val="1"/>
          <w:u w:val="single" w:color="auto"/>
          <w:color w:val="auto"/>
        </w:rPr>
        <w:t>No Advance Rents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will make no payments or prepayments of rent more than one (1) month in advance of the time when the same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become due under the Lease; and</w:t>
      </w:r>
    </w:p>
    <w:p>
      <w:pPr>
        <w:spacing w:after="0" w:line="145" w:lineRule="exact"/>
        <w:rPr>
          <w:sz w:val="20"/>
          <w:szCs w:val="20"/>
          <w:color w:val="auto"/>
        </w:rPr>
      </w:pPr>
    </w:p>
    <w:p>
      <w:pPr>
        <w:ind w:left="1260" w:right="40" w:hanging="628"/>
        <w:spacing w:after="0" w:line="270" w:lineRule="auto"/>
        <w:tabs>
          <w:tab w:leader="none" w:pos="12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b w:val="1"/>
          <w:bCs w:val="1"/>
          <w:u w:val="single" w:color="auto"/>
          <w:color w:val="auto"/>
        </w:rPr>
        <w:t>Assignment of Rents</w:t>
      </w:r>
      <w:r>
        <w:rPr>
          <w:rFonts w:ascii="Arial" w:cs="Arial" w:eastAsia="Arial" w:hAnsi="Arial"/>
          <w:sz w:val="17"/>
          <w:szCs w:val="17"/>
          <w:color w:val="auto"/>
        </w:rPr>
        <w:t>. Upon receipt by Lessee of written notice from Administrative Agent that Lenders have elected to terminate the license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granted to Lessor to collect rents, as provided in the Deed of Trust, and directing the payment of rents by Lessee to Administrative Agent, Lessee shall comply with such direction to pay and shall not be required to determine whether Lessor is in default under the Loan and/or the Deed of Trust.</w:t>
      </w:r>
    </w:p>
    <w:p>
      <w:pPr>
        <w:spacing w:after="0" w:line="169" w:lineRule="exact"/>
        <w:rPr>
          <w:sz w:val="20"/>
          <w:szCs w:val="20"/>
          <w:color w:val="auto"/>
        </w:rPr>
      </w:pPr>
    </w:p>
    <w:p>
      <w:pPr>
        <w:ind w:left="640" w:right="60" w:hanging="635"/>
        <w:spacing w:after="0" w:line="277" w:lineRule="auto"/>
        <w:tabs>
          <w:tab w:leader="none" w:pos="640" w:val="left"/>
        </w:tabs>
        <w:numPr>
          <w:ilvl w:val="0"/>
          <w:numId w:val="470"/>
        </w:numPr>
        <w:rPr>
          <w:rFonts w:ascii="Arial" w:cs="Arial" w:eastAsia="Arial" w:hAnsi="Arial"/>
          <w:sz w:val="17"/>
          <w:szCs w:val="17"/>
          <w:color w:val="auto"/>
        </w:rPr>
      </w:pPr>
      <w:r>
        <w:rPr>
          <w:rFonts w:ascii="Arial" w:cs="Arial" w:eastAsia="Arial" w:hAnsi="Arial"/>
          <w:sz w:val="17"/>
          <w:szCs w:val="17"/>
          <w:b w:val="1"/>
          <w:bCs w:val="1"/>
          <w:u w:val="single" w:color="auto"/>
          <w:color w:val="auto"/>
        </w:rPr>
        <w:t>ATTORNMENT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foreclosure under the Deed of Trust, Lessee agrees for the benefit of Administrative Agent and Lenders (including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purpose any transferee of Administrative Agent or Lenders or any transferee of Lessor’s title in and to the Property by Lenders’ exercise of the remedy of sale by foreclosure under the Deed of Trust) as follows:</w:t>
      </w:r>
    </w:p>
    <w:p>
      <w:pPr>
        <w:spacing w:after="0" w:line="162" w:lineRule="exact"/>
        <w:rPr>
          <w:rFonts w:ascii="Arial" w:cs="Arial" w:eastAsia="Arial" w:hAnsi="Arial"/>
          <w:sz w:val="17"/>
          <w:szCs w:val="17"/>
          <w:color w:val="auto"/>
        </w:rPr>
      </w:pPr>
    </w:p>
    <w:p>
      <w:pPr>
        <w:ind w:left="1260" w:right="520" w:hanging="629"/>
        <w:spacing w:after="0" w:line="297" w:lineRule="auto"/>
        <w:rPr>
          <w:rFonts w:ascii="Arial" w:cs="Arial" w:eastAsia="Arial" w:hAnsi="Arial"/>
          <w:sz w:val="17"/>
          <w:szCs w:val="17"/>
          <w:color w:val="auto"/>
        </w:rPr>
      </w:pPr>
      <w:r>
        <w:rPr>
          <w:rFonts w:ascii="Arial" w:cs="Arial" w:eastAsia="Arial" w:hAnsi="Arial"/>
          <w:sz w:val="17"/>
          <w:szCs w:val="17"/>
          <w:color w:val="auto"/>
        </w:rPr>
        <w:t>5.1</w:t>
      </w:r>
      <w:r>
        <w:rPr>
          <w:rFonts w:ascii="Arial" w:cs="Arial" w:eastAsia="Arial" w:hAnsi="Arial"/>
          <w:sz w:val="17"/>
          <w:szCs w:val="17"/>
          <w:b w:val="1"/>
          <w:bCs w:val="1"/>
          <w:u w:val="single" w:color="auto"/>
          <w:color w:val="auto"/>
        </w:rPr>
        <w:t>Payment of Rent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pay to Administrative Agent, for the benefit of Lenders, all rental payments required to be made by Lessee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pursuant to the terms of the Lease for the duration of the term of the Lease;</w:t>
      </w:r>
    </w:p>
    <w:p>
      <w:pPr>
        <w:spacing w:after="0" w:line="145"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5.2</w:t>
      </w:r>
      <w:r>
        <w:rPr>
          <w:rFonts w:ascii="Arial" w:cs="Arial" w:eastAsia="Arial" w:hAnsi="Arial"/>
          <w:sz w:val="17"/>
          <w:szCs w:val="17"/>
          <w:b w:val="1"/>
          <w:bCs w:val="1"/>
          <w:u w:val="single" w:color="auto"/>
          <w:color w:val="auto"/>
        </w:rPr>
        <w:t>Continuation of Performance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be bound to Administrative Agent and Lenders in accordance with all of the provisions of the Lease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 the balance of the term thereof, and Lessee hereby attorns to Administrative Agent, for the benefit of Lenders, as its landlord, such attornment to be effective and self-operative without the execution of any further instrument immediately upon Administrative Agent or any Lender succeeding to Lessor’s interest in the Lease and giving written notice thereof to Lessee;</w:t>
      </w:r>
    </w:p>
    <w:p>
      <w:pPr>
        <w:spacing w:after="0" w:line="169"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5.3</w:t>
      </w:r>
      <w:r>
        <w:rPr>
          <w:rFonts w:ascii="Arial" w:cs="Arial" w:eastAsia="Arial" w:hAnsi="Arial"/>
          <w:sz w:val="17"/>
          <w:szCs w:val="17"/>
          <w:b w:val="1"/>
          <w:bCs w:val="1"/>
          <w:u w:val="single" w:color="auto"/>
          <w:color w:val="auto"/>
        </w:rPr>
        <w:t>No Offset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Neither Administrative Agent nor any Lender shall be liable for, nor subject to, any offsets or defenses which Lessee may have by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reason of any act or omission of Lessor under the Lease, nor for the return of any sums which Lessee may have paid to Lessor under the Lease as and for security deposits, advance rentals or otherwise, except to the extent that such sums are actually delivered by Lessor to Administrative Agent or Lenders; and</w:t>
      </w:r>
    </w:p>
    <w:p>
      <w:pPr>
        <w:spacing w:after="0" w:line="169" w:lineRule="exact"/>
        <w:rPr>
          <w:sz w:val="20"/>
          <w:szCs w:val="20"/>
          <w:color w:val="auto"/>
        </w:rPr>
      </w:pPr>
    </w:p>
    <w:p>
      <w:pPr>
        <w:jc w:val="both"/>
        <w:ind w:left="1260" w:right="140" w:hanging="628"/>
        <w:spacing w:after="0" w:line="277" w:lineRule="auto"/>
        <w:tabs>
          <w:tab w:leader="none" w:pos="12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b w:val="1"/>
          <w:bCs w:val="1"/>
          <w:u w:val="single" w:color="auto"/>
          <w:color w:val="auto"/>
        </w:rPr>
        <w:t>Subsequent Transfer</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Administrative Agent or Lenders, by succeeding to the interest of Lessor under the Lease, should become obligated to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perform the covenants of Lessor thereunder, then, upon any further transfer of Lessor’s interest by Administrative Agent or Lenders, all of such obligations shall terminate as to Administrative Agent and Lenders.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23" w:name="page324"/>
    <w:bookmarkEnd w:id="323"/>
    <w:p>
      <w:pPr>
        <w:ind w:left="635" w:hanging="635"/>
        <w:spacing w:after="0" w:line="263" w:lineRule="auto"/>
        <w:tabs>
          <w:tab w:leader="none" w:pos="635" w:val="left"/>
        </w:tabs>
        <w:numPr>
          <w:ilvl w:val="0"/>
          <w:numId w:val="471"/>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NON-DISTURBANCE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foreclosure under the Deed of Trust, so long as there shall then exist no breach, default, or event of default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 of Lessee under the Lease, Administrative Agent and Lenders agree for themselves and their successors and assigns that the leasehold interest of Lessee under the Lease shall not be extinguished or terminated by reason of such foreclosure, but rather the Lease shall continue in full force and effect and Administrative Agent and Lenders shall recognize and accept Lessee as tenant under the Lease subject to the terms and provisions of the Lease except as modified by this Agreement; provided, however, that Lessee, Administrative Agent and Lenders agree that the following provisions of the Lease (if any) shall not be binding on Administrative Agent or Lenders: any option to purchase with respect to the Property; any right of first refusal with respect to the Property; any provision regarding the use of insurance proceeds or condemnation proceeds with respect to the Property which is inconsistent with the terms of the Deed of Trust.</w:t>
      </w:r>
    </w:p>
    <w:p>
      <w:pPr>
        <w:spacing w:after="0" w:line="174" w:lineRule="exact"/>
        <w:rPr>
          <w:rFonts w:ascii="Arial" w:cs="Arial" w:eastAsia="Arial" w:hAnsi="Arial"/>
          <w:sz w:val="17"/>
          <w:szCs w:val="17"/>
          <w:color w:val="auto"/>
        </w:rPr>
      </w:pPr>
    </w:p>
    <w:p>
      <w:pPr>
        <w:ind w:left="635" w:hanging="635"/>
        <w:spacing w:after="0"/>
        <w:tabs>
          <w:tab w:leader="none" w:pos="635" w:val="left"/>
        </w:tabs>
        <w:numPr>
          <w:ilvl w:val="0"/>
          <w:numId w:val="471"/>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1275" w:right="80" w:hanging="641"/>
        <w:spacing w:after="0" w:line="297"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7"/>
          <w:szCs w:val="17"/>
          <w:b w:val="1"/>
          <w:bCs w:val="1"/>
          <w:u w:val="single" w:color="auto"/>
          <w:color w:val="auto"/>
        </w:rPr>
        <w:t>Heirs, Successors, Assigns and Transferees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covenants herein shall be binding upon, and inure to the benefit of, the heirs, successors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assigns of the parties hereto; and</w:t>
      </w:r>
    </w:p>
    <w:p>
      <w:pPr>
        <w:spacing w:after="0" w:line="145" w:lineRule="exact"/>
        <w:rPr>
          <w:sz w:val="20"/>
          <w:szCs w:val="20"/>
          <w:color w:val="auto"/>
        </w:rPr>
      </w:pPr>
    </w:p>
    <w:p>
      <w:pPr>
        <w:jc w:val="both"/>
        <w:ind w:left="1275" w:right="100" w:hanging="640"/>
        <w:spacing w:after="0" w:line="302" w:lineRule="auto"/>
        <w:tabs>
          <w:tab w:leader="none" w:pos="1255"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notices or other communications required or permitted to be given pursuant to the provisions hereof shall be deemed served upon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delivery or, if mailed, upon the first to occur of receipt or the expiration of three (3) days after deposit in United States Postal Service, certified mail, postage prepaid and addressed to the address of Owner, Lessee or Administrative Agent appearing below:</w:t>
      </w:r>
    </w:p>
    <w:p>
      <w:pPr>
        <w:spacing w:after="0" w:line="150"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“OWNER”</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One Market Plaza</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Spear Tower, Suite 4125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John Grassi</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and to:</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ind w:left="1995"/>
        <w:spacing w:after="0" w:line="214" w:lineRule="auto"/>
        <w:rPr>
          <w:sz w:val="20"/>
          <w:szCs w:val="20"/>
          <w:color w:val="auto"/>
        </w:rPr>
      </w:pPr>
      <w:r>
        <w:rPr>
          <w:rFonts w:ascii="Arial" w:cs="Arial" w:eastAsia="Arial" w:hAnsi="Arial"/>
          <w:sz w:val="17"/>
          <w:szCs w:val="17"/>
          <w:color w:val="auto"/>
        </w:rPr>
        <w:t>1114 Avenue of the Americas,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New York, New York 10036</w:t>
      </w:r>
    </w:p>
    <w:p>
      <w:pPr>
        <w:spacing w:after="0" w:line="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Asset Manager</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“ADMINISTRATIVE AGENT”</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as Administrative Agent</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Institutional &amp; Metro Markets Group</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600 California Street, 19th Floor</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94108</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Richard W. Daniel</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Loan No. 1000531</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“LESSEE”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Prior to Commencement Date (as defined in the Lease):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South San Francisco, California 94080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Chief Financial Officer</w:t>
      </w:r>
    </w:p>
    <w:p>
      <w:pPr>
        <w:spacing w:after="0" w:line="212"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Following Commencement Date: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Austin, Texas 78727</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w:t>
      </w:r>
    </w:p>
    <w:p>
      <w:pPr>
        <w:spacing w:after="0" w:line="212" w:lineRule="exact"/>
        <w:rPr>
          <w:sz w:val="20"/>
          <w:szCs w:val="20"/>
          <w:color w:val="auto"/>
        </w:rPr>
      </w:pPr>
    </w:p>
    <w:p>
      <w:pPr>
        <w:ind w:left="935" w:right="80"/>
        <w:spacing w:after="0" w:line="289"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any party shall have the right to change its address for notice hereunder by the giving of written notice thereof to the other party in the manner set forth in this Agreement; and</w:t>
      </w:r>
    </w:p>
    <w:p>
      <w:pPr>
        <w:spacing w:after="0" w:line="152" w:lineRule="exact"/>
        <w:rPr>
          <w:sz w:val="20"/>
          <w:szCs w:val="20"/>
          <w:color w:val="auto"/>
        </w:rPr>
      </w:pPr>
    </w:p>
    <w:p>
      <w:pPr>
        <w:ind w:left="1255" w:right="460" w:hanging="628"/>
        <w:spacing w:after="0" w:line="297" w:lineRule="auto"/>
        <w:tabs>
          <w:tab w:leader="none" w:pos="1235"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may be executed in two or more counterparts, each of which shall be deemed an original and all of which</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together shall constitute and be construed as one and the same instrument; and</w:t>
      </w:r>
    </w:p>
    <w:p>
      <w:pPr>
        <w:spacing w:after="0" w:line="145" w:lineRule="exact"/>
        <w:rPr>
          <w:sz w:val="20"/>
          <w:szCs w:val="20"/>
          <w:color w:val="auto"/>
        </w:rPr>
      </w:pPr>
    </w:p>
    <w:p>
      <w:pPr>
        <w:ind w:left="1255" w:right="180" w:hanging="628"/>
        <w:spacing w:after="0" w:line="277" w:lineRule="auto"/>
        <w:tabs>
          <w:tab w:leader="none" w:pos="1235"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b w:val="1"/>
          <w:bCs w:val="1"/>
          <w:u w:val="single" w:color="auto"/>
          <w:color w:val="auto"/>
        </w:rPr>
        <w:t>Remedies Cumulative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All rights of Administrative Agent and Lenders herein to collect rents on behalf of Lessor under the Lease are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cumulative and shall be in addition to any and all other rights and remedies provided by law and by other agreements between Administrative Agent and/or Lenders and Lessor or others; and</w:t>
      </w:r>
    </w:p>
    <w:p>
      <w:pPr>
        <w:sectPr>
          <w:pgSz w:w="11900" w:h="16838" w:orient="portrait"/>
          <w:cols w:equalWidth="0" w:num="1">
            <w:col w:w="11355"/>
          </w:cols>
          <w:pgMar w:left="245" w:top="567" w:right="299" w:bottom="72" w:gutter="0" w:footer="0" w:header="0"/>
        </w:sectPr>
      </w:pPr>
    </w:p>
    <w:bookmarkStart w:id="324" w:name="page325"/>
    <w:bookmarkEnd w:id="324"/>
    <w:p>
      <w:pPr>
        <w:ind w:left="1260" w:right="200" w:hanging="628"/>
        <w:spacing w:after="0" w:line="297" w:lineRule="auto"/>
        <w:tabs>
          <w:tab w:leader="none" w:pos="124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b w:val="1"/>
          <w:bCs w:val="1"/>
          <w:u w:val="single" w:color="auto"/>
          <w:color w:val="auto"/>
        </w:rPr>
        <w:t>Paragraph Headings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Paragraph headings in this Agreement are for convenience only and are not to be construed as part of this Agreement or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any way limiting or applying the provisions hereof.</w:t>
      </w:r>
    </w:p>
    <w:p>
      <w:pPr>
        <w:spacing w:after="0" w:line="145" w:lineRule="exact"/>
        <w:rPr>
          <w:sz w:val="20"/>
          <w:szCs w:val="20"/>
          <w:color w:val="auto"/>
        </w:rPr>
      </w:pPr>
    </w:p>
    <w:p>
      <w:pPr>
        <w:ind w:left="4560" w:right="4340" w:hanging="4555"/>
        <w:spacing w:after="0" w:line="551" w:lineRule="auto"/>
        <w:tabs>
          <w:tab w:leader="none" w:pos="625" w:val="left"/>
        </w:tabs>
        <w:numPr>
          <w:ilvl w:val="0"/>
          <w:numId w:val="472"/>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is attached hereto and incorporated herein by this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[Signatures follow on next page]</w:t>
      </w:r>
    </w:p>
    <w:p>
      <w:pPr>
        <w:ind w:left="5620"/>
        <w:spacing w:after="0"/>
        <w:rPr>
          <w:rFonts w:ascii="Arial" w:cs="Arial" w:eastAsia="Arial" w:hAnsi="Arial"/>
          <w:sz w:val="16"/>
          <w:szCs w:val="16"/>
          <w:color w:val="auto"/>
        </w:rPr>
      </w:pPr>
      <w:r>
        <w:rPr>
          <w:rFonts w:ascii="Arial" w:cs="Arial" w:eastAsia="Arial" w:hAnsi="Arial"/>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18" w:lineRule="exact"/>
        <w:rPr>
          <w:sz w:val="20"/>
          <w:szCs w:val="20"/>
          <w:color w:val="auto"/>
        </w:rPr>
      </w:pPr>
    </w:p>
    <w:p>
      <w:pPr>
        <w:ind w:left="960" w:right="40" w:hanging="955"/>
        <w:spacing w:after="0" w:line="277" w:lineRule="auto"/>
        <w:tabs>
          <w:tab w:leader="none" w:pos="940" w:val="left"/>
        </w:tabs>
        <w:rPr>
          <w:sz w:val="20"/>
          <w:szCs w:val="20"/>
          <w:color w:val="auto"/>
        </w:rPr>
      </w:pPr>
      <w:r>
        <w:rPr>
          <w:rFonts w:ascii="Arial" w:cs="Arial" w:eastAsia="Arial" w:hAnsi="Arial"/>
          <w:sz w:val="17"/>
          <w:szCs w:val="17"/>
          <w:b w:val="1"/>
          <w:bCs w:val="1"/>
          <w:color w:val="auto"/>
        </w:rPr>
        <w:t>NOTICE:</w:t>
        <w:tab/>
        <w:t>THIS SUBORDINATION AGREEMENT CONTAINS A PROVISION WHICH ALLOWS THE PERSON OBLIGATED ON YOUR REAL PROPERTY SECURITY TO OBTAIN A LOAN A PORTION OF WHICH MAY BE EXPENDED FOR OTHER PURPOSES THAN IMPROVEMENT OF THE LAND.</w:t>
      </w:r>
    </w:p>
    <w:p>
      <w:pPr>
        <w:spacing w:after="0" w:line="162"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color w:val="auto"/>
        </w:rPr>
        <w:t>IT IS RECOMMENDED THAT, PRIOR TO THE EXECUTION OF THIS AGREEMENT, THE PARTIES CONSULT WITH THEIR ATTORNEYS WITH RESPECT HERETO.</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“OWNER”</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860" w:type="dxa"/>
            <w:vAlign w:val="bottom"/>
          </w:tcPr>
          <w:p>
            <w:pPr>
              <w:spacing w:after="0"/>
              <w:rPr>
                <w:sz w:val="24"/>
                <w:szCs w:val="24"/>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RIATA HOLDINGS, L.P.,</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color w:val="auto"/>
              </w:rPr>
              <w:t>a Delaware limited partnership,</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color w:val="auto"/>
              </w:rPr>
              <w:t>doing business in the State of Texas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60" w:type="dxa"/>
            <w:vAlign w:val="bottom"/>
          </w:tcPr>
          <w:p>
            <w:pPr>
              <w:spacing w:after="0"/>
              <w:rPr>
                <w:sz w:val="19"/>
                <w:szCs w:val="19"/>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color w:val="auto"/>
              </w:rPr>
              <w:t>as Riata Austin Holdings, L.P.</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860" w:type="dxa"/>
            <w:vAlign w:val="bottom"/>
          </w:tcPr>
          <w:p>
            <w:pPr>
              <w:spacing w:after="0"/>
              <w:rPr>
                <w:sz w:val="24"/>
                <w:szCs w:val="24"/>
                <w:color w:val="auto"/>
              </w:rPr>
            </w:pPr>
          </w:p>
        </w:tc>
        <w:tc>
          <w:tcPr>
            <w:tcW w:w="5580" w:type="dxa"/>
            <w:vAlign w:val="bottom"/>
          </w:tcPr>
          <w:p>
            <w:pPr>
              <w:ind w:left="4860"/>
              <w:spacing w:after="0"/>
              <w:rPr>
                <w:sz w:val="20"/>
                <w:szCs w:val="20"/>
                <w:color w:val="auto"/>
              </w:rPr>
            </w:pPr>
            <w:r>
              <w:rPr>
                <w:rFonts w:ascii="Arial" w:cs="Arial" w:eastAsia="Arial" w:hAnsi="Arial"/>
                <w:sz w:val="17"/>
                <w:szCs w:val="17"/>
                <w:color w:val="auto"/>
              </w:rPr>
              <w:t>By:</w:t>
            </w:r>
          </w:p>
        </w:tc>
        <w:tc>
          <w:tcPr>
            <w:tcW w:w="4080" w:type="dxa"/>
            <w:vAlign w:val="bottom"/>
            <w:gridSpan w:val="3"/>
          </w:tcPr>
          <w:p>
            <w:pPr>
              <w:spacing w:after="0"/>
              <w:rPr>
                <w:sz w:val="20"/>
                <w:szCs w:val="20"/>
                <w:color w:val="auto"/>
              </w:rPr>
            </w:pPr>
            <w:r>
              <w:rPr>
                <w:rFonts w:ascii="Arial" w:cs="Arial" w:eastAsia="Arial" w:hAnsi="Arial"/>
                <w:sz w:val="17"/>
                <w:szCs w:val="17"/>
                <w:color w:val="auto"/>
              </w:rPr>
              <w:t>Riata Holdings General Partner, LLC,</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a Delaware limited liability company,</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doing business in the State of Texas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as Riata Austin Holdings General Partner, LLC,</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General Partner</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80" w:type="dxa"/>
            <w:vAlign w:val="bottom"/>
            <w:gridSpan w:val="3"/>
          </w:tcPr>
          <w:p>
            <w:pPr>
              <w:spacing w:after="0"/>
              <w:rPr>
                <w:sz w:val="20"/>
                <w:szCs w:val="20"/>
                <w:color w:val="auto"/>
              </w:rPr>
            </w:pPr>
            <w:r>
              <w:rPr>
                <w:rFonts w:ascii="Arial" w:cs="Arial" w:eastAsia="Arial" w:hAnsi="Arial"/>
                <w:sz w:val="17"/>
                <w:szCs w:val="17"/>
                <w:color w:val="auto"/>
              </w:rPr>
              <w:t>By:</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700" w:type="dxa"/>
            <w:vAlign w:val="bottom"/>
          </w:tcPr>
          <w:p>
            <w:pPr>
              <w:spacing w:after="0" w:line="190" w:lineRule="exact"/>
              <w:rPr>
                <w:sz w:val="20"/>
                <w:szCs w:val="20"/>
                <w:color w:val="auto"/>
              </w:rPr>
            </w:pPr>
            <w:r>
              <w:rPr>
                <w:rFonts w:ascii="Arial" w:cs="Arial" w:eastAsia="Arial" w:hAnsi="Arial"/>
                <w:sz w:val="17"/>
                <w:szCs w:val="17"/>
                <w:color w:val="auto"/>
              </w:rPr>
              <w:t>Name:</w:t>
            </w:r>
          </w:p>
        </w:tc>
        <w:tc>
          <w:tcPr>
            <w:tcW w:w="27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70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2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609"/>
        </w:trPr>
        <w:tc>
          <w:tcPr>
            <w:tcW w:w="860" w:type="dxa"/>
            <w:vAlign w:val="bottom"/>
          </w:tcPr>
          <w:p>
            <w:pPr>
              <w:spacing w:after="0"/>
              <w:rPr>
                <w:sz w:val="24"/>
                <w:szCs w:val="24"/>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“ADMINISTRATIVE AGENT”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860" w:type="dxa"/>
            <w:vAlign w:val="bottom"/>
          </w:tcPr>
          <w:p>
            <w:pPr>
              <w:spacing w:after="0"/>
              <w:rPr>
                <w:sz w:val="24"/>
                <w:szCs w:val="24"/>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WELLS FARGO BANK,</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NATIONAL ASSOCIATION,</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60" w:type="dxa"/>
            <w:vAlign w:val="bottom"/>
          </w:tcPr>
          <w:p>
            <w:pPr>
              <w:spacing w:after="0"/>
              <w:rPr>
                <w:sz w:val="19"/>
                <w:szCs w:val="19"/>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color w:val="auto"/>
              </w:rPr>
              <w:t>as Administrative Agent</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860" w:type="dxa"/>
            <w:vAlign w:val="bottom"/>
          </w:tcPr>
          <w:p>
            <w:pPr>
              <w:spacing w:after="0"/>
              <w:rPr>
                <w:sz w:val="24"/>
                <w:szCs w:val="24"/>
                <w:color w:val="auto"/>
              </w:rPr>
            </w:pPr>
          </w:p>
        </w:tc>
        <w:tc>
          <w:tcPr>
            <w:tcW w:w="5580" w:type="dxa"/>
            <w:vAlign w:val="bottom"/>
          </w:tcPr>
          <w:p>
            <w:pPr>
              <w:ind w:left="4860"/>
              <w:spacing w:after="0"/>
              <w:rPr>
                <w:sz w:val="20"/>
                <w:szCs w:val="20"/>
                <w:color w:val="auto"/>
              </w:rPr>
            </w:pPr>
            <w:r>
              <w:rPr>
                <w:rFonts w:ascii="Arial" w:cs="Arial" w:eastAsia="Arial" w:hAnsi="Arial"/>
                <w:sz w:val="17"/>
                <w:szCs w:val="17"/>
                <w:color w:val="auto"/>
              </w:rPr>
              <w:t>By:</w:t>
            </w:r>
          </w:p>
        </w:tc>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860" w:type="dxa"/>
            <w:vAlign w:val="bottom"/>
          </w:tcPr>
          <w:p>
            <w:pPr>
              <w:spacing w:after="0"/>
              <w:rPr>
                <w:sz w:val="16"/>
                <w:szCs w:val="16"/>
                <w:color w:val="auto"/>
              </w:rPr>
            </w:pPr>
          </w:p>
        </w:tc>
        <w:tc>
          <w:tcPr>
            <w:tcW w:w="5580" w:type="dxa"/>
            <w:vAlign w:val="bottom"/>
          </w:tcPr>
          <w:p>
            <w:pPr>
              <w:ind w:left="4860"/>
              <w:spacing w:after="0" w:line="191" w:lineRule="exact"/>
              <w:rPr>
                <w:sz w:val="20"/>
                <w:szCs w:val="20"/>
                <w:color w:val="auto"/>
              </w:rPr>
            </w:pPr>
            <w:r>
              <w:rPr>
                <w:rFonts w:ascii="Arial" w:cs="Arial" w:eastAsia="Arial" w:hAnsi="Arial"/>
                <w:sz w:val="17"/>
                <w:szCs w:val="17"/>
                <w:color w:val="auto"/>
              </w:rPr>
              <w:t>Name:</w:t>
            </w:r>
          </w:p>
        </w:tc>
        <w:tc>
          <w:tcPr>
            <w:tcW w:w="4080" w:type="dxa"/>
            <w:vAlign w:val="bottom"/>
            <w:gridSpan w:val="3"/>
          </w:tcPr>
          <w:p>
            <w:pPr>
              <w:spacing w:after="0" w:line="191" w:lineRule="exact"/>
              <w:rPr>
                <w:sz w:val="20"/>
                <w:szCs w:val="20"/>
                <w:color w:val="auto"/>
              </w:rPr>
            </w:pPr>
            <w:r>
              <w:rPr>
                <w:rFonts w:ascii="Arial" w:cs="Arial" w:eastAsia="Arial" w:hAnsi="Arial"/>
                <w:sz w:val="17"/>
                <w:szCs w:val="17"/>
                <w:color w:val="auto"/>
              </w:rPr>
              <w:t>Richard W. Daniel</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860" w:type="dxa"/>
            <w:vAlign w:val="bottom"/>
          </w:tcPr>
          <w:p>
            <w:pPr>
              <w:spacing w:after="0"/>
              <w:rPr>
                <w:sz w:val="19"/>
                <w:szCs w:val="19"/>
                <w:color w:val="auto"/>
              </w:rPr>
            </w:pPr>
          </w:p>
        </w:tc>
        <w:tc>
          <w:tcPr>
            <w:tcW w:w="5580" w:type="dxa"/>
            <w:vAlign w:val="bottom"/>
          </w:tcPr>
          <w:p>
            <w:pPr>
              <w:ind w:left="4860"/>
              <w:spacing w:after="0"/>
              <w:rPr>
                <w:sz w:val="20"/>
                <w:szCs w:val="20"/>
                <w:color w:val="auto"/>
              </w:rPr>
            </w:pPr>
            <w:r>
              <w:rPr>
                <w:rFonts w:ascii="Arial" w:cs="Arial" w:eastAsia="Arial" w:hAnsi="Arial"/>
                <w:sz w:val="17"/>
                <w:szCs w:val="17"/>
                <w:color w:val="auto"/>
              </w:rPr>
              <w:t>Title:</w:t>
            </w:r>
          </w:p>
        </w:tc>
        <w:tc>
          <w:tcPr>
            <w:tcW w:w="4080" w:type="dxa"/>
            <w:vAlign w:val="bottom"/>
            <w:gridSpan w:val="3"/>
          </w:tcPr>
          <w:p>
            <w:pPr>
              <w:spacing w:after="0"/>
              <w:rPr>
                <w:sz w:val="20"/>
                <w:szCs w:val="20"/>
                <w:color w:val="auto"/>
              </w:rPr>
            </w:pPr>
            <w:r>
              <w:rPr>
                <w:rFonts w:ascii="Arial" w:cs="Arial" w:eastAsia="Arial" w:hAnsi="Arial"/>
                <w:sz w:val="17"/>
                <w:szCs w:val="17"/>
                <w:color w:val="auto"/>
              </w:rPr>
              <w:t>Vice President</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“LESSEE”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860" w:type="dxa"/>
            <w:vAlign w:val="bottom"/>
          </w:tcPr>
          <w:p>
            <w:pPr>
              <w:spacing w:after="0"/>
              <w:rPr>
                <w:sz w:val="24"/>
                <w:szCs w:val="24"/>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b w:val="1"/>
                <w:bCs w:val="1"/>
                <w:color w:val="auto"/>
              </w:rPr>
              <w:t>VERACYTE, INC.,</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9660" w:type="dxa"/>
            <w:vAlign w:val="bottom"/>
            <w:gridSpan w:val="4"/>
          </w:tcPr>
          <w:p>
            <w:pPr>
              <w:ind w:left="4860"/>
              <w:spacing w:after="0"/>
              <w:rPr>
                <w:sz w:val="20"/>
                <w:szCs w:val="20"/>
                <w:color w:val="auto"/>
              </w:rPr>
            </w:pPr>
            <w:r>
              <w:rPr>
                <w:rFonts w:ascii="Arial" w:cs="Arial" w:eastAsia="Arial" w:hAnsi="Arial"/>
                <w:sz w:val="17"/>
                <w:szCs w:val="17"/>
                <w:color w:val="auto"/>
              </w:rPr>
              <w:t>a Delaware corporation</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5580" w:type="dxa"/>
            <w:vAlign w:val="bottom"/>
          </w:tcPr>
          <w:p>
            <w:pPr>
              <w:ind w:left="4860"/>
              <w:spacing w:after="0"/>
              <w:rPr>
                <w:sz w:val="20"/>
                <w:szCs w:val="20"/>
                <w:color w:val="auto"/>
              </w:rPr>
            </w:pPr>
            <w:r>
              <w:rPr>
                <w:rFonts w:ascii="Arial" w:cs="Arial" w:eastAsia="Arial" w:hAnsi="Arial"/>
                <w:sz w:val="17"/>
                <w:szCs w:val="17"/>
                <w:color w:val="auto"/>
              </w:rPr>
              <w:t>By:</w:t>
            </w:r>
          </w:p>
        </w:tc>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5580" w:type="dxa"/>
            <w:vAlign w:val="bottom"/>
          </w:tcPr>
          <w:p>
            <w:pPr>
              <w:ind w:left="4860"/>
              <w:spacing w:after="0" w:line="190" w:lineRule="exact"/>
              <w:rPr>
                <w:sz w:val="20"/>
                <w:szCs w:val="20"/>
                <w:color w:val="auto"/>
              </w:rPr>
            </w:pPr>
            <w:r>
              <w:rPr>
                <w:rFonts w:ascii="Arial" w:cs="Arial" w:eastAsia="Arial" w:hAnsi="Arial"/>
                <w:sz w:val="17"/>
                <w:szCs w:val="17"/>
                <w:color w:val="auto"/>
              </w:rPr>
              <w:t>Name:</w:t>
            </w:r>
          </w:p>
        </w:tc>
        <w:tc>
          <w:tcPr>
            <w:tcW w:w="7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5580" w:type="dxa"/>
            <w:vAlign w:val="bottom"/>
          </w:tcPr>
          <w:p>
            <w:pPr>
              <w:ind w:left="4860"/>
              <w:spacing w:after="0" w:line="189" w:lineRule="exact"/>
              <w:rPr>
                <w:sz w:val="20"/>
                <w:szCs w:val="20"/>
                <w:color w:val="auto"/>
              </w:rPr>
            </w:pPr>
            <w:r>
              <w:rPr>
                <w:rFonts w:ascii="Arial" w:cs="Arial" w:eastAsia="Arial" w:hAnsi="Arial"/>
                <w:sz w:val="17"/>
                <w:szCs w:val="17"/>
                <w:color w:val="auto"/>
              </w:rPr>
              <w:t>Title:</w:t>
            </w:r>
          </w:p>
        </w:tc>
        <w:tc>
          <w:tcPr>
            <w:tcW w:w="7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860" w:type="dxa"/>
            <w:vAlign w:val="bottom"/>
          </w:tcPr>
          <w:p>
            <w:pPr>
              <w:spacing w:after="0"/>
              <w:rPr>
                <w:sz w:val="24"/>
                <w:szCs w:val="24"/>
                <w:color w:val="auto"/>
              </w:rPr>
            </w:pPr>
          </w:p>
        </w:tc>
        <w:tc>
          <w:tcPr>
            <w:tcW w:w="9660" w:type="dxa"/>
            <w:vAlign w:val="bottom"/>
            <w:gridSpan w:val="4"/>
          </w:tcPr>
          <w:p>
            <w:pPr>
              <w:jc w:val="center"/>
              <w:spacing w:after="0"/>
              <w:rPr>
                <w:sz w:val="20"/>
                <w:szCs w:val="20"/>
                <w:color w:val="auto"/>
              </w:rPr>
            </w:pPr>
            <w:r>
              <w:rPr>
                <w:rFonts w:ascii="Arial" w:cs="Arial" w:eastAsia="Arial" w:hAnsi="Arial"/>
                <w:sz w:val="17"/>
                <w:szCs w:val="17"/>
                <w:b w:val="1"/>
                <w:bCs w:val="1"/>
                <w:color w:val="auto"/>
              </w:rPr>
              <w:t>(ALL SIGNATURES MUST BE ACKNOWLEDGED)</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60" w:type="dxa"/>
            <w:vAlign w:val="bottom"/>
          </w:tcPr>
          <w:p>
            <w:pPr>
              <w:spacing w:after="0"/>
              <w:rPr>
                <w:sz w:val="24"/>
                <w:szCs w:val="24"/>
                <w:color w:val="auto"/>
              </w:rPr>
            </w:pPr>
          </w:p>
        </w:tc>
        <w:tc>
          <w:tcPr>
            <w:tcW w:w="5580" w:type="dxa"/>
            <w:vAlign w:val="bottom"/>
          </w:tcPr>
          <w:p>
            <w:pPr>
              <w:jc w:val="center"/>
              <w:ind w:left="4053"/>
              <w:spacing w:after="0"/>
              <w:rPr>
                <w:sz w:val="20"/>
                <w:szCs w:val="20"/>
                <w:color w:val="auto"/>
              </w:rPr>
            </w:pPr>
            <w:r>
              <w:rPr>
                <w:rFonts w:ascii="Arial" w:cs="Arial" w:eastAsia="Arial" w:hAnsi="Arial"/>
                <w:sz w:val="17"/>
                <w:szCs w:val="17"/>
                <w:color w:val="auto"/>
              </w:rPr>
              <w:t>I-6</w:t>
            </w: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86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8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EXHIBIT A</w:t>
            </w:r>
          </w:p>
        </w:tc>
      </w:tr>
      <w:tr>
        <w:trPr>
          <w:trHeight w:val="20"/>
        </w:trPr>
        <w:tc>
          <w:tcPr>
            <w:tcW w:w="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40" w:type="dxa"/>
            <w:vAlign w:val="bottom"/>
            <w:gridSpan w:val="3"/>
          </w:tcPr>
          <w:p>
            <w:pPr>
              <w:jc w:val="right"/>
              <w:ind w:right="40"/>
              <w:spacing w:after="0" w:line="189" w:lineRule="exact"/>
              <w:rPr>
                <w:sz w:val="20"/>
                <w:szCs w:val="20"/>
                <w:color w:val="auto"/>
              </w:rPr>
            </w:pPr>
            <w:r>
              <w:rPr>
                <w:rFonts w:ascii="Arial" w:cs="Arial" w:eastAsia="Arial" w:hAnsi="Arial"/>
                <w:sz w:val="17"/>
                <w:szCs w:val="17"/>
                <w:b w:val="1"/>
                <w:bCs w:val="1"/>
                <w:color w:val="auto"/>
                <w:w w:val="96"/>
              </w:rPr>
              <w:t>LOAN NO. 1000531</w:t>
            </w:r>
          </w:p>
        </w:tc>
      </w:tr>
      <w:tr>
        <w:trPr>
          <w:trHeight w:val="438"/>
        </w:trPr>
        <w:tc>
          <w:tcPr>
            <w:tcW w:w="860" w:type="dxa"/>
            <w:vAlign w:val="bottom"/>
          </w:tcPr>
          <w:p>
            <w:pPr>
              <w:spacing w:after="0"/>
              <w:rPr>
                <w:sz w:val="24"/>
                <w:szCs w:val="24"/>
                <w:color w:val="auto"/>
              </w:rPr>
            </w:pPr>
          </w:p>
        </w:tc>
        <w:tc>
          <w:tcPr>
            <w:tcW w:w="9060" w:type="dxa"/>
            <w:vAlign w:val="bottom"/>
            <w:gridSpan w:val="3"/>
          </w:tcPr>
          <w:p>
            <w:pPr>
              <w:jc w:val="center"/>
              <w:ind w:left="553"/>
              <w:spacing w:after="0"/>
              <w:rPr>
                <w:sz w:val="20"/>
                <w:szCs w:val="20"/>
                <w:color w:val="auto"/>
              </w:rPr>
            </w:pPr>
            <w:r>
              <w:rPr>
                <w:rFonts w:ascii="Arial" w:cs="Arial" w:eastAsia="Arial" w:hAnsi="Arial"/>
                <w:sz w:val="17"/>
                <w:szCs w:val="17"/>
                <w:b w:val="1"/>
                <w:bCs w:val="1"/>
                <w:color w:val="auto"/>
              </w:rPr>
              <w:t>DESCRIPTION OF PROPERTY</w:t>
            </w:r>
          </w:p>
        </w:tc>
        <w:tc>
          <w:tcPr>
            <w:tcW w:w="6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10520" w:type="dxa"/>
            <w:vAlign w:val="bottom"/>
            <w:gridSpan w:val="5"/>
          </w:tcPr>
          <w:p>
            <w:pPr>
              <w:spacing w:after="0"/>
              <w:rPr>
                <w:sz w:val="20"/>
                <w:szCs w:val="20"/>
                <w:color w:val="auto"/>
              </w:rPr>
            </w:pPr>
            <w:r>
              <w:rPr>
                <w:rFonts w:ascii="Arial" w:cs="Arial" w:eastAsia="Arial" w:hAnsi="Arial"/>
                <w:sz w:val="17"/>
                <w:szCs w:val="17"/>
                <w:color w:val="auto"/>
                <w:w w:val="94"/>
              </w:rPr>
              <w:t>EXHIBIT A to Subordination Agreement; Acknowledgment of Lease Assignment, Estoppel, Attornment and Non-Disturbance Agreement dated as of</w:t>
            </w:r>
          </w:p>
        </w:tc>
        <w:tc>
          <w:tcPr>
            <w:tcW w:w="900" w:type="dxa"/>
            <w:vAlign w:val="bottom"/>
          </w:tcPr>
          <w:p>
            <w:pPr>
              <w:jc w:val="right"/>
              <w:spacing w:after="0"/>
              <w:rPr>
                <w:sz w:val="20"/>
                <w:szCs w:val="20"/>
                <w:color w:val="auto"/>
              </w:rPr>
            </w:pPr>
            <w:r>
              <w:rPr>
                <w:rFonts w:ascii="Arial" w:cs="Arial" w:eastAsia="Arial" w:hAnsi="Arial"/>
                <w:sz w:val="17"/>
                <w:szCs w:val="17"/>
                <w:color w:val="auto"/>
              </w:rPr>
              <w:t>, 2012,</w:t>
            </w:r>
          </w:p>
        </w:tc>
        <w:tc>
          <w:tcPr>
            <w:tcW w:w="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-1158875</wp:posOffset>
            </wp:positionV>
            <wp:extent cx="12700"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-1158875</wp:posOffset>
            </wp:positionV>
            <wp:extent cx="12700"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right="840"/>
        <w:spacing w:after="0" w:line="322" w:lineRule="auto"/>
        <w:rPr>
          <w:sz w:val="20"/>
          <w:szCs w:val="20"/>
          <w:color w:val="auto"/>
        </w:rPr>
      </w:pPr>
      <w:r>
        <w:rPr>
          <w:rFonts w:ascii="Arial" w:cs="Arial" w:eastAsia="Arial" w:hAnsi="Arial"/>
          <w:sz w:val="16"/>
          <w:szCs w:val="16"/>
          <w:color w:val="auto"/>
        </w:rPr>
        <w:t>executed by RIATA HOLDINGS, L.P., a Delaware limited partnership, doing business in the State of Texas as Riata Austin Holdings, L.P., as “Owner”, VERACYTE, INC., a Delaware corporation, as “Lessee”, and WELLS FARGO BANK, NATIONAL ASSOCIATION, as “Administrative Agent”.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All that certain real property located in the City of Austin, County of Travis, State of Texas,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272" w:gutter="0" w:footer="0" w:header="0"/>
        </w:sectPr>
      </w:pPr>
    </w:p>
    <w:bookmarkStart w:id="325" w:name="page326"/>
    <w:bookmarkEnd w:id="325"/>
    <w:p>
      <w:pPr>
        <w:spacing w:after="0" w:line="297" w:lineRule="auto"/>
        <w:rPr>
          <w:sz w:val="20"/>
          <w:szCs w:val="20"/>
          <w:color w:val="auto"/>
        </w:rPr>
      </w:pPr>
      <w:r>
        <w:rPr>
          <w:rFonts w:ascii="Arial" w:cs="Arial" w:eastAsia="Arial" w:hAnsi="Arial"/>
          <w:sz w:val="17"/>
          <w:szCs w:val="17"/>
          <w:b w:val="1"/>
          <w:bCs w:val="1"/>
          <w:color w:val="auto"/>
        </w:rPr>
        <w:t>STATE OF CALIFORNIA COUNTY OF</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58" w:lineRule="exact"/>
        <w:rPr>
          <w:sz w:val="20"/>
          <w:szCs w:val="20"/>
          <w:color w:val="auto"/>
        </w:rPr>
      </w:pPr>
    </w:p>
    <w:p>
      <w:pPr>
        <w:sectPr>
          <w:pgSz w:w="11900" w:h="16838" w:orient="portrait"/>
          <w:cols w:equalWidth="0" w:num="2">
            <w:col w:w="2000" w:space="280"/>
            <w:col w:w="9000"/>
          </w:cols>
          <w:pgMar w:left="240" w:top="567" w:right="379" w:bottom="1440" w:gutter="0" w:footer="0" w:header="0"/>
        </w:sectPr>
      </w:pPr>
    </w:p>
    <w:p>
      <w:pPr>
        <w:spacing w:after="0"/>
        <w:tabs>
          <w:tab w:leader="none" w:pos="2860" w:val="left"/>
          <w:tab w:leader="none" w:pos="834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56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56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STATE OF CALIFORNIA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58" w:lineRule="exact"/>
        <w:rPr>
          <w:sz w:val="20"/>
          <w:szCs w:val="20"/>
          <w:color w:val="auto"/>
        </w:rPr>
      </w:pPr>
    </w:p>
    <w:p>
      <w:pPr>
        <w:sectPr>
          <w:pgSz w:w="11900" w:h="16838" w:orient="portrait"/>
          <w:cols w:equalWidth="0" w:num="2">
            <w:col w:w="2000" w:space="280"/>
            <w:col w:w="9000"/>
          </w:cols>
          <w:pgMar w:left="240" w:top="567" w:right="379" w:bottom="1440" w:gutter="0" w:footer="0" w:header="0"/>
          <w:type w:val="continuous"/>
        </w:sectPr>
      </w:pPr>
    </w:p>
    <w:p>
      <w:pPr>
        <w:spacing w:after="0"/>
        <w:tabs>
          <w:tab w:leader="none" w:pos="2860" w:val="left"/>
          <w:tab w:leader="none" w:pos="834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56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56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46" w:lineRule="exact"/>
        <w:rPr>
          <w:sz w:val="20"/>
          <w:szCs w:val="20"/>
          <w:color w:val="auto"/>
        </w:rPr>
      </w:pPr>
    </w:p>
    <w:p>
      <w:pPr>
        <w:sectPr>
          <w:pgSz w:w="11900" w:h="16838" w:orient="portrait"/>
          <w:cols w:equalWidth="0" w:num="2">
            <w:col w:w="1560" w:space="720"/>
            <w:col w:w="9000"/>
          </w:cols>
          <w:pgMar w:left="240" w:top="567" w:right="379" w:bottom="1440" w:gutter="0" w:footer="0" w:header="0"/>
          <w:type w:val="continuous"/>
        </w:sectPr>
      </w:pPr>
    </w:p>
    <w:p>
      <w:pPr>
        <w:spacing w:after="0" w:line="12" w:lineRule="exact"/>
        <w:rPr>
          <w:sz w:val="20"/>
          <w:szCs w:val="20"/>
          <w:color w:val="auto"/>
        </w:rPr>
      </w:pPr>
    </w:p>
    <w:p>
      <w:pPr>
        <w:spacing w:after="0"/>
        <w:tabs>
          <w:tab w:leader="none" w:pos="2920" w:val="left"/>
          <w:tab w:leader="none" w:pos="840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56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567" w:right="379"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AND SECURITY AGREEMENT</w:t>
      </w:r>
    </w:p>
    <w:p>
      <w:pPr>
        <w:spacing w:after="0" w:line="224"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June 26, 2013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the terms on which Bank shall lend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Borrower shall repay Bank. The parties agree as follows:</w:t>
      </w:r>
    </w:p>
    <w:p>
      <w:pPr>
        <w:spacing w:after="0" w:line="162" w:lineRule="exact"/>
        <w:rPr>
          <w:sz w:val="20"/>
          <w:szCs w:val="20"/>
          <w:color w:val="auto"/>
        </w:rPr>
      </w:pPr>
    </w:p>
    <w:p>
      <w:pPr>
        <w:ind w:left="1260" w:hanging="626"/>
        <w:spacing w:after="0"/>
        <w:tabs>
          <w:tab w:leader="none" w:pos="1260" w:val="left"/>
        </w:tabs>
        <w:numPr>
          <w:ilvl w:val="0"/>
          <w:numId w:val="4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AND OTHER TERMS</w:t>
      </w:r>
    </w:p>
    <w:p>
      <w:pPr>
        <w:spacing w:after="0" w:line="230"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260" w:hanging="626"/>
        <w:spacing w:after="0"/>
        <w:tabs>
          <w:tab w:leader="none" w:pos="1260" w:val="left"/>
        </w:tabs>
        <w:numPr>
          <w:ilvl w:val="0"/>
          <w:numId w:val="4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AND TERMS OF PAYMENT</w:t>
      </w:r>
    </w:p>
    <w:p>
      <w:pPr>
        <w:spacing w:after="0" w:line="224"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b w:val="1"/>
          <w:bCs w:val="1"/>
          <w:color w:val="auto"/>
        </w:rPr>
        <w:t xml:space="preserve">2.1 Promise to Pay. </w:t>
      </w:r>
      <w:r>
        <w:rPr>
          <w:rFonts w:ascii="Arial" w:cs="Arial" w:eastAsia="Arial" w:hAnsi="Arial"/>
          <w:sz w:val="17"/>
          <w:szCs w:val="17"/>
          <w:color w:val="auto"/>
        </w:rPr>
        <w:t>Borrower hereby unconditionally promises to pay Bank the outstanding principal amount of all Credit Extensions and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and unpaid interest thereon as and when due in accordance with this Agreement.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6"/>
          <w:szCs w:val="16"/>
          <w:b w:val="1"/>
          <w:bCs w:val="1"/>
          <w:color w:val="auto"/>
        </w:rPr>
        <w:t>Growth Capital Term Loans.</w:t>
      </w:r>
    </w:p>
    <w:p>
      <w:pPr>
        <w:spacing w:after="0" w:line="230" w:lineRule="exact"/>
        <w:rPr>
          <w:sz w:val="20"/>
          <w:szCs w:val="20"/>
          <w:color w:val="auto"/>
        </w:rPr>
      </w:pPr>
    </w:p>
    <w:p>
      <w:pPr>
        <w:ind w:right="140" w:firstLine="1263"/>
        <w:spacing w:after="0" w:line="283" w:lineRule="auto"/>
        <w:tabs>
          <w:tab w:leader="none" w:pos="1885" w:val="left"/>
        </w:tabs>
        <w:numPr>
          <w:ilvl w:val="0"/>
          <w:numId w:val="475"/>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during the Draw Period, Bank shall make two advances (each, a “</w:t>
      </w:r>
      <w:r>
        <w:rPr>
          <w:rFonts w:ascii="Arial" w:cs="Arial" w:eastAsia="Arial" w:hAnsi="Arial"/>
          <w:sz w:val="16"/>
          <w:szCs w:val="16"/>
          <w:b w:val="1"/>
          <w:bCs w:val="1"/>
          <w:color w:val="auto"/>
        </w:rPr>
        <w:t>Growth Capital Term Loan</w:t>
      </w:r>
      <w:r>
        <w:rPr>
          <w:rFonts w:ascii="Arial" w:cs="Arial" w:eastAsia="Arial" w:hAnsi="Arial"/>
          <w:sz w:val="16"/>
          <w:szCs w:val="16"/>
          <w:color w:val="auto"/>
        </w:rPr>
        <w:t>” and, collectively, “</w:t>
      </w:r>
      <w:r>
        <w:rPr>
          <w:rFonts w:ascii="Arial" w:cs="Arial" w:eastAsia="Arial" w:hAnsi="Arial"/>
          <w:sz w:val="16"/>
          <w:szCs w:val="16"/>
          <w:b w:val="1"/>
          <w:bCs w:val="1"/>
          <w:color w:val="auto"/>
        </w:rPr>
        <w:t>Growth Capital Term Loans</w:t>
      </w:r>
      <w:r>
        <w:rPr>
          <w:rFonts w:ascii="Arial" w:cs="Arial" w:eastAsia="Arial" w:hAnsi="Arial"/>
          <w:sz w:val="16"/>
          <w:szCs w:val="16"/>
          <w:color w:val="auto"/>
        </w:rPr>
        <w:t>”) available to Borrower in an aggregate amount up to the Growth Capital Term Loan Amount subject to the satisfaction of the terms and conditions of this Agreement. Borrower shall request the initial Growth Capital Term Loan in the principal amount of $5,000,000 on the Effective Date (the “</w:t>
      </w:r>
      <w:r>
        <w:rPr>
          <w:rFonts w:ascii="Arial" w:cs="Arial" w:eastAsia="Arial" w:hAnsi="Arial"/>
          <w:sz w:val="16"/>
          <w:szCs w:val="16"/>
          <w:b w:val="1"/>
          <w:bCs w:val="1"/>
          <w:color w:val="auto"/>
        </w:rPr>
        <w:t>Initial Growth Capital Term Loan</w:t>
      </w:r>
      <w:r>
        <w:rPr>
          <w:rFonts w:ascii="Arial" w:cs="Arial" w:eastAsia="Arial" w:hAnsi="Arial"/>
          <w:sz w:val="16"/>
          <w:szCs w:val="16"/>
          <w:color w:val="auto"/>
        </w:rPr>
        <w:t>”). Borrower may request a second Growth Capital Term Loan in the principal amount of up to $5,000,000 during the Draw Period (the “</w:t>
      </w:r>
      <w:r>
        <w:rPr>
          <w:rFonts w:ascii="Arial" w:cs="Arial" w:eastAsia="Arial" w:hAnsi="Arial"/>
          <w:sz w:val="16"/>
          <w:szCs w:val="16"/>
          <w:b w:val="1"/>
          <w:bCs w:val="1"/>
          <w:color w:val="auto"/>
        </w:rPr>
        <w:t>Second Growth Capital Term Loan</w:t>
      </w:r>
      <w:r>
        <w:rPr>
          <w:rFonts w:ascii="Arial" w:cs="Arial" w:eastAsia="Arial" w:hAnsi="Arial"/>
          <w:sz w:val="16"/>
          <w:szCs w:val="16"/>
          <w:color w:val="auto"/>
        </w:rPr>
        <w:t>”). After repayment, no Growth Capital Term Loan may be reborrowed. Borrower may not request any Growth Capital Term Loans after the expiration of the Draw Period.</w:t>
      </w:r>
    </w:p>
    <w:p>
      <w:pPr>
        <w:spacing w:after="0" w:line="166" w:lineRule="exact"/>
        <w:rPr>
          <w:rFonts w:ascii="Arial" w:cs="Arial" w:eastAsia="Arial" w:hAnsi="Arial"/>
          <w:sz w:val="16"/>
          <w:szCs w:val="16"/>
          <w:color w:val="auto"/>
        </w:rPr>
      </w:pPr>
    </w:p>
    <w:p>
      <w:pPr>
        <w:ind w:firstLine="1263"/>
        <w:spacing w:after="0" w:line="262" w:lineRule="auto"/>
        <w:tabs>
          <w:tab w:leader="none" w:pos="1895" w:val="left"/>
        </w:tabs>
        <w:numPr>
          <w:ilvl w:val="0"/>
          <w:numId w:val="475"/>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Interest shall accrue from the date of each Growth Capital Term Loan. Borrower shall make monthly interest-only payments on each Growth Capital Term Loan, beginning on the first calendar day of the month immediately following the Funding Date of such Growth Capital Term Loan, payable in arrears, and continuing on the first day of each successive calendar month for eighteen (18) months (each such eighteen (18) month period, the “</w:t>
      </w:r>
      <w:r>
        <w:rPr>
          <w:rFonts w:ascii="Arial" w:cs="Arial" w:eastAsia="Arial" w:hAnsi="Arial"/>
          <w:sz w:val="17"/>
          <w:szCs w:val="17"/>
          <w:b w:val="1"/>
          <w:bCs w:val="1"/>
          <w:color w:val="auto"/>
        </w:rPr>
        <w:t>Interest Only Period</w:t>
      </w:r>
      <w:r>
        <w:rPr>
          <w:rFonts w:ascii="Arial" w:cs="Arial" w:eastAsia="Arial" w:hAnsi="Arial"/>
          <w:sz w:val="17"/>
          <w:szCs w:val="17"/>
          <w:color w:val="auto"/>
        </w:rPr>
        <w:t>”). Each Growth Capital Term Loan shall immediately amortize after the Interest Only Period and be payable in 30 equal payments of principal and interest, beginning on the first day of the month following each Interest Only Period and continuing on the same day of each month thereafter. On the Growth Capital Term Loan Maturity Date, Borrower shall pay the outstanding principal amount of each Growth Capital Term Loan and any accrued and unpaid interest thereon.</w:t>
      </w:r>
    </w:p>
    <w:p>
      <w:pPr>
        <w:spacing w:after="0" w:line="184" w:lineRule="exact"/>
        <w:rPr>
          <w:rFonts w:ascii="Arial" w:cs="Arial" w:eastAsia="Arial" w:hAnsi="Arial"/>
          <w:sz w:val="17"/>
          <w:szCs w:val="17"/>
          <w:color w:val="auto"/>
        </w:rPr>
      </w:pPr>
    </w:p>
    <w:p>
      <w:pPr>
        <w:jc w:val="both"/>
        <w:ind w:right="20" w:firstLine="1263"/>
        <w:spacing w:after="0" w:line="268" w:lineRule="auto"/>
        <w:tabs>
          <w:tab w:leader="none" w:pos="1898" w:val="left"/>
        </w:tabs>
        <w:numPr>
          <w:ilvl w:val="0"/>
          <w:numId w:val="475"/>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On the earlier of (i) the Growth Capital Term Loan Maturity Date for each Growth Capital Term Loan or other earlier date that the final Growth Capital Term Loan payment is due in accordance with the terms of this Agreement, or (ii) the termination of the Growth Capital Term Loan or this Agreement for any reason, Borrower shall pay, in addition to the outstanding principal, accrued and unpaid interest, and all other amounts due on such date with respect to the Growth Capital Term Loans, an amount equal to the Final Payment.</w:t>
      </w:r>
    </w:p>
    <w:p>
      <w:pPr>
        <w:spacing w:after="0" w:line="175" w:lineRule="exact"/>
        <w:rPr>
          <w:rFonts w:ascii="Arial" w:cs="Arial" w:eastAsia="Arial" w:hAnsi="Arial"/>
          <w:sz w:val="17"/>
          <w:szCs w:val="17"/>
          <w:color w:val="auto"/>
        </w:rPr>
      </w:pPr>
    </w:p>
    <w:p>
      <w:pPr>
        <w:ind w:right="220" w:firstLine="1263"/>
        <w:spacing w:after="0" w:line="289" w:lineRule="auto"/>
        <w:tabs>
          <w:tab w:leader="none" w:pos="1895" w:val="left"/>
        </w:tabs>
        <w:numPr>
          <w:ilvl w:val="0"/>
          <w:numId w:val="475"/>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So long as no Event of Default has occurred and is continuing, Borrower shall have the option to prepay all, but not less than all, of the Growth Capital Term Loans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advanced by Bank under this Agreement, provided Borrower (i) delivers written notice to Bank of its election to prepay the Growth Capital Term Loans at least five (5) days prior to such prepayment, and (ii) pays, on the date of such prepayment (A) the Prepayment Premium, (B) the Final Payment, and (C) all other sums, if any, that shall have become due and payable, including interest at the Default Rate with respect to any past due amounts. The Prepayment Premium shall also be due in connection with any prepayment following the occurrence of an Event of Default.</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6"/>
          <w:szCs w:val="16"/>
          <w:b w:val="1"/>
          <w:bCs w:val="1"/>
          <w:color w:val="auto"/>
        </w:rPr>
        <w:t>Intentionally omitted.</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Payment of Interest on the Credit Extensions.</w:t>
      </w:r>
    </w:p>
    <w:p>
      <w:pPr>
        <w:spacing w:after="0" w:line="230" w:lineRule="exact"/>
        <w:rPr>
          <w:sz w:val="20"/>
          <w:szCs w:val="20"/>
          <w:color w:val="auto"/>
        </w:rPr>
      </w:pPr>
    </w:p>
    <w:p>
      <w:pPr>
        <w:ind w:left="1880" w:hanging="617"/>
        <w:spacing w:after="0"/>
        <w:tabs>
          <w:tab w:leader="none" w:pos="1880"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80" w:firstLine="1893"/>
        <w:spacing w:after="0" w:line="298" w:lineRule="auto"/>
        <w:tabs>
          <w:tab w:leader="none" w:pos="2538" w:val="left"/>
        </w:tabs>
        <w:numPr>
          <w:ilvl w:val="1"/>
          <w:numId w:val="476"/>
        </w:numPr>
        <w:rPr>
          <w:rFonts w:ascii="Arial" w:cs="Arial" w:eastAsia="Arial" w:hAnsi="Arial"/>
          <w:sz w:val="16"/>
          <w:szCs w:val="16"/>
          <w:color w:val="auto"/>
        </w:rPr>
      </w:pPr>
      <w:r>
        <w:rPr>
          <w:rFonts w:ascii="Arial" w:cs="Arial" w:eastAsia="Arial" w:hAnsi="Arial"/>
          <w:sz w:val="16"/>
          <w:szCs w:val="16"/>
          <w:u w:val="single" w:color="auto"/>
          <w:color w:val="auto"/>
        </w:rPr>
        <w:t>Growth Capital Loan</w:t>
      </w:r>
      <w:r>
        <w:rPr>
          <w:rFonts w:ascii="Arial" w:cs="Arial" w:eastAsia="Arial" w:hAnsi="Arial"/>
          <w:sz w:val="16"/>
          <w:szCs w:val="16"/>
          <w:color w:val="auto"/>
        </w:rPr>
        <w:t>. Subject to Section 2.3(b), the principal amount of all outstanding Growth Capital Term Loans shall accrue interest, fixed at the time of each Growth Capital Term Loan, at a rate equal to the greater of (A) the Basic Rate in effect on the Funding Date of the applicable Growth Capital Term Loan, or (B) 5.88%, which interest shall be payable monthly in accordance with Section 2.3(c) below.</w:t>
      </w:r>
    </w:p>
    <w:p>
      <w:pPr>
        <w:spacing w:after="0" w:line="153" w:lineRule="exact"/>
        <w:rPr>
          <w:rFonts w:ascii="Arial" w:cs="Arial" w:eastAsia="Arial" w:hAnsi="Arial"/>
          <w:sz w:val="16"/>
          <w:szCs w:val="16"/>
          <w:color w:val="auto"/>
        </w:rPr>
      </w:pPr>
    </w:p>
    <w:p>
      <w:pPr>
        <w:ind w:right="20" w:firstLine="1263"/>
        <w:spacing w:after="0" w:line="308" w:lineRule="auto"/>
        <w:tabs>
          <w:tab w:leader="none" w:pos="1895" w:val="left"/>
        </w:tabs>
        <w:numPr>
          <w:ilvl w:val="0"/>
          <w:numId w:val="476"/>
        </w:numPr>
        <w:rPr>
          <w:rFonts w:ascii="Arial" w:cs="Arial" w:eastAsia="Arial" w:hAnsi="Arial"/>
          <w:sz w:val="15"/>
          <w:szCs w:val="15"/>
          <w:color w:val="auto"/>
        </w:rPr>
      </w:pPr>
      <w:r>
        <w:rPr>
          <w:rFonts w:ascii="Arial" w:cs="Arial" w:eastAsia="Arial" w:hAnsi="Arial"/>
          <w:sz w:val="15"/>
          <w:szCs w:val="15"/>
          <w:u w:val="single" w:color="auto"/>
          <w:color w:val="auto"/>
        </w:rPr>
        <w:t>Default Rate</w:t>
      </w:r>
      <w:r>
        <w:rPr>
          <w:rFonts w:ascii="Arial" w:cs="Arial" w:eastAsia="Arial" w:hAnsi="Arial"/>
          <w:sz w:val="15"/>
          <w:szCs w:val="15"/>
          <w:color w:val="auto"/>
        </w:rPr>
        <w:t>. Immediately upon the occurrence and during the continuance of an Event of Default, Obligations shall bear interest at a rate per annum which is five percentage points (5.0%) above the rate that is otherwise applicable thereto (the “</w:t>
      </w:r>
      <w:r>
        <w:rPr>
          <w:rFonts w:ascii="Arial" w:cs="Arial" w:eastAsia="Arial" w:hAnsi="Arial"/>
          <w:sz w:val="15"/>
          <w:szCs w:val="15"/>
          <w:b w:val="1"/>
          <w:bCs w:val="1"/>
          <w:color w:val="auto"/>
        </w:rPr>
        <w:t>Default Rate</w:t>
      </w:r>
      <w:r>
        <w:rPr>
          <w:rFonts w:ascii="Arial" w:cs="Arial" w:eastAsia="Arial" w:hAnsi="Arial"/>
          <w:sz w:val="15"/>
          <w:szCs w:val="15"/>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51" w:lineRule="exact"/>
        <w:rPr>
          <w:rFonts w:ascii="Arial" w:cs="Arial" w:eastAsia="Arial" w:hAnsi="Arial"/>
          <w:sz w:val="15"/>
          <w:szCs w:val="15"/>
          <w:color w:val="auto"/>
        </w:rPr>
      </w:pPr>
    </w:p>
    <w:p>
      <w:pPr>
        <w:ind w:right="100" w:firstLine="1263"/>
        <w:spacing w:after="0" w:line="265" w:lineRule="auto"/>
        <w:tabs>
          <w:tab w:leader="none" w:pos="1898"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first calendar day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ectPr>
          <w:pgSz w:w="11900" w:h="16838" w:orient="portrait"/>
          <w:cols w:equalWidth="0" w:num="1">
            <w:col w:w="11420"/>
          </w:cols>
          <w:pgMar w:left="240" w:top="357" w:right="239" w:bottom="0" w:gutter="0" w:footer="0" w:header="0"/>
        </w:sectPr>
      </w:pPr>
    </w:p>
    <w:bookmarkStart w:id="327" w:name="page328"/>
    <w:bookmarkEnd w:id="327"/>
    <w:p>
      <w:pPr>
        <w:ind w:left="1880" w:hanging="617"/>
        <w:spacing w:after="0"/>
        <w:tabs>
          <w:tab w:leader="none" w:pos="1880" w:val="left"/>
        </w:tabs>
        <w:numPr>
          <w:ilvl w:val="0"/>
          <w:numId w:val="477"/>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None;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77"/>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The Final Payment, when due hereunder;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77"/>
        </w:numPr>
        <w:rPr>
          <w:rFonts w:ascii="Arial" w:cs="Arial" w:eastAsia="Arial" w:hAnsi="Arial"/>
          <w:sz w:val="15"/>
          <w:szCs w:val="15"/>
          <w:color w:val="auto"/>
        </w:rPr>
      </w:pPr>
      <w:r>
        <w:rPr>
          <w:rFonts w:ascii="Arial" w:cs="Arial" w:eastAsia="Arial" w:hAnsi="Arial"/>
          <w:sz w:val="15"/>
          <w:szCs w:val="15"/>
          <w:u w:val="single" w:color="auto"/>
          <w:color w:val="auto"/>
        </w:rPr>
        <w:t>Late Payment Fee</w:t>
      </w:r>
      <w:r>
        <w:rPr>
          <w:rFonts w:ascii="Arial" w:cs="Arial" w:eastAsia="Arial" w:hAnsi="Arial"/>
          <w:sz w:val="15"/>
          <w:szCs w:val="15"/>
          <w:color w:val="auto"/>
        </w:rPr>
        <w:t>. A late payment fee equal to one and one-half percent (1.5%) of any Scheduled Payment or Final Payment not paid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when due; and</w:t>
      </w:r>
    </w:p>
    <w:p>
      <w:pPr>
        <w:spacing w:after="0" w:line="212" w:lineRule="exact"/>
        <w:rPr>
          <w:sz w:val="20"/>
          <w:szCs w:val="20"/>
          <w:color w:val="auto"/>
        </w:rPr>
      </w:pPr>
    </w:p>
    <w:p>
      <w:pPr>
        <w:ind w:right="60" w:firstLine="1263"/>
        <w:spacing w:after="0" w:line="265" w:lineRule="auto"/>
        <w:tabs>
          <w:tab w:leader="none" w:pos="1895"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Bank Expenses</w:t>
      </w:r>
      <w:r>
        <w:rPr>
          <w:rFonts w:ascii="Arial" w:cs="Arial" w:eastAsia="Arial" w:hAnsi="Arial"/>
          <w:sz w:val="17"/>
          <w:szCs w:val="17"/>
          <w:color w:val="auto"/>
        </w:rPr>
        <w:t>. All Bank Expenses (including reasonable attorneys’ fees and expenses for documentation and negotiation of this Agreement which fees for the documentation and negotiation of this Agreement will not exceed $35,000 so long as Borrower requetw no more than two reasonable turns of each document. In the event that Borrower either (a) make an unreasonable number of changes, or (b) request more than two turns of any document Lender’s expenses will no longer be subject to the $35,000 cap — to be completed before final loan agreement signed, subject to “Expenses” section of term sheet) incurred through and after the Effective Date, when due (or, if no stated due date, upon demand by Bank).</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65" w:lineRule="auto"/>
        <w:tabs>
          <w:tab w:leader="none" w:pos="1898"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color w:val="auto"/>
        </w:rPr>
        <w:t>Payments; Application of Payments; Debit of Accounts.</w:t>
      </w:r>
    </w:p>
    <w:p>
      <w:pPr>
        <w:spacing w:after="0" w:line="230" w:lineRule="exact"/>
        <w:rPr>
          <w:sz w:val="20"/>
          <w:szCs w:val="20"/>
          <w:color w:val="auto"/>
        </w:rPr>
      </w:pPr>
    </w:p>
    <w:p>
      <w:pPr>
        <w:ind w:right="40" w:firstLine="1263"/>
        <w:spacing w:after="0" w:line="268" w:lineRule="auto"/>
        <w:tabs>
          <w:tab w:leader="none" w:pos="1885"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5" w:lineRule="exact"/>
        <w:rPr>
          <w:rFonts w:ascii="Arial" w:cs="Arial" w:eastAsia="Arial" w:hAnsi="Arial"/>
          <w:sz w:val="17"/>
          <w:szCs w:val="17"/>
          <w:color w:val="auto"/>
        </w:rPr>
      </w:pPr>
    </w:p>
    <w:p>
      <w:pPr>
        <w:jc w:val="both"/>
        <w:ind w:right="80" w:firstLine="1263"/>
        <w:spacing w:after="0" w:line="298" w:lineRule="auto"/>
        <w:tabs>
          <w:tab w:leader="none" w:pos="189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53" w:lineRule="exact"/>
        <w:rPr>
          <w:rFonts w:ascii="Arial" w:cs="Arial" w:eastAsia="Arial" w:hAnsi="Arial"/>
          <w:sz w:val="16"/>
          <w:szCs w:val="16"/>
          <w:color w:val="auto"/>
        </w:rPr>
      </w:pPr>
    </w:p>
    <w:p>
      <w:pPr>
        <w:ind w:right="100" w:firstLine="1263"/>
        <w:spacing w:after="0" w:line="289" w:lineRule="auto"/>
        <w:tabs>
          <w:tab w:leader="none" w:pos="1898" w:val="left"/>
        </w:tabs>
        <w:numPr>
          <w:ilvl w:val="0"/>
          <w:numId w:val="480"/>
        </w:numPr>
        <w:rPr>
          <w:rFonts w:ascii="Arial" w:cs="Arial" w:eastAsia="Arial" w:hAnsi="Arial"/>
          <w:sz w:val="17"/>
          <w:szCs w:val="17"/>
          <w:color w:val="auto"/>
        </w:rPr>
      </w:pPr>
      <w:r>
        <w:rPr>
          <w:rFonts w:ascii="Arial" w:cs="Arial" w:eastAsia="Arial" w:hAnsi="Arial"/>
          <w:sz w:val="17"/>
          <w:szCs w:val="17"/>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5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Payments received by Bank from Borrower under this Agreement will be made free and clear of and without deduction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4" w:lineRule="exact"/>
        <w:rPr>
          <w:sz w:val="20"/>
          <w:szCs w:val="20"/>
          <w:color w:val="auto"/>
        </w:rPr>
      </w:pPr>
    </w:p>
    <w:p>
      <w:pPr>
        <w:ind w:left="1260" w:hanging="626"/>
        <w:spacing w:after="0"/>
        <w:tabs>
          <w:tab w:leader="none" w:pos="1260" w:val="left"/>
        </w:tabs>
        <w:numPr>
          <w:ilvl w:val="0"/>
          <w:numId w:val="4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LOANS</w:t>
      </w:r>
    </w:p>
    <w:p>
      <w:pPr>
        <w:spacing w:after="0" w:line="224"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b w:val="1"/>
          <w:bCs w:val="1"/>
          <w:color w:val="auto"/>
        </w:rPr>
        <w:t xml:space="preserve">3.1 Conditions Precedent to Initial Credit Extension. </w:t>
      </w:r>
      <w:r>
        <w:rPr>
          <w:rFonts w:ascii="Arial" w:cs="Arial" w:eastAsia="Arial" w:hAnsi="Arial"/>
          <w:sz w:val="17"/>
          <w:szCs w:val="17"/>
          <w:color w:val="auto"/>
        </w:rPr>
        <w:t>Bank’s obligation to make the initial Credit Extension is subject to the condition precedent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Bank shall have received, in form and substance satisfactory to Bank, such documents, and completion of such other matters, as Bank may reasonably deem necessary or appropriate, including, without limitation:</w:t>
      </w:r>
    </w:p>
    <w:p>
      <w:pPr>
        <w:spacing w:after="0" w:line="168" w:lineRule="exact"/>
        <w:rPr>
          <w:sz w:val="20"/>
          <w:szCs w:val="20"/>
          <w:color w:val="auto"/>
        </w:rPr>
      </w:pPr>
    </w:p>
    <w:p>
      <w:pPr>
        <w:ind w:left="5680" w:right="5460" w:hanging="4417"/>
        <w:spacing w:after="0" w:line="446" w:lineRule="auto"/>
        <w:tabs>
          <w:tab w:leader="none" w:pos="1899" w:val="left"/>
        </w:tabs>
        <w:numPr>
          <w:ilvl w:val="0"/>
          <w:numId w:val="482"/>
        </w:numPr>
        <w:rPr>
          <w:rFonts w:ascii="Arial" w:cs="Arial" w:eastAsia="Arial" w:hAnsi="Arial"/>
          <w:sz w:val="15"/>
          <w:szCs w:val="15"/>
          <w:color w:val="auto"/>
        </w:rPr>
      </w:pPr>
      <w:r>
        <w:rPr>
          <w:rFonts w:ascii="Arial" w:cs="Arial" w:eastAsia="Arial" w:hAnsi="Arial"/>
          <w:sz w:val="15"/>
          <w:szCs w:val="15"/>
          <w:color w:val="auto"/>
        </w:rPr>
        <w:t>duly executed original signatures to the Loan Documents; 3</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ind w:left="1900" w:hanging="637"/>
        <w:spacing w:after="0"/>
        <w:tabs>
          <w:tab w:leader="none" w:pos="1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duly executed original signatures to the Warrant;</w:t>
      </w:r>
    </w:p>
    <w:p>
      <w:pPr>
        <w:spacing w:after="0" w:line="224" w:lineRule="exact"/>
        <w:rPr>
          <w:rFonts w:ascii="Arial" w:cs="Arial" w:eastAsia="Arial" w:hAnsi="Arial"/>
          <w:sz w:val="17"/>
          <w:szCs w:val="17"/>
          <w:color w:val="auto"/>
        </w:rPr>
      </w:pPr>
    </w:p>
    <w:p>
      <w:pPr>
        <w:ind w:firstLine="1263"/>
        <w:spacing w:after="0" w:line="273" w:lineRule="auto"/>
        <w:tabs>
          <w:tab w:leader="none" w:pos="1898"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duly executed original signatures to the completed Borrowing Resolutions for Borrower;</w:t>
      </w:r>
    </w:p>
    <w:p>
      <w:pPr>
        <w:spacing w:after="0" w:line="224" w:lineRule="exact"/>
        <w:rPr>
          <w:rFonts w:ascii="Arial" w:cs="Arial" w:eastAsia="Arial" w:hAnsi="Arial"/>
          <w:sz w:val="17"/>
          <w:szCs w:val="17"/>
          <w:color w:val="auto"/>
        </w:rPr>
      </w:pPr>
    </w:p>
    <w:p>
      <w:pPr>
        <w:ind w:right="400" w:firstLine="1263"/>
        <w:spacing w:after="0" w:line="273" w:lineRule="auto"/>
        <w:tabs>
          <w:tab w:leader="none" w:pos="1898" w:val="left"/>
        </w:tabs>
        <w:numPr>
          <w:ilvl w:val="0"/>
          <w:numId w:val="482"/>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Perfection Certificate of Borrower, together with the duly executed original signatures thereto;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 landlord’s consent, together with the duly executed original signatures thereto;</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 copy of Borrower’s Investors’ Rights Agreement and any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-2623185</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sectPr>
      </w:pPr>
    </w:p>
    <w:bookmarkStart w:id="328" w:name="page329"/>
    <w:bookmarkEnd w:id="328"/>
    <w:p>
      <w:pPr>
        <w:spacing w:after="0" w:line="15" w:lineRule="exact"/>
        <w:rPr>
          <w:sz w:val="20"/>
          <w:szCs w:val="20"/>
          <w:color w:val="auto"/>
        </w:rPr>
      </w:pPr>
    </w:p>
    <w:p>
      <w:pPr>
        <w:ind w:right="200" w:firstLine="1263"/>
        <w:spacing w:after="0" w:line="289" w:lineRule="auto"/>
        <w:tabs>
          <w:tab w:leader="none" w:pos="1909" w:val="left"/>
        </w:tabs>
        <w:numPr>
          <w:ilvl w:val="0"/>
          <w:numId w:val="483"/>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2.5 hereof.</w:t>
      </w:r>
    </w:p>
    <w:p>
      <w:pPr>
        <w:spacing w:after="0" w:line="218"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 xml:space="preserve">3.2 Conditions Precedent to all Credit Extensions. </w:t>
      </w:r>
      <w:r>
        <w:rPr>
          <w:rFonts w:ascii="Arial" w:cs="Arial" w:eastAsia="Arial" w:hAnsi="Arial"/>
          <w:sz w:val="17"/>
          <w:szCs w:val="17"/>
          <w:color w:val="auto"/>
        </w:rPr>
        <w:t>Bank’s obligations to make each Credit Extension, including the initial Credit Extension,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following conditions precedent:</w:t>
      </w:r>
    </w:p>
    <w:p>
      <w:pPr>
        <w:spacing w:after="0" w:line="151" w:lineRule="exact"/>
        <w:rPr>
          <w:sz w:val="20"/>
          <w:szCs w:val="20"/>
          <w:color w:val="auto"/>
        </w:rPr>
      </w:pPr>
    </w:p>
    <w:p>
      <w:pPr>
        <w:ind w:left="1880" w:hanging="617"/>
        <w:spacing w:after="0"/>
        <w:tabs>
          <w:tab w:leader="none" w:pos="188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except as otherwise provided in Section 3.5(a), timely receipt of an executed Payment/Advance Form;</w:t>
      </w:r>
    </w:p>
    <w:p>
      <w:pPr>
        <w:spacing w:after="0" w:line="224" w:lineRule="exact"/>
        <w:rPr>
          <w:rFonts w:ascii="Arial" w:cs="Arial" w:eastAsia="Arial" w:hAnsi="Arial"/>
          <w:sz w:val="17"/>
          <w:szCs w:val="17"/>
          <w:color w:val="auto"/>
        </w:rPr>
      </w:pPr>
    </w:p>
    <w:p>
      <w:pPr>
        <w:ind w:right="280" w:firstLine="1263"/>
        <w:spacing w:after="0" w:line="301" w:lineRule="auto"/>
        <w:tabs>
          <w:tab w:leader="none" w:pos="1895" w:val="left"/>
        </w:tabs>
        <w:numPr>
          <w:ilvl w:val="0"/>
          <w:numId w:val="484"/>
        </w:numPr>
        <w:rPr>
          <w:rFonts w:ascii="Arial" w:cs="Arial" w:eastAsia="Arial" w:hAnsi="Arial"/>
          <w:sz w:val="15"/>
          <w:szCs w:val="15"/>
          <w:color w:val="auto"/>
        </w:rPr>
      </w:pPr>
      <w:r>
        <w:rPr>
          <w:rFonts w:ascii="Arial" w:cs="Arial" w:eastAsia="Arial" w:hAnsi="Arial"/>
          <w:sz w:val="15"/>
          <w:szCs w:val="15"/>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57" w:lineRule="exact"/>
        <w:rPr>
          <w:rFonts w:ascii="Arial" w:cs="Arial" w:eastAsia="Arial" w:hAnsi="Arial"/>
          <w:sz w:val="15"/>
          <w:szCs w:val="15"/>
          <w:color w:val="auto"/>
        </w:rPr>
      </w:pPr>
    </w:p>
    <w:p>
      <w:pPr>
        <w:ind w:left="1900" w:hanging="584"/>
        <w:spacing w:after="0"/>
        <w:tabs>
          <w:tab w:leader="none" w:pos="1900" w:val="left"/>
        </w:tabs>
        <w:numPr>
          <w:ilvl w:val="1"/>
          <w:numId w:val="484"/>
        </w:numPr>
        <w:rPr>
          <w:rFonts w:ascii="Arial" w:cs="Arial" w:eastAsia="Arial" w:hAnsi="Arial"/>
          <w:sz w:val="17"/>
          <w:szCs w:val="17"/>
          <w:color w:val="auto"/>
        </w:rPr>
      </w:pPr>
      <w:r>
        <w:rPr>
          <w:rFonts w:ascii="Arial" w:cs="Arial" w:eastAsia="Arial" w:hAnsi="Arial"/>
          <w:sz w:val="17"/>
          <w:szCs w:val="17"/>
          <w:color w:val="auto"/>
        </w:rPr>
        <w:t>Bank determines to its satisfaction that there has not been a Material Adverse Change.</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 xml:space="preserve">Post Closing Conditions. </w:t>
      </w:r>
      <w:r>
        <w:rPr>
          <w:rFonts w:ascii="Arial" w:cs="Arial" w:eastAsia="Arial" w:hAnsi="Arial"/>
          <w:sz w:val="15"/>
          <w:szCs w:val="15"/>
          <w:color w:val="auto"/>
        </w:rPr>
        <w:t>None.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629"/>
        <w:spacing w:after="0" w:line="270" w:lineRule="auto"/>
        <w:rPr>
          <w:sz w:val="20"/>
          <w:szCs w:val="20"/>
          <w:color w:val="auto"/>
        </w:rPr>
      </w:pPr>
      <w:r>
        <w:rPr>
          <w:rFonts w:ascii="Arial" w:cs="Arial" w:eastAsia="Arial" w:hAnsi="Arial"/>
          <w:sz w:val="17"/>
          <w:szCs w:val="17"/>
          <w:b w:val="1"/>
          <w:bCs w:val="1"/>
          <w:color w:val="auto"/>
        </w:rPr>
        <w:t xml:space="preserve">3.4 Covenant to Deliver. </w:t>
      </w:r>
      <w:r>
        <w:rPr>
          <w:rFonts w:ascii="Arial" w:cs="Arial" w:eastAsia="Arial" w:hAnsi="Arial"/>
          <w:sz w:val="17"/>
          <w:szCs w:val="17"/>
          <w:color w:val="auto"/>
        </w:rPr>
        <w:t>Borrower agrees to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69"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3.5 Procedures for Borrowing. </w:t>
      </w:r>
      <w:r>
        <w:rPr>
          <w:rFonts w:ascii="Arial" w:cs="Arial" w:eastAsia="Arial" w:hAnsi="Arial"/>
          <w:sz w:val="17"/>
          <w:szCs w:val="17"/>
          <w:color w:val="auto"/>
        </w:rPr>
        <w:t>Subject to the prior satisfaction of all other applicable conditions to the making of the Growth Capital Term Loans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this Agreement, Borrower shall deliver to Bank by electronic mail or facsimile a copy of the request for a Growth Capital Term Loan.</w:t>
      </w:r>
    </w:p>
    <w:p>
      <w:pPr>
        <w:spacing w:after="0" w:line="145" w:lineRule="exact"/>
        <w:rPr>
          <w:sz w:val="20"/>
          <w:szCs w:val="20"/>
          <w:color w:val="auto"/>
        </w:rPr>
      </w:pPr>
    </w:p>
    <w:p>
      <w:pPr>
        <w:ind w:left="1260" w:hanging="626"/>
        <w:spacing w:after="0"/>
        <w:tabs>
          <w:tab w:leader="none" w:pos="1260"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CREATION OF SECURITY INTEREST</w:t>
      </w:r>
    </w:p>
    <w:p>
      <w:pPr>
        <w:spacing w:after="0" w:line="224"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 in full of all of the Obligations, a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interest in, and pledges to Bank, the Collateral, wherever located, whether now owned or hereafter acquired or arising, and all proceeds and products thereof.</w:t>
      </w:r>
    </w:p>
    <w:p>
      <w:pPr>
        <w:spacing w:after="0" w:line="168"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and at such time as Bank’s obligation to make Credit Extensions has terminated, Bank shall, at Borrower’s sole cost and expense, release its Liens in the Collateral and all rights therein shall revert to Borrower.</w:t>
      </w:r>
    </w:p>
    <w:p>
      <w:pPr>
        <w:spacing w:after="0" w:line="172" w:lineRule="exact"/>
        <w:rPr>
          <w:sz w:val="20"/>
          <w:szCs w:val="20"/>
          <w:color w:val="auto"/>
        </w:rPr>
      </w:pPr>
    </w:p>
    <w:p>
      <w:pPr>
        <w:ind w:right="100" w:firstLine="1259"/>
        <w:spacing w:after="0" w:line="314" w:lineRule="auto"/>
        <w:rPr>
          <w:sz w:val="20"/>
          <w:szCs w:val="20"/>
          <w:color w:val="auto"/>
        </w:rPr>
      </w:pPr>
      <w:r>
        <w:rPr>
          <w:rFonts w:ascii="Arial" w:cs="Arial" w:eastAsia="Arial" w:hAnsi="Arial"/>
          <w:sz w:val="15"/>
          <w:szCs w:val="15"/>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46"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75" w:lineRule="exact"/>
        <w:rPr>
          <w:sz w:val="20"/>
          <w:szCs w:val="20"/>
          <w:color w:val="auto"/>
        </w:rPr>
      </w:pPr>
    </w:p>
    <w:p>
      <w:pPr>
        <w:ind w:firstLine="629"/>
        <w:spacing w:after="0" w:line="292" w:lineRule="auto"/>
        <w:rPr>
          <w:sz w:val="20"/>
          <w:szCs w:val="20"/>
          <w:color w:val="auto"/>
        </w:rPr>
      </w:pPr>
      <w:r>
        <w:rPr>
          <w:rFonts w:ascii="Arial" w:cs="Arial" w:eastAsia="Arial" w:hAnsi="Arial"/>
          <w:sz w:val="16"/>
          <w:szCs w:val="16"/>
          <w:b w:val="1"/>
          <w:bCs w:val="1"/>
          <w:color w:val="auto"/>
        </w:rPr>
        <w:t xml:space="preserve">4.2 Priority of Security Interest. </w:t>
      </w:r>
      <w:r>
        <w:rPr>
          <w:rFonts w:ascii="Arial" w:cs="Arial" w:eastAsia="Arial" w:hAnsi="Arial"/>
          <w:sz w:val="16"/>
          <w:szCs w:val="16"/>
          <w:color w:val="auto"/>
        </w:rPr>
        <w:t>Borrower represents, warrants, and covenants that the security interest granted herein is and shall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for monetary damages of more than One Hundred Fifty Thousand Dollars ($150,000), Borrower shall promptly notify Bank in a writing signed by Borrower of the general details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thereof and grant to Bank in such writing a security interest therein and in the proceeds thereof, all upon the terms of this Agreement, with such writing to be in form and substance reasonably satisfactory to Bank.</w:t>
      </w:r>
    </w:p>
    <w:p>
      <w:pPr>
        <w:spacing w:after="0" w:line="152"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b w:val="1"/>
          <w:bCs w:val="1"/>
          <w:color w:val="auto"/>
        </w:rPr>
        <w:t xml:space="preserve">4.3 Authorization to File Financing Statements. </w:t>
      </w:r>
      <w:r>
        <w:rPr>
          <w:rFonts w:ascii="Arial" w:cs="Arial" w:eastAsia="Arial" w:hAnsi="Arial"/>
          <w:sz w:val="17"/>
          <w:szCs w:val="17"/>
          <w:color w:val="auto"/>
        </w:rPr>
        <w:t>Borrower hereby authorizes Bank to file financing statements, without notice to Borrower,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ectPr>
          <w:pgSz w:w="11900" w:h="16854" w:orient="portrait"/>
          <w:cols w:equalWidth="0" w:num="1">
            <w:col w:w="11400"/>
          </w:cols>
          <w:pgMar w:left="240" w:top="337" w:right="259" w:bottom="0" w:gutter="0" w:footer="0" w:header="0"/>
        </w:sectPr>
      </w:pPr>
    </w:p>
    <w:bookmarkStart w:id="329" w:name="page330"/>
    <w:bookmarkEnd w:id="329"/>
    <w:p>
      <w:pPr>
        <w:ind w:left="1260" w:right="6820" w:hanging="626"/>
        <w:spacing w:after="0" w:line="547" w:lineRule="auto"/>
        <w:tabs>
          <w:tab w:leader="none" w:pos="1255" w:val="left"/>
        </w:tabs>
        <w:numPr>
          <w:ilvl w:val="0"/>
          <w:numId w:val="4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ind w:right="40" w:firstLine="629"/>
        <w:spacing w:after="0" w:line="260"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shall be deemed to have automatically updated the Perfection Certificate after the Effective Date when providing a notice permitted or required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8" w:lineRule="exact"/>
        <w:rPr>
          <w:sz w:val="20"/>
          <w:szCs w:val="20"/>
          <w:color w:val="auto"/>
        </w:rPr>
      </w:pPr>
    </w:p>
    <w:p>
      <w:pPr>
        <w:ind w:right="320" w:firstLine="629"/>
        <w:spacing w:after="0" w:line="28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spacing w:after="0" w:line="1" w:lineRule="exact"/>
        <w:rPr>
          <w:sz w:val="20"/>
          <w:szCs w:val="20"/>
          <w:color w:val="auto"/>
        </w:rPr>
      </w:pPr>
    </w:p>
    <w:p>
      <w:pPr>
        <w:ind w:right="60" w:firstLine="5"/>
        <w:spacing w:after="0" w:line="261" w:lineRule="auto"/>
        <w:tabs>
          <w:tab w:leader="none" w:pos="306" w:val="left"/>
        </w:tabs>
        <w:numPr>
          <w:ilvl w:val="0"/>
          <w:numId w:val="487"/>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5" w:lineRule="exact"/>
        <w:rPr>
          <w:sz w:val="20"/>
          <w:szCs w:val="20"/>
          <w:color w:val="auto"/>
        </w:rPr>
      </w:pPr>
    </w:p>
    <w:p>
      <w:pPr>
        <w:ind w:right="400" w:firstLine="629"/>
        <w:spacing w:after="0" w:line="330" w:lineRule="auto"/>
        <w:rPr>
          <w:sz w:val="20"/>
          <w:szCs w:val="20"/>
          <w:color w:val="auto"/>
        </w:rPr>
      </w:pPr>
      <w:r>
        <w:rPr>
          <w:rFonts w:ascii="Arial" w:cs="Arial" w:eastAsia="Arial" w:hAnsi="Arial"/>
          <w:sz w:val="16"/>
          <w:szCs w:val="16"/>
          <w:b w:val="1"/>
          <w:bCs w:val="1"/>
          <w:color w:val="auto"/>
        </w:rPr>
        <w:t xml:space="preserve">5.2 Collateral. </w:t>
      </w:r>
      <w:r>
        <w:rPr>
          <w:rFonts w:ascii="Arial" w:cs="Arial" w:eastAsia="Arial" w:hAnsi="Arial"/>
          <w:sz w:val="16"/>
          <w:szCs w:val="16"/>
          <w:color w:val="auto"/>
        </w:rPr>
        <w:t>Borrower has good title to, rights in, and the power to transfer each item of the Collateral upon which it purports to grant a Lien</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free and clear of any and all Liens except Permitted Liens. Borrower has no Collateral Accounts at or with any bank or financial institution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than Bank or Bank’s Affiliates except for the Collateral Accounts described in the Perfection Certificate delivered to Bank in connection herewith and which Borrower has taken such actions as are necessary to give Bank a perfected security interest therein, pursuant to the term of Section 6.6(b). The Accounts are bona fide, existing obligations of the Account Debtors.</w:t>
      </w:r>
    </w:p>
    <w:p>
      <w:pPr>
        <w:spacing w:after="0" w:line="17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and except for Collateral valued at less than One Hundred Fifty Thousand Dollars ($150,000) at any time. None of the components of the Collateral shall be maintained at locations other than as provided in the Perfection Certificate or as permitted pursuant to Section 7.2 or Collateral which by its very nature is intended to be maintained at locations other than the Borrower’s places of business.</w:t>
      </w:r>
    </w:p>
    <w:p>
      <w:pPr>
        <w:spacing w:after="0" w:line="176"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Borrower is the sole owner of the Intellectual Property that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that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Inventory is in all material respects of good and marketable quality, free from material defects.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 License.</w:t>
      </w:r>
    </w:p>
    <w:p>
      <w:pPr>
        <w:spacing w:after="0" w:line="218"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 xml:space="preserve">5.3 Litigation. </w:t>
      </w:r>
      <w:r>
        <w:rPr>
          <w:rFonts w:ascii="Arial" w:cs="Arial" w:eastAsia="Arial" w:hAnsi="Arial"/>
          <w:sz w:val="17"/>
          <w:szCs w:val="17"/>
          <w:color w:val="auto"/>
        </w:rPr>
        <w:t>There are no actions or proceedings pending or, to the knowledge of any Responsible Officer,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Fifty Thousand Dollars ($150,000).</w:t>
      </w:r>
    </w:p>
    <w:p>
      <w:pPr>
        <w:spacing w:after="0" w:line="145" w:lineRule="exact"/>
        <w:rPr>
          <w:sz w:val="20"/>
          <w:szCs w:val="20"/>
          <w:color w:val="auto"/>
        </w:rPr>
      </w:pPr>
    </w:p>
    <w:p>
      <w:pPr>
        <w:ind w:right="80" w:firstLine="629"/>
        <w:spacing w:after="0" w:line="287" w:lineRule="auto"/>
        <w:rPr>
          <w:sz w:val="20"/>
          <w:szCs w:val="20"/>
          <w:color w:val="auto"/>
        </w:rPr>
      </w:pPr>
      <w:r>
        <w:rPr>
          <w:rFonts w:ascii="Arial" w:cs="Arial" w:eastAsia="Arial" w:hAnsi="Arial"/>
          <w:sz w:val="16"/>
          <w:szCs w:val="16"/>
          <w:b w:val="1"/>
          <w:bCs w:val="1"/>
          <w:color w:val="auto"/>
        </w:rPr>
        <w:t xml:space="preserve">5.4 Financial Statements; Financial Condition. </w:t>
      </w:r>
      <w:r>
        <w:rPr>
          <w:rFonts w:ascii="Arial" w:cs="Arial" w:eastAsia="Arial" w:hAnsi="Arial"/>
          <w:sz w:val="16"/>
          <w:szCs w:val="16"/>
          <w:color w:val="auto"/>
        </w:rPr>
        <w:t>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under the accounting principles and policies employed by the Borrower as of the Effective Date (it being recognized and agreed that such accounting principles and policies are in the process of being reviewed in connection with the IPO, and that such review may result in changes to such financial statements after the Effective Date). There has not been any material deterioration in Borrower’s consolidated financial condition since the date of the most recent financial statements submitted to Bank.</w:t>
      </w:r>
    </w:p>
    <w:p>
      <w:pPr>
        <w:spacing w:after="0" w:line="158" w:lineRule="exact"/>
        <w:rPr>
          <w:sz w:val="20"/>
          <w:szCs w:val="20"/>
          <w:color w:val="auto"/>
        </w:rPr>
      </w:pPr>
    </w:p>
    <w:p>
      <w:pPr>
        <w:ind w:right="600" w:firstLine="629"/>
        <w:spacing w:after="0" w:line="277" w:lineRule="auto"/>
        <w:rPr>
          <w:sz w:val="20"/>
          <w:szCs w:val="20"/>
          <w:color w:val="auto"/>
        </w:rPr>
      </w:pPr>
      <w:r>
        <w:rPr>
          <w:rFonts w:ascii="Arial" w:cs="Arial" w:eastAsia="Arial" w:hAnsi="Arial"/>
          <w:sz w:val="17"/>
          <w:szCs w:val="17"/>
          <w:b w:val="1"/>
          <w:bCs w:val="1"/>
          <w:color w:val="auto"/>
        </w:rPr>
        <w:t xml:space="preserve">5.5 Solvency. </w:t>
      </w:r>
      <w:r>
        <w:rPr>
          <w:rFonts w:ascii="Arial" w:cs="Arial" w:eastAsia="Arial" w:hAnsi="Arial"/>
          <w:sz w:val="17"/>
          <w:szCs w:val="17"/>
          <w:color w:val="auto"/>
        </w:rPr>
        <w:t>The fair salable value of Borrower’s consolidated assets (including goodwill minus disposition costs) exceeds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liabilities; Borrower is not left with unreasonably small capital after the transactions in this Agreement; and Borrower is able to pay its debts (including trade debts) as they mature.</w:t>
      </w:r>
    </w:p>
    <w:p>
      <w:pPr>
        <w:spacing w:after="0" w:line="162"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54" w:gutter="0" w:footer="0" w:header="0"/>
        </w:sectPr>
      </w:pPr>
    </w:p>
    <w:bookmarkStart w:id="330" w:name="page331"/>
    <w:bookmarkEnd w:id="330"/>
    <w:p>
      <w:pPr>
        <w:jc w:val="both"/>
        <w:ind w:right="20"/>
        <w:spacing w:after="0" w:line="273" w:lineRule="auto"/>
        <w:rPr>
          <w:sz w:val="20"/>
          <w:szCs w:val="20"/>
          <w:color w:val="auto"/>
        </w:rPr>
      </w:pPr>
      <w:r>
        <w:rPr>
          <w:rFonts w:ascii="Arial" w:cs="Arial" w:eastAsia="Arial" w:hAnsi="Arial"/>
          <w:sz w:val="17"/>
          <w:szCs w:val="17"/>
          <w:color w:val="auto"/>
        </w:rPr>
        <w:t>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66"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b w:val="1"/>
          <w:bCs w:val="1"/>
          <w:color w:val="auto"/>
        </w:rPr>
        <w:t xml:space="preserve">5.7 Subsidiaries; Investments. </w:t>
      </w:r>
      <w:r>
        <w:rPr>
          <w:rFonts w:ascii="Arial" w:cs="Arial" w:eastAsia="Arial" w:hAnsi="Arial"/>
          <w:sz w:val="17"/>
          <w:szCs w:val="17"/>
          <w:color w:val="auto"/>
        </w:rPr>
        <w:t>Borrower does not own any stock, partnership, or other ownership interest or other equity securities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Investments.</w:t>
      </w:r>
    </w:p>
    <w:p>
      <w:pPr>
        <w:spacing w:after="0" w:line="145"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b w:val="1"/>
          <w:bCs w:val="1"/>
          <w:color w:val="auto"/>
        </w:rPr>
        <w:t xml:space="preserve">5.8 Tax Returns and Payments; Pension Contributions. </w:t>
      </w:r>
      <w:r>
        <w:rPr>
          <w:rFonts w:ascii="Arial" w:cs="Arial" w:eastAsia="Arial" w:hAnsi="Arial"/>
          <w:sz w:val="16"/>
          <w:szCs w:val="16"/>
          <w:color w:val="auto"/>
        </w:rPr>
        <w:t>Borrower has timely filed all required tax returns and reports, and Borrower has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One Hundred Thousand Dollars ($100,000). 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69" w:lineRule="exact"/>
        <w:rPr>
          <w:sz w:val="20"/>
          <w:szCs w:val="20"/>
          <w:color w:val="auto"/>
        </w:rPr>
      </w:pPr>
    </w:p>
    <w:p>
      <w:pPr>
        <w:ind w:right="860" w:firstLine="629"/>
        <w:spacing w:after="0" w:line="297" w:lineRule="auto"/>
        <w:rPr>
          <w:sz w:val="20"/>
          <w:szCs w:val="20"/>
          <w:color w:val="auto"/>
        </w:rPr>
      </w:pPr>
      <w:r>
        <w:rPr>
          <w:rFonts w:ascii="Arial" w:cs="Arial" w:eastAsia="Arial" w:hAnsi="Arial"/>
          <w:sz w:val="17"/>
          <w:szCs w:val="17"/>
          <w:b w:val="1"/>
          <w:bCs w:val="1"/>
          <w:color w:val="auto"/>
        </w:rPr>
        <w:t xml:space="preserve">5.9 Use of Proceeds. </w:t>
      </w:r>
      <w:r>
        <w:rPr>
          <w:rFonts w:ascii="Arial" w:cs="Arial" w:eastAsia="Arial" w:hAnsi="Arial"/>
          <w:sz w:val="17"/>
          <w:szCs w:val="17"/>
          <w:color w:val="auto"/>
        </w:rPr>
        <w:t>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and not for personal, family, household or agricultural purposes.</w:t>
      </w:r>
    </w:p>
    <w:p>
      <w:pPr>
        <w:spacing w:after="0" w:line="145" w:lineRule="exact"/>
        <w:rPr>
          <w:sz w:val="20"/>
          <w:szCs w:val="20"/>
          <w:color w:val="auto"/>
        </w:rPr>
      </w:pPr>
    </w:p>
    <w:p>
      <w:pPr>
        <w:ind w:right="20" w:firstLine="629"/>
        <w:spacing w:after="0" w:line="311" w:lineRule="auto"/>
        <w:rPr>
          <w:sz w:val="20"/>
          <w:szCs w:val="20"/>
          <w:color w:val="auto"/>
        </w:rPr>
      </w:pPr>
      <w:r>
        <w:rPr>
          <w:rFonts w:ascii="Arial" w:cs="Arial" w:eastAsia="Arial" w:hAnsi="Arial"/>
          <w:sz w:val="15"/>
          <w:szCs w:val="15"/>
          <w:b w:val="1"/>
          <w:bCs w:val="1"/>
          <w:color w:val="auto"/>
        </w:rPr>
        <w:t xml:space="preserve">5.10 Full Disclosure. </w:t>
      </w:r>
      <w:r>
        <w:rPr>
          <w:rFonts w:ascii="Arial" w:cs="Arial" w:eastAsia="Arial" w:hAnsi="Arial"/>
          <w:sz w:val="15"/>
          <w:szCs w:val="15"/>
          <w:color w:val="auto"/>
        </w:rPr>
        <w:t>No written representation, warranty or other statement of Borrower in any certificate or written statement given to Bank, as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41"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b w:val="1"/>
          <w:bCs w:val="1"/>
          <w:color w:val="auto"/>
        </w:rPr>
        <w:t xml:space="preserve">5.12 Definition of </w:t>
      </w: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For purposes of the Loan Documents, whenever a representation or warranty is made to Borrower’s knowledge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to the “best of” Borrower’s knowledge, or with a similar qualification, knowledge or awareness means the actual knowledge, after reasonable investigation, of any Responsible Officer.</w:t>
      </w:r>
    </w:p>
    <w:p>
      <w:pPr>
        <w:spacing w:after="0" w:line="162" w:lineRule="exact"/>
        <w:rPr>
          <w:sz w:val="20"/>
          <w:szCs w:val="20"/>
          <w:color w:val="auto"/>
        </w:rPr>
      </w:pPr>
    </w:p>
    <w:p>
      <w:pPr>
        <w:ind w:left="1260" w:hanging="626"/>
        <w:spacing w:after="0"/>
        <w:tabs>
          <w:tab w:leader="none" w:pos="126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AFFIRMATIVE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do all of the following: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Government Compliance.</w:t>
      </w:r>
    </w:p>
    <w:p>
      <w:pPr>
        <w:spacing w:after="0" w:line="230" w:lineRule="exact"/>
        <w:rPr>
          <w:sz w:val="20"/>
          <w:szCs w:val="20"/>
          <w:color w:val="auto"/>
        </w:rPr>
      </w:pPr>
    </w:p>
    <w:p>
      <w:pPr>
        <w:jc w:val="both"/>
        <w:ind w:right="440" w:firstLine="1263"/>
        <w:spacing w:after="0" w:line="326" w:lineRule="auto"/>
        <w:tabs>
          <w:tab w:leader="none" w:pos="1885" w:val="left"/>
        </w:tabs>
        <w:numPr>
          <w:ilvl w:val="0"/>
          <w:numId w:val="489"/>
        </w:numPr>
        <w:rPr>
          <w:rFonts w:ascii="Arial" w:cs="Arial" w:eastAsia="Arial" w:hAnsi="Arial"/>
          <w:sz w:val="15"/>
          <w:szCs w:val="15"/>
          <w:color w:val="auto"/>
        </w:rPr>
      </w:pPr>
      <w:r>
        <w:rPr>
          <w:rFonts w:ascii="Arial" w:cs="Arial" w:eastAsia="Arial" w:hAnsi="Arial"/>
          <w:sz w:val="15"/>
          <w:szCs w:val="15"/>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36" w:lineRule="exact"/>
        <w:rPr>
          <w:rFonts w:ascii="Arial" w:cs="Arial" w:eastAsia="Arial" w:hAnsi="Arial"/>
          <w:sz w:val="15"/>
          <w:szCs w:val="15"/>
          <w:color w:val="auto"/>
        </w:rPr>
      </w:pPr>
    </w:p>
    <w:p>
      <w:pPr>
        <w:ind w:right="140" w:firstLine="1263"/>
        <w:spacing w:after="0" w:line="273" w:lineRule="auto"/>
        <w:tabs>
          <w:tab w:leader="none" w:pos="1895" w:val="left"/>
        </w:tabs>
        <w:numPr>
          <w:ilvl w:val="0"/>
          <w:numId w:val="489"/>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30" w:lineRule="exact"/>
        <w:rPr>
          <w:sz w:val="20"/>
          <w:szCs w:val="20"/>
          <w:color w:val="auto"/>
        </w:rPr>
      </w:pPr>
    </w:p>
    <w:p>
      <w:pPr>
        <w:ind w:right="40" w:firstLine="1263"/>
        <w:spacing w:after="0" w:line="326" w:lineRule="auto"/>
        <w:tabs>
          <w:tab w:leader="none" w:pos="1885" w:val="left"/>
        </w:tabs>
        <w:numPr>
          <w:ilvl w:val="0"/>
          <w:numId w:val="490"/>
        </w:numPr>
        <w:rPr>
          <w:rFonts w:ascii="Arial" w:cs="Arial" w:eastAsia="Arial" w:hAnsi="Arial"/>
          <w:sz w:val="15"/>
          <w:szCs w:val="15"/>
          <w:color w:val="auto"/>
        </w:rPr>
      </w:pPr>
      <w:r>
        <w:rPr>
          <w:rFonts w:ascii="Arial" w:cs="Arial" w:eastAsia="Arial" w:hAnsi="Arial"/>
          <w:sz w:val="15"/>
          <w:szCs w:val="15"/>
          <w:u w:val="single" w:color="auto"/>
          <w:color w:val="auto"/>
        </w:rPr>
        <w:t>Monthly Financial Statements</w:t>
      </w:r>
      <w:r>
        <w:rPr>
          <w:rFonts w:ascii="Arial" w:cs="Arial" w:eastAsia="Arial" w:hAnsi="Arial"/>
          <w:sz w:val="15"/>
          <w:szCs w:val="15"/>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5"/>
          <w:szCs w:val="15"/>
          <w:b w:val="1"/>
          <w:bCs w:val="1"/>
          <w:color w:val="auto"/>
        </w:rPr>
        <w:t>Monthly Financial Statements</w:t>
      </w:r>
      <w:r>
        <w:rPr>
          <w:rFonts w:ascii="Arial" w:cs="Arial" w:eastAsia="Arial" w:hAnsi="Arial"/>
          <w:sz w:val="15"/>
          <w:szCs w:val="15"/>
          <w:color w:val="auto"/>
        </w:rPr>
        <w:t>”); Borrower shall have no obligation under this Section 6.2(a) from and after the date of the IPO;</w:t>
      </w:r>
    </w:p>
    <w:p>
      <w:pPr>
        <w:spacing w:after="0" w:line="136" w:lineRule="exact"/>
        <w:rPr>
          <w:rFonts w:ascii="Arial" w:cs="Arial" w:eastAsia="Arial" w:hAnsi="Arial"/>
          <w:sz w:val="15"/>
          <w:szCs w:val="15"/>
          <w:color w:val="auto"/>
        </w:rPr>
      </w:pPr>
    </w:p>
    <w:p>
      <w:pPr>
        <w:ind w:right="300" w:firstLine="1263"/>
        <w:spacing w:after="0" w:line="268" w:lineRule="auto"/>
        <w:tabs>
          <w:tab w:leader="none" w:pos="1895"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Monthly Compliance Certificate</w:t>
      </w:r>
      <w:r>
        <w:rPr>
          <w:rFonts w:ascii="Arial" w:cs="Arial" w:eastAsia="Arial" w:hAnsi="Arial"/>
          <w:sz w:val="17"/>
          <w:szCs w:val="17"/>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such information as Bank may reasonably request; Borrower shall have no obligation under this Section 6.2(b) from and after the date of the IPO;</w:t>
      </w:r>
    </w:p>
    <w:p>
      <w:pPr>
        <w:spacing w:after="0" w:line="175" w:lineRule="exact"/>
        <w:rPr>
          <w:rFonts w:ascii="Arial" w:cs="Arial" w:eastAsia="Arial" w:hAnsi="Arial"/>
          <w:sz w:val="17"/>
          <w:szCs w:val="17"/>
          <w:color w:val="auto"/>
        </w:rPr>
      </w:pPr>
    </w:p>
    <w:p>
      <w:pPr>
        <w:ind w:firstLine="1263"/>
        <w:spacing w:after="0" w:line="298" w:lineRule="auto"/>
        <w:tabs>
          <w:tab w:leader="none" w:pos="1898"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From and after the date of the IPO, Borrower shall deliver to Bank with the quarterly periodic reports filed with the SEC a duly completed Compliance Certificate signed by a Responsible Officer, certifying that as of the end of such quarter, Borrower was in full compliance with all of the terms and conditions of this Agreement, and setting forth such information as Bank may reasonably request;</w:t>
      </w:r>
    </w:p>
    <w:p>
      <w:pPr>
        <w:spacing w:after="0" w:line="153" w:lineRule="exact"/>
        <w:rPr>
          <w:rFonts w:ascii="Arial" w:cs="Arial" w:eastAsia="Arial" w:hAnsi="Arial"/>
          <w:sz w:val="16"/>
          <w:szCs w:val="16"/>
          <w:color w:val="auto"/>
        </w:rPr>
      </w:pPr>
    </w:p>
    <w:p>
      <w:pPr>
        <w:ind w:right="120" w:firstLine="1263"/>
        <w:spacing w:after="0" w:line="268" w:lineRule="auto"/>
        <w:tabs>
          <w:tab w:leader="none" w:pos="1895"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Annual Operating Budget and Financial Projections</w:t>
      </w:r>
      <w:r>
        <w:rPr>
          <w:rFonts w:ascii="Arial" w:cs="Arial" w:eastAsia="Arial" w:hAnsi="Arial"/>
          <w:sz w:val="17"/>
          <w:szCs w:val="17"/>
          <w:color w:val="auto"/>
        </w:rPr>
        <w:t>. Within thirty (30) days of Borrower’s board of directors approval or fiscal year end of Borrower, (i) annual operating budgets (including income statements, balance sheets and cash flow statements, by month) for the upcoming fiscal year of Borrower, and (ii) annual financial projections for the following fiscal year (on a quarterly basis) as approved by Borrower’s board of directors, together with any related business forecasts used in the preparation of such annual financial projections;</w:t>
      </w:r>
    </w:p>
    <w:p>
      <w:pPr>
        <w:spacing w:after="0" w:line="175" w:lineRule="exact"/>
        <w:rPr>
          <w:rFonts w:ascii="Arial" w:cs="Arial" w:eastAsia="Arial" w:hAnsi="Arial"/>
          <w:sz w:val="17"/>
          <w:szCs w:val="17"/>
          <w:color w:val="auto"/>
        </w:rPr>
      </w:pPr>
    </w:p>
    <w:p>
      <w:pPr>
        <w:ind w:right="260" w:firstLine="1263"/>
        <w:spacing w:after="0" w:line="298" w:lineRule="auto"/>
        <w:tabs>
          <w:tab w:leader="none" w:pos="1898"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Annual Audited Financial Statements</w:t>
      </w:r>
      <w:r>
        <w:rPr>
          <w:rFonts w:ascii="Arial" w:cs="Arial" w:eastAsia="Arial" w:hAnsi="Arial"/>
          <w:sz w:val="16"/>
          <w:szCs w:val="16"/>
          <w:color w:val="auto"/>
        </w:rPr>
        <w:t>. As soon as available, but no later than one hundred eighty (180) days after the last day of Borrower’s fiscal year, audited consolidated financial statements prepared under GAAP, consistently applied, together with an unqualified opinion (other than a “going concern” qualification) on the financial statements from an independent certified public accounting firm reasonably acceptable to Bank;</w:t>
      </w:r>
    </w:p>
    <w:p>
      <w:pPr>
        <w:spacing w:after="0" w:line="153" w:lineRule="exact"/>
        <w:rPr>
          <w:rFonts w:ascii="Arial" w:cs="Arial" w:eastAsia="Arial" w:hAnsi="Arial"/>
          <w:sz w:val="16"/>
          <w:szCs w:val="16"/>
          <w:color w:val="auto"/>
        </w:rPr>
      </w:pPr>
    </w:p>
    <w:p>
      <w:pPr>
        <w:ind w:left="1940" w:hanging="677"/>
        <w:spacing w:after="0"/>
        <w:tabs>
          <w:tab w:leader="none" w:pos="1940"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Within five (5) days of delivery, copies of all statements, reports and notices made available to any holders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Subordinated Debt;</w:t>
      </w:r>
    </w:p>
    <w:p>
      <w:pPr>
        <w:sectPr>
          <w:pgSz w:w="11900" w:h="16838" w:orient="portrait"/>
          <w:cols w:equalWidth="0" w:num="1">
            <w:col w:w="11420"/>
          </w:cols>
          <w:pgMar w:left="240" w:top="337" w:right="239" w:bottom="0" w:gutter="0" w:footer="0" w:header="0"/>
        </w:sectPr>
      </w:pPr>
    </w:p>
    <w:bookmarkStart w:id="331" w:name="page332"/>
    <w:bookmarkEnd w:id="331"/>
    <w:p>
      <w:pPr>
        <w:ind w:right="100" w:firstLine="1263"/>
        <w:spacing w:after="0" w:line="268" w:lineRule="auto"/>
        <w:tabs>
          <w:tab w:leader="none" w:pos="1908" w:val="left"/>
        </w:tabs>
        <w:numPr>
          <w:ilvl w:val="0"/>
          <w:numId w:val="491"/>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76" w:lineRule="exact"/>
        <w:rPr>
          <w:sz w:val="20"/>
          <w:szCs w:val="20"/>
          <w:color w:val="auto"/>
        </w:rPr>
      </w:pPr>
    </w:p>
    <w:p>
      <w:pPr>
        <w:jc w:val="both"/>
        <w:ind w:right="120" w:firstLine="1263"/>
        <w:spacing w:after="0" w:line="273" w:lineRule="auto"/>
        <w:tabs>
          <w:tab w:leader="none" w:pos="189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result in damages to Borrower or any of its Subsidiaries of, individually or in the aggregate, One Hundred Fifty Thousand Dollars ($150,000) or more; and</w:t>
      </w:r>
    </w:p>
    <w:p>
      <w:pPr>
        <w:spacing w:after="0" w:line="171" w:lineRule="exact"/>
        <w:rPr>
          <w:rFonts w:ascii="Arial" w:cs="Arial" w:eastAsia="Arial" w:hAnsi="Arial"/>
          <w:sz w:val="17"/>
          <w:szCs w:val="17"/>
          <w:color w:val="auto"/>
        </w:rPr>
      </w:pPr>
    </w:p>
    <w:p>
      <w:pPr>
        <w:ind w:left="1920" w:hanging="657"/>
        <w:spacing w:after="0"/>
        <w:tabs>
          <w:tab w:leader="none" w:pos="192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18" w:lineRule="exact"/>
        <w:rPr>
          <w:sz w:val="20"/>
          <w:szCs w:val="20"/>
          <w:color w:val="auto"/>
        </w:rPr>
      </w:pPr>
    </w:p>
    <w:p>
      <w:pPr>
        <w:ind w:right="340" w:firstLine="629"/>
        <w:spacing w:after="0" w:line="302" w:lineRule="auto"/>
        <w:rPr>
          <w:sz w:val="20"/>
          <w:szCs w:val="20"/>
          <w:color w:val="auto"/>
        </w:rPr>
      </w:pPr>
      <w:r>
        <w:rPr>
          <w:rFonts w:ascii="Arial" w:cs="Arial" w:eastAsia="Arial" w:hAnsi="Arial"/>
          <w:sz w:val="16"/>
          <w:szCs w:val="16"/>
          <w:b w:val="1"/>
          <w:bCs w:val="1"/>
          <w:color w:val="auto"/>
        </w:rPr>
        <w:t xml:space="preserve">6.3 Inventory; Returns. </w:t>
      </w:r>
      <w:r>
        <w:rPr>
          <w:rFonts w:ascii="Arial" w:cs="Arial" w:eastAsia="Arial" w:hAnsi="Arial"/>
          <w:sz w:val="16"/>
          <w:szCs w:val="16"/>
          <w:color w:val="auto"/>
        </w:rPr>
        <w:t>Keep all Inventory in good and marketable condition, free from material defects. Returns and allowances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Account Debtors shall follow Borrower’s customary practices as they exist at the Effective Date. Borrower must promptly notify Bank of all returns, recoveries, disputes and claims that involve individually or in the aggregate more than One Hundred Fifty Thousand Dollars ($150,000).</w:t>
      </w:r>
    </w:p>
    <w:p>
      <w:pPr>
        <w:spacing w:after="0" w:line="144"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b w:val="1"/>
          <w:bCs w:val="1"/>
          <w:color w:val="auto"/>
        </w:rPr>
        <w:t xml:space="preserve">6.4 Taxes; Pensions. </w:t>
      </w:r>
      <w:r>
        <w:rPr>
          <w:rFonts w:ascii="Arial" w:cs="Arial" w:eastAsia="Arial" w:hAnsi="Arial"/>
          <w:sz w:val="17"/>
          <w:szCs w:val="17"/>
          <w:color w:val="auto"/>
        </w:rPr>
        <w:t>Timely file, and require each of its Subsidiaries to timely file, all required tax returns and reports and timely pay, and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5"/>
          <w:szCs w:val="15"/>
          <w:b w:val="1"/>
          <w:bCs w:val="1"/>
          <w:color w:val="auto"/>
        </w:rPr>
        <w:t>Insurance.</w:t>
      </w:r>
    </w:p>
    <w:p>
      <w:pPr>
        <w:spacing w:after="0" w:line="230" w:lineRule="exact"/>
        <w:rPr>
          <w:sz w:val="20"/>
          <w:szCs w:val="20"/>
          <w:color w:val="auto"/>
        </w:rPr>
      </w:pPr>
    </w:p>
    <w:p>
      <w:pPr>
        <w:ind w:right="40" w:firstLine="634"/>
        <w:spacing w:after="0" w:line="265" w:lineRule="auto"/>
        <w:tabs>
          <w:tab w:leader="none" w:pos="1256" w:val="left"/>
        </w:tabs>
        <w:numPr>
          <w:ilvl w:val="1"/>
          <w:numId w:val="493"/>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Insurance policies shall be in a form, with financially sound and reputable insurance companies that are not Affiliates of Borrower, and in amounts that are reasonably satisfactory to Bank. All property policies shall have a lender’s loss payable endorsement showing Bank as a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9" w:lineRule="exact"/>
        <w:rPr>
          <w:rFonts w:ascii="Arial" w:cs="Arial" w:eastAsia="Arial" w:hAnsi="Arial"/>
          <w:sz w:val="17"/>
          <w:szCs w:val="17"/>
          <w:color w:val="auto"/>
        </w:rPr>
      </w:pPr>
    </w:p>
    <w:p>
      <w:pPr>
        <w:ind w:right="80" w:firstLine="634"/>
        <w:spacing w:after="0" w:line="296" w:lineRule="auto"/>
        <w:tabs>
          <w:tab w:leader="none" w:pos="1266" w:val="left"/>
        </w:tabs>
        <w:numPr>
          <w:ilvl w:val="1"/>
          <w:numId w:val="493"/>
        </w:numPr>
        <w:rPr>
          <w:rFonts w:ascii="Arial" w:cs="Arial" w:eastAsia="Arial" w:hAnsi="Arial"/>
          <w:sz w:val="15"/>
          <w:szCs w:val="15"/>
          <w:color w:val="auto"/>
        </w:rPr>
      </w:pPr>
      <w:r>
        <w:rPr>
          <w:rFonts w:ascii="Arial" w:cs="Arial" w:eastAsia="Arial" w:hAnsi="Arial"/>
          <w:sz w:val="15"/>
          <w:szCs w:val="15"/>
          <w:color w:val="auto"/>
        </w:rPr>
        <w:t>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Fifty Thousand Dollars ($150,000) in the aggregate for all losses under all casualty policies in any one year, toward the replacement or repair of destroyed or damaged property; provided that any such replaced or repaired property (i) shall be of equal or like value as the replaced or repaired Collateral and</w:t>
      </w:r>
    </w:p>
    <w:p>
      <w:pPr>
        <w:ind w:right="20" w:firstLine="5"/>
        <w:spacing w:after="0" w:line="275" w:lineRule="auto"/>
        <w:tabs>
          <w:tab w:leader="none" w:pos="257" w:val="left"/>
        </w:tabs>
        <w:numPr>
          <w:ilvl w:val="0"/>
          <w:numId w:val="494"/>
        </w:numPr>
        <w:rPr>
          <w:rFonts w:ascii="Arial" w:cs="Arial" w:eastAsia="Arial" w:hAnsi="Arial"/>
          <w:sz w:val="17"/>
          <w:szCs w:val="17"/>
          <w:color w:val="auto"/>
        </w:rPr>
      </w:pPr>
      <w:r>
        <w:rPr>
          <w:rFonts w:ascii="Arial" w:cs="Arial" w:eastAsia="Arial" w:hAnsi="Arial"/>
          <w:sz w:val="17"/>
          <w:szCs w:val="17"/>
          <w:color w:val="auto"/>
        </w:rPr>
        <w:t>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69" w:lineRule="exact"/>
        <w:rPr>
          <w:rFonts w:ascii="Arial" w:cs="Arial" w:eastAsia="Arial" w:hAnsi="Arial"/>
          <w:sz w:val="17"/>
          <w:szCs w:val="17"/>
          <w:color w:val="auto"/>
        </w:rPr>
      </w:pPr>
    </w:p>
    <w:p>
      <w:pPr>
        <w:ind w:right="300" w:firstLine="634"/>
        <w:spacing w:after="0" w:line="273" w:lineRule="auto"/>
        <w:tabs>
          <w:tab w:leader="none" w:pos="1269" w:val="left"/>
        </w:tabs>
        <w:numPr>
          <w:ilvl w:val="1"/>
          <w:numId w:val="494"/>
        </w:numPr>
        <w:rPr>
          <w:rFonts w:ascii="Arial" w:cs="Arial" w:eastAsia="Arial" w:hAnsi="Arial"/>
          <w:sz w:val="17"/>
          <w:szCs w:val="17"/>
          <w:color w:val="auto"/>
        </w:rPr>
      </w:pPr>
      <w:r>
        <w:rPr>
          <w:rFonts w:ascii="Arial" w:cs="Arial" w:eastAsia="Arial" w:hAnsi="Arial"/>
          <w:sz w:val="17"/>
          <w:szCs w:val="17"/>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5"/>
          <w:szCs w:val="15"/>
          <w:b w:val="1"/>
          <w:bCs w:val="1"/>
          <w:color w:val="auto"/>
        </w:rPr>
        <w:t>Operating Accounts.</w:t>
      </w:r>
    </w:p>
    <w:p>
      <w:pPr>
        <w:spacing w:after="0" w:line="230" w:lineRule="exact"/>
        <w:rPr>
          <w:sz w:val="20"/>
          <w:szCs w:val="20"/>
          <w:color w:val="auto"/>
        </w:rPr>
      </w:pPr>
    </w:p>
    <w:p>
      <w:pPr>
        <w:ind w:right="100" w:firstLine="1263"/>
        <w:spacing w:after="0" w:line="268" w:lineRule="auto"/>
        <w:tabs>
          <w:tab w:leader="none" w:pos="1885" w:val="left"/>
        </w:tabs>
        <w:numPr>
          <w:ilvl w:val="0"/>
          <w:numId w:val="495"/>
        </w:numPr>
        <w:rPr>
          <w:rFonts w:ascii="Arial" w:cs="Arial" w:eastAsia="Arial" w:hAnsi="Arial"/>
          <w:sz w:val="17"/>
          <w:szCs w:val="17"/>
          <w:color w:val="auto"/>
        </w:rPr>
      </w:pPr>
      <w:r>
        <w:rPr>
          <w:rFonts w:ascii="Arial" w:cs="Arial" w:eastAsia="Arial" w:hAnsi="Arial"/>
          <w:sz w:val="17"/>
          <w:szCs w:val="17"/>
          <w:color w:val="auto"/>
        </w:rPr>
        <w:t>Maintain its primary operating and other deposit accounts and securities accounts with Bank and Bank’s Affiliates, provided Borrower may maintain a lockbox account with Wells Fargo Bank as long as that account is subject at all times to a Control Agreement; provided, further, that no such Control Agreement shall be required for a period of sixty (60) days after the Effective Date, so long as such account shall not contain more than One Million Dollars ($1,000,000).</w:t>
      </w:r>
    </w:p>
    <w:p>
      <w:pPr>
        <w:spacing w:after="0" w:line="175" w:lineRule="exact"/>
        <w:rPr>
          <w:rFonts w:ascii="Arial" w:cs="Arial" w:eastAsia="Arial" w:hAnsi="Arial"/>
          <w:sz w:val="17"/>
          <w:szCs w:val="17"/>
          <w:color w:val="auto"/>
        </w:rPr>
      </w:pPr>
    </w:p>
    <w:p>
      <w:pPr>
        <w:ind w:right="120" w:firstLine="1263"/>
        <w:spacing w:after="0" w:line="265" w:lineRule="auto"/>
        <w:tabs>
          <w:tab w:leader="none" w:pos="1895" w:val="left"/>
        </w:tabs>
        <w:numPr>
          <w:ilvl w:val="0"/>
          <w:numId w:val="495"/>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color w:val="auto"/>
        </w:rPr>
        <w:t xml:space="preserve">Financial Covenants. </w:t>
      </w:r>
      <w:r>
        <w:rPr>
          <w:rFonts w:ascii="Arial" w:cs="Arial" w:eastAsia="Arial" w:hAnsi="Arial"/>
          <w:sz w:val="15"/>
          <w:szCs w:val="15"/>
          <w:color w:val="auto"/>
        </w:rPr>
        <w:t>None.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5"/>
          <w:szCs w:val="15"/>
          <w:b w:val="1"/>
          <w:bCs w:val="1"/>
          <w:color w:val="auto"/>
        </w:rPr>
        <w:t>Protection and Registration of Intellectual Property Rights.</w:t>
      </w:r>
    </w:p>
    <w:p>
      <w:pPr>
        <w:spacing w:after="0" w:line="230" w:lineRule="exact"/>
        <w:rPr>
          <w:sz w:val="20"/>
          <w:szCs w:val="20"/>
          <w:color w:val="auto"/>
        </w:rPr>
      </w:pPr>
    </w:p>
    <w:p>
      <w:pPr>
        <w:ind w:left="1880" w:hanging="617"/>
        <w:spacing w:after="0"/>
        <w:tabs>
          <w:tab w:leader="none" w:pos="188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(i) Take commercially reasonable steps to protect, defend and maintain the validity and enforceability of its Intellectual Property;</w:t>
      </w:r>
    </w:p>
    <w:p>
      <w:pPr>
        <w:spacing w:after="0" w:line="37" w:lineRule="exact"/>
        <w:rPr>
          <w:rFonts w:ascii="Arial" w:cs="Arial" w:eastAsia="Arial" w:hAnsi="Arial"/>
          <w:sz w:val="16"/>
          <w:szCs w:val="16"/>
          <w:color w:val="auto"/>
        </w:rPr>
      </w:pPr>
    </w:p>
    <w:p>
      <w:pPr>
        <w:ind w:right="420" w:firstLine="5"/>
        <w:spacing w:after="0" w:line="275" w:lineRule="auto"/>
        <w:tabs>
          <w:tab w:leader="none" w:pos="257" w:val="left"/>
        </w:tabs>
        <w:numPr>
          <w:ilvl w:val="0"/>
          <w:numId w:val="497"/>
        </w:numPr>
        <w:rPr>
          <w:rFonts w:ascii="Arial" w:cs="Arial" w:eastAsia="Arial" w:hAnsi="Arial"/>
          <w:sz w:val="17"/>
          <w:szCs w:val="17"/>
          <w:color w:val="auto"/>
        </w:rPr>
      </w:pPr>
      <w:r>
        <w:rPr>
          <w:rFonts w:ascii="Arial" w:cs="Arial" w:eastAsia="Arial" w:hAnsi="Arial"/>
          <w:sz w:val="17"/>
          <w:szCs w:val="17"/>
          <w:color w:val="auto"/>
        </w:rPr>
        <w:t>promptly advise Bank in writing of material infringements of its Intellectual Property; and (iii) not allow any Intellectual Property material to Borrower’s business to be abandoned, forfeited or dedicated to the public without Bank’s written consent.</w:t>
      </w:r>
    </w:p>
    <w:p>
      <w:pPr>
        <w:sectPr>
          <w:pgSz w:w="11900" w:h="16838" w:orient="portrait"/>
          <w:cols w:equalWidth="0" w:num="1">
            <w:col w:w="11400"/>
          </w:cols>
          <w:pgMar w:left="240" w:top="337" w:right="259" w:bottom="0" w:gutter="0" w:footer="0" w:header="0"/>
        </w:sectPr>
      </w:pPr>
    </w:p>
    <w:bookmarkStart w:id="332" w:name="page333"/>
    <w:bookmarkEnd w:id="332"/>
    <w:p>
      <w:pPr>
        <w:spacing w:after="0" w:line="61" w:lineRule="exact"/>
        <w:rPr>
          <w:sz w:val="20"/>
          <w:szCs w:val="20"/>
          <w:color w:val="auto"/>
        </w:rPr>
      </w:pPr>
    </w:p>
    <w:p>
      <w:pPr>
        <w:ind w:right="20" w:firstLine="1263"/>
        <w:spacing w:after="0" w:line="263" w:lineRule="auto"/>
        <w:tabs>
          <w:tab w:leader="none" w:pos="189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Provide written notice to Bank within thirty (30)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7"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b w:val="1"/>
          <w:bCs w:val="1"/>
          <w:color w:val="auto"/>
        </w:rPr>
        <w:t xml:space="preserve">6.9 Litigation Cooperation. </w:t>
      </w:r>
      <w:r>
        <w:rPr>
          <w:rFonts w:ascii="Arial" w:cs="Arial" w:eastAsia="Arial" w:hAnsi="Arial"/>
          <w:sz w:val="16"/>
          <w:szCs w:val="16"/>
          <w:color w:val="auto"/>
        </w:rPr>
        <w:t>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6.10 Access to Collateral; Books and Records. </w:t>
      </w:r>
      <w:r>
        <w:rPr>
          <w:rFonts w:ascii="Arial" w:cs="Arial" w:eastAsia="Arial" w:hAnsi="Arial"/>
          <w:sz w:val="17"/>
          <w:szCs w:val="17"/>
          <w:color w:val="auto"/>
        </w:rPr>
        <w:t>Allow Bank, or its agents, at reasonable times and upon the provision of reasonable notice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no notice is required if an Event of Default has occurred and is continuing), to inspect the Collateral and audit and copy Borrower’s Books. Such inspections or audits shall be conducted no more often than once every six (6) months unless an Event of Default has occurred and is continuing in which case such inspections and audits shall occur as often as Bank shall determine is necessary. The foregoing inspections and audits shall be at Borrower’s expense, and the charge therefor shall be $850 per person per day (or such higher amount as shall represent Bank’s then-current standard charge for the same), plus reasonable out-of-pocket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629"/>
        <w:spacing w:after="0" w:line="285" w:lineRule="auto"/>
        <w:rPr>
          <w:sz w:val="20"/>
          <w:szCs w:val="20"/>
          <w:color w:val="auto"/>
        </w:rPr>
      </w:pPr>
      <w:r>
        <w:rPr>
          <w:rFonts w:ascii="Arial" w:cs="Arial" w:eastAsia="Arial" w:hAnsi="Arial"/>
          <w:sz w:val="16"/>
          <w:szCs w:val="16"/>
          <w:b w:val="1"/>
          <w:bCs w:val="1"/>
          <w:color w:val="auto"/>
        </w:rPr>
        <w:t xml:space="preserve">6.11 Formation or Acquisition of Subsidiaries. </w:t>
      </w:r>
      <w:r>
        <w:rPr>
          <w:rFonts w:ascii="Arial" w:cs="Arial" w:eastAsia="Arial" w:hAnsi="Arial"/>
          <w:sz w:val="16"/>
          <w:szCs w:val="16"/>
          <w:color w:val="auto"/>
        </w:rPr>
        <w:t>Notwithstanding and without limiting the negative covenants contained in Sections 7.3 and 7.7</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at the time that Borrower forms any direct or indirect Subsidiary or acquires any direct or indirect Subsidiary after the Effective Date, Borrower shall</w:t>
      </w:r>
    </w:p>
    <w:p>
      <w:pPr>
        <w:ind w:firstLine="5"/>
        <w:spacing w:after="0" w:line="291" w:lineRule="auto"/>
        <w:tabs>
          <w:tab w:leader="none" w:pos="238" w:val="left"/>
        </w:tabs>
        <w:numPr>
          <w:ilvl w:val="0"/>
          <w:numId w:val="499"/>
        </w:numPr>
        <w:rPr>
          <w:rFonts w:ascii="Arial" w:cs="Arial" w:eastAsia="Arial" w:hAnsi="Arial"/>
          <w:sz w:val="15"/>
          <w:szCs w:val="15"/>
          <w:color w:val="auto"/>
        </w:rPr>
      </w:pPr>
      <w:r>
        <w:rPr>
          <w:rFonts w:ascii="Arial" w:cs="Arial" w:eastAsia="Arial" w:hAnsi="Arial"/>
          <w:sz w:val="15"/>
          <w:szCs w:val="15"/>
          <w:color w:val="auto"/>
        </w:rPr>
        <w:t>cause such new Subsidiary to provide to Bank a joinder to the Loan Agreement to cause such Subsidiary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w:t>
      </w:r>
    </w:p>
    <w:p>
      <w:pPr>
        <w:spacing w:after="0" w:line="2" w:lineRule="exact"/>
        <w:rPr>
          <w:rFonts w:ascii="Arial" w:cs="Arial" w:eastAsia="Arial" w:hAnsi="Arial"/>
          <w:sz w:val="15"/>
          <w:szCs w:val="15"/>
          <w:color w:val="auto"/>
        </w:rPr>
      </w:pPr>
    </w:p>
    <w:p>
      <w:pPr>
        <w:ind w:right="140" w:firstLine="5"/>
        <w:spacing w:after="0" w:line="266" w:lineRule="auto"/>
        <w:tabs>
          <w:tab w:leader="none" w:pos="238" w:val="left"/>
        </w:tabs>
        <w:numPr>
          <w:ilvl w:val="0"/>
          <w:numId w:val="500"/>
        </w:numPr>
        <w:rPr>
          <w:rFonts w:ascii="Arial" w:cs="Arial" w:eastAsia="Arial" w:hAnsi="Arial"/>
          <w:sz w:val="17"/>
          <w:szCs w:val="17"/>
          <w:color w:val="auto"/>
        </w:rPr>
      </w:pPr>
      <w:r>
        <w:rPr>
          <w:rFonts w:ascii="Arial" w:cs="Arial" w:eastAsia="Arial" w:hAnsi="Arial"/>
          <w:sz w:val="17"/>
          <w:szCs w:val="17"/>
          <w:color w:val="auto"/>
        </w:rPr>
        <w:t>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1"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 xml:space="preserve">6.12 Further Assurances. </w:t>
      </w:r>
      <w:r>
        <w:rPr>
          <w:rFonts w:ascii="Arial" w:cs="Arial" w:eastAsia="Arial" w:hAnsi="Arial"/>
          <w:sz w:val="17"/>
          <w:szCs w:val="17"/>
          <w:color w:val="auto"/>
        </w:rPr>
        <w:t>Execute any further instruments and take further action as Bank reasonably requests to perfect or continue Bank’s Lien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71" w:lineRule="exact"/>
        <w:rPr>
          <w:sz w:val="20"/>
          <w:szCs w:val="20"/>
          <w:color w:val="auto"/>
        </w:rPr>
      </w:pPr>
    </w:p>
    <w:p>
      <w:pPr>
        <w:ind w:left="1320" w:hanging="686"/>
        <w:spacing w:after="0"/>
        <w:tabs>
          <w:tab w:leader="none" w:pos="1320" w:val="left"/>
        </w:tabs>
        <w:numPr>
          <w:ilvl w:val="0"/>
          <w:numId w:val="5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NEGATIVE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not do any of the following without Bank’s prior written consent:</w:t>
      </w:r>
    </w:p>
    <w:p>
      <w:pPr>
        <w:spacing w:after="0" w:line="218"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all or any part of its business or property, except for Transfers (a) of Inventory in the ordinary course of business; (b) of worn-out, obsolete or other unneeded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 and (g) other Transfers not otherwise permitted by this Section 7.1 in an amount not to exceed One Hundred Fifty Thousand Dollars ($150,000) in the aggregate in any fiscal year.</w:t>
      </w:r>
    </w:p>
    <w:p>
      <w:pPr>
        <w:spacing w:after="0" w:line="18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Changes in Business, Management, Control, or Business Locations.</w:t>
      </w:r>
    </w:p>
    <w:p>
      <w:pPr>
        <w:spacing w:after="0" w:line="230" w:lineRule="exact"/>
        <w:rPr>
          <w:sz w:val="20"/>
          <w:szCs w:val="20"/>
          <w:color w:val="auto"/>
        </w:rPr>
      </w:pPr>
    </w:p>
    <w:p>
      <w:pPr>
        <w:ind w:right="280" w:firstLine="634"/>
        <w:spacing w:after="0" w:line="297" w:lineRule="auto"/>
        <w:tabs>
          <w:tab w:leader="none" w:pos="1256" w:val="left"/>
        </w:tabs>
        <w:numPr>
          <w:ilvl w:val="1"/>
          <w:numId w:val="502"/>
        </w:numPr>
        <w:rPr>
          <w:rFonts w:ascii="Arial" w:cs="Arial" w:eastAsia="Arial" w:hAnsi="Arial"/>
          <w:sz w:val="15"/>
          <w:szCs w:val="15"/>
          <w:color w:val="auto"/>
        </w:rPr>
      </w:pPr>
      <w:r>
        <w:rPr>
          <w:rFonts w:ascii="Arial" w:cs="Arial" w:eastAsia="Arial" w:hAnsi="Arial"/>
          <w:sz w:val="15"/>
          <w:szCs w:val="15"/>
          <w:color w:val="auto"/>
        </w:rPr>
        <w:t>Engage in or permit any of its Subsidiaries to engage in any business other than the businesses currently engaged in by Borrower and such Subsidiary, as applicable, or reasonably related thereto; (b) liquidate or dissolve; (c) permit a Key Person to cease to be actively involved in the management of Borrower, unless a replacement for such Key Person shall have been selected by the Borrower’s Board of Directors within ninety (90) days of such change;</w:t>
      </w:r>
    </w:p>
    <w:p>
      <w:pPr>
        <w:ind w:right="20" w:firstLine="5"/>
        <w:spacing w:after="0" w:line="266" w:lineRule="auto"/>
        <w:tabs>
          <w:tab w:leader="none" w:pos="247"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permit or suffer any Change in Control; or (e) enter into any transaction or series of related transactions in which the stockholders of Borrower who were not stockholders immediately prior to the first such transaction own more than 50% of the voting stock of Borrower immediately after giving effect to such transaction or related series of such transactions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than by the sale of Borrower’s equity securities in a public offering or to venture capital or private equity investors). Borrower shall not, without at least thirty (30) days prior written notice to Bank: (1) add any new offices or business locations, including warehouses (unless such new offices or business locations contain less than One Hundred Fifty Thousand Dollars ($150,000) in Borrower’s assets or property) or deliver any portion of the Collateral valued, individually or in the aggregate, in excess of One Hundred Fifty Thousand Dollars ($150,000)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One Hundred Fifty Thousand Dollars ($150,000) to a bailee at a location other than as provided in the Perfection Certificate, Borrower will first receive the written consent of Bank, and such bailee shall execute and deliver a bailee agreement in form and substance satisfactory to Bank in its sole discretion.</w:t>
      </w:r>
    </w:p>
    <w:p>
      <w:pPr>
        <w:spacing w:after="0" w:line="178" w:lineRule="exact"/>
        <w:rPr>
          <w:sz w:val="20"/>
          <w:szCs w:val="20"/>
          <w:color w:val="auto"/>
        </w:rPr>
      </w:pPr>
    </w:p>
    <w:p>
      <w:pPr>
        <w:ind w:right="20" w:firstLine="629"/>
        <w:spacing w:after="0" w:line="330"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 acquire,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of its Subsidiaries to acquire, all or substantially all of the capital stock or property of another Person (including, without limitation, by the formation of</w:t>
      </w:r>
    </w:p>
    <w:p>
      <w:pPr>
        <w:sectPr>
          <w:pgSz w:w="11900" w:h="16900" w:orient="portrait"/>
          <w:cols w:equalWidth="0" w:num="1">
            <w:col w:w="11420"/>
          </w:cols>
          <w:pgMar w:left="240" w:top="127" w:right="239" w:bottom="0" w:gutter="0" w:footer="0" w:header="0"/>
        </w:sectPr>
      </w:pPr>
    </w:p>
    <w:bookmarkStart w:id="333" w:name="page334"/>
    <w:bookmarkEnd w:id="333"/>
    <w:p>
      <w:pPr>
        <w:spacing w:after="0" w:line="55"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any Subsidiary)(an “</w:t>
      </w:r>
      <w:r>
        <w:rPr>
          <w:rFonts w:ascii="Arial" w:cs="Arial" w:eastAsia="Arial" w:hAnsi="Arial"/>
          <w:sz w:val="17"/>
          <w:szCs w:val="17"/>
          <w:b w:val="1"/>
          <w:bCs w:val="1"/>
          <w:color w:val="auto"/>
        </w:rPr>
        <w:t>Acquisition</w:t>
      </w:r>
      <w:r>
        <w:rPr>
          <w:rFonts w:ascii="Arial" w:cs="Arial" w:eastAsia="Arial" w:hAnsi="Arial"/>
          <w:sz w:val="17"/>
          <w:szCs w:val="17"/>
          <w:color w:val="auto"/>
        </w:rPr>
        <w:t>”), other than in connection with a Permitted Acquisition. A Subsidiary may merge or consolidate into another Subsidiary or into Borrower.</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 xml:space="preserve">Indebtedness. </w:t>
      </w:r>
      <w:r>
        <w:rPr>
          <w:rFonts w:ascii="Arial" w:cs="Arial" w:eastAsia="Arial" w:hAnsi="Arial"/>
          <w:sz w:val="15"/>
          <w:szCs w:val="15"/>
          <w:color w:val="auto"/>
        </w:rPr>
        <w:t>Create, incur, assume, or be liable for any Indebtedness, or permit any Subsidiary to do so, other than Permitted Indebtedness.</w:t>
      </w:r>
    </w:p>
    <w:p>
      <w:pPr>
        <w:spacing w:after="0" w:line="22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 xml:space="preserve">Maintenance of Collateral Accounts. </w:t>
      </w:r>
      <w:r>
        <w:rPr>
          <w:rFonts w:ascii="Arial" w:cs="Arial" w:eastAsia="Arial" w:hAnsi="Arial"/>
          <w:sz w:val="15"/>
          <w:szCs w:val="15"/>
          <w:color w:val="auto"/>
        </w:rPr>
        <w:t>Maintain any Collateral Account except pursuant to the terms of Section 6.6(b) hereof.</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 Borrower may convert any of its convertible securities into other securities pursuant to the terms of such convertible securities or otherwise in exchange thereof, (ii) Borrower may pay dividends solely in common stock; (iii) Borrower may pay de minimis amounts of cash in lieu of fractional shares upon conversion of convertible securities or upon any stock split or consolidation, and (iv) Borrower may repurchase the stock of former officers, directors,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Fifty Thousand Dollars ($150,000) per fiscal year; or (b) directly or indirectly make any Investment (including, without limitation, by the formation of any Subsidiary) other than Permitted Investments, or permit any of its Subsidiaries to do so.</w:t>
      </w:r>
    </w:p>
    <w:p>
      <w:pPr>
        <w:spacing w:after="0" w:line="174"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transactions that are in the ordinary course of Borrower’s business, upon fair and reasonable terms that are no less favorable to Borrower than would be obtained in an arm’s length transaction with a non-affiliated Person.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69" w:lineRule="exact"/>
        <w:rPr>
          <w:sz w:val="20"/>
          <w:szCs w:val="20"/>
          <w:color w:val="auto"/>
        </w:rPr>
      </w:pPr>
    </w:p>
    <w:p>
      <w:pPr>
        <w:ind w:right="100" w:firstLine="629"/>
        <w:spacing w:after="0" w:line="280"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66" w:lineRule="exact"/>
        <w:rPr>
          <w:sz w:val="20"/>
          <w:szCs w:val="20"/>
          <w:color w:val="auto"/>
        </w:rPr>
      </w:pPr>
    </w:p>
    <w:p>
      <w:pPr>
        <w:ind w:left="1260" w:hanging="626"/>
        <w:spacing w:after="0"/>
        <w:tabs>
          <w:tab w:leader="none" w:pos="1260"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24"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b w:val="1"/>
          <w:bCs w:val="1"/>
          <w:color w:val="auto"/>
        </w:rPr>
        <w:t xml:space="preserve">8.1 Payment Default. </w:t>
      </w:r>
      <w:r>
        <w:rPr>
          <w:rFonts w:ascii="Arial" w:cs="Arial" w:eastAsia="Arial" w:hAnsi="Arial"/>
          <w:sz w:val="17"/>
          <w:szCs w:val="17"/>
          <w:color w:val="auto"/>
        </w:rPr>
        <w:t>Borrower fails to (a) make any payment of principal or interest on any Credit Extension on its due date, or (b)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within three (3) Business Days after such Obligations are due and payable (which three (3) Business Day cure period shall not apply to payments due on the Growth Capital Term Loan Maturity Date). During the cure period, the failure to make or pay any payment specified under clause (a) or (b) hereunder is not an Event of Default (but no Credit Extension will be made during the cure period);</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Covenant Default.</w:t>
      </w:r>
    </w:p>
    <w:p>
      <w:pPr>
        <w:spacing w:after="0" w:line="230" w:lineRule="exact"/>
        <w:rPr>
          <w:sz w:val="20"/>
          <w:szCs w:val="20"/>
          <w:color w:val="auto"/>
        </w:rPr>
      </w:pPr>
    </w:p>
    <w:p>
      <w:pPr>
        <w:ind w:left="1500" w:hanging="237"/>
        <w:spacing w:after="0"/>
        <w:tabs>
          <w:tab w:leader="none" w:pos="150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Sections 6.2, 6.4, 6.5, or 6.6, or violates any covenant in Section 7; or</w:t>
      </w:r>
    </w:p>
    <w:p>
      <w:pPr>
        <w:spacing w:after="0" w:line="224" w:lineRule="exact"/>
        <w:rPr>
          <w:rFonts w:ascii="Arial" w:cs="Arial" w:eastAsia="Arial" w:hAnsi="Arial"/>
          <w:sz w:val="17"/>
          <w:szCs w:val="17"/>
          <w:color w:val="auto"/>
        </w:rPr>
      </w:pPr>
    </w:p>
    <w:p>
      <w:pPr>
        <w:ind w:right="120" w:firstLine="1263"/>
        <w:spacing w:after="0" w:line="262" w:lineRule="auto"/>
        <w:tabs>
          <w:tab w:leader="none" w:pos="1506" w:val="left"/>
        </w:tabs>
        <w:numPr>
          <w:ilvl w:val="0"/>
          <w:numId w:val="505"/>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Attachment; Levy; Restraint on Business.</w:t>
      </w:r>
    </w:p>
    <w:p>
      <w:pPr>
        <w:spacing w:after="0" w:line="230" w:lineRule="exact"/>
        <w:rPr>
          <w:sz w:val="20"/>
          <w:szCs w:val="20"/>
          <w:color w:val="auto"/>
        </w:rPr>
      </w:pPr>
    </w:p>
    <w:p>
      <w:pPr>
        <w:ind w:right="360" w:firstLine="1263"/>
        <w:spacing w:after="0" w:line="322" w:lineRule="auto"/>
        <w:tabs>
          <w:tab w:leader="none" w:pos="149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w:t>
      </w:r>
    </w:p>
    <w:p>
      <w:pPr>
        <w:sectPr>
          <w:pgSz w:w="11900" w:h="16893" w:orient="portrait"/>
          <w:cols w:equalWidth="0" w:num="1">
            <w:col w:w="11420"/>
          </w:cols>
          <w:pgMar w:left="240" w:top="121" w:right="239" w:bottom="0" w:gutter="0" w:footer="0" w:header="0"/>
        </w:sectPr>
      </w:pPr>
    </w:p>
    <w:bookmarkStart w:id="334" w:name="page335"/>
    <w:bookmarkEnd w:id="334"/>
    <w:p>
      <w:pPr>
        <w:ind w:right="80"/>
        <w:spacing w:after="0" w:line="289" w:lineRule="auto"/>
        <w:rPr>
          <w:sz w:val="20"/>
          <w:szCs w:val="20"/>
          <w:color w:val="auto"/>
        </w:rPr>
      </w:pPr>
      <w:r>
        <w:rPr>
          <w:rFonts w:ascii="Arial" w:cs="Arial" w:eastAsia="Arial" w:hAnsi="Arial"/>
          <w:sz w:val="17"/>
          <w:szCs w:val="17"/>
          <w:color w:val="auto"/>
        </w:rPr>
        <w:t>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58" w:lineRule="exact"/>
        <w:rPr>
          <w:sz w:val="20"/>
          <w:szCs w:val="20"/>
          <w:color w:val="auto"/>
        </w:rPr>
      </w:pPr>
    </w:p>
    <w:p>
      <w:pPr>
        <w:ind w:right="100" w:firstLine="1263"/>
        <w:spacing w:after="0" w:line="289" w:lineRule="auto"/>
        <w:tabs>
          <w:tab w:leader="none" w:pos="1506" w:val="left"/>
        </w:tabs>
        <w:numPr>
          <w:ilvl w:val="0"/>
          <w:numId w:val="507"/>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52" w:lineRule="exact"/>
        <w:rPr>
          <w:sz w:val="20"/>
          <w:szCs w:val="20"/>
          <w:color w:val="auto"/>
        </w:rPr>
      </w:pPr>
    </w:p>
    <w:p>
      <w:pPr>
        <w:ind w:right="100" w:firstLine="629"/>
        <w:spacing w:after="0" w:line="302"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thirty (30) days (but no Credit Extensions shall be made while any of the conditions described in clause (a) exist and/or until any Insolvency Proceeding is dismissed);</w:t>
      </w:r>
    </w:p>
    <w:p>
      <w:pPr>
        <w:spacing w:after="0" w:line="14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under any agreement to which Borrower is a party with a third party or parties, (a) any default resulting in a right</w:t>
      </w:r>
      <w:r>
        <w:rPr>
          <w:rFonts w:ascii="Arial" w:cs="Arial" w:eastAsia="Arial" w:hAnsi="Arial"/>
          <w:sz w:val="17"/>
          <w:szCs w:val="17"/>
          <w:b w:val="1"/>
          <w:bCs w:val="1"/>
          <w:color w:val="auto"/>
        </w:rPr>
        <w:t xml:space="preserve"> </w:t>
      </w:r>
      <w:r>
        <w:rPr>
          <w:rFonts w:ascii="Arial" w:cs="Arial" w:eastAsia="Arial" w:hAnsi="Arial"/>
          <w:sz w:val="17"/>
          <w:szCs w:val="17"/>
          <w:color w:val="auto"/>
        </w:rPr>
        <w:t>by such third party or parties, whether or not exercised, to accelerate the maturity of any Indebtedness in an amount individually or in the aggregate in excess of One Hundred Fifty Thousand Dollars ($150,000); or (b) any breach or default by Borrower, the result of which could have a material adverse effect on Borrower’s business;</w:t>
      </w:r>
    </w:p>
    <w:p>
      <w:pPr>
        <w:spacing w:after="0" w:line="169"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8.7 Judgments; Penalties. </w:t>
      </w:r>
      <w:r>
        <w:rPr>
          <w:rFonts w:ascii="Arial" w:cs="Arial" w:eastAsia="Arial" w:hAnsi="Arial"/>
          <w:sz w:val="17"/>
          <w:szCs w:val="17"/>
          <w:color w:val="auto"/>
        </w:rPr>
        <w:t>One or more fines, penalties or final judgments, orders or decrees for the payment of money in an amount, individually</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aggregate, of at least Fifty Thousand Dollars ($50,000)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8.8 Misrepresentations. </w:t>
      </w:r>
      <w:r>
        <w:rPr>
          <w:rFonts w:ascii="Arial" w:cs="Arial" w:eastAsia="Arial" w:hAnsi="Arial"/>
          <w:sz w:val="17"/>
          <w:szCs w:val="17"/>
          <w:color w:val="auto"/>
        </w:rPr>
        <w:t>Borrower or any Person acting for 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 or</w:t>
      </w:r>
    </w:p>
    <w:p>
      <w:pPr>
        <w:spacing w:after="0" w:line="162"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 invalidated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169" w:lineRule="exact"/>
        <w:rPr>
          <w:sz w:val="20"/>
          <w:szCs w:val="20"/>
          <w:color w:val="auto"/>
        </w:rPr>
      </w:pPr>
    </w:p>
    <w:p>
      <w:pPr>
        <w:ind w:left="1260" w:hanging="626"/>
        <w:spacing w:after="0"/>
        <w:tabs>
          <w:tab w:leader="none" w:pos="1260"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BANK’S RIGHTS AND REMEDIES</w:t>
      </w:r>
    </w:p>
    <w:p>
      <w:pPr>
        <w:spacing w:after="0" w:line="224"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9.1 Rights and Remedies. </w:t>
      </w:r>
      <w:r>
        <w:rPr>
          <w:rFonts w:ascii="Arial" w:cs="Arial" w:eastAsia="Arial" w:hAnsi="Arial"/>
          <w:sz w:val="17"/>
          <w:szCs w:val="17"/>
          <w:color w:val="auto"/>
        </w:rPr>
        <w:t>Upon the occurrence and during the continuance of an Event of Default, Bank may, without notice or demand, do any or</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following:</w:t>
      </w:r>
    </w:p>
    <w:p>
      <w:pPr>
        <w:spacing w:after="0" w:line="151" w:lineRule="exact"/>
        <w:rPr>
          <w:sz w:val="20"/>
          <w:szCs w:val="20"/>
          <w:color w:val="auto"/>
        </w:rPr>
      </w:pPr>
    </w:p>
    <w:p>
      <w:pPr>
        <w:ind w:right="360" w:firstLine="1263"/>
        <w:spacing w:after="0" w:line="289" w:lineRule="auto"/>
        <w:tabs>
          <w:tab w:leader="none" w:pos="1885" w:val="left"/>
        </w:tabs>
        <w:numPr>
          <w:ilvl w:val="0"/>
          <w:numId w:val="509"/>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Borrower and Bank;</w:t>
      </w:r>
    </w:p>
    <w:p>
      <w:pPr>
        <w:spacing w:after="0" w:line="212" w:lineRule="exact"/>
        <w:rPr>
          <w:rFonts w:ascii="Arial" w:cs="Arial" w:eastAsia="Arial" w:hAnsi="Arial"/>
          <w:sz w:val="17"/>
          <w:szCs w:val="17"/>
          <w:color w:val="auto"/>
        </w:rPr>
      </w:pPr>
    </w:p>
    <w:p>
      <w:pPr>
        <w:jc w:val="both"/>
        <w:ind w:right="60" w:firstLine="1263"/>
        <w:spacing w:after="0" w:line="265" w:lineRule="auto"/>
        <w:tabs>
          <w:tab w:leader="none" w:pos="1898" w:val="left"/>
        </w:tabs>
        <w:numPr>
          <w:ilvl w:val="0"/>
          <w:numId w:val="510"/>
        </w:numPr>
        <w:rPr>
          <w:rFonts w:ascii="Arial" w:cs="Arial" w:eastAsia="Arial" w:hAnsi="Arial"/>
          <w:sz w:val="17"/>
          <w:szCs w:val="17"/>
          <w:color w:val="auto"/>
        </w:rPr>
      </w:pPr>
      <w:r>
        <w:rPr>
          <w:rFonts w:ascii="Arial" w:cs="Arial" w:eastAsia="Arial" w:hAnsi="Arial"/>
          <w:sz w:val="17"/>
          <w:szCs w:val="17"/>
          <w:color w:val="auto"/>
        </w:rPr>
        <w:t>for any Letters of Credit, demand that Borrower (i) deposit cash with Bank in an amount equal to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terminate any FX Contracts;</w:t>
      </w:r>
    </w:p>
    <w:p>
      <w:pPr>
        <w:spacing w:after="0" w:line="224" w:lineRule="exact"/>
        <w:rPr>
          <w:rFonts w:ascii="Arial" w:cs="Arial" w:eastAsia="Arial" w:hAnsi="Arial"/>
          <w:sz w:val="17"/>
          <w:szCs w:val="17"/>
          <w:color w:val="auto"/>
        </w:rPr>
      </w:pPr>
    </w:p>
    <w:p>
      <w:pPr>
        <w:jc w:val="both"/>
        <w:ind w:right="200" w:firstLine="1263"/>
        <w:spacing w:after="0" w:line="273" w:lineRule="auto"/>
        <w:tabs>
          <w:tab w:leader="none" w:pos="1898" w:val="left"/>
        </w:tabs>
        <w:numPr>
          <w:ilvl w:val="0"/>
          <w:numId w:val="510"/>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71" w:lineRule="exact"/>
        <w:rPr>
          <w:rFonts w:ascii="Arial" w:cs="Arial" w:eastAsia="Arial" w:hAnsi="Arial"/>
          <w:sz w:val="17"/>
          <w:szCs w:val="17"/>
          <w:color w:val="auto"/>
        </w:rPr>
      </w:pPr>
    </w:p>
    <w:p>
      <w:pPr>
        <w:ind w:right="40" w:firstLine="1263"/>
        <w:spacing w:after="0" w:line="265" w:lineRule="auto"/>
        <w:tabs>
          <w:tab w:leader="none" w:pos="1892" w:val="left"/>
        </w:tabs>
        <w:numPr>
          <w:ilvl w:val="0"/>
          <w:numId w:val="510"/>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79" w:lineRule="exact"/>
        <w:rPr>
          <w:rFonts w:ascii="Arial" w:cs="Arial" w:eastAsia="Arial" w:hAnsi="Arial"/>
          <w:sz w:val="17"/>
          <w:szCs w:val="17"/>
          <w:color w:val="auto"/>
        </w:rPr>
      </w:pPr>
    </w:p>
    <w:p>
      <w:pPr>
        <w:ind w:right="140" w:firstLine="1263"/>
        <w:spacing w:after="0" w:line="289" w:lineRule="auto"/>
        <w:tabs>
          <w:tab w:leader="none" w:pos="1908"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apply to the Obligations any (i) balances and deposits of Borrower it holds, or (ii) any amount held by Bank owing to or for the credit or the account of Borrower;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w:t>
      </w:r>
    </w:p>
    <w:p>
      <w:pPr>
        <w:spacing w:after="0" w:line="224" w:lineRule="exact"/>
        <w:rPr>
          <w:rFonts w:ascii="Arial" w:cs="Arial" w:eastAsia="Arial" w:hAnsi="Arial"/>
          <w:sz w:val="17"/>
          <w:szCs w:val="17"/>
          <w:color w:val="auto"/>
        </w:rPr>
      </w:pPr>
    </w:p>
    <w:p>
      <w:pPr>
        <w:ind w:right="520" w:firstLine="1263"/>
        <w:spacing w:after="0" w:line="289" w:lineRule="auto"/>
        <w:tabs>
          <w:tab w:leader="none" w:pos="1909" w:val="left"/>
        </w:tabs>
        <w:numPr>
          <w:ilvl w:val="0"/>
          <w:numId w:val="510"/>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demand and receive possession of Borrower’s Books; and</w:t>
      </w:r>
    </w:p>
    <w:p>
      <w:pPr>
        <w:spacing w:after="0" w:line="224" w:lineRule="exact"/>
        <w:rPr>
          <w:rFonts w:ascii="Arial" w:cs="Arial" w:eastAsia="Arial" w:hAnsi="Arial"/>
          <w:sz w:val="17"/>
          <w:szCs w:val="17"/>
          <w:color w:val="auto"/>
        </w:rPr>
      </w:pPr>
    </w:p>
    <w:p>
      <w:pPr>
        <w:ind w:right="20" w:firstLine="1263"/>
        <w:spacing w:after="0" w:line="289" w:lineRule="auto"/>
        <w:tabs>
          <w:tab w:leader="none" w:pos="189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ectPr>
          <w:pgSz w:w="11900" w:h="16838" w:orient="portrait"/>
          <w:cols w:equalWidth="0" w:num="1">
            <w:col w:w="11380"/>
          </w:cols>
          <w:pgMar w:left="240" w:top="127" w:right="279" w:bottom="88" w:gutter="0" w:footer="0" w:header="0"/>
        </w:sectPr>
      </w:pPr>
    </w:p>
    <w:bookmarkStart w:id="335" w:name="page336"/>
    <w:bookmarkEnd w:id="335"/>
    <w:p>
      <w:pPr>
        <w:ind w:right="220" w:firstLine="629"/>
        <w:spacing w:after="0" w:line="263"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6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 xml:space="preserve">9.3 Protective Payments. </w:t>
      </w:r>
      <w:r>
        <w:rPr>
          <w:rFonts w:ascii="Arial" w:cs="Arial" w:eastAsia="Arial" w:hAnsi="Arial"/>
          <w:sz w:val="17"/>
          <w:szCs w:val="17"/>
          <w:color w:val="auto"/>
        </w:rPr>
        <w:t>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3"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b w:val="1"/>
          <w:bCs w:val="1"/>
          <w:color w:val="auto"/>
        </w:rPr>
        <w:t xml:space="preserve">9.4 Application of Payments and Proceeds Upon Default. </w:t>
      </w:r>
      <w:r>
        <w:rPr>
          <w:rFonts w:ascii="Arial" w:cs="Arial" w:eastAsia="Arial" w:hAnsi="Arial"/>
          <w:sz w:val="16"/>
          <w:szCs w:val="16"/>
          <w:color w:val="auto"/>
        </w:rPr>
        <w:t>If an Event of Default has occurred and is continuing, Bank shall have the right to apply</w:t>
      </w:r>
      <w:r>
        <w:rPr>
          <w:rFonts w:ascii="Arial" w:cs="Arial" w:eastAsia="Arial" w:hAnsi="Arial"/>
          <w:sz w:val="16"/>
          <w:szCs w:val="16"/>
          <w:b w:val="1"/>
          <w:bCs w:val="1"/>
          <w:color w:val="auto"/>
        </w:rPr>
        <w:t xml:space="preserve"> </w:t>
      </w:r>
      <w:r>
        <w:rPr>
          <w:rFonts w:ascii="Arial" w:cs="Arial" w:eastAsia="Arial" w:hAnsi="Arial"/>
          <w:sz w:val="16"/>
          <w:szCs w:val="16"/>
          <w:color w:val="auto"/>
        </w:rPr>
        <w:t>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7" w:lineRule="exact"/>
        <w:rPr>
          <w:sz w:val="20"/>
          <w:szCs w:val="20"/>
          <w:color w:val="auto"/>
        </w:rPr>
      </w:pPr>
    </w:p>
    <w:p>
      <w:pPr>
        <w:jc w:val="both"/>
        <w:ind w:right="120" w:firstLine="629"/>
        <w:spacing w:after="0" w:line="304" w:lineRule="auto"/>
        <w:rPr>
          <w:sz w:val="20"/>
          <w:szCs w:val="20"/>
          <w:color w:val="auto"/>
        </w:rPr>
      </w:pPr>
      <w:r>
        <w:rPr>
          <w:rFonts w:ascii="Arial" w:cs="Arial" w:eastAsia="Arial" w:hAnsi="Arial"/>
          <w:sz w:val="15"/>
          <w:szCs w:val="15"/>
          <w:b w:val="1"/>
          <w:bCs w:val="1"/>
          <w:color w:val="auto"/>
        </w:rPr>
        <w:t xml:space="preserve">9.5 Bank’s Liability for Collateral. </w:t>
      </w:r>
      <w:r>
        <w:rPr>
          <w:rFonts w:ascii="Arial" w:cs="Arial" w:eastAsia="Arial" w:hAnsi="Arial"/>
          <w:sz w:val="15"/>
          <w:szCs w:val="15"/>
          <w:color w:val="auto"/>
        </w:rPr>
        <w:t>So long as Bank complies with reasonable banking practices regarding the safekeeping of the Collateral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possession or under the control of Bank, Bank shall not be liable or responsible for: (a) the safekeeping of the Collateral; (b) any loss or damage to the Collateral;</w:t>
      </w:r>
    </w:p>
    <w:p>
      <w:pPr>
        <w:ind w:right="320" w:firstLine="5"/>
        <w:spacing w:after="0" w:line="275" w:lineRule="auto"/>
        <w:tabs>
          <w:tab w:leader="none" w:pos="238"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any diminution in the value of the Collateral; or (d) any act or default of any carrier, warehouseman, bailee, or other Person. Borrower bears all risk of loss, damage or destruction of the Collateral.</w:t>
      </w:r>
    </w:p>
    <w:p>
      <w:pPr>
        <w:spacing w:after="0" w:line="163" w:lineRule="exact"/>
        <w:rPr>
          <w:sz w:val="20"/>
          <w:szCs w:val="20"/>
          <w:color w:val="auto"/>
        </w:rPr>
      </w:pPr>
    </w:p>
    <w:p>
      <w:pPr>
        <w:ind w:right="40" w:firstLine="629"/>
        <w:spacing w:after="0" w:line="264"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demand, notice of default or dishonor, notice of payment and nonpayment, notice of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at maturity, release, compromise, settlement, extension, or renewal of accounts, documents, instruments, chattel paper, and guarantees held by Bank on which Borrower is liable.</w:t>
      </w:r>
    </w:p>
    <w:p>
      <w:pPr>
        <w:spacing w:after="0" w:line="162" w:lineRule="exact"/>
        <w:rPr>
          <w:sz w:val="20"/>
          <w:szCs w:val="20"/>
          <w:color w:val="auto"/>
        </w:rPr>
      </w:pPr>
    </w:p>
    <w:p>
      <w:pPr>
        <w:ind w:left="1260" w:hanging="626"/>
        <w:spacing w:after="0"/>
        <w:tabs>
          <w:tab w:leader="none" w:pos="1260" w:val="left"/>
        </w:tabs>
        <w:numPr>
          <w:ilvl w:val="0"/>
          <w:numId w:val="5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30"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Borrower: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Attn: Shelly Guyer,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Fax: (650)243-6341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shelly@veracyte.com</w:t>
      </w:r>
    </w:p>
    <w:p>
      <w:pPr>
        <w:spacing w:after="0" w:line="200" w:lineRule="exact"/>
        <w:rPr>
          <w:sz w:val="20"/>
          <w:szCs w:val="20"/>
          <w:color w:val="auto"/>
        </w:rPr>
      </w:pPr>
    </w:p>
    <w:p>
      <w:pPr>
        <w:sectPr>
          <w:pgSz w:w="11900" w:h="16838" w:orient="portrait"/>
          <w:cols w:equalWidth="0" w:num="2">
            <w:col w:w="3220" w:space="720"/>
            <w:col w:w="7480"/>
          </w:cols>
          <w:pgMar w:left="240" w:top="121" w:right="239" w:bottom="0" w:gutter="0" w:footer="0" w:header="0"/>
          <w:type w:val="continuous"/>
        </w:sectPr>
      </w:pP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Silicon Valley Bank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2400 Hanover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Rob Freelen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Email: rfreelen@svb.com</w:t>
      </w:r>
    </w:p>
    <w:p>
      <w:pPr>
        <w:spacing w:after="0" w:line="200" w:lineRule="exact"/>
        <w:rPr>
          <w:sz w:val="20"/>
          <w:szCs w:val="20"/>
          <w:color w:val="auto"/>
        </w:rPr>
      </w:pPr>
    </w:p>
    <w:p>
      <w:pPr>
        <w:sectPr>
          <w:pgSz w:w="11900" w:h="16838" w:orient="portrait"/>
          <w:cols w:equalWidth="0" w:num="2">
            <w:col w:w="3220" w:space="720"/>
            <w:col w:w="7480"/>
          </w:cols>
          <w:pgMar w:left="240" w:top="121" w:right="239" w:bottom="0" w:gutter="0" w:footer="0" w:header="0"/>
          <w:type w:val="continuous"/>
        </w:sectPr>
      </w:pPr>
    </w:p>
    <w:p>
      <w:pPr>
        <w:spacing w:after="0" w:line="18" w:lineRule="exact"/>
        <w:rPr>
          <w:sz w:val="20"/>
          <w:szCs w:val="20"/>
          <w:color w:val="auto"/>
        </w:rPr>
      </w:pPr>
    </w:p>
    <w:p>
      <w:pPr>
        <w:ind w:left="1240" w:hanging="606"/>
        <w:spacing w:after="0"/>
        <w:tabs>
          <w:tab w:leader="none" w:pos="1240" w:val="left"/>
        </w:tabs>
        <w:numPr>
          <w:ilvl w:val="0"/>
          <w:numId w:val="5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VENUE. JURY TRIAL WAIVER. AND JUDICIAL REFERENCE</w:t>
      </w:r>
    </w:p>
    <w:p>
      <w:pPr>
        <w:sectPr>
          <w:pgSz w:w="11900" w:h="16838" w:orient="portrait"/>
          <w:cols w:equalWidth="0" w:num="1">
            <w:col w:w="11420"/>
          </w:cols>
          <w:pgMar w:left="240" w:top="121" w:right="239" w:bottom="0" w:gutter="0" w:footer="0" w:header="0"/>
          <w:type w:val="continuous"/>
        </w:sectPr>
      </w:pPr>
    </w:p>
    <w:bookmarkStart w:id="336" w:name="page337"/>
    <w:bookmarkEnd w:id="336"/>
    <w:p>
      <w:pPr>
        <w:spacing w:after="0" w:line="47"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77"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Section 11 shall survive the termination of this Agreement.</w:t>
      </w:r>
    </w:p>
    <w:p>
      <w:pPr>
        <w:spacing w:after="0" w:line="218" w:lineRule="exact"/>
        <w:rPr>
          <w:sz w:val="20"/>
          <w:szCs w:val="20"/>
          <w:color w:val="auto"/>
        </w:rPr>
      </w:pPr>
    </w:p>
    <w:p>
      <w:pPr>
        <w:ind w:left="1260" w:hanging="626"/>
        <w:spacing w:after="0"/>
        <w:tabs>
          <w:tab w:leader="none" w:pos="1260" w:val="left"/>
        </w:tabs>
        <w:numPr>
          <w:ilvl w:val="0"/>
          <w:numId w:val="5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p>
    <w:p>
      <w:pPr>
        <w:spacing w:after="0" w:line="224" w:lineRule="exact"/>
        <w:rPr>
          <w:sz w:val="20"/>
          <w:szCs w:val="20"/>
          <w:color w:val="auto"/>
        </w:rPr>
      </w:pPr>
    </w:p>
    <w:p>
      <w:pPr>
        <w:jc w:val="both"/>
        <w:ind w:right="500" w:firstLine="629"/>
        <w:spacing w:after="0" w:line="277" w:lineRule="auto"/>
        <w:rPr>
          <w:sz w:val="20"/>
          <w:szCs w:val="20"/>
          <w:color w:val="auto"/>
        </w:rPr>
      </w:pPr>
      <w:r>
        <w:rPr>
          <w:rFonts w:ascii="Arial" w:cs="Arial" w:eastAsia="Arial" w:hAnsi="Arial"/>
          <w:sz w:val="17"/>
          <w:szCs w:val="17"/>
          <w:b w:val="1"/>
          <w:bCs w:val="1"/>
          <w:color w:val="auto"/>
        </w:rPr>
        <w:t xml:space="preserve">12.1 Survival. </w:t>
      </w:r>
      <w:r>
        <w:rPr>
          <w:rFonts w:ascii="Arial" w:cs="Arial" w:eastAsia="Arial" w:hAnsi="Arial"/>
          <w:sz w:val="17"/>
          <w:szCs w:val="17"/>
          <w:color w:val="auto"/>
        </w:rPr>
        <w:t>All covenants, representations and warranties made in this Agreement continue in full force until this Agreement has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its terms and all Obligations have been satisfied. Those obligations that are expressly specified in this Agreement as surviving this Agreement’s termination shall continue to survive notwithstanding this Agreement’s termination.</w:t>
      </w:r>
    </w:p>
    <w:p>
      <w:pPr>
        <w:spacing w:after="0" w:line="16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71"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color w:val="auto"/>
        </w:rPr>
        <w:t xml:space="preserve">12.3 Indemnification. </w:t>
      </w:r>
      <w:r>
        <w:rPr>
          <w:rFonts w:ascii="Arial" w:cs="Arial" w:eastAsia="Arial" w:hAnsi="Arial"/>
          <w:sz w:val="17"/>
          <w:szCs w:val="17"/>
          <w:color w:val="auto"/>
        </w:rPr>
        <w:t>Borrower agrees to indemnify, defend and hold Bank and its directors, officers, employees, agents, attorneys,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 run.</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 xml:space="preserve">Time of Essence. </w:t>
      </w:r>
      <w:r>
        <w:rPr>
          <w:rFonts w:ascii="Arial" w:cs="Arial" w:eastAsia="Arial" w:hAnsi="Arial"/>
          <w:sz w:val="15"/>
          <w:szCs w:val="15"/>
          <w:color w:val="auto"/>
        </w:rPr>
        <w:t>Time is of the essence for the performance of all Obligations in this Agreement.</w:t>
      </w:r>
    </w:p>
    <w:p>
      <w:pPr>
        <w:spacing w:after="0" w:line="22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12.5 Severability of Provisions. </w:t>
      </w:r>
      <w:r>
        <w:rPr>
          <w:rFonts w:ascii="Arial" w:cs="Arial" w:eastAsia="Arial" w:hAnsi="Arial"/>
          <w:sz w:val="17"/>
          <w:szCs w:val="17"/>
          <w:color w:val="auto"/>
        </w:rPr>
        <w:t>Each provision of this Agreement is severable from every other provision in determining the enforceability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w:t>
      </w:r>
    </w:p>
    <w:p>
      <w:pPr>
        <w:spacing w:after="0" w:line="145" w:lineRule="exact"/>
        <w:rPr>
          <w:sz w:val="20"/>
          <w:szCs w:val="20"/>
          <w:color w:val="auto"/>
        </w:rPr>
      </w:pPr>
    </w:p>
    <w:p>
      <w:pPr>
        <w:ind w:right="80" w:firstLine="629"/>
        <w:spacing w:after="0" w:line="317" w:lineRule="auto"/>
        <w:rPr>
          <w:sz w:val="20"/>
          <w:szCs w:val="20"/>
          <w:color w:val="auto"/>
        </w:rPr>
      </w:pPr>
      <w:r>
        <w:rPr>
          <w:rFonts w:ascii="Arial" w:cs="Arial" w:eastAsia="Arial" w:hAnsi="Arial"/>
          <w:sz w:val="15"/>
          <w:szCs w:val="15"/>
          <w:b w:val="1"/>
          <w:bCs w:val="1"/>
          <w:color w:val="auto"/>
        </w:rPr>
        <w:t xml:space="preserve">12.6 Amendments in Writing; Waiver; Integration. </w:t>
      </w:r>
      <w:r>
        <w:rPr>
          <w:rFonts w:ascii="Arial" w:cs="Arial" w:eastAsia="Arial" w:hAnsi="Arial"/>
          <w:sz w:val="15"/>
          <w:szCs w:val="15"/>
          <w:color w:val="auto"/>
        </w:rPr>
        <w:t>No purported amendment or modification of any Loan Document, or waiver, discharge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w:t>
      </w:r>
    </w:p>
    <w:p>
      <w:pPr>
        <w:sectPr>
          <w:pgSz w:w="11900" w:h="16885" w:orient="portrait"/>
          <w:cols w:equalWidth="0" w:num="1">
            <w:col w:w="11420"/>
          </w:cols>
          <w:pgMar w:left="240" w:top="336" w:right="239" w:bottom="0" w:gutter="0" w:footer="0" w:header="0"/>
        </w:sectPr>
      </w:pPr>
    </w:p>
    <w:bookmarkStart w:id="337" w:name="page338"/>
    <w:bookmarkEnd w:id="337"/>
    <w:p>
      <w:pPr>
        <w:ind w:right="40"/>
        <w:spacing w:after="0" w:line="290" w:lineRule="auto"/>
        <w:rPr>
          <w:sz w:val="20"/>
          <w:szCs w:val="20"/>
          <w:color w:val="auto"/>
        </w:rPr>
      </w:pPr>
      <w:r>
        <w:rPr>
          <w:rFonts w:ascii="Arial" w:cs="Arial" w:eastAsia="Arial" w:hAnsi="Arial"/>
          <w:sz w:val="16"/>
          <w:szCs w:val="16"/>
          <w:color w:val="auto"/>
        </w:rPr>
        <w:t>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53"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 xml:space="preserve">12.7 Counterparts. </w:t>
      </w:r>
      <w:r>
        <w:rPr>
          <w:rFonts w:ascii="Arial" w:cs="Arial" w:eastAsia="Arial" w:hAnsi="Arial"/>
          <w:sz w:val="17"/>
          <w:szCs w:val="17"/>
          <w:color w:val="auto"/>
        </w:rPr>
        <w:t>This Agreement may be executed in any number of counterparts and by different parties on separate counterparts, each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when executed and delivered, is an original, and all taken together, constitute one Agreement.</w:t>
      </w:r>
    </w:p>
    <w:p>
      <w:pPr>
        <w:spacing w:after="0" w:line="145"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Bank shall exercise the same degree of care that it exercises for its own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 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64" w:lineRule="exact"/>
        <w:rPr>
          <w:sz w:val="20"/>
          <w:szCs w:val="20"/>
          <w:color w:val="auto"/>
        </w:rPr>
      </w:pPr>
    </w:p>
    <w:p>
      <w:pPr>
        <w:ind w:right="200" w:firstLine="629"/>
        <w:spacing w:after="0" w:line="277" w:lineRule="auto"/>
        <w:rPr>
          <w:sz w:val="20"/>
          <w:szCs w:val="20"/>
          <w:color w:val="auto"/>
        </w:rPr>
      </w:pPr>
      <w:r>
        <w:rPr>
          <w:rFonts w:ascii="Arial" w:cs="Arial" w:eastAsia="Arial" w:hAnsi="Arial"/>
          <w:sz w:val="17"/>
          <w:szCs w:val="17"/>
          <w:b w:val="1"/>
          <w:bCs w:val="1"/>
          <w:color w:val="auto"/>
        </w:rPr>
        <w:t xml:space="preserve">12.9 Attorneys’ Fees, Costs and Expenses. </w:t>
      </w:r>
      <w:r>
        <w:rPr>
          <w:rFonts w:ascii="Arial" w:cs="Arial" w:eastAsia="Arial" w:hAnsi="Arial"/>
          <w:sz w:val="17"/>
          <w:szCs w:val="17"/>
          <w:color w:val="auto"/>
        </w:rPr>
        <w:t>In any action or proceeding between Borrower and Bank arising out of or relating to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the prevailing party shall be entitled to recover its reasonable attorneys’ fees and other costs and expenses incurred, in addition to any other relief to which it may be entitled.</w:t>
      </w:r>
    </w:p>
    <w:p>
      <w:pPr>
        <w:spacing w:after="0" w:line="162" w:lineRule="exact"/>
        <w:rPr>
          <w:sz w:val="20"/>
          <w:szCs w:val="20"/>
          <w:color w:val="auto"/>
        </w:rPr>
      </w:pPr>
    </w:p>
    <w:p>
      <w:pPr>
        <w:ind w:right="260" w:firstLine="629"/>
        <w:spacing w:after="0" w:line="330" w:lineRule="auto"/>
        <w:rPr>
          <w:sz w:val="20"/>
          <w:szCs w:val="20"/>
          <w:color w:val="auto"/>
        </w:rPr>
      </w:pPr>
      <w:r>
        <w:rPr>
          <w:rFonts w:ascii="Arial" w:cs="Arial" w:eastAsia="Arial" w:hAnsi="Arial"/>
          <w:sz w:val="16"/>
          <w:szCs w:val="16"/>
          <w:b w:val="1"/>
          <w:bCs w:val="1"/>
          <w:color w:val="auto"/>
        </w:rPr>
        <w:t xml:space="preserve">12.10 Electronic Execution of Documents. </w:t>
      </w:r>
      <w:r>
        <w:rPr>
          <w:rFonts w:ascii="Arial" w:cs="Arial" w:eastAsia="Arial" w:hAnsi="Arial"/>
          <w:sz w:val="16"/>
          <w:szCs w:val="16"/>
          <w:color w:val="auto"/>
        </w:rPr>
        <w:t>The words “execution,” “signed,” “signature” and words of like import in any Loan Document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include electronic signatures or the keeping of records in electronic form, each of which shall be of the same legal effect, validity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5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b w:val="1"/>
          <w:bCs w:val="1"/>
          <w:color w:val="auto"/>
        </w:rPr>
        <w:t>12.11</w:t>
      </w:r>
      <w:r>
        <w:rPr>
          <w:sz w:val="20"/>
          <w:szCs w:val="20"/>
          <w:color w:val="auto"/>
        </w:rPr>
        <w:tab/>
      </w:r>
      <w:r>
        <w:rPr>
          <w:rFonts w:ascii="Arial" w:cs="Arial" w:eastAsia="Arial" w:hAnsi="Arial"/>
          <w:sz w:val="15"/>
          <w:szCs w:val="15"/>
          <w:b w:val="1"/>
          <w:bCs w:val="1"/>
          <w:color w:val="auto"/>
        </w:rPr>
        <w:t xml:space="preserve">Captions. </w:t>
      </w:r>
      <w:r>
        <w:rPr>
          <w:rFonts w:ascii="Arial" w:cs="Arial" w:eastAsia="Arial" w:hAnsi="Arial"/>
          <w:sz w:val="15"/>
          <w:szCs w:val="15"/>
          <w:color w:val="auto"/>
        </w:rPr>
        <w:t>The headings used in this Agreement are for convenience only and shall not affect the interpretation of this Agreement.</w:t>
      </w:r>
    </w:p>
    <w:p>
      <w:pPr>
        <w:spacing w:after="0" w:line="224" w:lineRule="exact"/>
        <w:rPr>
          <w:sz w:val="20"/>
          <w:szCs w:val="20"/>
          <w:color w:val="auto"/>
        </w:rPr>
      </w:pPr>
    </w:p>
    <w:p>
      <w:pPr>
        <w:ind w:firstLine="629"/>
        <w:spacing w:after="0" w:line="330" w:lineRule="auto"/>
        <w:rPr>
          <w:sz w:val="20"/>
          <w:szCs w:val="20"/>
          <w:color w:val="auto"/>
        </w:rPr>
      </w:pPr>
      <w:r>
        <w:rPr>
          <w:rFonts w:ascii="Arial" w:cs="Arial" w:eastAsia="Arial" w:hAnsi="Arial"/>
          <w:sz w:val="16"/>
          <w:szCs w:val="16"/>
          <w:b w:val="1"/>
          <w:bCs w:val="1"/>
          <w:color w:val="auto"/>
        </w:rPr>
        <w:t xml:space="preserve">12.12 Construction of Agreement. </w:t>
      </w:r>
      <w:r>
        <w:rPr>
          <w:rFonts w:ascii="Arial" w:cs="Arial" w:eastAsia="Arial" w:hAnsi="Arial"/>
          <w:sz w:val="16"/>
          <w:szCs w:val="16"/>
          <w:color w:val="auto"/>
        </w:rPr>
        <w:t>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23" w:lineRule="exact"/>
        <w:rPr>
          <w:sz w:val="20"/>
          <w:szCs w:val="20"/>
          <w:color w:val="auto"/>
        </w:rPr>
      </w:pPr>
    </w:p>
    <w:p>
      <w:pPr>
        <w:jc w:val="both"/>
        <w:ind w:right="400" w:firstLine="629"/>
        <w:spacing w:after="0" w:line="277" w:lineRule="auto"/>
        <w:rPr>
          <w:sz w:val="20"/>
          <w:szCs w:val="20"/>
          <w:color w:val="auto"/>
        </w:rPr>
      </w:pPr>
      <w:r>
        <w:rPr>
          <w:rFonts w:ascii="Arial" w:cs="Arial" w:eastAsia="Arial" w:hAnsi="Arial"/>
          <w:sz w:val="17"/>
          <w:szCs w:val="17"/>
          <w:b w:val="1"/>
          <w:bCs w:val="1"/>
          <w:color w:val="auto"/>
        </w:rPr>
        <w:t xml:space="preserve">12.13 Relationship. </w:t>
      </w:r>
      <w:r>
        <w:rPr>
          <w:rFonts w:ascii="Arial" w:cs="Arial" w:eastAsia="Arial" w:hAnsi="Arial"/>
          <w:sz w:val="17"/>
          <w:szCs w:val="17"/>
          <w:color w:val="auto"/>
        </w:rPr>
        <w:t>The relationship of the parties to this Agreement is determined solely by the provisions of this Agreement. The parties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create any agency, partnership, joint venture, trust, fiduciary or other relationship with duties or incidents different from those of parties to an arm’s-length contract.</w:t>
      </w:r>
    </w:p>
    <w:p>
      <w:pPr>
        <w:spacing w:after="0" w:line="162"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b w:val="1"/>
          <w:bCs w:val="1"/>
          <w:color w:val="auto"/>
        </w:rPr>
        <w:t xml:space="preserve">12.14 Third Parties. </w:t>
      </w:r>
      <w:r>
        <w:rPr>
          <w:rFonts w:ascii="Arial" w:cs="Arial" w:eastAsia="Arial" w:hAnsi="Arial"/>
          <w:sz w:val="17"/>
          <w:szCs w:val="17"/>
          <w:color w:val="auto"/>
        </w:rPr>
        <w:t>Nothing in this Agreement, whether express or implied, is intended to: (a) confer any benefits, rights or remedies under or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9" w:lineRule="exact"/>
        <w:rPr>
          <w:sz w:val="20"/>
          <w:szCs w:val="20"/>
          <w:color w:val="auto"/>
        </w:rPr>
      </w:pPr>
    </w:p>
    <w:p>
      <w:pPr>
        <w:ind w:left="1220" w:hanging="586"/>
        <w:spacing w:after="0"/>
        <w:tabs>
          <w:tab w:leader="none" w:pos="1220" w:val="left"/>
        </w:tabs>
        <w:numPr>
          <w:ilvl w:val="0"/>
          <w:numId w:val="5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b w:val="1"/>
          <w:bCs w:val="1"/>
          <w:color w:val="auto"/>
        </w:rPr>
        <w:t xml:space="preserve">13.1 Definitions. </w:t>
      </w:r>
      <w:r>
        <w:rPr>
          <w:rFonts w:ascii="Arial" w:cs="Arial" w:eastAsia="Arial" w:hAnsi="Arial"/>
          <w:sz w:val="17"/>
          <w:szCs w:val="17"/>
          <w:color w:val="auto"/>
        </w:rPr>
        <w:t>As used in the Loan Documents, the word “shall” is mandatory, the word “may” is permissive, the word “or” is not exclusive, the</w:t>
      </w:r>
      <w:r>
        <w:rPr>
          <w:rFonts w:ascii="Arial" w:cs="Arial" w:eastAsia="Arial" w:hAnsi="Arial"/>
          <w:sz w:val="17"/>
          <w:szCs w:val="17"/>
          <w:b w:val="1"/>
          <w:bCs w:val="1"/>
          <w:color w:val="auto"/>
        </w:rPr>
        <w:t xml:space="preserve"> </w:t>
      </w:r>
      <w:r>
        <w:rPr>
          <w:rFonts w:ascii="Arial" w:cs="Arial" w:eastAsia="Arial" w:hAnsi="Arial"/>
          <w:sz w:val="17"/>
          <w:szCs w:val="17"/>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is defined in Section 7.3.</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w:t>
      </w:r>
    </w:p>
    <w:p>
      <w:pPr>
        <w:spacing w:after="0" w:line="224"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Signer</w:t>
      </w:r>
      <w:r>
        <w:rPr>
          <w:rFonts w:ascii="Arial" w:cs="Arial" w:eastAsia="Arial" w:hAnsi="Arial"/>
          <w:sz w:val="17"/>
          <w:szCs w:val="17"/>
          <w:color w:val="auto"/>
        </w:rPr>
        <w:t>” is any individual listed in Borrower’s Borrowing Resolution who is authorized to execute the Loan Documents, including any Notice of Borrowing or other Advance request, on behalf of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600" w:gutter="0" w:footer="0" w:header="0"/>
        </w:sectPr>
      </w:pPr>
    </w:p>
    <w:bookmarkStart w:id="338" w:name="page339"/>
    <w:bookmarkEnd w:id="338"/>
    <w:p>
      <w:pPr>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Bankruptcy-Related Defaults</w:t>
      </w:r>
      <w:r>
        <w:rPr>
          <w:rFonts w:ascii="Arial" w:cs="Arial" w:eastAsia="Arial" w:hAnsi="Arial"/>
          <w:sz w:val="17"/>
          <w:szCs w:val="17"/>
          <w:color w:val="auto"/>
        </w:rPr>
        <w:t>” is defined in Section 9.1.</w:t>
      </w:r>
    </w:p>
    <w:p>
      <w:pPr>
        <w:spacing w:after="0" w:line="224"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3"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Basic Rate</w:t>
      </w:r>
      <w:r>
        <w:rPr>
          <w:rFonts w:ascii="Arial" w:cs="Arial" w:eastAsia="Arial" w:hAnsi="Arial"/>
          <w:sz w:val="17"/>
          <w:szCs w:val="17"/>
          <w:color w:val="auto"/>
        </w:rPr>
        <w:t>” is the per annum rate of interest (based on a year of 360 days) equal to the sum of (a) U.S. Treasury note yield to maturity for a term equal to the Treasury Note Maturity as reported in the Federal Reserve Statistical Release H.15-Selected Interest Rates under the heading “U.S. Government Securities/Treasury Constant Maturities” on the Funding Date, plus (b) 5.40 percent. (In the event Release H.15 is no longer published, Bank shall select a comparable publication to determine the U.S. Treasury note yield to maturity.)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60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substantially in the form attached hereto as Exhibit 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 is closed.</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any event, transaction, or occurrence as a result of which (a) any “person” (as such term is defined in Sections 3(a)(9) and 13(d)(3) of the Exchange Act), other than a trustee or other fiduciary holding securities under an employee benefit plan of Borrower, is or becomes a beneficial owner (within the meaning Rule 13d-3 promulgated under the Exchange Act), directly or indirectly, of securities of Borrower, representing fifty percent (50%) or more of the combined voting power of Borrower’s then outstanding securities; or (b) during any period of twelve consecutive calendar months, individuals who at the beginning of such period constituted the Board of Directors of Borrower (together with any new directors whose election by the Board of Directors of Borrower was approved by a vote of not less than a majority of the directors then still in office who either were directions at the beginning of such period or whose election or nomination for election was previously so approved) cease for any reason other than death or disability to constitute a majority of the directors then in office.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12.3.</w:t>
      </w:r>
    </w:p>
    <w:p>
      <w:pPr>
        <w:spacing w:after="0" w:line="22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w:t>
      </w:r>
      <w:r>
        <w:rPr>
          <w:rFonts w:ascii="Arial" w:cs="Arial" w:eastAsia="Arial" w:hAnsi="Arial"/>
          <w:sz w:val="17"/>
          <w:szCs w:val="17"/>
          <w:b w:val="1"/>
          <w:bCs w:val="1"/>
          <w:color w:val="auto"/>
        </w:rPr>
        <w:t>Code</w:t>
      </w:r>
      <w:r>
        <w:rPr>
          <w:rFonts w:ascii="Arial" w:cs="Arial" w:eastAsia="Arial" w:hAnsi="Arial"/>
          <w:sz w:val="17"/>
          <w:szCs w:val="17"/>
          <w:color w:val="auto"/>
        </w:rPr>
        <w:t>” shall mean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Borrower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1" w:lineRule="exact"/>
        <w:rPr>
          <w:sz w:val="20"/>
          <w:szCs w:val="20"/>
          <w:color w:val="auto"/>
        </w:rPr>
      </w:pPr>
    </w:p>
    <w:p>
      <w:pPr>
        <w:ind w:right="240" w:firstLine="5"/>
        <w:spacing w:after="0" w:line="282" w:lineRule="auto"/>
        <w:tabs>
          <w:tab w:leader="none" w:pos="238"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4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4" w:lineRule="exact"/>
        <w:rPr>
          <w:sz w:val="20"/>
          <w:szCs w:val="20"/>
          <w:color w:val="auto"/>
        </w:rPr>
      </w:pPr>
    </w:p>
    <w:p>
      <w:pPr>
        <w:ind w:right="6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Growth Capital Term Loan, or any other extension of credit by Bank for Borrower’s benefit.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2.3(b).</w:t>
      </w:r>
    </w:p>
    <w:p>
      <w:pPr>
        <w:sectPr>
          <w:pgSz w:w="11900" w:h="16838" w:orient="portrait"/>
          <w:cols w:equalWidth="0" w:num="1">
            <w:col w:w="11420"/>
          </w:cols>
          <w:pgMar w:left="240" w:top="121" w:right="239" w:bottom="0" w:gutter="0" w:footer="0" w:header="0"/>
        </w:sectPr>
      </w:pPr>
    </w:p>
    <w:bookmarkStart w:id="339" w:name="page340"/>
    <w:bookmarkEnd w:id="339"/>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3300543160, maintained by Borrower with Bank.</w:t>
      </w:r>
    </w:p>
    <w:p>
      <w:pPr>
        <w:spacing w:after="0" w:line="236"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0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state or territory thereof or the District of Columbia.</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w:t>
      </w:r>
      <w:r>
        <w:rPr>
          <w:rFonts w:ascii="Arial" w:cs="Arial" w:eastAsia="Arial" w:hAnsi="Arial"/>
          <w:sz w:val="17"/>
          <w:szCs w:val="17"/>
          <w:color w:val="auto"/>
        </w:rPr>
        <w:t>” is the period of time from the Effective Date through the earlier to occur of (a) March 31, 2014 or (b) an Event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Section 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24"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a substitution for any Growth Capital Term Loan payment or any other regular monthly payments of principal and interest) due on the earlier of (i) the Growth Capital Term Loan Maturity Date for each Growth Capital Term Loan or other earlier date the final Growth Capital Term Loan payment is due in accordance with this Agreement, or (ii) the termination of the Growth Capital Term Loan or this Agreement for any reason, equal to the Credit Extensions multiplied by the Final Payment Percentage.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 Percentage</w:t>
      </w:r>
      <w:r>
        <w:rPr>
          <w:rFonts w:ascii="Arial" w:cs="Arial" w:eastAsia="Arial" w:hAnsi="Arial"/>
          <w:sz w:val="17"/>
          <w:szCs w:val="17"/>
          <w:color w:val="auto"/>
        </w:rPr>
        <w:t>” is four and 45/100 percent (4.45%).</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any Subsidiary that is not a Domestic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any date on which a Credit Extension is made to or for the account of Borrower, which shall be a Business Day.</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145" w:lineRule="exact"/>
        <w:rPr>
          <w:sz w:val="20"/>
          <w:szCs w:val="20"/>
          <w:color w:val="auto"/>
        </w:rPr>
      </w:pPr>
    </w:p>
    <w:p>
      <w:pPr>
        <w:ind w:right="10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28"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6"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45"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w:t>
      </w:r>
      <w:r>
        <w:rPr>
          <w:rFonts w:ascii="Arial" w:cs="Arial" w:eastAsia="Arial" w:hAnsi="Arial"/>
          <w:sz w:val="17"/>
          <w:szCs w:val="17"/>
          <w:color w:val="auto"/>
        </w:rPr>
        <w:t>” is a loan made by Bank pursuant to the terms of Section 2.1.1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 Amount</w:t>
      </w:r>
      <w:r>
        <w:rPr>
          <w:rFonts w:ascii="Arial" w:cs="Arial" w:eastAsia="Arial" w:hAnsi="Arial"/>
          <w:sz w:val="17"/>
          <w:szCs w:val="17"/>
          <w:color w:val="auto"/>
        </w:rPr>
        <w:t>” is an amount equal to Ten Million Dollars ($10,000,000).</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 Maturity Date</w:t>
      </w:r>
      <w:r>
        <w:rPr>
          <w:rFonts w:ascii="Arial" w:cs="Arial" w:eastAsia="Arial" w:hAnsi="Arial"/>
          <w:sz w:val="17"/>
          <w:szCs w:val="17"/>
          <w:color w:val="auto"/>
        </w:rPr>
        <w:t>” is, for each Growth Capital Term Loan, the fourth anniversary of the Funding Date of such Growth Capital Term Loan.</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properly or services, (b) obligations evidenced by notes, bonds,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debentures or similar instruments, (c) capital lease obligations, and (d) Contingent Obligations, such as reimbursement and other obligations for surety bonds and</w:t>
      </w:r>
    </w:p>
    <w:p>
      <w:pPr>
        <w:sectPr>
          <w:pgSz w:w="11900" w:h="16838" w:orient="portrait"/>
          <w:cols w:equalWidth="0" w:num="1">
            <w:col w:w="11420"/>
          </w:cols>
          <w:pgMar w:left="240" w:top="331" w:right="239" w:bottom="0" w:gutter="0" w:footer="0" w:header="0"/>
        </w:sectPr>
      </w:pPr>
    </w:p>
    <w:bookmarkStart w:id="340" w:name="page341"/>
    <w:bookmarkEnd w:id="340"/>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12.3.</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Audit</w:t>
      </w:r>
      <w:r>
        <w:rPr>
          <w:rFonts w:ascii="Arial" w:cs="Arial" w:eastAsia="Arial" w:hAnsi="Arial"/>
          <w:sz w:val="17"/>
          <w:szCs w:val="17"/>
          <w:color w:val="auto"/>
        </w:rPr>
        <w:t>” is Bank’s inspection of the Collateral, and Borrower’s Books.</w:t>
      </w:r>
    </w:p>
    <w:p>
      <w:pPr>
        <w:spacing w:after="0" w:line="224"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with respect to any Person, means all of such Person’s right, title, and interest in and to the following:</w:t>
      </w:r>
    </w:p>
    <w:p>
      <w:pPr>
        <w:spacing w:after="0" w:line="230" w:lineRule="exact"/>
        <w:rPr>
          <w:sz w:val="20"/>
          <w:szCs w:val="20"/>
          <w:color w:val="auto"/>
        </w:rPr>
      </w:pPr>
    </w:p>
    <w:p>
      <w:pPr>
        <w:ind w:left="1240" w:hanging="606"/>
        <w:spacing w:after="0"/>
        <w:tabs>
          <w:tab w:leader="none" w:pos="12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its Copyrights, Trademarks and Patents;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17"/>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247" w:lineRule="exact"/>
        <w:rPr>
          <w:rFonts w:ascii="Arial" w:cs="Arial" w:eastAsia="Arial" w:hAnsi="Arial"/>
          <w:sz w:val="15"/>
          <w:szCs w:val="15"/>
          <w:color w:val="auto"/>
        </w:rPr>
      </w:pPr>
    </w:p>
    <w:p>
      <w:pPr>
        <w:ind w:left="1240" w:hanging="606"/>
        <w:spacing w:after="0"/>
        <w:tabs>
          <w:tab w:leader="none" w:pos="12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such Person;</w:t>
      </w:r>
    </w:p>
    <w:p>
      <w:pPr>
        <w:spacing w:after="0" w:line="224" w:lineRule="exact"/>
        <w:rPr>
          <w:rFonts w:ascii="Arial" w:cs="Arial" w:eastAsia="Arial" w:hAnsi="Arial"/>
          <w:sz w:val="17"/>
          <w:szCs w:val="17"/>
          <w:color w:val="auto"/>
        </w:rPr>
      </w:pPr>
    </w:p>
    <w:p>
      <w:pPr>
        <w:ind w:right="140" w:firstLine="634"/>
        <w:spacing w:after="0" w:line="289" w:lineRule="auto"/>
        <w:tabs>
          <w:tab w:leader="none" w:pos="1231"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18"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69"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pacing w:after="0" w:line="145"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w:t>
      </w:r>
      <w:r>
        <w:rPr>
          <w:rFonts w:ascii="Arial" w:cs="Arial" w:eastAsia="Arial" w:hAnsi="Arial"/>
          <w:sz w:val="17"/>
          <w:szCs w:val="17"/>
          <w:color w:val="auto"/>
        </w:rPr>
        <w:t>” is the first sale or issuance by Borrower of its equity securities in an underwritten offering made under a registration statement filed pursuant to the Securities Act of 1933, as amended.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(a) Chief Executive Officer and (b) Chief Financial Officer.</w:t>
      </w:r>
    </w:p>
    <w:p>
      <w:pPr>
        <w:spacing w:after="0" w:line="22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is a standby or commercial letter of credit issued by Bank upon request of Borrower based upon an application, guarantee, indemnity, or similar agreement.</w:t>
      </w:r>
    </w:p>
    <w:p>
      <w:pPr>
        <w:spacing w:after="0" w:line="145"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similar encumbrance of any kind, whether voluntarily incurred or arising by operation of law or otherwise against any property.</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any Bank Services Agreement, any subordination agreement, any note, or notes or guaranties executed by Borrower or any Guarantor, and any other present or future agreement by Borrower and/or any Guarantor with or for the benefit of Bank in connection with this Agreement or Bank Services, all as amended, restated, or otherwise modified.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Bank’s Lien in the Collateral or in the value of such Collateral;</w:t>
      </w:r>
    </w:p>
    <w:p>
      <w:pPr>
        <w:spacing w:after="0" w:line="44" w:lineRule="exact"/>
        <w:rPr>
          <w:sz w:val="20"/>
          <w:szCs w:val="20"/>
          <w:color w:val="auto"/>
        </w:rPr>
      </w:pPr>
    </w:p>
    <w:p>
      <w:pPr>
        <w:ind w:right="600" w:firstLine="5"/>
        <w:spacing w:after="0" w:line="275" w:lineRule="auto"/>
        <w:tabs>
          <w:tab w:leader="none" w:pos="247" w:val="left"/>
        </w:tabs>
        <w:numPr>
          <w:ilvl w:val="0"/>
          <w:numId w:val="519"/>
        </w:numPr>
        <w:rPr>
          <w:rFonts w:ascii="Arial" w:cs="Arial" w:eastAsia="Arial" w:hAnsi="Arial"/>
          <w:sz w:val="17"/>
          <w:szCs w:val="17"/>
          <w:color w:val="auto"/>
        </w:rPr>
      </w:pPr>
      <w:r>
        <w:rPr>
          <w:rFonts w:ascii="Arial" w:cs="Arial" w:eastAsia="Arial" w:hAnsi="Arial"/>
          <w:sz w:val="17"/>
          <w:szCs w:val="17"/>
          <w:color w:val="auto"/>
        </w:rPr>
        <w:t>a material adverse change in the business, operations, or condition (financial or otherwise) of Borrower; or (c) a material impairment of the prospect of repayment of any portion of the Obligations.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 is defined in Section 6.2(a).</w:t>
      </w:r>
    </w:p>
    <w:p>
      <w:pPr>
        <w:spacing w:after="0" w:line="224"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and other amounts Borrower owes Bank now or later, whether under this Agreement, the other Loan Documents (other than the Warrant),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w:t>
      </w:r>
    </w:p>
    <w:p>
      <w:pPr>
        <w:spacing w:after="0" w:line="171" w:lineRule="exact"/>
        <w:rPr>
          <w:sz w:val="20"/>
          <w:szCs w:val="20"/>
          <w:color w:val="auto"/>
        </w:rPr>
      </w:pPr>
    </w:p>
    <w:p>
      <w:pPr>
        <w:ind w:right="10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is defined in Section 3.8(b).</w:t>
      </w:r>
    </w:p>
    <w:p>
      <w:pPr>
        <w:spacing w:after="0" w:line="224"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ectPr>
          <w:pgSz w:w="11900" w:h="16878" w:orient="portrait"/>
          <w:cols w:equalWidth="0" w:num="1">
            <w:col w:w="11400"/>
          </w:cols>
          <w:pgMar w:left="240" w:top="127" w:right="259" w:bottom="0" w:gutter="0" w:footer="0" w:header="0"/>
        </w:sectPr>
      </w:pPr>
    </w:p>
    <w:bookmarkStart w:id="341" w:name="page342"/>
    <w:bookmarkEnd w:id="341"/>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Payment/Advance Form</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24"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means any Acquisition, consisting of a single transaction or a series of related transactions, by the Borrower in the form of Acquisitions of any other Person if total consideration for all such Acquisitions does not in the aggregate exceed One Million Dollars ($1,000,000) in any fiscal year of Borrower; (ii) no Event of Default has occurred and is continuing or would exist after giving effect to such Acquisition; (iii) Borrower is the surviving legal entity, and (iv) the Person which is the subject of the Acquisition is in the same line of business as the Borrower or a line of business reasonably related thereto.</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pacing w:after="0" w:line="230" w:lineRule="exact"/>
        <w:rPr>
          <w:sz w:val="20"/>
          <w:szCs w:val="20"/>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Subordinated Debt;</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Indebtedness consisting of capital leases in an aggregate amount of less than Five Hundred Thousand Dollars ($500,000) at any time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outstanding;</w:t>
      </w:r>
    </w:p>
    <w:p>
      <w:pPr>
        <w:spacing w:after="0" w:line="212" w:lineRule="exact"/>
        <w:rPr>
          <w:rFonts w:ascii="Arial" w:cs="Arial" w:eastAsia="Arial" w:hAnsi="Arial"/>
          <w:sz w:val="17"/>
          <w:szCs w:val="17"/>
          <w:color w:val="auto"/>
        </w:rPr>
      </w:pPr>
    </w:p>
    <w:p>
      <w:pPr>
        <w:ind w:right="500" w:firstLine="634"/>
        <w:spacing w:after="0" w:line="289" w:lineRule="auto"/>
        <w:tabs>
          <w:tab w:leader="none" w:pos="1241" w:val="left"/>
        </w:tabs>
        <w:numPr>
          <w:ilvl w:val="0"/>
          <w:numId w:val="520"/>
        </w:numPr>
        <w:rPr>
          <w:rFonts w:ascii="Arial" w:cs="Arial" w:eastAsia="Arial" w:hAnsi="Arial"/>
          <w:sz w:val="17"/>
          <w:szCs w:val="17"/>
          <w:color w:val="auto"/>
        </w:rPr>
      </w:pPr>
      <w:r>
        <w:rPr>
          <w:rFonts w:ascii="Arial" w:cs="Arial" w:eastAsia="Arial" w:hAnsi="Arial"/>
          <w:sz w:val="17"/>
          <w:szCs w:val="17"/>
          <w:color w:val="auto"/>
        </w:rPr>
        <w:t>other unsecured Indebtedness not consisting of indebtedness for borrowed money in an aggregate amount of One Hundred Fifty Thousand Dollars ($150,000) or less at any time outstanding; and</w:t>
      </w:r>
    </w:p>
    <w:p>
      <w:pPr>
        <w:spacing w:after="0" w:line="158" w:lineRule="exact"/>
        <w:rPr>
          <w:rFonts w:ascii="Arial" w:cs="Arial" w:eastAsia="Arial" w:hAnsi="Arial"/>
          <w:sz w:val="17"/>
          <w:szCs w:val="17"/>
          <w:color w:val="auto"/>
        </w:rPr>
      </w:pPr>
    </w:p>
    <w:p>
      <w:pPr>
        <w:ind w:right="140" w:firstLine="634"/>
        <w:spacing w:after="0" w:line="273" w:lineRule="auto"/>
        <w:tabs>
          <w:tab w:leader="none" w:pos="12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230" w:lineRule="exact"/>
        <w:rPr>
          <w:sz w:val="20"/>
          <w:szCs w:val="20"/>
          <w:color w:val="auto"/>
        </w:rPr>
      </w:pPr>
    </w:p>
    <w:p>
      <w:pPr>
        <w:ind w:left="1240" w:hanging="606"/>
        <w:spacing w:after="0"/>
        <w:tabs>
          <w:tab w:leader="none" w:pos="124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 Certificate;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Investments consisting of Cash Equivalents;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hanging="606"/>
        <w:spacing w:after="0"/>
        <w:tabs>
          <w:tab w:leader="none" w:pos="124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Borrower;</w:t>
      </w:r>
    </w:p>
    <w:p>
      <w:pPr>
        <w:spacing w:after="0" w:line="212" w:lineRule="exact"/>
        <w:rPr>
          <w:rFonts w:ascii="Arial" w:cs="Arial" w:eastAsia="Arial" w:hAnsi="Arial"/>
          <w:sz w:val="16"/>
          <w:szCs w:val="16"/>
          <w:color w:val="auto"/>
        </w:rPr>
      </w:pPr>
    </w:p>
    <w:p>
      <w:pPr>
        <w:ind w:left="1240" w:hanging="606"/>
        <w:spacing w:after="0"/>
        <w:tabs>
          <w:tab w:leader="none" w:pos="12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perfected security interest;</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224" w:lineRule="exact"/>
        <w:rPr>
          <w:rFonts w:ascii="Arial" w:cs="Arial" w:eastAsia="Arial" w:hAnsi="Arial"/>
          <w:sz w:val="17"/>
          <w:szCs w:val="17"/>
          <w:color w:val="auto"/>
        </w:rPr>
      </w:pPr>
    </w:p>
    <w:p>
      <w:pPr>
        <w:ind w:right="340" w:firstLine="634"/>
        <w:spacing w:after="0" w:line="289" w:lineRule="auto"/>
        <w:tabs>
          <w:tab w:leader="none" w:pos="1249"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Investments consisting of the creation of a Subsidiary for the purpose of consummating a merger transaction permitted by Section 7.3 of this Agreement, which is otherwise a Permitted Investment;</w:t>
      </w:r>
    </w:p>
    <w:p>
      <w:pPr>
        <w:spacing w:after="0" w:line="158" w:lineRule="exact"/>
        <w:rPr>
          <w:rFonts w:ascii="Arial" w:cs="Arial" w:eastAsia="Arial" w:hAnsi="Arial"/>
          <w:sz w:val="17"/>
          <w:szCs w:val="17"/>
          <w:color w:val="auto"/>
        </w:rPr>
      </w:pPr>
    </w:p>
    <w:p>
      <w:pPr>
        <w:ind w:right="180" w:firstLine="634"/>
        <w:spacing w:after="0" w:line="273" w:lineRule="auto"/>
        <w:tabs>
          <w:tab w:leader="none" w:pos="1241"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72" w:lineRule="exact"/>
        <w:rPr>
          <w:sz w:val="20"/>
          <w:szCs w:val="20"/>
          <w:color w:val="auto"/>
        </w:rPr>
      </w:pPr>
    </w:p>
    <w:p>
      <w:pPr>
        <w:ind w:firstLine="634"/>
        <w:spacing w:after="0" w:line="289" w:lineRule="auto"/>
        <w:tabs>
          <w:tab w:leader="none" w:pos="12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58" w:lineRule="exact"/>
        <w:rPr>
          <w:rFonts w:ascii="Arial" w:cs="Arial" w:eastAsia="Arial" w:hAnsi="Arial"/>
          <w:sz w:val="17"/>
          <w:szCs w:val="17"/>
          <w:color w:val="auto"/>
        </w:rPr>
      </w:pPr>
    </w:p>
    <w:p>
      <w:pPr>
        <w:ind w:right="340" w:firstLine="634"/>
        <w:spacing w:after="0" w:line="289" w:lineRule="auto"/>
        <w:tabs>
          <w:tab w:leader="none" w:pos="12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Indebtedness in connection with the issuance of surety bonds, performance bonds, cash-collateralized letters of credit and similar obligations incurred in the ordinary course of business;</w:t>
      </w:r>
    </w:p>
    <w:p>
      <w:pPr>
        <w:spacing w:after="0" w:line="158" w:lineRule="exact"/>
        <w:rPr>
          <w:rFonts w:ascii="Arial" w:cs="Arial" w:eastAsia="Arial" w:hAnsi="Arial"/>
          <w:sz w:val="17"/>
          <w:szCs w:val="17"/>
          <w:color w:val="auto"/>
        </w:rPr>
      </w:pPr>
    </w:p>
    <w:p>
      <w:pPr>
        <w:ind w:right="100" w:firstLine="634"/>
        <w:spacing w:after="0" w:line="289" w:lineRule="auto"/>
        <w:tabs>
          <w:tab w:leader="none" w:pos="1241"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(k) shall not apply to Investments of Borrower in any Subsidiary; and</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other Investments in an amount equal to One Hundred Fifty Thousand Dollars ($150,000) or less during any fiscal year.</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230" w:lineRule="exact"/>
        <w:rPr>
          <w:sz w:val="20"/>
          <w:szCs w:val="20"/>
          <w:color w:val="auto"/>
        </w:rPr>
      </w:pPr>
    </w:p>
    <w:p>
      <w:pPr>
        <w:ind w:left="1240" w:hanging="606"/>
        <w:spacing w:after="0"/>
        <w:tabs>
          <w:tab w:leader="none" w:pos="124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235" w:lineRule="exact"/>
        <w:rPr>
          <w:rFonts w:ascii="Arial" w:cs="Arial" w:eastAsia="Arial" w:hAnsi="Arial"/>
          <w:sz w:val="16"/>
          <w:szCs w:val="16"/>
          <w:color w:val="auto"/>
        </w:rPr>
      </w:pPr>
    </w:p>
    <w:p>
      <w:pPr>
        <w:ind w:right="200" w:firstLine="634"/>
        <w:spacing w:after="0" w:line="273" w:lineRule="auto"/>
        <w:tabs>
          <w:tab w:leader="none" w:pos="1241" w:val="left"/>
        </w:tabs>
        <w:numPr>
          <w:ilvl w:val="0"/>
          <w:numId w:val="524"/>
        </w:numPr>
        <w:rPr>
          <w:rFonts w:ascii="Arial" w:cs="Arial" w:eastAsia="Arial" w:hAnsi="Arial"/>
          <w:sz w:val="17"/>
          <w:szCs w:val="17"/>
          <w:color w:val="auto"/>
        </w:rPr>
      </w:pPr>
      <w:r>
        <w:rPr>
          <w:rFonts w:ascii="Arial" w:cs="Arial" w:eastAsia="Arial" w:hAnsi="Arial"/>
          <w:sz w:val="17"/>
          <w:szCs w:val="17"/>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any such Lien has been filed or recorded under the Internal Revenue Code of 1986, as amended, and the Treasury Regulations adopted thereunder;</w:t>
      </w:r>
    </w:p>
    <w:p>
      <w:pPr>
        <w:sectPr>
          <w:pgSz w:w="11900" w:h="16838" w:orient="portrait"/>
          <w:cols w:equalWidth="0" w:num="1">
            <w:col w:w="11420"/>
          </w:cols>
          <w:pgMar w:left="240" w:top="330" w:right="239" w:bottom="0" w:gutter="0" w:footer="0" w:header="0"/>
        </w:sectPr>
      </w:pPr>
    </w:p>
    <w:bookmarkStart w:id="342" w:name="page343"/>
    <w:bookmarkEnd w:id="342"/>
    <w:p>
      <w:pPr>
        <w:jc w:val="both"/>
        <w:ind w:right="40" w:firstLine="634"/>
        <w:spacing w:after="0" w:line="273" w:lineRule="auto"/>
        <w:tabs>
          <w:tab w:leader="none" w:pos="1231" w:val="left"/>
        </w:tabs>
        <w:numPr>
          <w:ilvl w:val="0"/>
          <w:numId w:val="525"/>
        </w:numPr>
        <w:rPr>
          <w:rFonts w:ascii="Arial" w:cs="Arial" w:eastAsia="Arial" w:hAnsi="Arial"/>
          <w:sz w:val="17"/>
          <w:szCs w:val="17"/>
          <w:color w:val="auto"/>
        </w:rPr>
      </w:pPr>
      <w:r>
        <w:rPr>
          <w:rFonts w:ascii="Arial" w:cs="Arial" w:eastAsia="Arial" w:hAnsi="Arial"/>
          <w:sz w:val="17"/>
          <w:szCs w:val="17"/>
          <w:color w:val="auto"/>
        </w:rPr>
        <w:t xml:space="preserve">purchase money Liens (i) on Equipment acquired or held by Borrower incurred for financing the acquisition of the Equipment securing no more than One Hundred Fifty Thousand Dollars ($150,000)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71" w:lineRule="exact"/>
        <w:rPr>
          <w:rFonts w:ascii="Arial" w:cs="Arial" w:eastAsia="Arial" w:hAnsi="Arial"/>
          <w:sz w:val="17"/>
          <w:szCs w:val="17"/>
          <w:color w:val="auto"/>
        </w:rPr>
      </w:pPr>
    </w:p>
    <w:p>
      <w:pPr>
        <w:ind w:right="80" w:firstLine="634"/>
        <w:spacing w:after="0" w:line="273" w:lineRule="auto"/>
        <w:tabs>
          <w:tab w:leader="none" w:pos="1241" w:val="left"/>
        </w:tabs>
        <w:numPr>
          <w:ilvl w:val="0"/>
          <w:numId w:val="525"/>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34"/>
        <w:spacing w:after="0" w:line="289" w:lineRule="auto"/>
        <w:tabs>
          <w:tab w:leader="none" w:pos="123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58" w:lineRule="exact"/>
        <w:rPr>
          <w:rFonts w:ascii="Arial" w:cs="Arial" w:eastAsia="Arial" w:hAnsi="Arial"/>
          <w:sz w:val="17"/>
          <w:szCs w:val="17"/>
          <w:color w:val="auto"/>
        </w:rPr>
      </w:pPr>
    </w:p>
    <w:p>
      <w:pPr>
        <w:jc w:val="both"/>
        <w:ind w:right="380" w:firstLine="634"/>
        <w:spacing w:after="0" w:line="360" w:lineRule="auto"/>
        <w:tabs>
          <w:tab w:leader="none" w:pos="1249" w:val="left"/>
        </w:tabs>
        <w:numPr>
          <w:ilvl w:val="0"/>
          <w:numId w:val="526"/>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(a) through (c), </w:t>
      </w:r>
      <w:r>
        <w:rPr>
          <w:rFonts w:ascii="Arial" w:cs="Arial" w:eastAsia="Arial" w:hAnsi="Arial"/>
          <w:sz w:val="15"/>
          <w:szCs w:val="15"/>
          <w:u w:val="single" w:color="auto"/>
          <w:color w:val="auto"/>
        </w:rPr>
        <w:t>but</w:t>
      </w:r>
      <w:r>
        <w:rPr>
          <w:rFonts w:ascii="Arial" w:cs="Arial" w:eastAsia="Arial" w:hAnsi="Arial"/>
          <w:sz w:val="15"/>
          <w:szCs w:val="15"/>
          <w:color w:val="auto"/>
        </w:rPr>
        <w:t xml:space="preserve"> any extension, renewal or replacement Lien must be limited to the property encumbered by the existing Lien and the principal amount of the indebtedness may not increase;</w:t>
      </w:r>
    </w:p>
    <w:p>
      <w:pPr>
        <w:spacing w:after="0" w:line="111" w:lineRule="exact"/>
        <w:rPr>
          <w:rFonts w:ascii="Arial" w:cs="Arial" w:eastAsia="Arial" w:hAnsi="Arial"/>
          <w:sz w:val="15"/>
          <w:szCs w:val="15"/>
          <w:color w:val="auto"/>
        </w:rPr>
      </w:pPr>
    </w:p>
    <w:p>
      <w:pPr>
        <w:ind w:right="20" w:firstLine="634"/>
        <w:spacing w:after="0" w:line="268" w:lineRule="auto"/>
        <w:tabs>
          <w:tab w:leader="none" w:pos="124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leases, subleases, licenses and sublicenses do not prohibit granting Bank a security interest therein;</w:t>
      </w:r>
    </w:p>
    <w:p>
      <w:pPr>
        <w:spacing w:after="0" w:line="175" w:lineRule="exact"/>
        <w:rPr>
          <w:rFonts w:ascii="Arial" w:cs="Arial" w:eastAsia="Arial" w:hAnsi="Arial"/>
          <w:sz w:val="17"/>
          <w:szCs w:val="17"/>
          <w:color w:val="auto"/>
        </w:rPr>
      </w:pPr>
    </w:p>
    <w:p>
      <w:pPr>
        <w:ind w:left="1240" w:hanging="606"/>
        <w:spacing w:after="0"/>
        <w:tabs>
          <w:tab w:leader="none" w:pos="124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non-exclusive license of Intellectual Property granted to third parties in the ordinary course of business;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Liens arising from attachments or judgments, orders, or decrees in circumstances not constituting an Event of Default under Sections 8.4 and 8.7;</w:t>
      </w:r>
    </w:p>
    <w:p>
      <w:pPr>
        <w:spacing w:after="0" w:line="247" w:lineRule="exact"/>
        <w:rPr>
          <w:rFonts w:ascii="Arial" w:cs="Arial" w:eastAsia="Arial" w:hAnsi="Arial"/>
          <w:sz w:val="15"/>
          <w:szCs w:val="15"/>
          <w:color w:val="auto"/>
        </w:rPr>
      </w:pPr>
    </w:p>
    <w:p>
      <w:pPr>
        <w:ind w:left="1240" w:hanging="606"/>
        <w:spacing w:after="0"/>
        <w:tabs>
          <w:tab w:leader="none" w:pos="124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Liens on Equipment existing at the time such Equipment is purchased or otherwise acquired by the Borrower;</w:t>
      </w:r>
    </w:p>
    <w:p>
      <w:pPr>
        <w:spacing w:after="0" w:line="224" w:lineRule="exact"/>
        <w:rPr>
          <w:rFonts w:ascii="Arial" w:cs="Arial" w:eastAsia="Arial" w:hAnsi="Arial"/>
          <w:sz w:val="17"/>
          <w:szCs w:val="17"/>
          <w:color w:val="auto"/>
        </w:rPr>
      </w:pPr>
    </w:p>
    <w:p>
      <w:pPr>
        <w:ind w:right="60" w:firstLine="634"/>
        <w:spacing w:after="0" w:line="289" w:lineRule="auto"/>
        <w:tabs>
          <w:tab w:leader="none" w:pos="124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Indebtedness) and leases, statutory obligations, surety bonds, performance bonds and other obligations of a like nature incurred in the ordinary course of business; and</w:t>
      </w:r>
    </w:p>
    <w:p>
      <w:pPr>
        <w:spacing w:after="0" w:line="158" w:lineRule="exact"/>
        <w:rPr>
          <w:rFonts w:ascii="Arial" w:cs="Arial" w:eastAsia="Arial" w:hAnsi="Arial"/>
          <w:sz w:val="17"/>
          <w:szCs w:val="17"/>
          <w:color w:val="auto"/>
        </w:rPr>
      </w:pPr>
    </w:p>
    <w:p>
      <w:pPr>
        <w:ind w:right="260" w:firstLine="634"/>
        <w:spacing w:after="0" w:line="289" w:lineRule="auto"/>
        <w:tabs>
          <w:tab w:leader="none" w:pos="124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provided that Bank has a perfected security interest in the amounts held in such deposit and/or securities accounts.</w:t>
      </w:r>
    </w:p>
    <w:p>
      <w:pPr>
        <w:spacing w:after="0" w:line="152" w:lineRule="exact"/>
        <w:rPr>
          <w:sz w:val="20"/>
          <w:szCs w:val="20"/>
          <w:color w:val="auto"/>
        </w:rPr>
      </w:pPr>
    </w:p>
    <w:p>
      <w:pPr>
        <w:ind w:right="5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5" w:lineRule="exact"/>
        <w:rPr>
          <w:sz w:val="20"/>
          <w:szCs w:val="20"/>
          <w:color w:val="auto"/>
        </w:rPr>
      </w:pPr>
    </w:p>
    <w:p>
      <w:pPr>
        <w:jc w:val="both"/>
        <w:ind w:right="12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Premium</w:t>
      </w:r>
      <w:r>
        <w:rPr>
          <w:rFonts w:ascii="Arial" w:cs="Arial" w:eastAsia="Arial" w:hAnsi="Arial"/>
          <w:sz w:val="16"/>
          <w:szCs w:val="16"/>
          <w:color w:val="auto"/>
        </w:rPr>
        <w:t>” is an amount, with respect to each Growth Capital Term Loan, equal to 2.25% of the amount of any prepayment thereof made before the first anniversary of the Funding Date of such Growth Capital Term Loan; 1.5% of the amount of any prepayment made on or after the first anniversary of such Funding Date but before the second anniversary of such Funding Date; and 0.75% of the amount of any prepayment made thereafter.</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24" w:lineRule="exact"/>
        <w:rPr>
          <w:sz w:val="20"/>
          <w:szCs w:val="20"/>
          <w:color w:val="auto"/>
        </w:rPr>
      </w:pPr>
    </w:p>
    <w:p>
      <w:pPr>
        <w:ind w:right="16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Borrower.</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jc w:val="both"/>
        <w:ind w:right="3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ectPr>
          <w:pgSz w:w="11900" w:h="16838" w:orient="portrait"/>
          <w:cols w:equalWidth="0" w:num="1">
            <w:col w:w="11400"/>
          </w:cols>
          <w:pgMar w:left="240" w:top="127" w:right="259" w:bottom="42" w:gutter="0" w:footer="0" w:header="0"/>
        </w:sectPr>
      </w:pPr>
    </w:p>
    <w:bookmarkStart w:id="343" w:name="page344"/>
    <w:bookmarkEnd w:id="343"/>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Note Maturity</w:t>
      </w:r>
      <w:r>
        <w:rPr>
          <w:rFonts w:ascii="Arial" w:cs="Arial" w:eastAsia="Arial" w:hAnsi="Arial"/>
          <w:sz w:val="17"/>
          <w:szCs w:val="17"/>
          <w:color w:val="auto"/>
        </w:rPr>
        <w:t>” is thirty six (36) months.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is that certain Warrant to Purchase Stock dated as of the Effective Date executed by Borrower in favor of Bank.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Agreement to be executed as of the 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Bonnie Anderson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r>
        <w:trPr>
          <w:trHeight w:val="399"/>
        </w:trPr>
        <w:tc>
          <w:tcPr>
            <w:tcW w:w="740" w:type="dxa"/>
            <w:vAlign w:val="bottom"/>
          </w:tcPr>
          <w:p>
            <w:pPr>
              <w:spacing w:after="0"/>
              <w:rPr>
                <w:sz w:val="20"/>
                <w:szCs w:val="20"/>
                <w:color w:val="auto"/>
              </w:rPr>
            </w:pPr>
            <w:r>
              <w:rPr>
                <w:rFonts w:ascii="Arial" w:cs="Arial" w:eastAsia="Arial" w:hAnsi="Arial"/>
                <w:sz w:val="17"/>
                <w:szCs w:val="17"/>
                <w:color w:val="auto"/>
              </w:rPr>
              <w:t>BANK:</w:t>
            </w:r>
          </w:p>
        </w:tc>
        <w:tc>
          <w:tcPr>
            <w:tcW w:w="4980" w:type="dxa"/>
            <w:vAlign w:val="bottom"/>
          </w:tcPr>
          <w:p>
            <w:pPr>
              <w:spacing w:after="0"/>
              <w:rPr>
                <w:sz w:val="24"/>
                <w:szCs w:val="24"/>
                <w:color w:val="auto"/>
              </w:rPr>
            </w:pPr>
          </w:p>
        </w:tc>
      </w:tr>
      <w:tr>
        <w:trPr>
          <w:trHeight w:val="419"/>
        </w:trPr>
        <w:tc>
          <w:tcPr>
            <w:tcW w:w="5720" w:type="dxa"/>
            <w:vAlign w:val="bottom"/>
            <w:gridSpan w:val="2"/>
          </w:tcPr>
          <w:p>
            <w:pPr>
              <w:spacing w:after="0"/>
              <w:rPr>
                <w:sz w:val="20"/>
                <w:szCs w:val="20"/>
                <w:color w:val="auto"/>
              </w:rPr>
            </w:pPr>
            <w:r>
              <w:rPr>
                <w:rFonts w:ascii="Arial" w:cs="Arial" w:eastAsia="Arial" w:hAnsi="Arial"/>
                <w:sz w:val="17"/>
                <w:szCs w:val="17"/>
                <w:color w:val="auto"/>
              </w:rPr>
              <w:t>SILICON VALLEY BANK</w:t>
            </w:r>
          </w:p>
        </w:tc>
      </w:tr>
      <w:tr>
        <w:trPr>
          <w:trHeight w:val="419"/>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F. Goldstein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Jennifer F. Goldstein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Director</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EXHIBIT A — COLLATERAL DESCRIPTION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24"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46" w:lineRule="exact"/>
        <w:rPr>
          <w:sz w:val="20"/>
          <w:szCs w:val="20"/>
          <w:color w:val="auto"/>
        </w:rPr>
      </w:pPr>
    </w:p>
    <w:p>
      <w:pPr>
        <w:ind w:right="660" w:firstLine="629"/>
        <w:spacing w:after="0" w:line="36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2"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Notwithstanding the foregoing, the Collateral does not include (x)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or (y) more than 65% of the outstanding equity interests of any Foreign Subsidiary.</w:t>
      </w:r>
    </w:p>
    <w:p>
      <w:pPr>
        <w:spacing w:after="0" w:line="183"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Pursuant to the terms of a certain negative pledge arrangement with Bank, Borrower has agreed not to encumber any of its Intellectual Property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B — LOAN PAYMENT/ADVANCE REQUEST FORM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DEADLINE FOR SAME DAY PROCESSING IS NOON PACIFIC TIME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Fax To:</w:t>
            </w:r>
          </w:p>
        </w:tc>
        <w:tc>
          <w:tcPr>
            <w:tcW w:w="1740" w:type="dxa"/>
            <w:vAlign w:val="bottom"/>
          </w:tcPr>
          <w:p>
            <w:pPr>
              <w:spacing w:after="0"/>
              <w:rPr>
                <w:sz w:val="19"/>
                <w:szCs w:val="19"/>
                <w:color w:val="auto"/>
              </w:rPr>
            </w:pPr>
          </w:p>
        </w:tc>
        <w:tc>
          <w:tcPr>
            <w:tcW w:w="5080" w:type="dxa"/>
            <w:vAlign w:val="bottom"/>
            <w:gridSpan w:val="2"/>
          </w:tcPr>
          <w:p>
            <w:pPr>
              <w:ind w:left="2900"/>
              <w:spacing w:after="0"/>
              <w:rPr>
                <w:sz w:val="20"/>
                <w:szCs w:val="20"/>
                <w:color w:val="auto"/>
              </w:rPr>
            </w:pPr>
            <w:r>
              <w:rPr>
                <w:rFonts w:ascii="Arial" w:cs="Arial" w:eastAsia="Arial" w:hAnsi="Arial"/>
                <w:sz w:val="17"/>
                <w:szCs w:val="17"/>
                <w:color w:val="auto"/>
              </w:rPr>
              <w:t>Date:</w:t>
            </w:r>
          </w:p>
        </w:tc>
      </w:tr>
      <w:tr>
        <w:trPr>
          <w:trHeight w:val="399"/>
        </w:trPr>
        <w:tc>
          <w:tcPr>
            <w:tcW w:w="4600" w:type="dxa"/>
            <w:vAlign w:val="bottom"/>
            <w:gridSpan w:val="2"/>
          </w:tcPr>
          <w:p>
            <w:pPr>
              <w:spacing w:after="0"/>
              <w:rPr>
                <w:sz w:val="20"/>
                <w:szCs w:val="20"/>
                <w:color w:val="auto"/>
              </w:rPr>
            </w:pPr>
            <w:r>
              <w:rPr>
                <w:rFonts w:ascii="Arial" w:cs="Arial" w:eastAsia="Arial" w:hAnsi="Arial"/>
                <w:sz w:val="17"/>
                <w:szCs w:val="17"/>
                <w:b w:val="1"/>
                <w:bCs w:val="1"/>
                <w:color w:val="auto"/>
              </w:rPr>
              <w:t>LOAN PAYMENT:</w:t>
            </w:r>
          </w:p>
        </w:tc>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419"/>
        </w:trPr>
        <w:tc>
          <w:tcPr>
            <w:tcW w:w="1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20" w:type="dxa"/>
            <w:vAlign w:val="bottom"/>
            <w:gridSpan w:val="3"/>
          </w:tcPr>
          <w:p>
            <w:pPr>
              <w:ind w:left="440"/>
              <w:spacing w:after="0"/>
              <w:rPr>
                <w:sz w:val="20"/>
                <w:szCs w:val="20"/>
                <w:color w:val="auto"/>
              </w:rPr>
            </w:pPr>
            <w:r>
              <w:rPr>
                <w:rFonts w:ascii="Arial" w:cs="Arial" w:eastAsia="Arial" w:hAnsi="Arial"/>
                <w:sz w:val="17"/>
                <w:szCs w:val="17"/>
                <w:color w:val="auto"/>
              </w:rPr>
              <w:t>VERACYTE, INC.</w:t>
            </w:r>
          </w:p>
        </w:tc>
      </w:tr>
      <w:tr>
        <w:trPr>
          <w:trHeight w:val="420"/>
        </w:trPr>
        <w:tc>
          <w:tcPr>
            <w:tcW w:w="460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6820" w:type="dxa"/>
            <w:vAlign w:val="bottom"/>
            <w:gridSpan w:val="3"/>
          </w:tcPr>
          <w:p>
            <w:pPr>
              <w:ind w:left="220"/>
              <w:spacing w:after="0"/>
              <w:rPr>
                <w:sz w:val="20"/>
                <w:szCs w:val="20"/>
                <w:color w:val="auto"/>
              </w:rPr>
            </w:pPr>
            <w:r>
              <w:rPr>
                <w:rFonts w:ascii="Arial" w:cs="Arial" w:eastAsia="Arial" w:hAnsi="Arial"/>
                <w:sz w:val="17"/>
                <w:szCs w:val="17"/>
                <w:color w:val="auto"/>
              </w:rPr>
              <w:t xml:space="preserve">To Account </w:t>
            </w:r>
            <w:r>
              <w:rPr>
                <w:rFonts w:ascii="Arial" w:cs="Arial" w:eastAsia="Arial" w:hAnsi="Arial"/>
                <w:sz w:val="17"/>
                <w:szCs w:val="17"/>
                <w:i w:val="1"/>
                <w:iCs w:val="1"/>
                <w:color w:val="auto"/>
              </w:rPr>
              <w:t>#</w:t>
            </w:r>
          </w:p>
        </w:tc>
      </w:tr>
      <w:tr>
        <w:trPr>
          <w:trHeight w:val="215"/>
        </w:trPr>
        <w:tc>
          <w:tcPr>
            <w:tcW w:w="1560" w:type="dxa"/>
            <w:vAlign w:val="bottom"/>
          </w:tcPr>
          <w:p>
            <w:pPr>
              <w:spacing w:after="0"/>
              <w:rPr>
                <w:sz w:val="18"/>
                <w:szCs w:val="18"/>
                <w:color w:val="auto"/>
              </w:rPr>
            </w:pPr>
          </w:p>
        </w:tc>
        <w:tc>
          <w:tcPr>
            <w:tcW w:w="3040" w:type="dxa"/>
            <w:vAlign w:val="bottom"/>
            <w:tcBorders>
              <w:top w:val="single" w:sz="8" w:color="auto"/>
            </w:tcBorders>
          </w:tcPr>
          <w:p>
            <w:pPr>
              <w:ind w:left="820"/>
              <w:spacing w:after="0"/>
              <w:rPr>
                <w:sz w:val="20"/>
                <w:szCs w:val="20"/>
                <w:color w:val="auto"/>
              </w:rPr>
            </w:pPr>
            <w:r>
              <w:rPr>
                <w:rFonts w:ascii="Arial" w:cs="Arial" w:eastAsia="Arial" w:hAnsi="Arial"/>
                <w:sz w:val="17"/>
                <w:szCs w:val="17"/>
                <w:color w:val="auto"/>
              </w:rPr>
              <w:t>(Deposit Account #)</w:t>
            </w:r>
          </w:p>
        </w:tc>
        <w:tc>
          <w:tcPr>
            <w:tcW w:w="1740" w:type="dxa"/>
            <w:vAlign w:val="bottom"/>
          </w:tcPr>
          <w:p>
            <w:pPr>
              <w:spacing w:after="0"/>
              <w:rPr>
                <w:sz w:val="18"/>
                <w:szCs w:val="18"/>
                <w:color w:val="auto"/>
              </w:rPr>
            </w:pPr>
          </w:p>
        </w:tc>
        <w:tc>
          <w:tcPr>
            <w:tcW w:w="5080" w:type="dxa"/>
            <w:vAlign w:val="bottom"/>
            <w:tcBorders>
              <w:top w:val="single" w:sz="8" w:color="auto"/>
            </w:tcBorders>
            <w:gridSpan w:val="2"/>
          </w:tcPr>
          <w:p>
            <w:pPr>
              <w:ind w:left="1920"/>
              <w:spacing w:after="0"/>
              <w:rPr>
                <w:sz w:val="20"/>
                <w:szCs w:val="20"/>
                <w:color w:val="auto"/>
              </w:rPr>
            </w:pPr>
            <w:r>
              <w:rPr>
                <w:rFonts w:ascii="Arial" w:cs="Arial" w:eastAsia="Arial" w:hAnsi="Arial"/>
                <w:sz w:val="17"/>
                <w:szCs w:val="17"/>
                <w:color w:val="auto"/>
              </w:rPr>
              <w:t>(Loan Account #)</w:t>
            </w:r>
          </w:p>
        </w:tc>
      </w:tr>
    </w:tbl>
    <w:p>
      <w:pPr>
        <w:sectPr>
          <w:pgSz w:w="11900" w:h="16838" w:orient="portrait"/>
          <w:cols w:equalWidth="0" w:num="1">
            <w:col w:w="11420"/>
          </w:cols>
          <w:pgMar w:left="240" w:top="121" w:right="239" w:bottom="142" w:gutter="0" w:footer="0" w:header="0"/>
        </w:sectPr>
      </w:pPr>
    </w:p>
    <w:bookmarkStart w:id="344" w:name="page345"/>
    <w:bookmarkEnd w:id="3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tcPr>
          <w:p>
            <w:pPr>
              <w:spacing w:after="0"/>
              <w:rPr>
                <w:sz w:val="20"/>
                <w:szCs w:val="20"/>
                <w:color w:val="auto"/>
              </w:rPr>
            </w:pPr>
            <w:r>
              <w:rPr>
                <w:rFonts w:ascii="Arial" w:cs="Arial" w:eastAsia="Arial" w:hAnsi="Arial"/>
                <w:sz w:val="17"/>
                <w:szCs w:val="17"/>
                <w:color w:val="auto"/>
              </w:rPr>
              <w:t>Principal $</w:t>
            </w: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and/or Interest $</w:t>
            </w:r>
          </w:p>
        </w:tc>
        <w:tc>
          <w:tcPr>
            <w:tcW w:w="5080" w:type="dxa"/>
            <w:vAlign w:val="bottom"/>
            <w:tcBorders>
              <w:bottom w:val="single" w:sz="8" w:color="auto"/>
            </w:tcBorders>
            <w:gridSpan w:val="2"/>
          </w:tcPr>
          <w:p>
            <w:pPr>
              <w:spacing w:after="0"/>
              <w:rPr>
                <w:sz w:val="19"/>
                <w:szCs w:val="19"/>
                <w:color w:val="auto"/>
              </w:rPr>
            </w:pPr>
          </w:p>
        </w:tc>
      </w:tr>
      <w:tr>
        <w:trPr>
          <w:trHeight w:val="412"/>
        </w:trPr>
        <w:tc>
          <w:tcPr>
            <w:tcW w:w="2060" w:type="dxa"/>
            <w:vAlign w:val="bottom"/>
            <w:gridSpan w:val="2"/>
          </w:tcPr>
          <w:p>
            <w:pPr>
              <w:spacing w:after="0"/>
              <w:rPr>
                <w:sz w:val="20"/>
                <w:szCs w:val="20"/>
                <w:color w:val="auto"/>
              </w:rPr>
            </w:pPr>
            <w:r>
              <w:rPr>
                <w:rFonts w:ascii="Arial" w:cs="Arial" w:eastAsia="Arial" w:hAnsi="Arial"/>
                <w:sz w:val="17"/>
                <w:szCs w:val="17"/>
                <w:color w:val="auto"/>
              </w:rPr>
              <w:t>Authorized Signature:</w:t>
            </w:r>
          </w:p>
        </w:tc>
        <w:tc>
          <w:tcPr>
            <w:tcW w:w="2540" w:type="dxa"/>
            <w:vAlign w:val="bottom"/>
          </w:tcPr>
          <w:p>
            <w:pPr>
              <w:spacing w:after="0"/>
              <w:rPr>
                <w:sz w:val="24"/>
                <w:szCs w:val="24"/>
                <w:color w:val="auto"/>
              </w:rPr>
            </w:pPr>
          </w:p>
        </w:tc>
        <w:tc>
          <w:tcPr>
            <w:tcW w:w="6820" w:type="dxa"/>
            <w:vAlign w:val="bottom"/>
            <w:gridSpan w:val="3"/>
          </w:tcPr>
          <w:p>
            <w:pPr>
              <w:ind w:left="920"/>
              <w:spacing w:after="0"/>
              <w:rPr>
                <w:sz w:val="20"/>
                <w:szCs w:val="20"/>
                <w:color w:val="auto"/>
              </w:rPr>
            </w:pPr>
            <w:r>
              <w:rPr>
                <w:rFonts w:ascii="Arial" w:cs="Arial" w:eastAsia="Arial" w:hAnsi="Arial"/>
                <w:sz w:val="17"/>
                <w:szCs w:val="17"/>
                <w:color w:val="auto"/>
              </w:rPr>
              <w:t>Phone Number:</w:t>
            </w:r>
          </w:p>
        </w:tc>
      </w:tr>
      <w:tr>
        <w:trPr>
          <w:trHeight w:val="190"/>
        </w:trPr>
        <w:tc>
          <w:tcPr>
            <w:tcW w:w="2060" w:type="dxa"/>
            <w:vAlign w:val="bottom"/>
            <w:gridSpan w:val="2"/>
          </w:tcPr>
          <w:p>
            <w:pPr>
              <w:spacing w:after="0" w:line="190" w:lineRule="exact"/>
              <w:rPr>
                <w:sz w:val="20"/>
                <w:szCs w:val="20"/>
                <w:color w:val="auto"/>
              </w:rPr>
            </w:pPr>
            <w:r>
              <w:rPr>
                <w:rFonts w:ascii="Arial" w:cs="Arial" w:eastAsia="Arial" w:hAnsi="Arial"/>
                <w:sz w:val="17"/>
                <w:szCs w:val="17"/>
                <w:color w:val="auto"/>
              </w:rPr>
              <w:t>Print Name/Title:</w:t>
            </w:r>
          </w:p>
        </w:tc>
        <w:tc>
          <w:tcPr>
            <w:tcW w:w="2540" w:type="dxa"/>
            <w:vAlign w:val="bottom"/>
            <w:tcBorders>
              <w:top w:val="single" w:sz="8" w:color="auto"/>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ADVANCE: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Complete </w:t>
      </w:r>
      <w:r>
        <w:rPr>
          <w:rFonts w:ascii="Arial" w:cs="Arial" w:eastAsia="Arial" w:hAnsi="Arial"/>
          <w:sz w:val="17"/>
          <w:szCs w:val="17"/>
          <w:i w:val="1"/>
          <w:iCs w:val="1"/>
          <w:color w:val="auto"/>
        </w:rPr>
        <w:t>Outgoing Wire Request</w:t>
      </w:r>
      <w:r>
        <w:rPr>
          <w:rFonts w:ascii="Arial" w:cs="Arial" w:eastAsia="Arial" w:hAnsi="Arial"/>
          <w:sz w:val="17"/>
          <w:szCs w:val="17"/>
          <w:color w:val="auto"/>
        </w:rPr>
        <w:t xml:space="preserve"> section below if all or a portion of the funds from this loan advance are for an outgoing wire.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8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4740" w:type="dxa"/>
            <w:vAlign w:val="bottom"/>
            <w:gridSpan w:val="2"/>
          </w:tcPr>
          <w:p>
            <w:pPr>
              <w:ind w:left="260"/>
              <w:spacing w:after="0"/>
              <w:rPr>
                <w:sz w:val="20"/>
                <w:szCs w:val="20"/>
                <w:color w:val="auto"/>
              </w:rPr>
            </w:pPr>
            <w:r>
              <w:rPr>
                <w:rFonts w:ascii="Arial" w:cs="Arial" w:eastAsia="Arial" w:hAnsi="Arial"/>
                <w:sz w:val="17"/>
                <w:szCs w:val="17"/>
                <w:color w:val="auto"/>
              </w:rPr>
              <w:t>To Account #</w:t>
            </w:r>
          </w:p>
        </w:tc>
      </w:tr>
      <w:tr>
        <w:trPr>
          <w:trHeight w:val="191"/>
        </w:trPr>
        <w:tc>
          <w:tcPr>
            <w:tcW w:w="1940" w:type="dxa"/>
            <w:vAlign w:val="bottom"/>
          </w:tcPr>
          <w:p>
            <w:pPr>
              <w:spacing w:after="0"/>
              <w:rPr>
                <w:sz w:val="16"/>
                <w:szCs w:val="16"/>
                <w:color w:val="auto"/>
              </w:rPr>
            </w:pPr>
          </w:p>
        </w:tc>
        <w:tc>
          <w:tcPr>
            <w:tcW w:w="4740" w:type="dxa"/>
            <w:vAlign w:val="bottom"/>
            <w:tcBorders>
              <w:top w:val="single" w:sz="8" w:color="auto"/>
            </w:tcBorders>
          </w:tcPr>
          <w:p>
            <w:pPr>
              <w:ind w:left="1760"/>
              <w:spacing w:after="0" w:line="191" w:lineRule="exact"/>
              <w:rPr>
                <w:sz w:val="20"/>
                <w:szCs w:val="20"/>
                <w:color w:val="auto"/>
              </w:rPr>
            </w:pPr>
            <w:r>
              <w:rPr>
                <w:rFonts w:ascii="Arial" w:cs="Arial" w:eastAsia="Arial" w:hAnsi="Arial"/>
                <w:sz w:val="17"/>
                <w:szCs w:val="17"/>
                <w:color w:val="auto"/>
              </w:rPr>
              <w:t>(Loan Account #)</w:t>
            </w:r>
          </w:p>
        </w:tc>
        <w:tc>
          <w:tcPr>
            <w:tcW w:w="386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7"/>
                <w:szCs w:val="17"/>
                <w:color w:val="auto"/>
                <w:w w:val="94"/>
              </w:rPr>
              <w:t>(Deposit</w:t>
            </w:r>
          </w:p>
        </w:tc>
      </w:tr>
      <w:tr>
        <w:trPr>
          <w:trHeight w:val="222"/>
        </w:trPr>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5"/>
              </w:rPr>
              <w:t>Account #)</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Amount of Advance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17145</wp:posOffset>
            </wp:positionV>
            <wp:extent cx="30048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20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20"/>
                <w:szCs w:val="20"/>
                <w:color w:val="auto"/>
              </w:rPr>
            </w:pPr>
            <w:r>
              <w:rPr>
                <w:rFonts w:ascii="Arial" w:cs="Arial" w:eastAsia="Arial" w:hAnsi="Arial"/>
                <w:sz w:val="17"/>
                <w:szCs w:val="17"/>
                <w:color w:val="auto"/>
              </w:rPr>
              <w:t>Authorized Signature:</w:t>
            </w:r>
          </w:p>
        </w:tc>
        <w:tc>
          <w:tcPr>
            <w:tcW w:w="2700" w:type="dxa"/>
            <w:vAlign w:val="bottom"/>
            <w:tcBorders>
              <w:bottom w:val="single" w:sz="8" w:color="auto"/>
            </w:tcBorders>
          </w:tcPr>
          <w:p>
            <w:pPr>
              <w:spacing w:after="0"/>
              <w:rPr>
                <w:sz w:val="19"/>
                <w:szCs w:val="19"/>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w w:val="90"/>
              </w:rPr>
              <w:t>Phone Number:</w:t>
            </w:r>
          </w:p>
        </w:tc>
      </w:tr>
      <w:tr>
        <w:trPr>
          <w:trHeight w:val="190"/>
        </w:trPr>
        <w:tc>
          <w:tcPr>
            <w:tcW w:w="4220" w:type="dxa"/>
            <w:vAlign w:val="bottom"/>
          </w:tcPr>
          <w:p>
            <w:pPr>
              <w:spacing w:after="0" w:line="190" w:lineRule="exact"/>
              <w:rPr>
                <w:sz w:val="20"/>
                <w:szCs w:val="20"/>
                <w:color w:val="auto"/>
              </w:rPr>
            </w:pPr>
            <w:r>
              <w:rPr>
                <w:rFonts w:ascii="Arial" w:cs="Arial" w:eastAsia="Arial" w:hAnsi="Arial"/>
                <w:sz w:val="17"/>
                <w:szCs w:val="17"/>
                <w:color w:val="auto"/>
              </w:rPr>
              <w:t>Print Name/Title:</w:t>
            </w:r>
          </w:p>
        </w:tc>
        <w:tc>
          <w:tcPr>
            <w:tcW w:w="27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6953885</wp:posOffset>
            </wp:positionH>
            <wp:positionV relativeFrom="paragraph">
              <wp:posOffset>-140970</wp:posOffset>
            </wp:positionV>
            <wp:extent cx="29972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OUTGOING WIRE REQUEST: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Complete only if all or a portion of funds from the loan advance above is to be wired.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Deadline for same day processing is noon, Pacific Time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gridSpan w:val="3"/>
          </w:tcPr>
          <w:p>
            <w:pPr>
              <w:spacing w:after="0"/>
              <w:rPr>
                <w:sz w:val="20"/>
                <w:szCs w:val="20"/>
                <w:color w:val="auto"/>
              </w:rPr>
            </w:pPr>
            <w:r>
              <w:rPr>
                <w:rFonts w:ascii="Arial" w:cs="Arial" w:eastAsia="Arial" w:hAnsi="Arial"/>
                <w:sz w:val="17"/>
                <w:szCs w:val="17"/>
                <w:color w:val="auto"/>
              </w:rPr>
              <w:t>Beneficiary Name:</w:t>
            </w:r>
          </w:p>
        </w:tc>
        <w:tc>
          <w:tcPr>
            <w:tcW w:w="1540" w:type="dxa"/>
            <w:vAlign w:val="bottom"/>
          </w:tcPr>
          <w:p>
            <w:pPr>
              <w:spacing w:after="0"/>
              <w:rPr>
                <w:sz w:val="19"/>
                <w:szCs w:val="19"/>
                <w:color w:val="auto"/>
              </w:rPr>
            </w:pPr>
          </w:p>
        </w:tc>
        <w:tc>
          <w:tcPr>
            <w:tcW w:w="5880" w:type="dxa"/>
            <w:vAlign w:val="bottom"/>
            <w:gridSpan w:val="3"/>
          </w:tcPr>
          <w:p>
            <w:pPr>
              <w:ind w:left="600"/>
              <w:spacing w:after="0"/>
              <w:rPr>
                <w:sz w:val="20"/>
                <w:szCs w:val="20"/>
                <w:color w:val="auto"/>
              </w:rPr>
            </w:pPr>
            <w:r>
              <w:rPr>
                <w:rFonts w:ascii="Arial" w:cs="Arial" w:eastAsia="Arial" w:hAnsi="Arial"/>
                <w:sz w:val="17"/>
                <w:szCs w:val="17"/>
                <w:color w:val="auto"/>
              </w:rPr>
              <w:t>Amount of Wire: $</w:t>
            </w:r>
          </w:p>
        </w:tc>
      </w:tr>
      <w:tr>
        <w:trPr>
          <w:trHeight w:val="190"/>
        </w:trPr>
        <w:tc>
          <w:tcPr>
            <w:tcW w:w="1660" w:type="dxa"/>
            <w:vAlign w:val="bottom"/>
          </w:tcPr>
          <w:p>
            <w:pPr>
              <w:spacing w:after="0" w:line="190" w:lineRule="exact"/>
              <w:rPr>
                <w:sz w:val="20"/>
                <w:szCs w:val="20"/>
                <w:color w:val="auto"/>
              </w:rPr>
            </w:pPr>
            <w:r>
              <w:rPr>
                <w:rFonts w:ascii="Arial" w:cs="Arial" w:eastAsia="Arial" w:hAnsi="Arial"/>
                <w:sz w:val="17"/>
                <w:szCs w:val="17"/>
                <w:color w:val="auto"/>
              </w:rPr>
              <w:t>Beneficiary Bank:</w:t>
            </w:r>
          </w:p>
        </w:tc>
        <w:tc>
          <w:tcPr>
            <w:tcW w:w="2340" w:type="dxa"/>
            <w:vAlign w:val="bottom"/>
            <w:tcBorders>
              <w:top w:val="single" w:sz="8" w:color="auto"/>
              <w:bottom w:val="single" w:sz="8" w:color="auto"/>
            </w:tcBorders>
            <w:gridSpan w:val="2"/>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4000" w:type="dxa"/>
            <w:vAlign w:val="bottom"/>
          </w:tcPr>
          <w:p>
            <w:pPr>
              <w:ind w:left="600"/>
              <w:spacing w:after="0" w:line="190" w:lineRule="exact"/>
              <w:rPr>
                <w:sz w:val="20"/>
                <w:szCs w:val="20"/>
                <w:color w:val="auto"/>
              </w:rPr>
            </w:pPr>
            <w:r>
              <w:rPr>
                <w:rFonts w:ascii="Arial" w:cs="Arial" w:eastAsia="Arial" w:hAnsi="Arial"/>
                <w:sz w:val="17"/>
                <w:szCs w:val="17"/>
                <w:color w:val="auto"/>
              </w:rPr>
              <w:t>Account Number:</w:t>
            </w:r>
          </w:p>
        </w:tc>
        <w:tc>
          <w:tcPr>
            <w:tcW w:w="1880" w:type="dxa"/>
            <w:vAlign w:val="bottom"/>
            <w:tcBorders>
              <w:top w:val="single" w:sz="8" w:color="auto"/>
              <w:bottom w:val="single" w:sz="8" w:color="auto"/>
            </w:tcBorders>
            <w:gridSpan w:val="2"/>
          </w:tcPr>
          <w:p>
            <w:pPr>
              <w:spacing w:after="0"/>
              <w:rPr>
                <w:sz w:val="16"/>
                <w:szCs w:val="16"/>
                <w:color w:val="auto"/>
              </w:rPr>
            </w:pPr>
          </w:p>
        </w:tc>
      </w:tr>
      <w:tr>
        <w:trPr>
          <w:trHeight w:val="190"/>
        </w:trPr>
        <w:tc>
          <w:tcPr>
            <w:tcW w:w="1660" w:type="dxa"/>
            <w:vAlign w:val="bottom"/>
          </w:tcPr>
          <w:p>
            <w:pPr>
              <w:spacing w:after="0" w:line="189" w:lineRule="exact"/>
              <w:rPr>
                <w:sz w:val="20"/>
                <w:szCs w:val="20"/>
                <w:color w:val="auto"/>
              </w:rPr>
            </w:pPr>
            <w:r>
              <w:rPr>
                <w:rFonts w:ascii="Arial" w:cs="Arial" w:eastAsia="Arial" w:hAnsi="Arial"/>
                <w:sz w:val="17"/>
                <w:szCs w:val="17"/>
                <w:color w:val="auto"/>
              </w:rPr>
              <w:t>City and State:</w:t>
            </w:r>
          </w:p>
        </w:tc>
        <w:tc>
          <w:tcPr>
            <w:tcW w:w="2340" w:type="dxa"/>
            <w:vAlign w:val="bottom"/>
            <w:tcBorders>
              <w:bottom w:val="single" w:sz="8" w:color="auto"/>
            </w:tcBorders>
            <w:gridSpan w:val="2"/>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412"/>
        </w:trPr>
        <w:tc>
          <w:tcPr>
            <w:tcW w:w="4000" w:type="dxa"/>
            <w:vAlign w:val="bottom"/>
            <w:gridSpan w:val="3"/>
          </w:tcPr>
          <w:p>
            <w:pPr>
              <w:spacing w:after="0"/>
              <w:rPr>
                <w:sz w:val="20"/>
                <w:szCs w:val="20"/>
                <w:color w:val="auto"/>
              </w:rPr>
            </w:pPr>
            <w:r>
              <w:rPr>
                <w:rFonts w:ascii="Arial" w:cs="Arial" w:eastAsia="Arial" w:hAnsi="Arial"/>
                <w:sz w:val="17"/>
                <w:szCs w:val="17"/>
                <w:color w:val="auto"/>
              </w:rPr>
              <w:t>Beneficiary Bank Transit (ABA) #:</w:t>
            </w:r>
          </w:p>
        </w:tc>
        <w:tc>
          <w:tcPr>
            <w:tcW w:w="1540" w:type="dxa"/>
            <w:vAlign w:val="bottom"/>
          </w:tcPr>
          <w:p>
            <w:pPr>
              <w:spacing w:after="0"/>
              <w:rPr>
                <w:sz w:val="24"/>
                <w:szCs w:val="24"/>
                <w:color w:val="auto"/>
              </w:rPr>
            </w:pPr>
          </w:p>
        </w:tc>
        <w:tc>
          <w:tcPr>
            <w:tcW w:w="5880" w:type="dxa"/>
            <w:vAlign w:val="bottom"/>
            <w:gridSpan w:val="3"/>
          </w:tcPr>
          <w:p>
            <w:pPr>
              <w:ind w:left="240"/>
              <w:spacing w:after="0"/>
              <w:rPr>
                <w:sz w:val="20"/>
                <w:szCs w:val="20"/>
                <w:color w:val="auto"/>
              </w:rPr>
            </w:pPr>
            <w:r>
              <w:rPr>
                <w:rFonts w:ascii="Arial" w:cs="Arial" w:eastAsia="Arial" w:hAnsi="Arial"/>
                <w:sz w:val="17"/>
                <w:szCs w:val="17"/>
                <w:color w:val="auto"/>
              </w:rPr>
              <w:t>Beneficiary Bank Code (Swift, Sort, Chip, etc.):</w:t>
            </w:r>
          </w:p>
        </w:tc>
      </w:tr>
      <w:tr>
        <w:trPr>
          <w:trHeight w:val="208"/>
        </w:trPr>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500" w:type="dxa"/>
            <w:vAlign w:val="bottom"/>
            <w:gridSpan w:val="2"/>
          </w:tcPr>
          <w:p>
            <w:pPr>
              <w:ind w:left="940"/>
              <w:spacing w:after="0"/>
              <w:rPr>
                <w:sz w:val="20"/>
                <w:szCs w:val="20"/>
                <w:color w:val="auto"/>
              </w:rPr>
            </w:pPr>
            <w:r>
              <w:rPr>
                <w:rFonts w:ascii="Arial" w:cs="Arial" w:eastAsia="Arial" w:hAnsi="Arial"/>
                <w:sz w:val="17"/>
                <w:szCs w:val="17"/>
                <w:b w:val="1"/>
                <w:bCs w:val="1"/>
                <w:color w:val="auto"/>
              </w:rPr>
              <w:t>(For International Wire Only)</w:t>
            </w:r>
          </w:p>
        </w:tc>
        <w:tc>
          <w:tcPr>
            <w:tcW w:w="380" w:type="dxa"/>
            <w:vAlign w:val="bottom"/>
            <w:tcBorders>
              <w:top w:val="single" w:sz="8" w:color="auto"/>
            </w:tcBorders>
          </w:tcPr>
          <w:p>
            <w:pPr>
              <w:spacing w:after="0"/>
              <w:rPr>
                <w:sz w:val="18"/>
                <w:szCs w:val="18"/>
                <w:color w:val="auto"/>
              </w:rPr>
            </w:pPr>
          </w:p>
        </w:tc>
      </w:tr>
      <w:tr>
        <w:trPr>
          <w:trHeight w:val="611"/>
        </w:trPr>
        <w:tc>
          <w:tcPr>
            <w:tcW w:w="4000" w:type="dxa"/>
            <w:vAlign w:val="bottom"/>
            <w:gridSpan w:val="3"/>
          </w:tcPr>
          <w:p>
            <w:pPr>
              <w:spacing w:after="0"/>
              <w:rPr>
                <w:sz w:val="20"/>
                <w:szCs w:val="20"/>
                <w:color w:val="auto"/>
              </w:rPr>
            </w:pPr>
            <w:r>
              <w:rPr>
                <w:rFonts w:ascii="Arial" w:cs="Arial" w:eastAsia="Arial" w:hAnsi="Arial"/>
                <w:sz w:val="17"/>
                <w:szCs w:val="17"/>
                <w:color w:val="auto"/>
              </w:rPr>
              <w:t>Intermediary Bank:</w:t>
            </w:r>
          </w:p>
        </w:tc>
        <w:tc>
          <w:tcPr>
            <w:tcW w:w="1540" w:type="dxa"/>
            <w:vAlign w:val="bottom"/>
          </w:tcPr>
          <w:p>
            <w:pPr>
              <w:spacing w:after="0"/>
              <w:rPr>
                <w:sz w:val="24"/>
                <w:szCs w:val="24"/>
                <w:color w:val="auto"/>
              </w:rPr>
            </w:pPr>
          </w:p>
        </w:tc>
        <w:tc>
          <w:tcPr>
            <w:tcW w:w="5880" w:type="dxa"/>
            <w:vAlign w:val="bottom"/>
            <w:gridSpan w:val="3"/>
          </w:tcPr>
          <w:p>
            <w:pPr>
              <w:ind w:left="240"/>
              <w:spacing w:after="0"/>
              <w:rPr>
                <w:sz w:val="20"/>
                <w:szCs w:val="20"/>
                <w:color w:val="auto"/>
              </w:rPr>
            </w:pPr>
            <w:r>
              <w:rPr>
                <w:rFonts w:ascii="Arial" w:cs="Arial" w:eastAsia="Arial" w:hAnsi="Arial"/>
                <w:sz w:val="17"/>
                <w:szCs w:val="17"/>
                <w:color w:val="auto"/>
              </w:rPr>
              <w:t>Transit (ABA) #:</w:t>
            </w:r>
          </w:p>
        </w:tc>
      </w:tr>
      <w:tr>
        <w:trPr>
          <w:trHeight w:val="190"/>
        </w:trPr>
        <w:tc>
          <w:tcPr>
            <w:tcW w:w="1860" w:type="dxa"/>
            <w:vAlign w:val="bottom"/>
            <w:gridSpan w:val="2"/>
          </w:tcPr>
          <w:p>
            <w:pPr>
              <w:spacing w:after="0" w:line="190" w:lineRule="exact"/>
              <w:rPr>
                <w:sz w:val="20"/>
                <w:szCs w:val="20"/>
                <w:color w:val="auto"/>
              </w:rPr>
            </w:pPr>
            <w:r>
              <w:rPr>
                <w:rFonts w:ascii="Arial" w:cs="Arial" w:eastAsia="Arial" w:hAnsi="Arial"/>
                <w:sz w:val="17"/>
                <w:szCs w:val="17"/>
                <w:color w:val="auto"/>
              </w:rPr>
              <w:t>For Further Credit to:</w:t>
            </w:r>
          </w:p>
        </w:tc>
        <w:tc>
          <w:tcPr>
            <w:tcW w:w="21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400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r>
      <w:tr>
        <w:trPr>
          <w:trHeight w:val="412"/>
        </w:trPr>
        <w:tc>
          <w:tcPr>
            <w:tcW w:w="1860" w:type="dxa"/>
            <w:vAlign w:val="bottom"/>
            <w:gridSpan w:val="2"/>
          </w:tcPr>
          <w:p>
            <w:pPr>
              <w:spacing w:after="0"/>
              <w:rPr>
                <w:sz w:val="20"/>
                <w:szCs w:val="20"/>
                <w:color w:val="auto"/>
              </w:rPr>
            </w:pPr>
            <w:r>
              <w:rPr>
                <w:rFonts w:ascii="Arial" w:cs="Arial" w:eastAsia="Arial" w:hAnsi="Arial"/>
                <w:sz w:val="17"/>
                <w:szCs w:val="17"/>
                <w:color w:val="auto"/>
              </w:rPr>
              <w:t>Special Instruction:</w:t>
            </w:r>
          </w:p>
        </w:tc>
        <w:tc>
          <w:tcPr>
            <w:tcW w:w="2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pacing w:after="0" w:line="197" w:lineRule="exact"/>
        <w:rPr>
          <w:sz w:val="20"/>
          <w:szCs w:val="20"/>
          <w:color w:val="auto"/>
        </w:rPr>
      </w:pPr>
    </w:p>
    <w:p>
      <w:pPr>
        <w:jc w:val="both"/>
        <w:ind w:right="40"/>
        <w:spacing w:after="0" w:line="32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r>
        <w:rPr>
          <w:rFonts w:ascii="Arial" w:cs="Arial" w:eastAsia="Arial" w:hAnsi="Arial"/>
          <w:sz w:val="16"/>
          <w:szCs w:val="16"/>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spacing w:after="0"/>
              <w:rPr>
                <w:sz w:val="20"/>
                <w:szCs w:val="20"/>
                <w:color w:val="auto"/>
              </w:rPr>
            </w:pPr>
            <w:r>
              <w:rPr>
                <w:rFonts w:ascii="Arial" w:cs="Arial" w:eastAsia="Arial" w:hAnsi="Arial"/>
                <w:sz w:val="17"/>
                <w:szCs w:val="17"/>
                <w:color w:val="auto"/>
              </w:rPr>
              <w:t>Authorized Signature:</w:t>
            </w:r>
          </w:p>
        </w:tc>
        <w:tc>
          <w:tcPr>
            <w:tcW w:w="2600" w:type="dxa"/>
            <w:vAlign w:val="bottom"/>
          </w:tcPr>
          <w:p>
            <w:pPr>
              <w:spacing w:after="0"/>
              <w:rPr>
                <w:sz w:val="21"/>
                <w:szCs w:val="21"/>
                <w:color w:val="auto"/>
              </w:rPr>
            </w:pPr>
          </w:p>
        </w:tc>
        <w:tc>
          <w:tcPr>
            <w:tcW w:w="5920" w:type="dxa"/>
            <w:vAlign w:val="bottom"/>
            <w:gridSpan w:val="3"/>
          </w:tcPr>
          <w:p>
            <w:pPr>
              <w:ind w:left="240"/>
              <w:spacing w:after="0"/>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Signature (if required):</w:t>
            </w:r>
          </w:p>
        </w:tc>
      </w:tr>
      <w:tr>
        <w:trPr>
          <w:trHeight w:val="190"/>
        </w:trPr>
        <w:tc>
          <w:tcPr>
            <w:tcW w:w="2940" w:type="dxa"/>
            <w:vAlign w:val="bottom"/>
          </w:tcPr>
          <w:p>
            <w:pPr>
              <w:spacing w:after="0" w:line="189" w:lineRule="exact"/>
              <w:rPr>
                <w:sz w:val="20"/>
                <w:szCs w:val="20"/>
                <w:color w:val="auto"/>
              </w:rPr>
            </w:pPr>
            <w:r>
              <w:rPr>
                <w:rFonts w:ascii="Arial" w:cs="Arial" w:eastAsia="Arial" w:hAnsi="Arial"/>
                <w:sz w:val="17"/>
                <w:szCs w:val="17"/>
                <w:color w:val="auto"/>
              </w:rPr>
              <w:t>Print Name/Title:</w:t>
            </w:r>
          </w:p>
        </w:tc>
        <w:tc>
          <w:tcPr>
            <w:tcW w:w="2600" w:type="dxa"/>
            <w:vAlign w:val="bottom"/>
            <w:tcBorders>
              <w:top w:val="single" w:sz="8" w:color="auto"/>
              <w:bottom w:val="single" w:sz="8" w:color="auto"/>
            </w:tcBorders>
          </w:tcPr>
          <w:p>
            <w:pPr>
              <w:spacing w:after="0"/>
              <w:rPr>
                <w:sz w:val="16"/>
                <w:szCs w:val="16"/>
                <w:color w:val="auto"/>
              </w:rPr>
            </w:pPr>
          </w:p>
        </w:tc>
        <w:tc>
          <w:tcPr>
            <w:tcW w:w="5180" w:type="dxa"/>
            <w:vAlign w:val="bottom"/>
          </w:tcPr>
          <w:p>
            <w:pPr>
              <w:ind w:left="240"/>
              <w:spacing w:after="0" w:line="189" w:lineRule="exact"/>
              <w:rPr>
                <w:sz w:val="20"/>
                <w:szCs w:val="20"/>
                <w:color w:val="auto"/>
              </w:rPr>
            </w:pPr>
            <w:r>
              <w:rPr>
                <w:rFonts w:ascii="Arial" w:cs="Arial" w:eastAsia="Arial" w:hAnsi="Arial"/>
                <w:sz w:val="17"/>
                <w:szCs w:val="17"/>
                <w:color w:val="auto"/>
              </w:rPr>
              <w:t>Print Name/Title:</w:t>
            </w:r>
          </w:p>
        </w:tc>
        <w:tc>
          <w:tcPr>
            <w:tcW w:w="70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40" w:type="dxa"/>
            <w:vAlign w:val="bottom"/>
          </w:tcPr>
          <w:p>
            <w:pPr>
              <w:spacing w:after="0" w:line="189" w:lineRule="exact"/>
              <w:rPr>
                <w:sz w:val="20"/>
                <w:szCs w:val="20"/>
                <w:color w:val="auto"/>
              </w:rPr>
            </w:pPr>
            <w:r>
              <w:rPr>
                <w:rFonts w:ascii="Arial" w:cs="Arial" w:eastAsia="Arial" w:hAnsi="Arial"/>
                <w:sz w:val="17"/>
                <w:szCs w:val="17"/>
                <w:color w:val="auto"/>
              </w:rPr>
              <w:t>Telephone #:</w:t>
            </w:r>
          </w:p>
        </w:tc>
        <w:tc>
          <w:tcPr>
            <w:tcW w:w="2600" w:type="dxa"/>
            <w:vAlign w:val="bottom"/>
            <w:tcBorders>
              <w:bottom w:val="single" w:sz="8" w:color="auto"/>
            </w:tcBorders>
          </w:tcPr>
          <w:p>
            <w:pPr>
              <w:spacing w:after="0"/>
              <w:rPr>
                <w:sz w:val="16"/>
                <w:szCs w:val="16"/>
                <w:color w:val="auto"/>
              </w:rPr>
            </w:pPr>
          </w:p>
        </w:tc>
        <w:tc>
          <w:tcPr>
            <w:tcW w:w="5180" w:type="dxa"/>
            <w:vAlign w:val="bottom"/>
          </w:tcPr>
          <w:p>
            <w:pPr>
              <w:ind w:left="240"/>
              <w:spacing w:after="0" w:line="189" w:lineRule="exact"/>
              <w:rPr>
                <w:sz w:val="20"/>
                <w:szCs w:val="20"/>
                <w:color w:val="auto"/>
              </w:rPr>
            </w:pPr>
            <w:r>
              <w:rPr>
                <w:rFonts w:ascii="Arial" w:cs="Arial" w:eastAsia="Arial" w:hAnsi="Arial"/>
                <w:sz w:val="17"/>
                <w:szCs w:val="17"/>
                <w:color w:val="auto"/>
              </w:rPr>
              <w:t>Telephone #:</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294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20" w:type="dxa"/>
            <w:vAlign w:val="bottom"/>
            <w:gridSpan w:val="2"/>
          </w:tcPr>
          <w:p>
            <w:pPr>
              <w:jc w:val="center"/>
              <w:ind w:right="1153"/>
              <w:spacing w:after="0"/>
              <w:rPr>
                <w:sz w:val="20"/>
                <w:szCs w:val="20"/>
                <w:color w:val="auto"/>
              </w:rPr>
            </w:pPr>
            <w:r>
              <w:rPr>
                <w:rFonts w:ascii="Arial" w:cs="Arial" w:eastAsia="Arial" w:hAnsi="Arial"/>
                <w:sz w:val="17"/>
                <w:szCs w:val="17"/>
                <w:b w:val="1"/>
                <w:bCs w:val="1"/>
                <w:color w:val="auto"/>
              </w:rPr>
              <w:t>EXHIBIT C</w:t>
            </w:r>
          </w:p>
        </w:tc>
      </w:tr>
      <w:tr>
        <w:trPr>
          <w:trHeight w:val="189"/>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80" w:type="dxa"/>
            <w:vAlign w:val="bottom"/>
            <w:gridSpan w:val="3"/>
          </w:tcPr>
          <w:p>
            <w:pPr>
              <w:jc w:val="center"/>
              <w:ind w:right="313"/>
              <w:spacing w:after="0" w:line="189" w:lineRule="exact"/>
              <w:rPr>
                <w:sz w:val="20"/>
                <w:szCs w:val="20"/>
                <w:color w:val="auto"/>
              </w:rPr>
            </w:pPr>
            <w:r>
              <w:rPr>
                <w:rFonts w:ascii="Arial" w:cs="Arial" w:eastAsia="Arial" w:hAnsi="Arial"/>
                <w:sz w:val="17"/>
                <w:szCs w:val="17"/>
                <w:b w:val="1"/>
                <w:bCs w:val="1"/>
                <w:color w:val="auto"/>
              </w:rPr>
              <w:t>COMPLIANCE CERTIFICATE</w:t>
            </w:r>
          </w:p>
        </w:tc>
      </w:tr>
      <w:tr>
        <w:trPr>
          <w:trHeight w:val="426"/>
        </w:trPr>
        <w:tc>
          <w:tcPr>
            <w:tcW w:w="680" w:type="dxa"/>
            <w:vAlign w:val="bottom"/>
          </w:tcPr>
          <w:p>
            <w:pPr>
              <w:spacing w:after="0"/>
              <w:rPr>
                <w:sz w:val="20"/>
                <w:szCs w:val="20"/>
                <w:color w:val="auto"/>
              </w:rPr>
            </w:pPr>
            <w:r>
              <w:rPr>
                <w:rFonts w:ascii="Arial" w:cs="Arial" w:eastAsia="Arial" w:hAnsi="Arial"/>
                <w:sz w:val="17"/>
                <w:szCs w:val="17"/>
                <w:color w:val="auto"/>
              </w:rPr>
              <w:t>TO:</w:t>
            </w:r>
          </w:p>
        </w:tc>
        <w:tc>
          <w:tcPr>
            <w:tcW w:w="2940" w:type="dxa"/>
            <w:vAlign w:val="bottom"/>
          </w:tcPr>
          <w:p>
            <w:pPr>
              <w:ind w:left="120"/>
              <w:spacing w:after="0"/>
              <w:rPr>
                <w:sz w:val="20"/>
                <w:szCs w:val="20"/>
                <w:color w:val="auto"/>
              </w:rPr>
            </w:pPr>
            <w:r>
              <w:rPr>
                <w:rFonts w:ascii="Arial" w:cs="Arial" w:eastAsia="Arial" w:hAnsi="Arial"/>
                <w:sz w:val="17"/>
                <w:szCs w:val="17"/>
                <w:color w:val="auto"/>
              </w:rPr>
              <w:t>SILICON VALLEY BANK</w:t>
            </w:r>
          </w:p>
        </w:tc>
        <w:tc>
          <w:tcPr>
            <w:tcW w:w="8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60" w:type="dxa"/>
            <w:vAlign w:val="bottom"/>
          </w:tcPr>
          <w:p>
            <w:pPr>
              <w:ind w:left="900"/>
              <w:spacing w:after="0"/>
              <w:rPr>
                <w:sz w:val="20"/>
                <w:szCs w:val="20"/>
                <w:color w:val="auto"/>
              </w:rPr>
            </w:pPr>
            <w:r>
              <w:rPr>
                <w:rFonts w:ascii="Arial" w:cs="Arial" w:eastAsia="Arial" w:hAnsi="Arial"/>
                <w:sz w:val="17"/>
                <w:szCs w:val="17"/>
                <w:color w:val="auto"/>
                <w:w w:val="83"/>
              </w:rPr>
              <w:t>Date:</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FROM:</w:t>
            </w:r>
          </w:p>
        </w:tc>
        <w:tc>
          <w:tcPr>
            <w:tcW w:w="2940" w:type="dxa"/>
            <w:vAlign w:val="bottom"/>
          </w:tcPr>
          <w:p>
            <w:pPr>
              <w:ind w:left="120"/>
              <w:spacing w:after="0"/>
              <w:rPr>
                <w:sz w:val="20"/>
                <w:szCs w:val="20"/>
                <w:color w:val="auto"/>
              </w:rPr>
            </w:pPr>
            <w:r>
              <w:rPr>
                <w:rFonts w:ascii="Arial" w:cs="Arial" w:eastAsia="Arial" w:hAnsi="Arial"/>
                <w:sz w:val="17"/>
                <w:szCs w:val="17"/>
                <w:color w:val="auto"/>
              </w:rPr>
              <w:t>VERACYTE, INC.</w:t>
            </w: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-132080</wp:posOffset>
            </wp:positionV>
            <wp:extent cx="18897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7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undersigned authorized officer of VERACYTE, INC. (“Borrower”) certifies that under the terms and conditions of the Loan and Security Agreement between Borrower and Bank (the “Agreement”):</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8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Please indicate compliance status by circling Yes/No under </w:t>
      </w:r>
      <w:r>
        <w:rPr>
          <w:rFonts w:ascii="Arial" w:cs="Arial" w:eastAsia="Arial" w:hAnsi="Arial"/>
          <w:sz w:val="17"/>
          <w:szCs w:val="17"/>
          <w:color w:val="auto"/>
        </w:rPr>
        <w:t>“</w:t>
      </w:r>
      <w:r>
        <w:rPr>
          <w:rFonts w:ascii="Arial" w:cs="Arial" w:eastAsia="Arial" w:hAnsi="Arial"/>
          <w:sz w:val="17"/>
          <w:szCs w:val="17"/>
          <w:b w:val="1"/>
          <w:bCs w:val="1"/>
          <w:color w:val="auto"/>
        </w:rPr>
        <w:t>Complies</w:t>
      </w:r>
      <w:r>
        <w:rPr>
          <w:rFonts w:ascii="Arial" w:cs="Arial" w:eastAsia="Arial" w:hAnsi="Arial"/>
          <w:sz w:val="17"/>
          <w:szCs w:val="17"/>
          <w:color w:val="auto"/>
        </w:rPr>
        <w:t>”</w:t>
      </w:r>
      <w:r>
        <w:rPr>
          <w:rFonts w:ascii="Arial" w:cs="Arial" w:eastAsia="Arial" w:hAnsi="Arial"/>
          <w:sz w:val="17"/>
          <w:szCs w:val="17"/>
          <w:b w:val="1"/>
          <w:bCs w:val="1"/>
          <w:color w:val="auto"/>
        </w:rPr>
        <w:t xml:space="preserve"> column.</w:t>
      </w:r>
    </w:p>
    <w:p>
      <w:pPr>
        <w:spacing w:after="0" w:line="220" w:lineRule="exact"/>
        <w:rPr>
          <w:sz w:val="20"/>
          <w:szCs w:val="20"/>
          <w:color w:val="auto"/>
        </w:rPr>
      </w:pPr>
    </w:p>
    <w:p>
      <w:pPr>
        <w:spacing w:after="0"/>
        <w:tabs>
          <w:tab w:leader="none" w:pos="7040" w:val="left"/>
          <w:tab w:leader="none" w:pos="10240" w:val="left"/>
        </w:tabs>
        <w:rPr>
          <w:sz w:val="20"/>
          <w:szCs w:val="20"/>
          <w:color w:val="auto"/>
        </w:rPr>
      </w:pPr>
      <w:r>
        <w:rPr>
          <w:rFonts w:ascii="Arial" w:cs="Arial" w:eastAsia="Arial" w:hAnsi="Arial"/>
          <w:sz w:val="14"/>
          <w:szCs w:val="14"/>
          <w:b w:val="1"/>
          <w:bCs w:val="1"/>
          <w:color w:val="auto"/>
        </w:rPr>
        <w:t>Reporting Covenant</w:t>
      </w:r>
      <w:r>
        <w:rPr>
          <w:sz w:val="20"/>
          <w:szCs w:val="20"/>
          <w:color w:val="auto"/>
        </w:rPr>
        <w:tab/>
      </w:r>
      <w:r>
        <w:rPr>
          <w:rFonts w:ascii="Arial" w:cs="Arial" w:eastAsia="Arial" w:hAnsi="Arial"/>
          <w:sz w:val="14"/>
          <w:szCs w:val="14"/>
          <w:b w:val="1"/>
          <w:bCs w:val="1"/>
          <w:color w:val="auto"/>
        </w:rPr>
        <w:t>Required</w:t>
      </w:r>
      <w:r>
        <w:rPr>
          <w:sz w:val="20"/>
          <w:szCs w:val="20"/>
          <w:color w:val="auto"/>
        </w:rPr>
        <w:tab/>
      </w:r>
      <w:r>
        <w:rPr>
          <w:rFonts w:ascii="Arial" w:cs="Arial" w:eastAsia="Arial" w:hAnsi="Arial"/>
          <w:sz w:val="12"/>
          <w:szCs w:val="12"/>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514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514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10"/>
        </w:trPr>
        <w:tc>
          <w:tcPr>
            <w:tcW w:w="5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Monthly financial statements with Compliance Certificate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0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Monthly within 30 days (pre-IPO only)</w:t>
            </w: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Yes</w:t>
            </w:r>
          </w:p>
        </w:tc>
        <w:tc>
          <w:tcPr>
            <w:tcW w:w="86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3"/>
          </w:tcPr>
          <w:p>
            <w:pPr>
              <w:spacing w:after="0"/>
              <w:rPr>
                <w:sz w:val="20"/>
                <w:szCs w:val="20"/>
                <w:color w:val="auto"/>
              </w:rPr>
            </w:pPr>
            <w:r>
              <w:rPr>
                <w:rFonts w:ascii="Arial" w:cs="Arial" w:eastAsia="Arial" w:hAnsi="Arial"/>
                <w:sz w:val="17"/>
                <w:szCs w:val="17"/>
                <w:color w:val="auto"/>
                <w:w w:val="97"/>
              </w:rPr>
              <w:t>Annual financial statement (CPA Audited) with Compliance Certificate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40"/>
              <w:spacing w:after="0"/>
              <w:rPr>
                <w:sz w:val="20"/>
                <w:szCs w:val="20"/>
                <w:color w:val="auto"/>
              </w:rPr>
            </w:pPr>
            <w:r>
              <w:rPr>
                <w:rFonts w:ascii="Arial" w:cs="Arial" w:eastAsia="Arial" w:hAnsi="Arial"/>
                <w:sz w:val="17"/>
                <w:szCs w:val="17"/>
                <w:color w:val="auto"/>
              </w:rPr>
              <w:t>FYE within 180 days</w:t>
            </w: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Arial" w:cs="Arial" w:eastAsia="Arial" w:hAnsi="Arial"/>
                <w:sz w:val="17"/>
                <w:szCs w:val="17"/>
                <w:color w:val="auto"/>
              </w:rPr>
              <w:t>Yes</w:t>
            </w:r>
          </w:p>
        </w:tc>
        <w:tc>
          <w:tcPr>
            <w:tcW w:w="860" w:type="dxa"/>
            <w:vAlign w:val="bottom"/>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10-Q, 10-Kand 8-K</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w w:val="97"/>
              </w:rPr>
              <w:t>Within 5 days after filing with SEC</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Yes</w:t>
            </w:r>
          </w:p>
        </w:tc>
        <w:tc>
          <w:tcPr>
            <w:tcW w:w="86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3"/>
          </w:tcPr>
          <w:p>
            <w:pPr>
              <w:spacing w:after="0"/>
              <w:rPr>
                <w:sz w:val="20"/>
                <w:szCs w:val="20"/>
                <w:color w:val="auto"/>
              </w:rPr>
            </w:pPr>
            <w:r>
              <w:rPr>
                <w:rFonts w:ascii="Arial" w:cs="Arial" w:eastAsia="Arial" w:hAnsi="Arial"/>
                <w:sz w:val="17"/>
                <w:szCs w:val="17"/>
                <w:color w:val="auto"/>
              </w:rPr>
              <w:t>Annual board-approved financial projections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ind w:left="40"/>
              <w:spacing w:after="0"/>
              <w:rPr>
                <w:sz w:val="20"/>
                <w:szCs w:val="20"/>
                <w:color w:val="auto"/>
              </w:rPr>
            </w:pPr>
            <w:r>
              <w:rPr>
                <w:rFonts w:ascii="Arial" w:cs="Arial" w:eastAsia="Arial" w:hAnsi="Arial"/>
                <w:sz w:val="17"/>
                <w:szCs w:val="17"/>
                <w:color w:val="auto"/>
              </w:rPr>
              <w:t>Within 30 days of board approval</w:t>
            </w:r>
          </w:p>
        </w:tc>
        <w:tc>
          <w:tcPr>
            <w:tcW w:w="17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7"/>
                <w:szCs w:val="17"/>
                <w:color w:val="auto"/>
              </w:rPr>
              <w:t>Yes</w:t>
            </w:r>
          </w:p>
        </w:tc>
        <w:tc>
          <w:tcPr>
            <w:tcW w:w="860" w:type="dxa"/>
            <w:vAlign w:val="bottom"/>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3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700" w:type="dxa"/>
            <w:vAlign w:val="bottom"/>
            <w:gridSpan w:val="10"/>
          </w:tcPr>
          <w:p>
            <w:pPr>
              <w:ind w:left="320"/>
              <w:spacing w:after="0"/>
              <w:rPr>
                <w:sz w:val="20"/>
                <w:szCs w:val="20"/>
                <w:color w:val="auto"/>
              </w:rPr>
            </w:pPr>
            <w:r>
              <w:rPr>
                <w:rFonts w:ascii="Arial" w:cs="Arial" w:eastAsia="Arial" w:hAnsi="Arial"/>
                <w:sz w:val="17"/>
                <w:szCs w:val="17"/>
                <w:color w:val="auto"/>
                <w:w w:val="99"/>
              </w:rPr>
              <w:t>The following are the exceptions with respect to the certification above: (If no exceptions exist, state “No exceptions to note.”)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94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b w:val="1"/>
                <w:bCs w:val="1"/>
                <w:color w:val="auto"/>
              </w:rPr>
              <w:t>BANK USE ONLY</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940" w:type="dxa"/>
            <w:vAlign w:val="bottom"/>
            <w:gridSpan w:val="2"/>
            <w:vMerge w:val="restart"/>
          </w:tcPr>
          <w:p>
            <w:pPr>
              <w:spacing w:after="0"/>
              <w:rPr>
                <w:sz w:val="20"/>
                <w:szCs w:val="20"/>
                <w:color w:val="auto"/>
              </w:rPr>
            </w:pPr>
            <w:r>
              <w:rPr>
                <w:rFonts w:ascii="Arial" w:cs="Arial" w:eastAsia="Arial" w:hAnsi="Arial"/>
                <w:sz w:val="17"/>
                <w:szCs w:val="17"/>
                <w:color w:val="auto"/>
              </w:rPr>
              <w:t>By:</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color w:val="auto"/>
              </w:rPr>
              <w:t>Received by:</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gridSpan w:val="2"/>
            <w:vMerge w:val="continue"/>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2"/>
          </w:tcPr>
          <w:p>
            <w:pPr>
              <w:jc w:val="center"/>
              <w:ind w:right="453"/>
              <w:spacing w:after="0"/>
              <w:rPr>
                <w:sz w:val="20"/>
                <w:szCs w:val="20"/>
                <w:color w:val="auto"/>
              </w:rPr>
            </w:pPr>
            <w:r>
              <w:rPr>
                <w:rFonts w:ascii="Arial" w:cs="Arial" w:eastAsia="Arial" w:hAnsi="Arial"/>
                <w:sz w:val="17"/>
                <w:szCs w:val="17"/>
                <w:color w:val="auto"/>
                <w:w w:val="99"/>
              </w:rPr>
              <w:t>AUTHORIZED SIGNER</w:t>
            </w:r>
          </w:p>
        </w:tc>
        <w:tc>
          <w:tcPr>
            <w:tcW w:w="8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1200" w:type="dxa"/>
            <w:vAlign w:val="bottom"/>
            <w:tcBorders>
              <w:top w:val="single" w:sz="8" w:color="auto"/>
              <w:bottom w:val="single" w:sz="8" w:color="auto"/>
            </w:tcBorders>
          </w:tcPr>
          <w:p>
            <w:pPr>
              <w:spacing w:after="0"/>
              <w:rPr>
                <w:sz w:val="16"/>
                <w:szCs w:val="16"/>
                <w:color w:val="auto"/>
              </w:rPr>
            </w:pPr>
          </w:p>
        </w:tc>
        <w:tc>
          <w:tcPr>
            <w:tcW w:w="3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8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Date:</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1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gridSpan w:val="3"/>
            <w:vMerge w:val="restart"/>
          </w:tcPr>
          <w:p>
            <w:pPr>
              <w:ind w:left="340"/>
              <w:spacing w:after="0"/>
              <w:rPr>
                <w:sz w:val="20"/>
                <w:szCs w:val="20"/>
                <w:color w:val="auto"/>
              </w:rPr>
            </w:pPr>
            <w:r>
              <w:rPr>
                <w:rFonts w:ascii="Arial" w:cs="Arial" w:eastAsia="Arial" w:hAnsi="Arial"/>
                <w:sz w:val="17"/>
                <w:szCs w:val="17"/>
                <w:color w:val="auto"/>
              </w:rPr>
              <w:t>Verified:</w:t>
            </w:r>
          </w:p>
        </w:tc>
        <w:tc>
          <w:tcPr>
            <w:tcW w:w="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jc w:val="center"/>
              <w:ind w:right="453"/>
              <w:spacing w:after="0"/>
              <w:rPr>
                <w:sz w:val="20"/>
                <w:szCs w:val="20"/>
                <w:color w:val="auto"/>
              </w:rPr>
            </w:pPr>
            <w:r>
              <w:rPr>
                <w:rFonts w:ascii="Arial" w:cs="Arial" w:eastAsia="Arial" w:hAnsi="Arial"/>
                <w:sz w:val="17"/>
                <w:szCs w:val="17"/>
                <w:color w:val="auto"/>
                <w:w w:val="99"/>
              </w:rPr>
              <w:t>AUTHORIZED SIGNER</w:t>
            </w:r>
          </w:p>
        </w:tc>
        <w:tc>
          <w:tcPr>
            <w:tcW w:w="8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Date:</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color w:val="auto"/>
              </w:rPr>
              <w:t>Compliance Status:</w:t>
            </w:r>
          </w:p>
        </w:tc>
        <w:tc>
          <w:tcPr>
            <w:tcW w:w="680" w:type="dxa"/>
            <w:vAlign w:val="bottom"/>
          </w:tcPr>
          <w:p>
            <w:pPr>
              <w:ind w:left="240"/>
              <w:spacing w:after="0"/>
              <w:rPr>
                <w:sz w:val="20"/>
                <w:szCs w:val="20"/>
                <w:color w:val="auto"/>
              </w:rPr>
            </w:pPr>
            <w:r>
              <w:rPr>
                <w:rFonts w:ascii="Arial" w:cs="Arial" w:eastAsia="Arial" w:hAnsi="Arial"/>
                <w:sz w:val="17"/>
                <w:szCs w:val="17"/>
                <w:color w:val="auto"/>
              </w:rPr>
              <w:t>Yes</w:t>
            </w:r>
          </w:p>
        </w:tc>
        <w:tc>
          <w:tcPr>
            <w:tcW w:w="1740" w:type="dxa"/>
            <w:vAlign w:val="bottom"/>
          </w:tcPr>
          <w:p>
            <w:pPr>
              <w:ind w:left="120"/>
              <w:spacing w:after="0"/>
              <w:rPr>
                <w:sz w:val="20"/>
                <w:szCs w:val="20"/>
                <w:color w:val="auto"/>
              </w:rPr>
            </w:pPr>
            <w:r>
              <w:rPr>
                <w:rFonts w:ascii="Arial" w:cs="Arial" w:eastAsia="Arial" w:hAnsi="Arial"/>
                <w:sz w:val="17"/>
                <w:szCs w:val="17"/>
                <w:color w:val="auto"/>
              </w:rPr>
              <w:t>No</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40" w:type="dxa"/>
            <w:vAlign w:val="bottom"/>
            <w:gridSpan w:val="3"/>
          </w:tcPr>
          <w:p>
            <w:pPr>
              <w:jc w:val="center"/>
              <w:ind w:left="33"/>
              <w:spacing w:after="0"/>
              <w:rPr>
                <w:sz w:val="20"/>
                <w:szCs w:val="20"/>
                <w:color w:val="auto"/>
              </w:rPr>
            </w:pPr>
            <w:r>
              <w:rPr>
                <w:rFonts w:ascii="Arial" w:cs="Arial" w:eastAsia="Arial" w:hAnsi="Arial"/>
                <w:sz w:val="17"/>
                <w:szCs w:val="17"/>
                <w:color w:val="auto"/>
                <w:w w:val="84"/>
              </w:rPr>
              <w:t>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gridSpan w:val="2"/>
          </w:tcPr>
          <w:p>
            <w:pPr>
              <w:spacing w:after="0"/>
              <w:rPr>
                <w:sz w:val="11"/>
                <w:szCs w:val="11"/>
                <w:color w:val="auto"/>
              </w:rPr>
            </w:pPr>
          </w:p>
        </w:tc>
        <w:tc>
          <w:tcPr>
            <w:tcW w:w="1100" w:type="dxa"/>
            <w:vAlign w:val="bottom"/>
            <w:tcBorders>
              <w:bottom w:val="single" w:sz="8" w:color="010101"/>
            </w:tcBorders>
            <w:gridSpan w:val="2"/>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8"/>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40" w:type="dxa"/>
            <w:vAlign w:val="bottom"/>
            <w:gridSpan w:val="5"/>
          </w:tcPr>
          <w:p>
            <w:pPr>
              <w:jc w:val="center"/>
              <w:ind w:right="980"/>
              <w:spacing w:after="0"/>
              <w:rPr>
                <w:sz w:val="20"/>
                <w:szCs w:val="20"/>
                <w:color w:val="auto"/>
              </w:rPr>
            </w:pPr>
            <w:r>
              <w:rPr>
                <w:rFonts w:ascii="Arial" w:cs="Arial" w:eastAsia="Arial" w:hAnsi="Arial"/>
                <w:sz w:val="17"/>
                <w:szCs w:val="17"/>
                <w:b w:val="1"/>
                <w:bCs w:val="1"/>
                <w:color w:val="auto"/>
              </w:rPr>
              <w:t>EXHIBIT D</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FORM OF</w:t>
            </w:r>
          </w:p>
        </w:tc>
        <w:tc>
          <w:tcPr>
            <w:tcW w:w="11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20" w:type="dxa"/>
            <w:vAlign w:val="bottom"/>
            <w:gridSpan w:val="7"/>
          </w:tcPr>
          <w:p>
            <w:pPr>
              <w:jc w:val="center"/>
              <w:ind w:left="1433"/>
              <w:spacing w:after="0"/>
              <w:rPr>
                <w:sz w:val="20"/>
                <w:szCs w:val="20"/>
                <w:color w:val="auto"/>
              </w:rPr>
            </w:pPr>
            <w:r>
              <w:rPr>
                <w:rFonts w:ascii="Arial" w:cs="Arial" w:eastAsia="Arial" w:hAnsi="Arial"/>
                <w:sz w:val="17"/>
                <w:szCs w:val="17"/>
                <w:b w:val="1"/>
                <w:bCs w:val="1"/>
                <w:color w:val="auto"/>
              </w:rPr>
              <w:t>CORPORATE BORROWING CERTIFICATE</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1940" w:type="dxa"/>
            <w:vAlign w:val="bottom"/>
            <w:gridSpan w:val="2"/>
          </w:tcPr>
          <w:p>
            <w:pPr>
              <w:ind w:left="640"/>
              <w:spacing w:after="0"/>
              <w:rPr>
                <w:sz w:val="20"/>
                <w:szCs w:val="20"/>
                <w:color w:val="auto"/>
              </w:rPr>
            </w:pPr>
            <w:r>
              <w:rPr>
                <w:rFonts w:ascii="Arial" w:cs="Arial" w:eastAsia="Arial" w:hAnsi="Arial"/>
                <w:sz w:val="17"/>
                <w:szCs w:val="17"/>
                <w:b w:val="1"/>
                <w:bCs w:val="1"/>
                <w:color w:val="auto"/>
              </w:rPr>
              <w:t>BORROWER:</w:t>
            </w:r>
          </w:p>
        </w:tc>
        <w:tc>
          <w:tcPr>
            <w:tcW w:w="3200" w:type="dxa"/>
            <w:vAlign w:val="bottom"/>
          </w:tcPr>
          <w:p>
            <w:pPr>
              <w:ind w:left="180"/>
              <w:spacing w:after="0"/>
              <w:rPr>
                <w:sz w:val="20"/>
                <w:szCs w:val="20"/>
                <w:color w:val="auto"/>
              </w:rPr>
            </w:pPr>
            <w:r>
              <w:rPr>
                <w:rFonts w:ascii="Arial" w:cs="Arial" w:eastAsia="Arial" w:hAnsi="Arial"/>
                <w:sz w:val="17"/>
                <w:szCs w:val="17"/>
                <w:b w:val="1"/>
                <w:bCs w:val="1"/>
                <w:color w:val="auto"/>
              </w:rPr>
              <w:t>VERACYTE,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Arial" w:cs="Arial" w:eastAsia="Arial" w:hAnsi="Arial"/>
                <w:sz w:val="17"/>
                <w:szCs w:val="17"/>
                <w:b w:val="1"/>
                <w:bCs w:val="1"/>
                <w:color w:val="auto"/>
              </w:rPr>
              <w:t>DATE:</w:t>
            </w:r>
          </w:p>
        </w:tc>
        <w:tc>
          <w:tcPr>
            <w:tcW w:w="680" w:type="dxa"/>
            <w:vAlign w:val="bottom"/>
          </w:tcPr>
          <w:p>
            <w:pPr>
              <w:ind w:left="240"/>
              <w:spacing w:after="0"/>
              <w:rPr>
                <w:sz w:val="20"/>
                <w:szCs w:val="20"/>
                <w:color w:val="auto"/>
              </w:rPr>
            </w:pPr>
            <w:r>
              <w:rPr>
                <w:rFonts w:ascii="Arial" w:cs="Arial" w:eastAsia="Arial" w:hAnsi="Arial"/>
                <w:sz w:val="17"/>
                <w:szCs w:val="17"/>
                <w:color w:val="auto"/>
              </w:rPr>
              <w:t>June</w:t>
            </w:r>
          </w:p>
        </w:tc>
        <w:tc>
          <w:tcPr>
            <w:tcW w:w="1740" w:type="dxa"/>
            <w:vAlign w:val="bottom"/>
          </w:tcPr>
          <w:p>
            <w:pPr>
              <w:jc w:val="center"/>
              <w:ind w:right="1113"/>
              <w:spacing w:after="0"/>
              <w:rPr>
                <w:sz w:val="20"/>
                <w:szCs w:val="20"/>
                <w:color w:val="auto"/>
              </w:rPr>
            </w:pPr>
            <w:r>
              <w:rPr>
                <w:rFonts w:ascii="Arial" w:cs="Arial" w:eastAsia="Arial" w:hAnsi="Arial"/>
                <w:sz w:val="17"/>
                <w:szCs w:val="17"/>
                <w:color w:val="auto"/>
                <w:w w:val="88"/>
              </w:rPr>
              <w:t>, 2013</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gridSpan w:val="2"/>
          </w:tcPr>
          <w:p>
            <w:pPr>
              <w:ind w:left="640"/>
              <w:spacing w:after="0"/>
              <w:rPr>
                <w:sz w:val="20"/>
                <w:szCs w:val="20"/>
                <w:color w:val="auto"/>
              </w:rPr>
            </w:pPr>
            <w:r>
              <w:rPr>
                <w:rFonts w:ascii="Arial" w:cs="Arial" w:eastAsia="Arial" w:hAnsi="Arial"/>
                <w:sz w:val="17"/>
                <w:szCs w:val="17"/>
                <w:b w:val="1"/>
                <w:bCs w:val="1"/>
                <w:color w:val="auto"/>
              </w:rPr>
              <w:t>BANK:</w:t>
            </w:r>
          </w:p>
        </w:tc>
        <w:tc>
          <w:tcPr>
            <w:tcW w:w="3200" w:type="dxa"/>
            <w:vAlign w:val="bottom"/>
          </w:tcPr>
          <w:p>
            <w:pPr>
              <w:ind w:left="180"/>
              <w:spacing w:after="0"/>
              <w:rPr>
                <w:sz w:val="20"/>
                <w:szCs w:val="20"/>
                <w:color w:val="auto"/>
              </w:rPr>
            </w:pPr>
            <w:r>
              <w:rPr>
                <w:rFonts w:ascii="Arial" w:cs="Arial" w:eastAsia="Arial" w:hAnsi="Arial"/>
                <w:sz w:val="17"/>
                <w:szCs w:val="17"/>
                <w:b w:val="1"/>
                <w:bCs w:val="1"/>
                <w:color w:val="auto"/>
              </w:rPr>
              <w:t>Silicon Valley Bank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 hereby certify as follows, as of the date set forth above:</w:t>
      </w:r>
    </w:p>
    <w:p>
      <w:pPr>
        <w:spacing w:after="0" w:line="224" w:lineRule="exact"/>
        <w:rPr>
          <w:sz w:val="20"/>
          <w:szCs w:val="20"/>
          <w:color w:val="auto"/>
        </w:rPr>
      </w:pPr>
    </w:p>
    <w:p>
      <w:pPr>
        <w:ind w:left="800" w:hanging="166"/>
        <w:spacing w:after="0"/>
        <w:tabs>
          <w:tab w:leader="none" w:pos="8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I am the Secretary, Assistant Secretary or other officer of the Borrower. My title is as set forth below.</w:t>
      </w:r>
    </w:p>
    <w:p>
      <w:pPr>
        <w:spacing w:after="0" w:line="224" w:lineRule="exact"/>
        <w:rPr>
          <w:rFonts w:ascii="Arial" w:cs="Arial" w:eastAsia="Arial" w:hAnsi="Arial"/>
          <w:sz w:val="17"/>
          <w:szCs w:val="17"/>
          <w:color w:val="auto"/>
        </w:rPr>
      </w:pPr>
    </w:p>
    <w:p>
      <w:pPr>
        <w:ind w:left="800" w:hanging="166"/>
        <w:spacing w:after="0"/>
        <w:tabs>
          <w:tab w:leader="none" w:pos="8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Borrower’s exact legal name is set forth above. Borrower is a corporation existing under the laws of the State of Delaware.</w:t>
      </w:r>
    </w:p>
    <w:p>
      <w:pPr>
        <w:spacing w:after="0" w:line="224" w:lineRule="exact"/>
        <w:rPr>
          <w:rFonts w:ascii="Arial" w:cs="Arial" w:eastAsia="Arial" w:hAnsi="Arial"/>
          <w:sz w:val="17"/>
          <w:szCs w:val="17"/>
          <w:color w:val="auto"/>
        </w:rPr>
      </w:pPr>
    </w:p>
    <w:p>
      <w:pPr>
        <w:jc w:val="both"/>
        <w:ind w:left="640" w:right="360" w:hanging="6"/>
        <w:spacing w:after="0" w:line="298" w:lineRule="auto"/>
        <w:tabs>
          <w:tab w:leader="none" w:pos="815" w:val="left"/>
        </w:tabs>
        <w:numPr>
          <w:ilvl w:val="0"/>
          <w:numId w:val="527"/>
        </w:numPr>
        <w:rPr>
          <w:rFonts w:ascii="Arial" w:cs="Arial" w:eastAsia="Arial" w:hAnsi="Arial"/>
          <w:sz w:val="16"/>
          <w:szCs w:val="16"/>
          <w:color w:val="auto"/>
        </w:rPr>
      </w:pPr>
      <w:r>
        <w:rPr>
          <w:rFonts w:ascii="Arial" w:cs="Arial" w:eastAsia="Arial" w:hAnsi="Arial"/>
          <w:sz w:val="16"/>
          <w:szCs w:val="16"/>
          <w:color w:val="auto"/>
        </w:rPr>
        <w:t>Attached hereto are true, correct and complete copies of Borrower’s Articles/Certificate of Incorporation (including amendments), as filed with the Secretary of State of the state in which Borrower is incorporated as set forth in paragraph 1 above. Such Articles/Certificate of Incorporation have not been amended, annulled, rescinded, revoked or supplemented, and remain in full force and effect as of the date hereof.</w:t>
      </w:r>
    </w:p>
    <w:p>
      <w:pPr>
        <w:spacing w:after="0" w:line="153" w:lineRule="exact"/>
        <w:rPr>
          <w:rFonts w:ascii="Arial" w:cs="Arial" w:eastAsia="Arial" w:hAnsi="Arial"/>
          <w:sz w:val="16"/>
          <w:szCs w:val="16"/>
          <w:color w:val="auto"/>
        </w:rPr>
      </w:pPr>
    </w:p>
    <w:p>
      <w:pPr>
        <w:jc w:val="both"/>
        <w:ind w:left="640" w:right="100" w:hanging="6"/>
        <w:spacing w:after="0" w:line="326" w:lineRule="auto"/>
        <w:tabs>
          <w:tab w:leader="none" w:pos="815" w:val="left"/>
        </w:tabs>
        <w:numPr>
          <w:ilvl w:val="0"/>
          <w:numId w:val="527"/>
        </w:numPr>
        <w:rPr>
          <w:rFonts w:ascii="Arial" w:cs="Arial" w:eastAsia="Arial" w:hAnsi="Arial"/>
          <w:sz w:val="15"/>
          <w:szCs w:val="15"/>
          <w:color w:val="auto"/>
        </w:rPr>
      </w:pPr>
      <w:r>
        <w:rPr>
          <w:rFonts w:ascii="Arial" w:cs="Arial" w:eastAsia="Arial" w:hAnsi="Arial"/>
          <w:sz w:val="15"/>
          <w:szCs w:val="15"/>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Bank may rely on them until Bank receives written notice of revocation from Boirower.</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w:t>
      </w:r>
    </w:p>
    <w:p>
      <w:pPr>
        <w:spacing w:after="0" w:line="4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Borrower: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Authorized to</w:t>
            </w:r>
          </w:p>
        </w:tc>
        <w:tc>
          <w:tcPr>
            <w:tcW w:w="0" w:type="dxa"/>
            <w:vAlign w:val="bottom"/>
          </w:tcPr>
          <w:p>
            <w:pPr>
              <w:spacing w:after="0"/>
              <w:rPr>
                <w:sz w:val="1"/>
                <w:szCs w:val="1"/>
                <w:color w:val="auto"/>
              </w:rPr>
            </w:pPr>
          </w:p>
        </w:tc>
      </w:tr>
      <w:tr>
        <w:trPr>
          <w:trHeight w:val="144"/>
        </w:trPr>
        <w:tc>
          <w:tcPr>
            <w:tcW w:w="28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Name</w:t>
            </w:r>
          </w:p>
        </w:tc>
        <w:tc>
          <w:tcPr>
            <w:tcW w:w="31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Title</w:t>
            </w:r>
          </w:p>
        </w:tc>
        <w:tc>
          <w:tcPr>
            <w:tcW w:w="32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2"/>
                <w:szCs w:val="12"/>
                <w:color w:val="auto"/>
              </w:rPr>
            </w:pPr>
          </w:p>
        </w:tc>
        <w:tc>
          <w:tcPr>
            <w:tcW w:w="2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Add or Remove</w:t>
            </w:r>
          </w:p>
        </w:tc>
        <w:tc>
          <w:tcPr>
            <w:tcW w:w="0" w:type="dxa"/>
            <w:vAlign w:val="bottom"/>
          </w:tcPr>
          <w:p>
            <w:pPr>
              <w:spacing w:after="0"/>
              <w:rPr>
                <w:sz w:val="1"/>
                <w:szCs w:val="1"/>
                <w:color w:val="auto"/>
              </w:rPr>
            </w:pPr>
          </w:p>
        </w:tc>
      </w:tr>
      <w:tr>
        <w:trPr>
          <w:trHeight w:val="167"/>
        </w:trPr>
        <w:tc>
          <w:tcPr>
            <w:tcW w:w="28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Signatories</w:t>
            </w:r>
          </w:p>
        </w:tc>
        <w:tc>
          <w:tcPr>
            <w:tcW w:w="0" w:type="dxa"/>
            <w:vAlign w:val="bottom"/>
          </w:tcPr>
          <w:p>
            <w:pPr>
              <w:spacing w:after="0"/>
              <w:rPr>
                <w:sz w:val="1"/>
                <w:szCs w:val="1"/>
                <w:color w:val="auto"/>
              </w:rPr>
            </w:pPr>
          </w:p>
        </w:tc>
      </w:tr>
      <w:tr>
        <w:trPr>
          <w:trHeight w:val="412"/>
        </w:trPr>
        <w:tc>
          <w:tcPr>
            <w:tcW w:w="2580" w:type="dxa"/>
            <w:vAlign w:val="bottom"/>
            <w:tcBorders>
              <w:top w:val="single" w:sz="8" w:color="auto"/>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940" w:right="240"/>
        <w:spacing w:after="0" w:line="29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persons designated above with a checked box beside his or her name may, from time to time, add or</w:t>
      </w:r>
      <w:r>
        <w:rPr>
          <w:rFonts w:ascii="Arial" w:cs="Arial" w:eastAsia="Arial" w:hAnsi="Arial"/>
          <w:sz w:val="17"/>
          <w:szCs w:val="17"/>
          <w:b w:val="1"/>
          <w:bCs w:val="1"/>
          <w:color w:val="auto"/>
        </w:rPr>
        <w:t xml:space="preserve"> </w:t>
      </w:r>
      <w:r>
        <w:rPr>
          <w:rFonts w:ascii="Arial" w:cs="Arial" w:eastAsia="Arial" w:hAnsi="Arial"/>
          <w:sz w:val="17"/>
          <w:szCs w:val="17"/>
          <w:color w:val="auto"/>
        </w:rPr>
        <w:t>remove any individuals to and from the above list of persons authorized to act on behalf of Borrower.</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such individuals may, on behalf of Borrower:</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Borrow Money. </w:t>
      </w:r>
      <w:r>
        <w:rPr>
          <w:rFonts w:ascii="Arial" w:cs="Arial" w:eastAsia="Arial" w:hAnsi="Arial"/>
          <w:sz w:val="17"/>
          <w:szCs w:val="17"/>
          <w:color w:val="auto"/>
        </w:rPr>
        <w:t>Borrow money from Silicon Valley Bank (“Bank”).</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Execute Loan Documents. </w:t>
      </w:r>
      <w:r>
        <w:rPr>
          <w:rFonts w:ascii="Arial" w:cs="Arial" w:eastAsia="Arial" w:hAnsi="Arial"/>
          <w:sz w:val="17"/>
          <w:szCs w:val="17"/>
          <w:color w:val="auto"/>
        </w:rPr>
        <w:t>Execute any loan documents Bank requires.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Grant Security. </w:t>
      </w:r>
      <w:r>
        <w:rPr>
          <w:rFonts w:ascii="Arial" w:cs="Arial" w:eastAsia="Arial" w:hAnsi="Arial"/>
          <w:sz w:val="17"/>
          <w:szCs w:val="17"/>
          <w:color w:val="auto"/>
        </w:rPr>
        <w:t>Grant Bank a security interest in any of Borrower’s assets.</w:t>
      </w:r>
    </w:p>
    <w:p>
      <w:pPr>
        <w:spacing w:after="0" w:line="14" w:lineRule="exact"/>
        <w:rPr>
          <w:sz w:val="20"/>
          <w:szCs w:val="20"/>
          <w:color w:val="auto"/>
        </w:rPr>
      </w:pPr>
    </w:p>
    <w:p>
      <w:pPr>
        <w:jc w:val="both"/>
        <w:ind w:left="1260" w:right="3540"/>
        <w:spacing w:after="0" w:line="257" w:lineRule="auto"/>
        <w:rPr>
          <w:sz w:val="20"/>
          <w:szCs w:val="20"/>
          <w:color w:val="auto"/>
        </w:rPr>
      </w:pPr>
      <w:r>
        <w:rPr>
          <w:rFonts w:ascii="Arial" w:cs="Arial" w:eastAsia="Arial" w:hAnsi="Arial"/>
          <w:sz w:val="17"/>
          <w:szCs w:val="17"/>
          <w:b w:val="1"/>
          <w:bCs w:val="1"/>
          <w:color w:val="auto"/>
        </w:rPr>
        <w:t xml:space="preserve">Negotiate Items. </w:t>
      </w:r>
      <w:r>
        <w:rPr>
          <w:rFonts w:ascii="Arial" w:cs="Arial" w:eastAsia="Arial" w:hAnsi="Arial"/>
          <w:sz w:val="17"/>
          <w:szCs w:val="17"/>
          <w:color w:val="auto"/>
        </w:rPr>
        <w:t>Negotiate or discount all drafts, trade acceptances, promissory notes,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indebtedness in which Borrower has an interest and receive cash or otherwise use the proceeds. </w:t>
      </w:r>
      <w:r>
        <w:rPr>
          <w:rFonts w:ascii="Arial" w:cs="Arial" w:eastAsia="Arial" w:hAnsi="Arial"/>
          <w:sz w:val="17"/>
          <w:szCs w:val="17"/>
          <w:b w:val="1"/>
          <w:bCs w:val="1"/>
          <w:color w:val="auto"/>
        </w:rPr>
        <w:t xml:space="preserve">Issue Warrants. </w:t>
      </w:r>
      <w:r>
        <w:rPr>
          <w:rFonts w:ascii="Arial" w:cs="Arial" w:eastAsia="Arial" w:hAnsi="Arial"/>
          <w:sz w:val="17"/>
          <w:szCs w:val="17"/>
          <w:color w:val="auto"/>
        </w:rPr>
        <w:t>Issue warrants for Borrower’s capital stock.</w:t>
      </w:r>
    </w:p>
    <w:p>
      <w:pPr>
        <w:spacing w:after="0" w:line="1" w:lineRule="exact"/>
        <w:rPr>
          <w:sz w:val="20"/>
          <w:szCs w:val="20"/>
          <w:color w:val="auto"/>
        </w:rPr>
      </w:pPr>
    </w:p>
    <w:p>
      <w:pPr>
        <w:ind w:left="1260" w:right="2960"/>
        <w:spacing w:after="0" w:line="266" w:lineRule="auto"/>
        <w:rPr>
          <w:sz w:val="20"/>
          <w:szCs w:val="20"/>
          <w:color w:val="auto"/>
        </w:rPr>
      </w:pPr>
      <w:r>
        <w:rPr>
          <w:rFonts w:ascii="Arial" w:cs="Arial" w:eastAsia="Arial" w:hAnsi="Arial"/>
          <w:sz w:val="17"/>
          <w:szCs w:val="17"/>
          <w:b w:val="1"/>
          <w:bCs w:val="1"/>
          <w:color w:val="auto"/>
        </w:rPr>
        <w:t xml:space="preserve">Further Acts. </w:t>
      </w:r>
      <w:r>
        <w:rPr>
          <w:rFonts w:ascii="Arial" w:cs="Arial" w:eastAsia="Arial" w:hAnsi="Arial"/>
          <w:sz w:val="17"/>
          <w:szCs w:val="17"/>
          <w:color w:val="auto"/>
        </w:rPr>
        <w:t>Designate other individuals to request advances, pay fees and costs and execute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agreements (including documents or agreement that waive Borrowers right to a jury trial) they believe to be necessary to effectuate such resolutions.</w:t>
      </w:r>
    </w:p>
    <w:p>
      <w:pPr>
        <w:sectPr>
          <w:pgSz w:w="11900" w:h="16838" w:orient="portrait"/>
          <w:cols w:equalWidth="0" w:num="1">
            <w:col w:w="11460"/>
          </w:cols>
          <w:pgMar w:left="240" w:top="140" w:right="199" w:bottom="0" w:gutter="0" w:footer="0" w:header="0"/>
        </w:sectPr>
      </w:pPr>
    </w:p>
    <w:bookmarkStart w:id="346" w:name="page347"/>
    <w:bookmarkEnd w:id="346"/>
    <w:p>
      <w:pPr>
        <w:ind w:left="940"/>
        <w:spacing w:after="0"/>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all acts authorized by the above resolutions and any prior acts relating thereto are ratified.</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5. The persons listed above are Borrower’s officers or employees with their titles and signatures shown next to their names.</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9525</wp:posOffset>
            </wp:positionV>
            <wp:extent cx="31546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5" w:lineRule="exact"/>
        <w:rPr>
          <w:sz w:val="20"/>
          <w:szCs w:val="20"/>
          <w:color w:val="auto"/>
        </w:rPr>
      </w:pPr>
    </w:p>
    <w:p>
      <w:pPr>
        <w:ind w:firstLine="634"/>
        <w:spacing w:after="0" w:line="289" w:lineRule="auto"/>
        <w:tabs>
          <w:tab w:leader="none" w:pos="935" w:val="left"/>
        </w:tabs>
        <w:numPr>
          <w:ilvl w:val="0"/>
          <w:numId w:val="528"/>
        </w:numPr>
        <w:rPr>
          <w:rFonts w:ascii="Arial" w:cs="Arial" w:eastAsia="Arial" w:hAnsi="Arial"/>
          <w:sz w:val="17"/>
          <w:szCs w:val="17"/>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58" w:lineRule="exact"/>
        <w:rPr>
          <w:sz w:val="20"/>
          <w:szCs w:val="20"/>
          <w:color w:val="auto"/>
        </w:rPr>
      </w:pPr>
    </w:p>
    <w:p>
      <w:pPr>
        <w:ind w:left="1640" w:right="2840" w:hanging="1006"/>
        <w:spacing w:after="0" w:line="264" w:lineRule="auto"/>
        <w:tabs>
          <w:tab w:leader="none" w:pos="1620" w:val="left"/>
        </w:tabs>
        <w:rPr>
          <w:sz w:val="20"/>
          <w:szCs w:val="20"/>
          <w:color w:val="auto"/>
        </w:rPr>
      </w:pPr>
      <w:r>
        <w:rPr>
          <w:rFonts w:ascii="Arial" w:cs="Arial" w:eastAsia="Arial" w:hAnsi="Arial"/>
          <w:sz w:val="17"/>
          <w:szCs w:val="17"/>
          <w:color w:val="auto"/>
        </w:rPr>
        <w:t>I, the</w:t>
      </w:r>
      <w:r>
        <w:rPr>
          <w:sz w:val="20"/>
          <w:szCs w:val="20"/>
          <w:color w:val="auto"/>
        </w:rPr>
        <w:tab/>
      </w:r>
      <w:r>
        <w:rPr>
          <w:rFonts w:ascii="Arial" w:cs="Arial" w:eastAsia="Arial" w:hAnsi="Arial"/>
          <w:sz w:val="17"/>
          <w:szCs w:val="17"/>
          <w:color w:val="auto"/>
        </w:rPr>
        <w:t>of Borrower, hereby certify as to paragraphs 1 through 5 above, as of the date set [print title]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above.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9525</wp:posOffset>
            </wp:positionV>
            <wp:extent cx="31546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7"/>
          <w:szCs w:val="17"/>
          <w:b w:val="1"/>
          <w:bCs w:val="1"/>
          <w:color w:val="auto"/>
        </w:rPr>
        <w:t>Exhibit 10.10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CALDEROME,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30" w:lineRule="exact"/>
        <w:rPr>
          <w:sz w:val="20"/>
          <w:szCs w:val="20"/>
          <w:color w:val="auto"/>
        </w:rPr>
      </w:pPr>
    </w:p>
    <w:p>
      <w:pPr>
        <w:ind w:right="940" w:firstLine="629"/>
        <w:spacing w:after="0" w:line="289" w:lineRule="auto"/>
        <w:rPr>
          <w:sz w:val="20"/>
          <w:szCs w:val="20"/>
          <w:color w:val="auto"/>
        </w:rPr>
      </w:pPr>
      <w:r>
        <w:rPr>
          <w:rFonts w:ascii="Arial" w:cs="Arial" w:eastAsia="Arial" w:hAnsi="Arial"/>
          <w:sz w:val="17"/>
          <w:szCs w:val="17"/>
          <w:color w:val="auto"/>
        </w:rPr>
        <w:t>This Agreement is entered into as of February 15, 2008, (the “Effective Date”) by and between Calderome, Inc., a Delaware corporation (the “Company”), and Bonnie Anderson (“Executive”).</w:t>
      </w:r>
    </w:p>
    <w:p>
      <w:pPr>
        <w:spacing w:after="0" w:line="158" w:lineRule="exact"/>
        <w:rPr>
          <w:sz w:val="20"/>
          <w:szCs w:val="20"/>
          <w:color w:val="auto"/>
        </w:rPr>
      </w:pPr>
    </w:p>
    <w:p>
      <w:pPr>
        <w:ind w:left="800" w:hanging="166"/>
        <w:spacing w:after="0"/>
        <w:tabs>
          <w:tab w:leader="none" w:pos="800"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Duties and Scope of Employment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40" w:firstLine="1263"/>
        <w:spacing w:after="0" w:line="268" w:lineRule="auto"/>
        <w:tabs>
          <w:tab w:leader="none" w:pos="1496" w:val="left"/>
        </w:tabs>
        <w:numPr>
          <w:ilvl w:val="1"/>
          <w:numId w:val="529"/>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As of the Effective Date, Executive will serve as Chief Executive Officer of the Company. Executive will render such business and professional services in the performance of her duties, consistent with Executive’s position within the Company, as shall reasonably be assigned to her by the Company’s Board of Directors (the “Board”). The period of Executive’s employment under this Agreement is referred to herein as the “Employment Term.”</w:t>
      </w:r>
    </w:p>
    <w:p>
      <w:pPr>
        <w:spacing w:after="0" w:line="175" w:lineRule="exact"/>
        <w:rPr>
          <w:rFonts w:ascii="Arial" w:cs="Arial" w:eastAsia="Arial" w:hAnsi="Arial"/>
          <w:sz w:val="17"/>
          <w:szCs w:val="17"/>
          <w:color w:val="auto"/>
        </w:rPr>
      </w:pPr>
    </w:p>
    <w:p>
      <w:pPr>
        <w:ind w:firstLine="1263"/>
        <w:spacing w:after="0" w:line="273" w:lineRule="auto"/>
        <w:tabs>
          <w:tab w:leader="none" w:pos="1506" w:val="left"/>
        </w:tabs>
        <w:numPr>
          <w:ilvl w:val="1"/>
          <w:numId w:val="529"/>
        </w:numPr>
        <w:rPr>
          <w:rFonts w:ascii="Arial" w:cs="Arial" w:eastAsia="Arial" w:hAnsi="Arial"/>
          <w:sz w:val="17"/>
          <w:szCs w:val="17"/>
          <w:color w:val="auto"/>
        </w:rPr>
      </w:pPr>
      <w:r>
        <w:rPr>
          <w:rFonts w:ascii="Arial" w:cs="Arial" w:eastAsia="Arial" w:hAnsi="Arial"/>
          <w:sz w:val="17"/>
          <w:szCs w:val="17"/>
          <w:u w:val="single" w:color="auto"/>
          <w:color w:val="auto"/>
        </w:rPr>
        <w:t>Obligations</w:t>
      </w:r>
      <w:r>
        <w:rPr>
          <w:rFonts w:ascii="Arial" w:cs="Arial" w:eastAsia="Arial" w:hAnsi="Arial"/>
          <w:sz w:val="17"/>
          <w:szCs w:val="17"/>
          <w:color w:val="auto"/>
        </w:rPr>
        <w:t>. During the Employment Term, Executive will perform her duties faithfully and to the best of her ability and will devote her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71" w:lineRule="exact"/>
        <w:rPr>
          <w:rFonts w:ascii="Arial" w:cs="Arial" w:eastAsia="Arial" w:hAnsi="Arial"/>
          <w:sz w:val="17"/>
          <w:szCs w:val="17"/>
          <w:color w:val="auto"/>
        </w:rPr>
      </w:pPr>
    </w:p>
    <w:p>
      <w:pPr>
        <w:ind w:right="60" w:firstLine="634"/>
        <w:spacing w:after="0" w:line="268" w:lineRule="auto"/>
        <w:tabs>
          <w:tab w:leader="none" w:pos="804"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parties agree that Executive’s employment with the Company will be “at-will” employment and may be terminated at any time with or without cause or notice. Executive understands and agrees that neither her job performance nor promotions, commendations, bonuses or the like from the Company give rise to or in any way serve as the basis for modification, amendment, or extension, by implication or otherwise, of her employment with the Company.</w:t>
      </w:r>
    </w:p>
    <w:p>
      <w:pPr>
        <w:spacing w:after="0" w:line="175" w:lineRule="exact"/>
        <w:rPr>
          <w:rFonts w:ascii="Arial" w:cs="Arial" w:eastAsia="Arial" w:hAnsi="Arial"/>
          <w:sz w:val="17"/>
          <w:szCs w:val="17"/>
          <w:color w:val="auto"/>
        </w:rPr>
      </w:pPr>
    </w:p>
    <w:p>
      <w:pPr>
        <w:ind w:left="800" w:hanging="166"/>
        <w:spacing w:after="0"/>
        <w:tabs>
          <w:tab w:leader="none" w:pos="800"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20" w:firstLine="1263"/>
        <w:spacing w:after="0" w:line="273" w:lineRule="auto"/>
        <w:tabs>
          <w:tab w:leader="none" w:pos="1496" w:val="left"/>
        </w:tabs>
        <w:numPr>
          <w:ilvl w:val="1"/>
          <w:numId w:val="529"/>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the Executive pursuant to this Agreement, the Company agrees to pay the Executive during the Employment Term a base salary (the “Base Salary”) at a rate of $300,000 per year. The Base Salary shall be paid in periodic installments in accordance with the Company’s regular payroll practices. Executive’s Base Salary shall be reviewed by the Board on an annual basis.</w:t>
      </w:r>
    </w:p>
    <w:p>
      <w:pPr>
        <w:spacing w:after="0" w:line="171" w:lineRule="exact"/>
        <w:rPr>
          <w:rFonts w:ascii="Arial" w:cs="Arial" w:eastAsia="Arial" w:hAnsi="Arial"/>
          <w:sz w:val="17"/>
          <w:szCs w:val="17"/>
          <w:color w:val="auto"/>
        </w:rPr>
      </w:pPr>
    </w:p>
    <w:p>
      <w:pPr>
        <w:ind w:right="160" w:firstLine="1263"/>
        <w:spacing w:after="0" w:line="273" w:lineRule="auto"/>
        <w:tabs>
          <w:tab w:leader="none" w:pos="1506" w:val="left"/>
        </w:tabs>
        <w:numPr>
          <w:ilvl w:val="1"/>
          <w:numId w:val="529"/>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2008 fiscal year and for each fiscal year thereafter during the Employment Term, the Executive will be eligible to receive an annual bonus (the “Bonus”) of up to twenty percent (20%) of the Executive’s Base Salary for such fiscal year based upon the achievement of certain financial or performance criteria to be mutually agreed upon by the Executive and the Board.</w:t>
      </w:r>
    </w:p>
    <w:p>
      <w:pPr>
        <w:spacing w:after="0" w:line="171" w:lineRule="exact"/>
        <w:rPr>
          <w:rFonts w:ascii="Arial" w:cs="Arial" w:eastAsia="Arial" w:hAnsi="Arial"/>
          <w:sz w:val="17"/>
          <w:szCs w:val="17"/>
          <w:color w:val="auto"/>
        </w:rPr>
      </w:pPr>
    </w:p>
    <w:p>
      <w:pPr>
        <w:ind w:left="1500" w:hanging="237"/>
        <w:spacing w:after="0"/>
        <w:tabs>
          <w:tab w:leader="none" w:pos="1500" w:val="left"/>
        </w:tabs>
        <w:numPr>
          <w:ilvl w:val="1"/>
          <w:numId w:val="529"/>
        </w:numPr>
        <w:rPr>
          <w:rFonts w:ascii="Arial" w:cs="Arial" w:eastAsia="Arial" w:hAnsi="Arial"/>
          <w:sz w:val="17"/>
          <w:szCs w:val="17"/>
          <w:color w:val="auto"/>
        </w:rPr>
      </w:pPr>
      <w:r>
        <w:rPr>
          <w:rFonts w:ascii="Arial" w:cs="Arial" w:eastAsia="Arial" w:hAnsi="Arial"/>
          <w:sz w:val="17"/>
          <w:szCs w:val="17"/>
          <w:u w:val="single" w:color="auto"/>
          <w:color w:val="auto"/>
        </w:rPr>
        <w:t>Restricted Stock Grant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40" w:firstLine="1641"/>
        <w:spacing w:after="0" w:line="289" w:lineRule="auto"/>
        <w:tabs>
          <w:tab w:leader="none" w:pos="1845" w:val="left"/>
        </w:tabs>
        <w:numPr>
          <w:ilvl w:val="2"/>
          <w:numId w:val="529"/>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On the Effective Date, the Company and Executive shall enter into a Restricted Stock Purchase Agreement (the “RSPA”) pursuant to which the Executive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have the right to purchase 1,396,341 shares of the Company’s common stock at a price per share of $0,005 (the “Restricted Shares”). The Restricted Shares shall vest as described in paragraph 4(c)(ii) below and shall he subject to the terms and conditions of the RSPA.</w:t>
      </w:r>
    </w:p>
    <w:p>
      <w:pPr>
        <w:spacing w:after="0" w:line="158" w:lineRule="exact"/>
        <w:rPr>
          <w:sz w:val="20"/>
          <w:szCs w:val="20"/>
          <w:color w:val="auto"/>
        </w:rPr>
      </w:pPr>
    </w:p>
    <w:p>
      <w:pPr>
        <w:jc w:val="both"/>
        <w:ind w:right="60" w:firstLine="1578"/>
        <w:spacing w:after="0" w:line="298" w:lineRule="auto"/>
        <w:tabs>
          <w:tab w:leader="none" w:pos="1830" w:val="left"/>
        </w:tabs>
        <w:numPr>
          <w:ilvl w:val="3"/>
          <w:numId w:val="530"/>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Subject to the accelerated vesting provisions contained in the RSPA, the Restricted Shares will vest as to 20% of the Restricted Shares on the Effective Date, and as to 1/36th of the remaining unvested Restricted Shares monthly thereafter, so that all Restricted Shares will be fully vested and exercisable three (3) years from the Effective Date, subject to Executive’s continued service to the Company on each applicable vesting date.</w:t>
      </w:r>
    </w:p>
    <w:p>
      <w:pPr>
        <w:spacing w:after="0" w:line="153" w:lineRule="exact"/>
        <w:rPr>
          <w:rFonts w:ascii="Arial" w:cs="Arial" w:eastAsia="Arial" w:hAnsi="Arial"/>
          <w:sz w:val="16"/>
          <w:szCs w:val="16"/>
          <w:color w:val="auto"/>
        </w:rPr>
      </w:pPr>
    </w:p>
    <w:p>
      <w:pPr>
        <w:ind w:right="100" w:firstLine="634"/>
        <w:spacing w:after="0" w:line="285" w:lineRule="auto"/>
        <w:tabs>
          <w:tab w:leader="none" w:pos="804"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t>Relocation Allowance</w:t>
      </w:r>
      <w:r>
        <w:rPr>
          <w:rFonts w:ascii="Arial" w:cs="Arial" w:eastAsia="Arial" w:hAnsi="Arial"/>
          <w:sz w:val="16"/>
          <w:szCs w:val="16"/>
          <w:color w:val="auto"/>
        </w:rPr>
        <w:t>. Executive shall be entitled to a reimbursement for all moving costs, including temporary living expenses and commuting costs incurred prior to Executive’s permanent relocation to California, with all such payments grossed up for federal and state income taxes. The aggregate amount of such reimbursement payments shall not exceed an aggregate of $100,000 plus the amount of any payments related to the tax gross-up previously described. In the event that Executive’s employment with the Company is terminated for Cause prior to the one year anniversary of the Effective Date, Executive shall pay back to the Company all such reimbursement amounts Executive received pursuant to this Section 4.</w:t>
      </w:r>
    </w:p>
    <w:p>
      <w:pPr>
        <w:spacing w:after="0" w:line="166" w:lineRule="exact"/>
        <w:rPr>
          <w:rFonts w:ascii="Arial" w:cs="Arial" w:eastAsia="Arial" w:hAnsi="Arial"/>
          <w:sz w:val="16"/>
          <w:szCs w:val="16"/>
          <w:color w:val="auto"/>
        </w:rPr>
      </w:pPr>
    </w:p>
    <w:p>
      <w:pPr>
        <w:ind w:right="660" w:firstLine="634"/>
        <w:spacing w:after="0" w:line="326" w:lineRule="auto"/>
        <w:tabs>
          <w:tab w:leader="none" w:pos="804" w:val="left"/>
        </w:tabs>
        <w:numPr>
          <w:ilvl w:val="1"/>
          <w:numId w:val="531"/>
        </w:numPr>
        <w:rPr>
          <w:rFonts w:ascii="Arial" w:cs="Arial" w:eastAsia="Arial" w:hAnsi="Arial"/>
          <w:sz w:val="15"/>
          <w:szCs w:val="15"/>
          <w:color w:val="auto"/>
        </w:rPr>
      </w:pPr>
      <w:r>
        <w:rPr>
          <w:rFonts w:ascii="Arial" w:cs="Arial" w:eastAsia="Arial" w:hAnsi="Arial"/>
          <w:sz w:val="15"/>
          <w:szCs w:val="15"/>
          <w:u w:val="single" w:color="auto"/>
          <w:color w:val="auto"/>
        </w:rPr>
        <w:t>Employee Benefits</w:t>
      </w:r>
      <w:r>
        <w:rPr>
          <w:rFonts w:ascii="Arial" w:cs="Arial" w:eastAsia="Arial" w:hAnsi="Arial"/>
          <w:sz w:val="15"/>
          <w:szCs w:val="15"/>
          <w:color w:val="auto"/>
        </w:rPr>
        <w:t>. During the Employment Term, the Executive shall be entitled to participate in employee benefit plans or programs of the Company, if any, to the extent that her position, tenure, salary, age, health and other qualifications make her eligible to participate, subject to the rules and regulations applicable thereto. The Company reserves the right to cancel or change the benefit plans and programs it offers to its employees at any time.</w:t>
      </w:r>
    </w:p>
    <w:p>
      <w:pPr>
        <w:spacing w:after="0" w:line="136" w:lineRule="exact"/>
        <w:rPr>
          <w:rFonts w:ascii="Arial" w:cs="Arial" w:eastAsia="Arial" w:hAnsi="Arial"/>
          <w:sz w:val="15"/>
          <w:szCs w:val="15"/>
          <w:color w:val="auto"/>
        </w:rPr>
      </w:pPr>
    </w:p>
    <w:p>
      <w:pPr>
        <w:ind w:right="20" w:firstLine="634"/>
        <w:spacing w:after="0" w:line="273" w:lineRule="auto"/>
        <w:tabs>
          <w:tab w:leader="none" w:pos="804"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Other Activities</w:t>
      </w:r>
      <w:r>
        <w:rPr>
          <w:rFonts w:ascii="Arial" w:cs="Arial" w:eastAsia="Arial" w:hAnsi="Arial"/>
          <w:sz w:val="17"/>
          <w:szCs w:val="17"/>
          <w:color w:val="auto"/>
        </w:rPr>
        <w:t>. The Executive shall devote substantially all of her working time and efforts during the Company’s normal business hours to the business and affairs of the Company and its subsidiaries and to the diligent and faithful performance of the duties and responsibilities duly assigned to her pursuant to this Agreement, except for vacations, holidays and sickness.</w:t>
      </w:r>
    </w:p>
    <w:p>
      <w:pPr>
        <w:spacing w:after="0" w:line="171" w:lineRule="exact"/>
        <w:rPr>
          <w:rFonts w:ascii="Arial" w:cs="Arial" w:eastAsia="Arial" w:hAnsi="Arial"/>
          <w:sz w:val="17"/>
          <w:szCs w:val="17"/>
          <w:color w:val="auto"/>
        </w:rPr>
      </w:pPr>
    </w:p>
    <w:p>
      <w:pPr>
        <w:ind w:left="800" w:hanging="166"/>
        <w:spacing w:after="0"/>
        <w:tabs>
          <w:tab w:leader="none" w:pos="800"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40" w:firstLine="1263"/>
        <w:spacing w:after="0" w:line="300" w:lineRule="auto"/>
        <w:tabs>
          <w:tab w:leader="none" w:pos="1496" w:val="left"/>
        </w:tabs>
        <w:numPr>
          <w:ilvl w:val="2"/>
          <w:numId w:val="531"/>
        </w:numPr>
        <w:rPr>
          <w:rFonts w:ascii="Arial" w:cs="Arial" w:eastAsia="Arial" w:hAnsi="Arial"/>
          <w:sz w:val="15"/>
          <w:szCs w:val="15"/>
          <w:color w:val="auto"/>
        </w:rPr>
      </w:pPr>
      <w:r>
        <w:rPr>
          <w:rFonts w:ascii="Arial" w:cs="Arial" w:eastAsia="Arial" w:hAnsi="Arial"/>
          <w:sz w:val="15"/>
          <w:szCs w:val="15"/>
          <w:u w:val="single" w:color="auto"/>
          <w:color w:val="auto"/>
        </w:rPr>
        <w:t>Involuntary Termination Not for Cause</w:t>
      </w:r>
      <w:r>
        <w:rPr>
          <w:rFonts w:ascii="Arial" w:cs="Arial" w:eastAsia="Arial" w:hAnsi="Arial"/>
          <w:sz w:val="15"/>
          <w:szCs w:val="15"/>
          <w:color w:val="auto"/>
        </w:rPr>
        <w:t>. If Executive’s employment with the Company terminates other than for Cause (as defined herein), and Executive signs and does not revoke the Company’s severance and release agreement, then, subject to Section 9, Executive shall be entitled to receive:</w:t>
      </w:r>
    </w:p>
    <w:p>
      <w:pPr>
        <w:ind w:right="60" w:firstLine="5"/>
        <w:spacing w:after="0" w:line="282" w:lineRule="auto"/>
        <w:tabs>
          <w:tab w:leader="none" w:pos="209" w:val="left"/>
        </w:tabs>
        <w:numPr>
          <w:ilvl w:val="0"/>
          <w:numId w:val="532"/>
        </w:numPr>
        <w:rPr>
          <w:rFonts w:ascii="Arial" w:cs="Arial" w:eastAsia="Arial" w:hAnsi="Arial"/>
          <w:sz w:val="16"/>
          <w:szCs w:val="16"/>
          <w:color w:val="auto"/>
        </w:rPr>
      </w:pPr>
      <w:r>
        <w:rPr>
          <w:rFonts w:ascii="Arial" w:cs="Arial" w:eastAsia="Arial" w:hAnsi="Arial"/>
          <w:sz w:val="16"/>
          <w:szCs w:val="16"/>
          <w:color w:val="auto"/>
        </w:rPr>
        <w:t>continuing payments of severance pay (less applicable withholding taxes) at a rate equal to her Base Salary rate, as then in effect, for a period of six (6) months from the date of such termination, to be paid periodically in accordance with the Company’s normal payroll policies or in one lump sum payment at the discretion of the Company; (ii) payment of any Bonus amount earned (pro-rated to reflect the date of termination) pursuant to Section 3(b) of this Agreement; and (iii) a number of the shares of common stock subject to the RSPA (and any other outstanding stock options then held by Executive) that would have vested had Executive remained employed by the Company for six (6) months following the date of termination shall automatically vest and become exercisable.</w:t>
      </w:r>
    </w:p>
    <w:p>
      <w:pPr>
        <w:spacing w:after="0" w:line="165" w:lineRule="exact"/>
        <w:rPr>
          <w:rFonts w:ascii="Arial" w:cs="Arial" w:eastAsia="Arial" w:hAnsi="Arial"/>
          <w:sz w:val="16"/>
          <w:szCs w:val="16"/>
          <w:color w:val="auto"/>
        </w:rPr>
      </w:pPr>
    </w:p>
    <w:p>
      <w:pPr>
        <w:ind w:right="360" w:firstLine="1263"/>
        <w:spacing w:after="0" w:line="289" w:lineRule="auto"/>
        <w:tabs>
          <w:tab w:leader="none" w:pos="1506" w:val="left"/>
        </w:tabs>
        <w:numPr>
          <w:ilvl w:val="2"/>
          <w:numId w:val="532"/>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Executive’s employment with the Company is terminated for Cause by the Company, then (i) all vesting of the Restricted Shares will terminate</w:t>
      </w:r>
    </w:p>
    <w:p>
      <w:pPr>
        <w:sectPr>
          <w:pgSz w:w="11900" w:h="16838" w:orient="portrait"/>
          <w:cols w:equalWidth="0" w:num="1">
            <w:col w:w="11420"/>
          </w:cols>
          <w:pgMar w:left="240" w:top="357" w:right="239" w:bottom="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immediately and all payments of compensation by the Company to Executive hereunder will terminate immediately (except as to amounts already earned), and</w:t>
      </w:r>
    </w:p>
    <w:p>
      <w:pPr>
        <w:spacing w:after="0" w:line="38" w:lineRule="exact"/>
        <w:rPr>
          <w:sz w:val="20"/>
          <w:szCs w:val="20"/>
          <w:color w:val="auto"/>
        </w:rPr>
      </w:pPr>
    </w:p>
    <w:p>
      <w:pPr>
        <w:ind w:left="260" w:hanging="255"/>
        <w:spacing w:after="0"/>
        <w:tabs>
          <w:tab w:leader="none" w:pos="2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Executive will only be eligible for severance benefits in accordance with the Company’s established policies as then in effect.</w:t>
      </w:r>
    </w:p>
    <w:p>
      <w:pPr>
        <w:spacing w:after="0" w:line="212" w:lineRule="exact"/>
        <w:rPr>
          <w:rFonts w:ascii="Arial" w:cs="Arial" w:eastAsia="Arial" w:hAnsi="Arial"/>
          <w:sz w:val="17"/>
          <w:szCs w:val="17"/>
          <w:color w:val="auto"/>
        </w:rPr>
      </w:pPr>
    </w:p>
    <w:p>
      <w:pPr>
        <w:ind w:left="1500" w:hanging="237"/>
        <w:spacing w:after="0"/>
        <w:tabs>
          <w:tab w:leader="none" w:pos="1500" w:val="left"/>
        </w:tabs>
        <w:numPr>
          <w:ilvl w:val="4"/>
          <w:numId w:val="533"/>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The Company may terminate the Executive’s employment for Cause. For all purposes under this Agreement, “Cause” shall mean:</w:t>
      </w:r>
    </w:p>
    <w:p>
      <w:pPr>
        <w:spacing w:after="0" w:line="235" w:lineRule="exact"/>
        <w:rPr>
          <w:rFonts w:ascii="Arial" w:cs="Arial" w:eastAsia="Arial" w:hAnsi="Arial"/>
          <w:sz w:val="16"/>
          <w:szCs w:val="16"/>
          <w:color w:val="auto"/>
        </w:rPr>
      </w:pPr>
    </w:p>
    <w:p>
      <w:pPr>
        <w:ind w:left="2280" w:hanging="488"/>
        <w:spacing w:after="0"/>
        <w:tabs>
          <w:tab w:leader="none" w:pos="228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the willful or grossly negligent failure by Executive to substantially perform her duties hereunder,</w:t>
      </w:r>
    </w:p>
    <w:p>
      <w:pPr>
        <w:spacing w:after="0" w:line="224" w:lineRule="exact"/>
        <w:rPr>
          <w:rFonts w:ascii="Arial" w:cs="Arial" w:eastAsia="Arial" w:hAnsi="Arial"/>
          <w:sz w:val="17"/>
          <w:szCs w:val="17"/>
          <w:color w:val="auto"/>
        </w:rPr>
      </w:pPr>
    </w:p>
    <w:p>
      <w:pPr>
        <w:ind w:left="2300" w:hanging="508"/>
        <w:spacing w:after="0"/>
        <w:tabs>
          <w:tab w:leader="none" w:pos="230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Executive’s commission of gross misconduct which is injurious to the Company,</w:t>
      </w:r>
    </w:p>
    <w:p>
      <w:pPr>
        <w:spacing w:after="0" w:line="224" w:lineRule="exact"/>
        <w:rPr>
          <w:rFonts w:ascii="Arial" w:cs="Arial" w:eastAsia="Arial" w:hAnsi="Arial"/>
          <w:sz w:val="17"/>
          <w:szCs w:val="17"/>
          <w:color w:val="auto"/>
        </w:rPr>
      </w:pPr>
    </w:p>
    <w:p>
      <w:pPr>
        <w:ind w:left="2300" w:hanging="508"/>
        <w:spacing w:after="0"/>
        <w:tabs>
          <w:tab w:leader="none" w:pos="230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breach by Executive of a material provision of this agreement or the agreements incorporated herein by reference,</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a material violation of a federal or state law or regulation applicable to the business of the Company,</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33"/>
        </w:numPr>
        <w:rPr>
          <w:rFonts w:ascii="Arial" w:cs="Arial" w:eastAsia="Arial" w:hAnsi="Arial"/>
          <w:sz w:val="16"/>
          <w:szCs w:val="16"/>
          <w:color w:val="auto"/>
        </w:rPr>
      </w:pPr>
      <w:r>
        <w:rPr>
          <w:rFonts w:ascii="Arial" w:cs="Arial" w:eastAsia="Arial" w:hAnsi="Arial"/>
          <w:sz w:val="16"/>
          <w:szCs w:val="16"/>
          <w:color w:val="auto"/>
        </w:rPr>
        <w:t>misappropriation or embezzlement of Company funds or an act of fraud or dishonesty upon the Company made by Executive,</w:t>
      </w:r>
    </w:p>
    <w:p>
      <w:pPr>
        <w:spacing w:after="0" w:line="235" w:lineRule="exact"/>
        <w:rPr>
          <w:rFonts w:ascii="Arial" w:cs="Arial" w:eastAsia="Arial" w:hAnsi="Arial"/>
          <w:sz w:val="16"/>
          <w:szCs w:val="16"/>
          <w:color w:val="auto"/>
        </w:rPr>
      </w:pPr>
    </w:p>
    <w:p>
      <w:pPr>
        <w:ind w:left="2280" w:hanging="488"/>
        <w:spacing w:after="0"/>
        <w:tabs>
          <w:tab w:leader="none" w:pos="228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 xml:space="preserve">Executive’s conviction of, or plea of </w:t>
      </w:r>
      <w:r>
        <w:rPr>
          <w:rFonts w:ascii="Arial" w:cs="Arial" w:eastAsia="Arial" w:hAnsi="Arial"/>
          <w:sz w:val="17"/>
          <w:szCs w:val="17"/>
          <w:u w:val="single" w:color="auto"/>
          <w:color w:val="auto"/>
        </w:rPr>
        <w:t>nolo contendre</w:t>
      </w:r>
      <w:r>
        <w:rPr>
          <w:rFonts w:ascii="Arial" w:cs="Arial" w:eastAsia="Arial" w:hAnsi="Arial"/>
          <w:sz w:val="17"/>
          <w:szCs w:val="17"/>
          <w:color w:val="auto"/>
        </w:rPr>
        <w:t xml:space="preserve"> to, a felony; or</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33"/>
        </w:numPr>
        <w:rPr>
          <w:rFonts w:ascii="Arial" w:cs="Arial" w:eastAsia="Arial" w:hAnsi="Arial"/>
          <w:sz w:val="17"/>
          <w:szCs w:val="17"/>
          <w:color w:val="auto"/>
        </w:rPr>
      </w:pPr>
      <w:r>
        <w:rPr>
          <w:rFonts w:ascii="Arial" w:cs="Arial" w:eastAsia="Arial" w:hAnsi="Arial"/>
          <w:sz w:val="17"/>
          <w:szCs w:val="17"/>
          <w:color w:val="auto"/>
        </w:rPr>
        <w:t>Executive’s continued failure to comply with directives of the Board.</w:t>
      </w:r>
    </w:p>
    <w:p>
      <w:pPr>
        <w:spacing w:after="0" w:line="224" w:lineRule="exact"/>
        <w:rPr>
          <w:rFonts w:ascii="Arial" w:cs="Arial" w:eastAsia="Arial" w:hAnsi="Arial"/>
          <w:sz w:val="17"/>
          <w:szCs w:val="17"/>
          <w:color w:val="auto"/>
        </w:rPr>
      </w:pPr>
    </w:p>
    <w:p>
      <w:pPr>
        <w:ind w:right="560" w:firstLine="1158"/>
        <w:spacing w:after="0" w:line="289" w:lineRule="auto"/>
        <w:tabs>
          <w:tab w:leader="none" w:pos="1401" w:val="left"/>
        </w:tabs>
        <w:numPr>
          <w:ilvl w:val="3"/>
          <w:numId w:val="53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shall terminate in event of her death. The Company shall have no obligation to pay or provide any compensation or benefits under this Agreement on account of the Executive’s death, or for periods following Executive’s death.</w:t>
      </w:r>
    </w:p>
    <w:p>
      <w:pPr>
        <w:spacing w:after="0" w:line="158" w:lineRule="exact"/>
        <w:rPr>
          <w:rFonts w:ascii="Arial" w:cs="Arial" w:eastAsia="Arial" w:hAnsi="Arial"/>
          <w:sz w:val="17"/>
          <w:szCs w:val="17"/>
          <w:color w:val="auto"/>
        </w:rPr>
      </w:pPr>
    </w:p>
    <w:p>
      <w:pPr>
        <w:ind w:right="40" w:firstLine="634"/>
        <w:spacing w:after="0" w:line="263" w:lineRule="auto"/>
        <w:tabs>
          <w:tab w:leader="none" w:pos="804" w:val="left"/>
        </w:tabs>
        <w:numPr>
          <w:ilvl w:val="1"/>
          <w:numId w:val="533"/>
        </w:numPr>
        <w:rPr>
          <w:rFonts w:ascii="Arial" w:cs="Arial" w:eastAsia="Arial" w:hAnsi="Arial"/>
          <w:sz w:val="17"/>
          <w:szCs w:val="17"/>
          <w:color w:val="auto"/>
        </w:rPr>
      </w:pPr>
      <w:r>
        <w:rPr>
          <w:rFonts w:ascii="Arial" w:cs="Arial" w:eastAsia="Arial" w:hAnsi="Arial"/>
          <w:sz w:val="17"/>
          <w:szCs w:val="17"/>
          <w:u w:val="single" w:color="auto"/>
          <w:color w:val="auto"/>
        </w:rPr>
        <w:t>Proprietary Information</w:t>
      </w:r>
      <w:r>
        <w:rPr>
          <w:rFonts w:ascii="Arial" w:cs="Arial" w:eastAsia="Arial" w:hAnsi="Arial"/>
          <w:sz w:val="17"/>
          <w:szCs w:val="17"/>
          <w:color w:val="auto"/>
        </w:rPr>
        <w:t xml:space="preserve">. During the Employment Term and thereafter, the Executive shall not, without the prior written consent of the Board of Directors, disclose or use for any purpose (except in the course of her employment under this Agreement and in furtherance of the business of the Company or any of its affiliates or subsidiaries) any confidential information or proprietary data of the Company. As an express condition of the Executive’s employment with the Company, the Executive agrees to execute confidentiality agreements as requested by the Company, including but not limited to the Company’s standard Confidential Information and Invention Assignment Agreement (the “Confidentiality Agreement”),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incorporated herein by reference.</w:t>
      </w:r>
    </w:p>
    <w:p>
      <w:pPr>
        <w:spacing w:after="0" w:line="183" w:lineRule="exact"/>
        <w:rPr>
          <w:rFonts w:ascii="Arial" w:cs="Arial" w:eastAsia="Arial" w:hAnsi="Arial"/>
          <w:sz w:val="17"/>
          <w:szCs w:val="17"/>
          <w:color w:val="auto"/>
        </w:rPr>
      </w:pPr>
    </w:p>
    <w:p>
      <w:pPr>
        <w:ind w:left="800" w:hanging="166"/>
        <w:spacing w:after="0"/>
        <w:tabs>
          <w:tab w:leader="none" w:pos="800" w:val="left"/>
        </w:tabs>
        <w:numPr>
          <w:ilvl w:val="1"/>
          <w:numId w:val="533"/>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firstLine="1137"/>
        <w:spacing w:after="0" w:line="273" w:lineRule="auto"/>
        <w:tabs>
          <w:tab w:leader="none" w:pos="1370" w:val="left"/>
        </w:tabs>
        <w:numPr>
          <w:ilvl w:val="2"/>
          <w:numId w:val="533"/>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twelve (12) months after the termination of Executive’s employment with the Company for any reason, Executive agrees and acknowledges that Executive will not either directly or indirectly solicit, induce, attempt to hire, recruit, encourage, take away, hire any employee of the Company or cause an employee to leave his or her employment either for Executive or for any other entity or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63"/>
        <w:spacing w:after="0" w:line="273" w:lineRule="auto"/>
        <w:tabs>
          <w:tab w:leader="none" w:pos="1506" w:val="left"/>
        </w:tabs>
        <w:numPr>
          <w:ilvl w:val="1"/>
          <w:numId w:val="534"/>
        </w:numPr>
        <w:rPr>
          <w:rFonts w:ascii="Arial" w:cs="Arial" w:eastAsia="Arial" w:hAnsi="Arial"/>
          <w:sz w:val="17"/>
          <w:szCs w:val="17"/>
          <w:color w:val="auto"/>
        </w:rPr>
      </w:pPr>
      <w:r>
        <w:rPr>
          <w:rFonts w:ascii="Arial" w:cs="Arial" w:eastAsia="Arial" w:hAnsi="Arial"/>
          <w:sz w:val="17"/>
          <w:szCs w:val="17"/>
          <w:u w:val="single" w:color="auto"/>
          <w:color w:val="auto"/>
        </w:rPr>
        <w:t>Understanding of Covenants</w:t>
      </w:r>
      <w:r>
        <w:rPr>
          <w:rFonts w:ascii="Arial" w:cs="Arial" w:eastAsia="Arial" w:hAnsi="Arial"/>
          <w:sz w:val="17"/>
          <w:szCs w:val="17"/>
          <w:color w:val="auto"/>
        </w:rPr>
        <w:t>. Executive represents that she (i) is familiar with the foregoing covenant not to solicit, and (ii) is fully aware of her obligations hereunder, including, without limitation, the reasonableness of the length of time of this covenant, and (iii) agrees that the length of time of this covenant is reasonable and necessary to protect the interests of the Company.</w:t>
      </w:r>
    </w:p>
    <w:p>
      <w:pPr>
        <w:spacing w:after="0" w:line="171" w:lineRule="exact"/>
        <w:rPr>
          <w:rFonts w:ascii="Arial" w:cs="Arial" w:eastAsia="Arial" w:hAnsi="Arial"/>
          <w:sz w:val="17"/>
          <w:szCs w:val="17"/>
          <w:color w:val="auto"/>
        </w:rPr>
      </w:pPr>
    </w:p>
    <w:p>
      <w:pPr>
        <w:ind w:right="80" w:firstLine="1263"/>
        <w:spacing w:after="0" w:line="322" w:lineRule="auto"/>
        <w:tabs>
          <w:tab w:leader="none" w:pos="1496"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Conditional Nature of Severance Payments</w:t>
      </w:r>
      <w:r>
        <w:rPr>
          <w:rFonts w:ascii="Arial" w:cs="Arial" w:eastAsia="Arial" w:hAnsi="Arial"/>
          <w:sz w:val="16"/>
          <w:szCs w:val="16"/>
          <w:color w:val="auto"/>
        </w:rPr>
        <w:t>. Executive agrees and acknowledges that Executive’s right to receive the severance payments set forth in Section 7 (to the extent Executive is otherwise entitled to such payments) shall be conditioned upon compliance with the restriction in this Section 9.</w:t>
      </w:r>
    </w:p>
    <w:p>
      <w:pPr>
        <w:spacing w:after="0" w:line="135" w:lineRule="exact"/>
        <w:rPr>
          <w:rFonts w:ascii="Arial" w:cs="Arial" w:eastAsia="Arial" w:hAnsi="Arial"/>
          <w:sz w:val="16"/>
          <w:szCs w:val="16"/>
          <w:color w:val="auto"/>
        </w:rPr>
      </w:pPr>
    </w:p>
    <w:p>
      <w:pPr>
        <w:ind w:right="60" w:firstLine="634"/>
        <w:spacing w:after="0" w:line="289" w:lineRule="auto"/>
        <w:tabs>
          <w:tab w:leader="none" w:pos="891"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Right to Advice of Counsel</w:t>
      </w:r>
      <w:r>
        <w:rPr>
          <w:rFonts w:ascii="Arial" w:cs="Arial" w:eastAsia="Arial" w:hAnsi="Arial"/>
          <w:sz w:val="17"/>
          <w:szCs w:val="17"/>
          <w:color w:val="auto"/>
        </w:rPr>
        <w:t>. The Executive acknowledges that she has had the opportunity to consult with counsel and is fully aware of her rights and obligations under this Agreement.</w:t>
      </w:r>
    </w:p>
    <w:p>
      <w:pPr>
        <w:spacing w:after="0" w:line="158" w:lineRule="exact"/>
        <w:rPr>
          <w:rFonts w:ascii="Arial" w:cs="Arial" w:eastAsia="Arial" w:hAnsi="Arial"/>
          <w:sz w:val="17"/>
          <w:szCs w:val="17"/>
          <w:color w:val="auto"/>
        </w:rPr>
      </w:pPr>
    </w:p>
    <w:p>
      <w:pPr>
        <w:ind w:firstLine="634"/>
        <w:spacing w:after="0" w:line="283" w:lineRule="auto"/>
        <w:tabs>
          <w:tab w:leader="none" w:pos="1278"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66" w:lineRule="exact"/>
        <w:rPr>
          <w:rFonts w:ascii="Arial" w:cs="Arial" w:eastAsia="Arial" w:hAnsi="Arial"/>
          <w:sz w:val="16"/>
          <w:szCs w:val="16"/>
          <w:color w:val="auto"/>
        </w:rPr>
      </w:pPr>
    </w:p>
    <w:p>
      <w:pPr>
        <w:ind w:right="100" w:firstLine="634"/>
        <w:spacing w:after="0" w:line="268" w:lineRule="auto"/>
        <w:tabs>
          <w:tab w:leader="none" w:pos="1284"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called for hereunder will be in writing and will be deemed given (a) on the date of delivery if delivered personally; (b) one (1) day after being sent overnight by a well-established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the Company: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Attn</w:t>
      </w:r>
      <w:r>
        <w:rPr>
          <w:rFonts w:ascii="Arial" w:cs="Arial" w:eastAsia="Arial" w:hAnsi="Arial"/>
          <w:sz w:val="17"/>
          <w:szCs w:val="17"/>
          <w:color w:val="auto"/>
        </w:rPr>
        <w:t>: Chairman of the Board of Directors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Corporate Secretary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Calderome, Inc.</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3000 Sand Hill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Building 4, Suite 210.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Menlo Park, CA 94025</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Executive: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 the last residential address known by the Company.</w:t>
      </w:r>
    </w:p>
    <w:p>
      <w:pPr>
        <w:sectPr>
          <w:pgSz w:w="11900" w:h="16838" w:orient="portrait"/>
          <w:cols w:equalWidth="0" w:num="1">
            <w:col w:w="11420"/>
          </w:cols>
          <w:pgMar w:left="240" w:top="127" w:right="239" w:bottom="0" w:gutter="0" w:footer="0" w:header="0"/>
        </w:sectPr>
      </w:pPr>
    </w:p>
    <w:bookmarkStart w:id="349" w:name="page350"/>
    <w:bookmarkEnd w:id="349"/>
    <w:p>
      <w:pPr>
        <w:ind w:right="520" w:firstLine="634"/>
        <w:spacing w:after="0" w:line="289" w:lineRule="auto"/>
        <w:tabs>
          <w:tab w:leader="none" w:pos="1284"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hereof becomes or is declared by a court of competent jurisdiction to be illegal, unenforceable, or void, this Agreement will continue in full force and effect without said provision.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8" w:lineRule="auto"/>
        <w:tabs>
          <w:tab w:leader="none" w:pos="128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any and all disputes arising out of the terras of this Agreement, Executive’s employment by the Company, Executive’s service as an officer or director of the Company, or Executive’s compensation and benefits, their interpretation and any of the matters herein released, will he subject to binding arbitration. In the event of a dispute, the parties (or their legal representatives) will promptly confer to select a Single Arbitrator mutually acceptable to both parties. If the parties cannot agree on an Arbitrator, then the moving party may file a Demand for Arbitration with the American Arbitration Association (“AAA”) in Santa Clara, California, who will be selected and appointed consistent with the AAA-Employment Dispute Resolution Rules, except that such Arbitrator must have the qualifications set forth in this paragraph. Any arbitration will be conducted in a manner consistent with AAA National Rules for the Resolution of Employment Disputes, supplemented by the California Rules of Civil Procedure. The Parties further agree that the prevailing party in any arbitration will be entitled to injunctive relief in any court of competent jurisdiction to enforce the arbitration award. </w:t>
      </w:r>
      <w:r>
        <w:rPr>
          <w:rFonts w:ascii="Arial" w:cs="Arial" w:eastAsia="Arial" w:hAnsi="Arial"/>
          <w:sz w:val="16"/>
          <w:szCs w:val="16"/>
          <w:b w:val="1"/>
          <w:bCs w:val="1"/>
          <w:color w:val="auto"/>
        </w:rPr>
        <w:t>The Parties hereby agree to waive their right to have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any dispute between them resolved in a court of law by a judge or jury. </w:t>
      </w:r>
      <w:r>
        <w:rPr>
          <w:rFonts w:ascii="Arial" w:cs="Arial" w:eastAsia="Arial" w:hAnsi="Arial"/>
          <w:sz w:val="16"/>
          <w:szCs w:val="16"/>
          <w:color w:val="auto"/>
        </w:rPr>
        <w:t>This paragraph will not prevent either party from seeking injunctive relief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provisional remedy) from any court having jurisdiction over the Parties and the subject matter of their dispute relating to Executive’s obligations under this Agreement and the Confidentiality Agreement.</w:t>
      </w:r>
    </w:p>
    <w:p>
      <w:pPr>
        <w:spacing w:after="0" w:line="172" w:lineRule="exact"/>
        <w:rPr>
          <w:rFonts w:ascii="Arial" w:cs="Arial" w:eastAsia="Arial" w:hAnsi="Arial"/>
          <w:sz w:val="16"/>
          <w:szCs w:val="16"/>
          <w:color w:val="auto"/>
        </w:rPr>
      </w:pPr>
    </w:p>
    <w:p>
      <w:pPr>
        <w:ind w:right="20" w:firstLine="634"/>
        <w:spacing w:after="0" w:line="263" w:lineRule="auto"/>
        <w:tabs>
          <w:tab w:leader="none" w:pos="1284"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Confidentiality Agreement and the standard forms of equity award grant that describe Executive’s outstanding equity awards, represents the entire agreement and understanding between the parties as to the subject matter herein and supersedes all prior or contemporaneous agreements whether written or oral. The Company and Executive agree to work together in good faith to consider amendments to this Agreement and to take such reasonable actions which are necessary, appropriate or desirable to avoid imposition of any additional tax or income recognition under Section 409A prior to actual payment to Executive. No waiver, alteration, or modification of any of the provisions of this Agreement will be binding unless in writing and signed by duly authorized representatives of the parties hereto.</w:t>
      </w:r>
    </w:p>
    <w:p>
      <w:pPr>
        <w:spacing w:after="0" w:line="183" w:lineRule="exact"/>
        <w:rPr>
          <w:rFonts w:ascii="Arial" w:cs="Arial" w:eastAsia="Arial" w:hAnsi="Arial"/>
          <w:sz w:val="17"/>
          <w:szCs w:val="17"/>
          <w:color w:val="auto"/>
        </w:rPr>
      </w:pPr>
    </w:p>
    <w:p>
      <w:pPr>
        <w:ind w:right="540" w:firstLine="634"/>
        <w:spacing w:after="0" w:line="289" w:lineRule="auto"/>
        <w:tabs>
          <w:tab w:leader="none" w:pos="1284"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Waiver of Breach</w:t>
      </w:r>
      <w:r>
        <w:rPr>
          <w:rFonts w:ascii="Arial" w:cs="Arial" w:eastAsia="Arial" w:hAnsi="Arial"/>
          <w:sz w:val="17"/>
          <w:szCs w:val="17"/>
          <w:color w:val="auto"/>
        </w:rPr>
        <w:t>. The waiver of a breach of any term or provision of this Agreement, which must be in writing, will not operate as or be construed to be a waiver of any other previous or subsequent breach of this Agreement.</w:t>
      </w:r>
    </w:p>
    <w:p>
      <w:pPr>
        <w:spacing w:after="0" w:line="158" w:lineRule="exact"/>
        <w:rPr>
          <w:rFonts w:ascii="Arial" w:cs="Arial" w:eastAsia="Arial" w:hAnsi="Arial"/>
          <w:sz w:val="17"/>
          <w:szCs w:val="17"/>
          <w:color w:val="auto"/>
        </w:rPr>
      </w:pPr>
    </w:p>
    <w:p>
      <w:pPr>
        <w:ind w:right="820" w:firstLine="634"/>
        <w:spacing w:after="0" w:line="289" w:lineRule="auto"/>
        <w:tabs>
          <w:tab w:leader="none" w:pos="1284"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Confidentiality Agreement and the Company’s and Executive’s responsibilities under Sections 8 and 9 will survive the termination of this Agreement.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All captions and Section headings used in this Agreement are for convenient reference only and do not form apart of this Agreement.</w:t>
      </w:r>
    </w:p>
    <w:p>
      <w:pPr>
        <w:spacing w:after="0" w:line="247" w:lineRule="exact"/>
        <w:rPr>
          <w:rFonts w:ascii="Arial" w:cs="Arial" w:eastAsia="Arial" w:hAnsi="Arial"/>
          <w:sz w:val="15"/>
          <w:szCs w:val="15"/>
          <w:color w:val="auto"/>
        </w:rPr>
      </w:pPr>
    </w:p>
    <w:p>
      <w:pPr>
        <w:ind w:left="1280" w:hanging="646"/>
        <w:spacing w:after="0"/>
        <w:tabs>
          <w:tab w:leader="none" w:pos="1280"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All payments made pursuant to this Agreement will be subject to withholding of applicable taxes.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to its conflict of laws provisions.</w:t>
      </w:r>
    </w:p>
    <w:p>
      <w:pPr>
        <w:spacing w:after="0" w:line="224" w:lineRule="exact"/>
        <w:rPr>
          <w:rFonts w:ascii="Arial" w:cs="Arial" w:eastAsia="Arial" w:hAnsi="Arial"/>
          <w:sz w:val="17"/>
          <w:szCs w:val="17"/>
          <w:color w:val="auto"/>
        </w:rPr>
      </w:pPr>
    </w:p>
    <w:p>
      <w:pPr>
        <w:ind w:right="460" w:firstLine="634"/>
        <w:spacing w:after="0" w:line="289" w:lineRule="auto"/>
        <w:tabs>
          <w:tab w:leader="none" w:pos="1284"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Executive acknowledges that she has had the opportunity to discuss this matter with and obtain advice from her private attorney, has had sufficient time to,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has carefully read and fully understands all the provisions of this Agreement, and is knowingly and voluntarily entering into this Agreement.</w:t>
      </w:r>
    </w:p>
    <w:p>
      <w:pPr>
        <w:spacing w:after="0" w:line="224" w:lineRule="exact"/>
        <w:rPr>
          <w:sz w:val="20"/>
          <w:szCs w:val="20"/>
          <w:color w:val="auto"/>
        </w:rPr>
      </w:pPr>
    </w:p>
    <w:p>
      <w:pPr>
        <w:ind w:right="20" w:firstLine="634"/>
        <w:spacing w:after="0" w:line="289" w:lineRule="auto"/>
        <w:tabs>
          <w:tab w:leader="none" w:pos="1284" w:val="left"/>
        </w:tabs>
        <w:numPr>
          <w:ilvl w:val="0"/>
          <w:numId w:val="538"/>
        </w:numPr>
        <w:rPr>
          <w:rFonts w:ascii="Arial" w:cs="Arial" w:eastAsia="Arial" w:hAnsi="Arial"/>
          <w:sz w:val="17"/>
          <w:szCs w:val="17"/>
          <w:color w:val="auto"/>
        </w:rPr>
      </w:pPr>
      <w:r>
        <w:rPr>
          <w:rFonts w:ascii="Arial" w:cs="Arial" w:eastAsia="Arial" w:hAnsi="Arial"/>
          <w:sz w:val="17"/>
          <w:szCs w:val="17"/>
          <w:u w:val="single" w:color="auto"/>
          <w:color w:val="auto"/>
        </w:rPr>
        <w:t>Conditions</w:t>
      </w:r>
      <w:r>
        <w:rPr>
          <w:rFonts w:ascii="Arial" w:cs="Arial" w:eastAsia="Arial" w:hAnsi="Arial"/>
          <w:sz w:val="17"/>
          <w:szCs w:val="17"/>
          <w:color w:val="auto"/>
        </w:rPr>
        <w:t>. This offer is conditioned upon Executive providing to Company references relating to Executive’s employment in a form acceptable to the Company, and Company’s satisfactory review of such references.</w:t>
      </w:r>
    </w:p>
    <w:p>
      <w:pPr>
        <w:spacing w:after="0" w:line="158" w:lineRule="exact"/>
        <w:rPr>
          <w:rFonts w:ascii="Arial" w:cs="Arial" w:eastAsia="Arial" w:hAnsi="Arial"/>
          <w:sz w:val="17"/>
          <w:szCs w:val="17"/>
          <w:color w:val="auto"/>
        </w:rPr>
      </w:pPr>
    </w:p>
    <w:p>
      <w:pPr>
        <w:ind w:right="20" w:firstLine="634"/>
        <w:spacing w:after="0" w:line="278" w:lineRule="auto"/>
        <w:tabs>
          <w:tab w:leader="none" w:pos="1241" w:val="left"/>
        </w:tabs>
        <w:numPr>
          <w:ilvl w:val="0"/>
          <w:numId w:val="538"/>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Notwithstanding anything to the contrary in this Agreement, if Employee is a “specified employee” within the meaning of Section 409A of the Code and any final regulations and guidance promulgated thereunder (“</w:t>
      </w:r>
      <w:r>
        <w:rPr>
          <w:rFonts w:ascii="Arial" w:cs="Arial" w:eastAsia="Arial" w:hAnsi="Arial"/>
          <w:sz w:val="16"/>
          <w:szCs w:val="16"/>
          <w:b w:val="1"/>
          <w:bCs w:val="1"/>
          <w:color w:val="auto"/>
        </w:rPr>
        <w:t>Section 409A</w:t>
      </w:r>
      <w:r>
        <w:rPr>
          <w:rFonts w:ascii="Arial" w:cs="Arial" w:eastAsia="Arial" w:hAnsi="Arial"/>
          <w:sz w:val="16"/>
          <w:szCs w:val="16"/>
          <w:color w:val="auto"/>
        </w:rPr>
        <w:t>”) at the time of Employee’s termination, then only that portion of the severance payable to Employee pursuant to this Agreement, if any, and any other severance payments or separation benefits which may be considered deferred compensation under Section 409A (together, the “</w:t>
      </w:r>
      <w:r>
        <w:rPr>
          <w:rFonts w:ascii="Arial" w:cs="Arial" w:eastAsia="Arial" w:hAnsi="Arial"/>
          <w:sz w:val="16"/>
          <w:szCs w:val="16"/>
          <w:b w:val="1"/>
          <w:bCs w:val="1"/>
          <w:color w:val="auto"/>
        </w:rPr>
        <w:t>Deferred Compensation Separation Benefits</w:t>
      </w:r>
      <w:r>
        <w:rPr>
          <w:rFonts w:ascii="Arial" w:cs="Arial" w:eastAsia="Arial" w:hAnsi="Arial"/>
          <w:sz w:val="16"/>
          <w:szCs w:val="16"/>
          <w:color w:val="auto"/>
        </w:rPr>
        <w:t>”), which (when considered together) do not exceed the Section 409A Limit (as defined herein) may be made within the first six (6) months following Employee’s termination of employment in accordance with the payment schedule applicable to each payment or benefit. Any portion of the Deferred Compensation Separation Benefits in excess of the Section 409A Limit otherwise due to Employee on or within the six (6) month period following Employee’s termination will accrue during such six (6) month period and will become payable in a lump sum payment on the date six (6) months and one (1) day following the date of Employee’s termination of employment. All subsequent Deferred Compensation Separation Benefits, if any, will be payable in accordance with the payment schedule applicable to each payment or benefit. It is the intent of this Agreement to comply with the requirements of Section 409A so that none of the severance payments and benefits to be provided hereunder will be subject to the additional tax imposed under Section 409A, and any ambiguities herein will be interpreted to so comply.</w:t>
      </w:r>
    </w:p>
    <w:p>
      <w:pPr>
        <w:spacing w:after="0" w:line="167"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Section 409A Limit</w:t>
      </w:r>
      <w:r>
        <w:rPr>
          <w:rFonts w:ascii="Arial" w:cs="Arial" w:eastAsia="Arial" w:hAnsi="Arial"/>
          <w:sz w:val="17"/>
          <w:szCs w:val="17"/>
          <w:color w:val="auto"/>
        </w:rPr>
        <w:t>” will mean the lesser of two (2) times: (i) Executive’s annualized compensation based upon the annual rate of pay paid to Executive during the Company’s taxable year preceding the Company’s taxable year of Executive’s termination of employment as determined under Treasury Regulation 1.409A-1 (b)(9)(iii)(A)(l)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7" w:lineRule="exact"/>
        <w:rPr>
          <w:sz w:val="20"/>
          <w:szCs w:val="20"/>
          <w:color w:val="auto"/>
        </w:rPr>
      </w:pPr>
    </w:p>
    <w:p>
      <w:pPr>
        <w:ind w:right="60" w:firstLine="634"/>
        <w:spacing w:after="0" w:line="289" w:lineRule="auto"/>
        <w:tabs>
          <w:tab w:leader="none" w:pos="1284"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each counterpart will have the same force and effect as an original and will constitute an effective, binding agreement on the part of each of the undersigned.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508" w:gutter="0" w:footer="0" w:header="0"/>
        </w:sectPr>
      </w:pPr>
    </w:p>
    <w:bookmarkStart w:id="350" w:name="page351"/>
    <w:bookmarkEnd w:id="350"/>
    <w:p>
      <w:pPr>
        <w:ind w:right="100" w:firstLine="524"/>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their duly authorized officers, as of the day and year first above written.</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CALDEROME,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gridSpan w:val="2"/>
          </w:tcPr>
          <w:p>
            <w:pPr>
              <w:spacing w:after="0"/>
              <w:rPr>
                <w:sz w:val="20"/>
                <w:szCs w:val="20"/>
                <w:color w:val="auto"/>
              </w:rPr>
            </w:pPr>
            <w:r>
              <w:rPr>
                <w:rFonts w:ascii="Arial" w:cs="Arial" w:eastAsia="Arial" w:hAnsi="Arial"/>
                <w:sz w:val="17"/>
                <w:szCs w:val="17"/>
                <w:color w:val="auto"/>
              </w:rPr>
              <w:t>By:   /s/ Brian Atwood</w:t>
            </w:r>
          </w:p>
        </w:tc>
        <w:tc>
          <w:tcPr>
            <w:tcW w:w="5940" w:type="dxa"/>
            <w:vAlign w:val="bottom"/>
            <w:gridSpan w:val="3"/>
          </w:tcPr>
          <w:p>
            <w:pPr>
              <w:ind w:left="26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19"/>
                <w:szCs w:val="19"/>
                <w:color w:val="auto"/>
              </w:rPr>
            </w:pPr>
          </w:p>
        </w:tc>
      </w:tr>
      <w:tr>
        <w:trPr>
          <w:trHeight w:val="191"/>
        </w:trPr>
        <w:tc>
          <w:tcPr>
            <w:tcW w:w="460" w:type="dxa"/>
            <w:vAlign w:val="bottom"/>
          </w:tcPr>
          <w:p>
            <w:pPr>
              <w:spacing w:after="0"/>
              <w:rPr>
                <w:sz w:val="16"/>
                <w:szCs w:val="16"/>
                <w:color w:val="auto"/>
              </w:rPr>
            </w:pPr>
          </w:p>
        </w:tc>
        <w:tc>
          <w:tcPr>
            <w:tcW w:w="50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Brian Atwood</w:t>
            </w:r>
          </w:p>
        </w:tc>
        <w:tc>
          <w:tcPr>
            <w:tcW w:w="2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Chairman of the Board</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5480" w:type="dxa"/>
            <w:vAlign w:val="bottom"/>
            <w:gridSpan w:val="2"/>
          </w:tcPr>
          <w:p>
            <w:pPr>
              <w:spacing w:after="0"/>
              <w:rPr>
                <w:sz w:val="20"/>
                <w:szCs w:val="20"/>
                <w:color w:val="auto"/>
              </w:rPr>
            </w:pPr>
            <w:r>
              <w:rPr>
                <w:rFonts w:ascii="Arial" w:cs="Arial" w:eastAsia="Arial" w:hAnsi="Arial"/>
                <w:sz w:val="17"/>
                <w:szCs w:val="17"/>
                <w:color w:val="auto"/>
              </w:rPr>
              <w:t>EXECUTIVE: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29"/>
        </w:trPr>
        <w:tc>
          <w:tcPr>
            <w:tcW w:w="4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 Bonnie Anderson</w:t>
            </w:r>
          </w:p>
        </w:tc>
        <w:tc>
          <w:tcPr>
            <w:tcW w:w="5940" w:type="dxa"/>
            <w:vAlign w:val="bottom"/>
            <w:gridSpan w:val="3"/>
          </w:tcPr>
          <w:p>
            <w:pPr>
              <w:ind w:left="260"/>
              <w:spacing w:after="0"/>
              <w:rPr>
                <w:sz w:val="20"/>
                <w:szCs w:val="20"/>
                <w:color w:val="auto"/>
              </w:rPr>
            </w:pPr>
            <w:r>
              <w:rPr>
                <w:rFonts w:ascii="Arial" w:cs="Arial" w:eastAsia="Arial" w:hAnsi="Arial"/>
                <w:sz w:val="17"/>
                <w:szCs w:val="17"/>
                <w:color w:val="auto"/>
              </w:rPr>
              <w:t>Date:   2-13-08</w:t>
            </w:r>
          </w:p>
        </w:tc>
        <w:tc>
          <w:tcPr>
            <w:tcW w:w="40" w:type="dxa"/>
            <w:vAlign w:val="bottom"/>
          </w:tcPr>
          <w:p>
            <w:pPr>
              <w:spacing w:after="0"/>
              <w:rPr>
                <w:sz w:val="24"/>
                <w:szCs w:val="24"/>
                <w:color w:val="auto"/>
              </w:rPr>
            </w:pPr>
          </w:p>
        </w:tc>
      </w:tr>
      <w:tr>
        <w:trPr>
          <w:trHeight w:val="215"/>
        </w:trPr>
        <w:tc>
          <w:tcPr>
            <w:tcW w:w="46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Bonnie Anderson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25"/>
        </w:trPr>
        <w:tc>
          <w:tcPr>
            <w:tcW w:w="4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51" w:name="page352"/>
    <w:bookmarkEnd w:id="351"/>
    <w:p>
      <w:pPr>
        <w:jc w:val="right"/>
        <w:spacing w:after="0"/>
        <w:rPr>
          <w:sz w:val="20"/>
          <w:szCs w:val="20"/>
          <w:color w:val="auto"/>
        </w:rPr>
      </w:pPr>
      <w:r>
        <w:rPr>
          <w:rFonts w:ascii="Arial" w:cs="Arial" w:eastAsia="Arial" w:hAnsi="Arial"/>
          <w:sz w:val="17"/>
          <w:szCs w:val="17"/>
          <w:b w:val="1"/>
          <w:bCs w:val="1"/>
          <w:color w:val="auto"/>
        </w:rPr>
        <w:t>Exhibit 10.11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BONNIE ANDERSON EMPLOYMENT AGREEMENT</w:t>
      </w:r>
    </w:p>
    <w:p>
      <w:pPr>
        <w:spacing w:after="0" w:line="23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This Amendment to the Bonnie Anderson Employment Agreement (the “Amendment’’) is made as of December [22], 2008, by and between Veracyte, Inc. (formerly known as Calderome, Inc.) (the “Company”), and Bonnie Anderson (the “Executive”).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entered into that employment agreement dated February 15, 2008 (the “Agreement”).</w:t>
      </w:r>
    </w:p>
    <w:p>
      <w:pPr>
        <w:spacing w:after="0" w:line="224"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desire to amend the Agreement to comply with the requirements of Section 409A of the Internal Revenue Code</w:t>
      </w:r>
      <w:r>
        <w:rPr>
          <w:rFonts w:ascii="Arial" w:cs="Arial" w:eastAsia="Arial" w:hAnsi="Arial"/>
          <w:sz w:val="17"/>
          <w:szCs w:val="17"/>
          <w:b w:val="1"/>
          <w:bCs w:val="1"/>
          <w:color w:val="auto"/>
        </w:rPr>
        <w:t xml:space="preserve"> </w:t>
      </w:r>
      <w:r>
        <w:rPr>
          <w:rFonts w:ascii="Arial" w:cs="Arial" w:eastAsia="Arial" w:hAnsi="Arial"/>
          <w:sz w:val="17"/>
          <w:szCs w:val="17"/>
          <w:color w:val="auto"/>
        </w:rPr>
        <w:t>of 1986, as amended.</w:t>
      </w:r>
    </w:p>
    <w:p>
      <w:pPr>
        <w:spacing w:after="0" w:line="145"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Executive agree that in consideration of the foregoing and the promises and covenants contained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left="1260" w:hanging="626"/>
        <w:spacing w:after="0"/>
        <w:tabs>
          <w:tab w:leader="none" w:pos="126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Section 3(b) of the Agreement labeled “</w:t>
      </w:r>
      <w:r>
        <w:rPr>
          <w:rFonts w:ascii="Arial" w:cs="Arial" w:eastAsia="Arial" w:hAnsi="Arial"/>
          <w:sz w:val="17"/>
          <w:szCs w:val="17"/>
          <w:u w:val="single" w:color="auto"/>
          <w:color w:val="auto"/>
        </w:rPr>
        <w:t>Annual Bonus</w:t>
      </w:r>
      <w:r>
        <w:rPr>
          <w:rFonts w:ascii="Arial" w:cs="Arial" w:eastAsia="Arial" w:hAnsi="Arial"/>
          <w:sz w:val="17"/>
          <w:szCs w:val="17"/>
          <w:color w:val="auto"/>
        </w:rPr>
        <w:t>,” is hereby amended to read in its entirety as follows:</w:t>
      </w:r>
    </w:p>
    <w:p>
      <w:pPr>
        <w:spacing w:after="0" w:line="224" w:lineRule="exact"/>
        <w:rPr>
          <w:sz w:val="20"/>
          <w:szCs w:val="20"/>
          <w:color w:val="auto"/>
        </w:rPr>
      </w:pPr>
    </w:p>
    <w:p>
      <w:pPr>
        <w:ind w:left="1260" w:right="20"/>
        <w:spacing w:after="0" w:line="23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2008 fiscal year and for each fiscal year thereafter during the Employment Term, the Executive will be eligible to receive an annual bonus (the “Bonus”) of up to twenty percent (20%) of the Executive’s Base Salary for such fiscal year based upon the achievement of certain financial or performance criteria to be mutually agreed upon by the Executive and the Board. Any Bonus paid pursuant to this Section 3(b) will be paid no later than the later of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Executive’s taxable year in which the Bonus is earned or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the Company’s taxable year in which the Bonus is earned.”</w:t>
      </w:r>
    </w:p>
    <w:p>
      <w:pPr>
        <w:spacing w:after="0" w:line="202" w:lineRule="exact"/>
        <w:rPr>
          <w:sz w:val="20"/>
          <w:szCs w:val="20"/>
          <w:color w:val="auto"/>
        </w:rPr>
      </w:pPr>
    </w:p>
    <w:p>
      <w:pPr>
        <w:ind w:left="1260" w:hanging="626"/>
        <w:spacing w:after="0"/>
        <w:tabs>
          <w:tab w:leader="none" w:pos="126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Section 4 of the Agreement labeled “</w:t>
      </w:r>
      <w:r>
        <w:rPr>
          <w:rFonts w:ascii="Arial" w:cs="Arial" w:eastAsia="Arial" w:hAnsi="Arial"/>
          <w:sz w:val="17"/>
          <w:szCs w:val="17"/>
          <w:u w:val="single" w:color="auto"/>
          <w:color w:val="auto"/>
        </w:rPr>
        <w:t>Relocation Allowance</w:t>
      </w:r>
      <w:r>
        <w:rPr>
          <w:rFonts w:ascii="Arial" w:cs="Arial" w:eastAsia="Arial" w:hAnsi="Arial"/>
          <w:sz w:val="17"/>
          <w:szCs w:val="17"/>
          <w:color w:val="auto"/>
        </w:rPr>
        <w:t>,” is hereby amended to read in its entirety as follows:</w:t>
      </w:r>
    </w:p>
    <w:p>
      <w:pPr>
        <w:spacing w:after="0" w:line="224" w:lineRule="exact"/>
        <w:rPr>
          <w:rFonts w:ascii="Arial" w:cs="Arial" w:eastAsia="Arial" w:hAnsi="Arial"/>
          <w:sz w:val="17"/>
          <w:szCs w:val="17"/>
          <w:color w:val="auto"/>
        </w:rPr>
      </w:pPr>
    </w:p>
    <w:p>
      <w:pPr>
        <w:ind w:left="1260" w:right="140"/>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Relocation Allowance</w:t>
      </w:r>
      <w:r>
        <w:rPr>
          <w:rFonts w:ascii="Arial" w:cs="Arial" w:eastAsia="Arial" w:hAnsi="Arial"/>
          <w:sz w:val="16"/>
          <w:szCs w:val="16"/>
          <w:color w:val="auto"/>
        </w:rPr>
        <w:t>. Executive shall be entitled to a reimbursement for all moving costs, including temporary living expenses and commuting costs incurred prior to Executive’s permanent relocation to California, with all such payments grossed up for federal and state income taxes. The aggregate amount of such reimbursement payments shall not exceed an aggregate of $100,000 plus the amount of any payments related to the tax gross-up previously described. In the event that Executive’s employment with the Company is terminated for Cause prior to the one year anniversary of the Effective Date, Executive shall pay back to the Company all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1260"/>
        <w:spacing w:after="0" w:line="254" w:lineRule="auto"/>
        <w:rPr>
          <w:rFonts w:ascii="Arial" w:cs="Arial" w:eastAsia="Arial" w:hAnsi="Arial"/>
          <w:sz w:val="17"/>
          <w:szCs w:val="17"/>
          <w:color w:val="auto"/>
        </w:rPr>
      </w:pPr>
      <w:r>
        <w:rPr>
          <w:rFonts w:ascii="Arial" w:cs="Arial" w:eastAsia="Arial" w:hAnsi="Arial"/>
          <w:sz w:val="16"/>
          <w:szCs w:val="16"/>
          <w:color w:val="auto"/>
        </w:rPr>
        <w:t>such reimbursement amounts Executive received pursuant to this Section 4. Any reimbursements to be made pursuant to this Section 4 will be paid no later than the later of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Executive’s taxable year in which the expense is incurred or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the Company’s taxable year in which the expense is incurred. Any tax gross-up to be paid pursuant to this Section 4 shall be paid by the Company as soon as reasonably practicable, but in no event later than the end of Executive’s taxable year next following Executive’s taxable year in which Executive remits the related taxes.”</w:t>
      </w:r>
    </w:p>
    <w:p>
      <w:pPr>
        <w:spacing w:after="0" w:line="187" w:lineRule="exact"/>
        <w:rPr>
          <w:rFonts w:ascii="Arial" w:cs="Arial" w:eastAsia="Arial" w:hAnsi="Arial"/>
          <w:sz w:val="17"/>
          <w:szCs w:val="17"/>
          <w:color w:val="auto"/>
        </w:rPr>
      </w:pPr>
    </w:p>
    <w:p>
      <w:pPr>
        <w:ind w:left="1260" w:hanging="626"/>
        <w:spacing w:after="0"/>
        <w:tabs>
          <w:tab w:leader="none" w:pos="126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Section 7(a) of the Agreement labeled “</w:t>
      </w:r>
      <w:r>
        <w:rPr>
          <w:rFonts w:ascii="Arial" w:cs="Arial" w:eastAsia="Arial" w:hAnsi="Arial"/>
          <w:sz w:val="17"/>
          <w:szCs w:val="17"/>
          <w:u w:val="single" w:color="auto"/>
          <w:color w:val="auto"/>
        </w:rPr>
        <w:t>Involuntary Termination Not for Cause</w:t>
      </w:r>
      <w:r>
        <w:rPr>
          <w:rFonts w:ascii="Arial" w:cs="Arial" w:eastAsia="Arial" w:hAnsi="Arial"/>
          <w:sz w:val="17"/>
          <w:szCs w:val="17"/>
          <w:color w:val="auto"/>
        </w:rPr>
        <w:t>,” is hereby amended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-1291590</wp:posOffset>
            </wp:positionV>
            <wp:extent cx="7271385"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1260" w:right="80"/>
        <w:spacing w:after="0" w:line="27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Involuntary Termination Not for Cause</w:t>
      </w:r>
      <w:r>
        <w:rPr>
          <w:rFonts w:ascii="Arial" w:cs="Arial" w:eastAsia="Arial" w:hAnsi="Arial"/>
          <w:sz w:val="16"/>
          <w:szCs w:val="16"/>
          <w:color w:val="auto"/>
        </w:rPr>
        <w:t>. If Executive’s employment with the Company terminates other than for Cause (as defined herein), and Executive signs and does not revoke the Company’s severance and release agreement no later than sixty (60) days following the termination date (such deadline, the “Release Deadline”), then, subject to Section 9, Executive shall be entitled to receive: (i) continuing payments of severance pay (less applicable withholding taxes) at a rate equal to her Base Salary rate, as then in effect, for a period of six (6) months from the date of such termination, to be paid periodically in accordance with the Company’s normal payroll policies or in one lump sum payment at the discretion of the Company; (ii) payment of any Bonus amount earned (pro-rated to reflect the date of termination) pursuant to Section 3(b) of this Agreement; and (iii) a number of the shares of common stock subject to the RSPA (and any other outstanding stock options then held by Executive) that would have vested had Executive remained employed by the Company for six (6) months following the date of termination shall automatically vest and become exercisable.”</w:t>
      </w:r>
    </w:p>
    <w:p>
      <w:pPr>
        <w:spacing w:after="0" w:line="173" w:lineRule="exact"/>
        <w:rPr>
          <w:sz w:val="20"/>
          <w:szCs w:val="20"/>
          <w:color w:val="auto"/>
        </w:rPr>
      </w:pPr>
    </w:p>
    <w:p>
      <w:pPr>
        <w:ind w:left="1260" w:right="40" w:firstLine="633"/>
        <w:spacing w:after="0" w:line="245" w:lineRule="auto"/>
        <w:tabs>
          <w:tab w:leader="none" w:pos="2539"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“In no event will severance payments or benefits be paid or provided until the severance and release agreement actually becomes effective and irrevocable. If the severance and release agreement does not become effective by the Release Deadline, Executive will forfeit any rights to severance or benefits under this Agreement. It is expected that all severance under this Agreement will be exempt from Section 409A (as defined below) as a payment made as a result of an involuntary separation from service pursuant to Section 1.409A-l(b)(a)(iii) of the Treasury Regulations. However, if this is not the case, then any severance payments or benefits under this Agreement that would be considered Deferred Compensation Separation Benefits (as defined herein) shall be paid on, or, in the case of installments, shall not commence until,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Executive’s separation from service, or, if later, such time as required by the provisions of Section 409A.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Executive’s separation from service and the remaining payments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271385" cy="292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right="160"/>
        <w:spacing w:after="0" w:line="273" w:lineRule="auto"/>
        <w:rPr>
          <w:sz w:val="20"/>
          <w:szCs w:val="20"/>
          <w:color w:val="auto"/>
        </w:rPr>
      </w:pPr>
      <w:r>
        <w:rPr>
          <w:rFonts w:ascii="Arial" w:cs="Arial" w:eastAsia="Arial" w:hAnsi="Arial"/>
          <w:sz w:val="17"/>
          <w:szCs w:val="17"/>
          <w:color w:val="auto"/>
        </w:rPr>
        <w:t>made as provided in this Agreement. If Executive should die before all of the severance amounts have been paid, such unpaid amounts shall be paid in a lump-sum payment promptly following such event to Executive’s designated beneficiary, if living, or otherwise to the personal representative of Executive’s estate.”</w:t>
      </w:r>
    </w:p>
    <w:p>
      <w:pPr>
        <w:sectPr>
          <w:pgSz w:w="11900" w:h="16838" w:orient="portrait"/>
          <w:cols w:equalWidth="0" w:num="1">
            <w:col w:w="11420"/>
          </w:cols>
          <w:pgMar w:left="240" w:top="357" w:right="239" w:bottom="0" w:gutter="0" w:footer="0" w:header="0"/>
        </w:sectPr>
      </w:pPr>
    </w:p>
    <w:bookmarkStart w:id="352" w:name="page353"/>
    <w:bookmarkEnd w:id="352"/>
    <w:p>
      <w:pPr>
        <w:ind w:left="1260" w:right="2820" w:hanging="626"/>
        <w:spacing w:after="0" w:line="515" w:lineRule="auto"/>
        <w:tabs>
          <w:tab w:leader="none" w:pos="126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Section 23 of the Agreement labeled “</w:t>
      </w:r>
      <w:r>
        <w:rPr>
          <w:rFonts w:ascii="Arial" w:cs="Arial" w:eastAsia="Arial" w:hAnsi="Arial"/>
          <w:sz w:val="17"/>
          <w:szCs w:val="17"/>
          <w:u w:val="single" w:color="auto"/>
          <w:color w:val="auto"/>
        </w:rPr>
        <w:t>Code Section</w:t>
      </w:r>
      <w:r>
        <w:rPr>
          <w:rFonts w:ascii="Arial" w:cs="Arial" w:eastAsia="Arial" w:hAnsi="Arial"/>
          <w:sz w:val="17"/>
          <w:szCs w:val="17"/>
          <w:color w:val="auto"/>
        </w:rPr>
        <w:t xml:space="preserve">,” is hereby amended to read in its entirety as follows “23. </w:t>
      </w:r>
      <w:r>
        <w:rPr>
          <w:rFonts w:ascii="Arial" w:cs="Arial" w:eastAsia="Arial" w:hAnsi="Arial"/>
          <w:sz w:val="17"/>
          <w:szCs w:val="17"/>
          <w:u w:val="single" w:color="auto"/>
          <w:color w:val="auto"/>
        </w:rPr>
        <w:t>Code Section 409A</w:t>
      </w:r>
      <w:r>
        <w:rPr>
          <w:rFonts w:ascii="Arial" w:cs="Arial" w:eastAsia="Arial" w:hAnsi="Arial"/>
          <w:sz w:val="17"/>
          <w:szCs w:val="17"/>
          <w:color w:val="auto"/>
        </w:rPr>
        <w:t>.</w:t>
      </w:r>
    </w:p>
    <w:p>
      <w:pPr>
        <w:jc w:val="both"/>
        <w:ind w:left="1260" w:right="160" w:firstLine="3"/>
        <w:spacing w:after="0" w:line="290" w:lineRule="auto"/>
        <w:tabs>
          <w:tab w:leader="none" w:pos="1886" w:val="left"/>
        </w:tabs>
        <w:numPr>
          <w:ilvl w:val="1"/>
          <w:numId w:val="54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payable to Executive, if any, pursuant to this Agreement, when considered together with any other severance payments or separation benefits that are considered deferred compensation under Section 409A of the Code and the final regulations and any guidance promulgated thereunder (“Section 409A”) (together, the “Deferred Compensation Separation Benefits”) shall be payable until Executive has a “separation from service” within the meaning of Section 409A.</w:t>
      </w:r>
    </w:p>
    <w:p>
      <w:pPr>
        <w:spacing w:after="0" w:line="159" w:lineRule="exact"/>
        <w:rPr>
          <w:rFonts w:ascii="Arial" w:cs="Arial" w:eastAsia="Arial" w:hAnsi="Arial"/>
          <w:sz w:val="16"/>
          <w:szCs w:val="16"/>
          <w:color w:val="auto"/>
        </w:rPr>
      </w:pPr>
    </w:p>
    <w:p>
      <w:pPr>
        <w:ind w:left="1260" w:right="20" w:firstLine="3"/>
        <w:spacing w:after="0" w:line="279" w:lineRule="auto"/>
        <w:tabs>
          <w:tab w:leader="none" w:pos="1900" w:val="left"/>
        </w:tabs>
        <w:numPr>
          <w:ilvl w:val="1"/>
          <w:numId w:val="54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shall become payable on the first payroll date that occurs on or after the date six (6) months and one (1) day following the date of Executive’s separation from service. All subsequent Deferred Compensation Separation Benefits, if any, shall be payable in accordance with the payment schedule applicable to each payment or benefit. Notwithstanding anything herein to the contrary, if Executive dies following Executive’s separation from service but prior to the six (6) month anniversary of the separation, then any payments delayed in accordance with this paragraph shall be payable in a lump sum as soon as administratively practicable after the date of Executive’s death and all other Deferred Compensation Separation Benefits shall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68" w:lineRule="exact"/>
        <w:rPr>
          <w:rFonts w:ascii="Arial" w:cs="Arial" w:eastAsia="Arial" w:hAnsi="Arial"/>
          <w:sz w:val="16"/>
          <w:szCs w:val="16"/>
          <w:color w:val="auto"/>
        </w:rPr>
      </w:pPr>
    </w:p>
    <w:p>
      <w:pPr>
        <w:ind w:left="1900" w:hanging="637"/>
        <w:spacing w:after="0"/>
        <w:tabs>
          <w:tab w:leader="none" w:pos="1900" w:val="left"/>
        </w:tabs>
        <w:numPr>
          <w:ilvl w:val="1"/>
          <w:numId w:val="543"/>
        </w:numPr>
        <w:rPr>
          <w:rFonts w:ascii="Arial" w:cs="Arial" w:eastAsia="Arial" w:hAnsi="Arial"/>
          <w:sz w:val="16"/>
          <w:szCs w:val="16"/>
          <w:color w:val="auto"/>
        </w:rPr>
      </w:pPr>
      <w:r>
        <w:rPr>
          <w:rFonts w:ascii="Arial" w:cs="Arial" w:eastAsia="Arial" w:hAnsi="Arial"/>
          <w:sz w:val="16"/>
          <w:szCs w:val="16"/>
          <w:color w:val="auto"/>
        </w:rPr>
        <w:t>Any amount paid under this Agreement that satisfies the requirements of the “short-term deferral” rule set forth in Section 1.409A-1(b)</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(4) of the Treasury Regulations shall not constitute Deferred Compensation Separation Benefits for purposes of clause (a) above.</w:t>
      </w:r>
    </w:p>
    <w:p>
      <w:pPr>
        <w:spacing w:after="0" w:line="212" w:lineRule="exact"/>
        <w:rPr>
          <w:rFonts w:ascii="Arial" w:cs="Arial" w:eastAsia="Arial" w:hAnsi="Arial"/>
          <w:sz w:val="16"/>
          <w:szCs w:val="16"/>
          <w:color w:val="auto"/>
        </w:rPr>
      </w:pPr>
    </w:p>
    <w:p>
      <w:pPr>
        <w:ind w:left="1260" w:right="100" w:firstLine="3"/>
        <w:spacing w:after="0" w:line="289" w:lineRule="auto"/>
        <w:tabs>
          <w:tab w:leader="none" w:pos="1900" w:val="left"/>
        </w:tabs>
        <w:numPr>
          <w:ilvl w:val="1"/>
          <w:numId w:val="543"/>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 not exceed the Section 409 A Limit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defined below) shall not constitute Deferred Compensation Separation Benefits for purposes of clause (a) above.</w:t>
      </w:r>
    </w:p>
    <w:p>
      <w:pPr>
        <w:spacing w:after="0" w:line="224" w:lineRule="exact"/>
        <w:rPr>
          <w:sz w:val="20"/>
          <w:szCs w:val="20"/>
          <w:color w:val="auto"/>
        </w:rPr>
      </w:pPr>
    </w:p>
    <w:p>
      <w:pPr>
        <w:ind w:left="1260" w:right="100" w:firstLine="3"/>
        <w:spacing w:after="0" w:line="265" w:lineRule="auto"/>
        <w:tabs>
          <w:tab w:leader="none" w:pos="1899" w:val="left"/>
        </w:tabs>
        <w:numPr>
          <w:ilvl w:val="1"/>
          <w:numId w:val="544"/>
        </w:numPr>
        <w:rPr>
          <w:rFonts w:ascii="Arial" w:cs="Arial" w:eastAsia="Arial" w:hAnsi="Arial"/>
          <w:sz w:val="17"/>
          <w:szCs w:val="17"/>
          <w:color w:val="auto"/>
        </w:rPr>
      </w:pPr>
      <w:r>
        <w:rPr>
          <w:rFonts w:ascii="Arial" w:cs="Arial" w:eastAsia="Arial" w:hAnsi="Arial"/>
          <w:sz w:val="17"/>
          <w:szCs w:val="17"/>
          <w:color w:val="auto"/>
        </w:rPr>
        <w:t>For purposes of this Agreement, “Section 409A Limit” means the lesser of 2 times: (i) Executive’s annualized compensation based upon the annual rate of pay paid to Executive during Executive’s taxable year preceding Executive’s taxable year of Executive’s termination of employment as determined under Treasury Regulation Section 1.409A-1(b)(9)(iii)(A)(l) and any Internal Revenue Service guidance issued with respect thereto; or (ii) the maximum amount that may be taken into account under a qualified plan pursuant to Section 401(a)(l7) of the Internal Revenue Code for the year in which Executive’s employment is terminated.</w:t>
      </w:r>
    </w:p>
    <w:p>
      <w:pPr>
        <w:spacing w:after="0" w:line="179" w:lineRule="exact"/>
        <w:rPr>
          <w:rFonts w:ascii="Arial" w:cs="Arial" w:eastAsia="Arial" w:hAnsi="Arial"/>
          <w:sz w:val="17"/>
          <w:szCs w:val="17"/>
          <w:color w:val="auto"/>
        </w:rPr>
      </w:pPr>
    </w:p>
    <w:p>
      <w:pPr>
        <w:ind w:left="1260" w:right="120" w:firstLine="3"/>
        <w:spacing w:after="0" w:line="265" w:lineRule="auto"/>
        <w:tabs>
          <w:tab w:leader="none" w:pos="1893" w:val="left"/>
        </w:tabs>
        <w:numPr>
          <w:ilvl w:val="1"/>
          <w:numId w:val="544"/>
        </w:numPr>
        <w:rPr>
          <w:rFonts w:ascii="Arial" w:cs="Arial" w:eastAsia="Arial" w:hAnsi="Arial"/>
          <w:sz w:val="17"/>
          <w:szCs w:val="17"/>
          <w:color w:val="auto"/>
        </w:rPr>
      </w:pPr>
      <w:r>
        <w:rPr>
          <w:rFonts w:ascii="Arial" w:cs="Arial" w:eastAsia="Arial" w:hAnsi="Arial"/>
          <w:sz w:val="17"/>
          <w:szCs w:val="17"/>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To the extent not expressly amended hereby, the Agreement shall remain in full force and effect.</w:t>
      </w:r>
    </w:p>
    <w:p>
      <w:pPr>
        <w:spacing w:after="0" w:line="224" w:lineRule="exact"/>
        <w:rPr>
          <w:rFonts w:ascii="Arial" w:cs="Arial" w:eastAsia="Arial" w:hAnsi="Arial"/>
          <w:sz w:val="17"/>
          <w:szCs w:val="17"/>
          <w:color w:val="auto"/>
        </w:rPr>
      </w:pPr>
    </w:p>
    <w:p>
      <w:pPr>
        <w:ind w:right="380" w:firstLine="634"/>
        <w:spacing w:after="0" w:line="289" w:lineRule="auto"/>
        <w:tabs>
          <w:tab w:leader="none" w:pos="1258"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Agreement constitute the full and entire understanding and agreement between the parties with regard to the subjects hereof and thereof.</w:t>
      </w:r>
    </w:p>
    <w:p>
      <w:pPr>
        <w:spacing w:after="0" w:line="158" w:lineRule="exact"/>
        <w:rPr>
          <w:rFonts w:ascii="Arial" w:cs="Arial" w:eastAsia="Arial" w:hAnsi="Arial"/>
          <w:sz w:val="17"/>
          <w:szCs w:val="17"/>
          <w:color w:val="auto"/>
        </w:rPr>
      </w:pPr>
    </w:p>
    <w:p>
      <w:pPr>
        <w:ind w:right="320" w:firstLine="634"/>
        <w:spacing w:after="0" w:line="289" w:lineRule="auto"/>
        <w:tabs>
          <w:tab w:leader="none" w:pos="1258"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Amendment and the rights and obligations of the parties hereunder shall inure to the benefit of, and be binding upon, their respective successors, assigns, and legal representatives.</w:t>
      </w:r>
    </w:p>
    <w:p>
      <w:pPr>
        <w:spacing w:after="0" w:line="158" w:lineRule="exact"/>
        <w:rPr>
          <w:rFonts w:ascii="Arial" w:cs="Arial" w:eastAsia="Arial" w:hAnsi="Arial"/>
          <w:sz w:val="17"/>
          <w:szCs w:val="17"/>
          <w:color w:val="auto"/>
        </w:rPr>
      </w:pPr>
    </w:p>
    <w:p>
      <w:pPr>
        <w:ind w:firstLine="634"/>
        <w:spacing w:after="0" w:line="289" w:lineRule="auto"/>
        <w:tabs>
          <w:tab w:leader="none" w:pos="1263"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all of which together shall constitute one instrument, and each of which may be executed by less than all of the parties to this Amendment.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in all respects by the internal laws of California, without regard to principles of conflicts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law.</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Any provision of this Amendment may be amended, waived or terminated by a written instrument signed by the Company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Executive.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parties have caused this Amendment to be executed as of the date first set forth above.</w:t>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BONNIE ANDERSON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2">
            <w:col w:w="5000" w:space="720"/>
            <w:col w:w="5700"/>
          </w:cols>
          <w:pgMar w:left="240" w:top="127" w:right="239" w:bottom="0" w:gutter="0" w:footer="0" w:header="0"/>
          <w:type w:val="continuous"/>
        </w:sectPr>
      </w:pPr>
    </w:p>
    <w:bookmarkStart w:id="353" w:name="page354"/>
    <w:bookmarkEnd w:id="353"/>
    <w:p>
      <w:pPr>
        <w:ind w:left="4520"/>
        <w:spacing w:after="0"/>
        <w:rPr>
          <w:sz w:val="20"/>
          <w:szCs w:val="20"/>
          <w:color w:val="auto"/>
        </w:rPr>
      </w:pPr>
      <w:r>
        <w:rPr>
          <w:rFonts w:ascii="Arial" w:cs="Arial" w:eastAsia="Arial" w:hAnsi="Arial"/>
          <w:sz w:val="17"/>
          <w:szCs w:val="17"/>
          <w:i w:val="1"/>
          <w:iCs w:val="1"/>
          <w:color w:val="auto"/>
        </w:rPr>
        <w:t>Print Title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Bonnie Anderson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229235</wp:posOffset>
            </wp:positionV>
            <wp:extent cx="7271385" cy="292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4" w:name="page355"/>
    <w:bookmarkEnd w:id="354"/>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2 TO BONNIE ANDERSON EMPLOYMENT AGREEMENT</w:t>
      </w:r>
    </w:p>
    <w:p>
      <w:pPr>
        <w:spacing w:after="0" w:line="230"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This Amendment No. 2 to the Bonnie Anderson Employment Agreement (the “Amendment”) is effective as of March 11, 2009, by and between Veracyte, Inc. (formerly known as Calderome, Inc.) (the “Company”), and Bonnie Anderson (the “Executive”).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Executive entered into that employment agreement dated February 15, 2008 and amended December 22, 2008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Executive desire to amend the Agreement to amend the amount of the Executive’s eligible bonus for 2009 and onward.</w:t>
      </w:r>
    </w:p>
    <w:p>
      <w:pPr>
        <w:spacing w:after="0" w:line="236"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Executive agree that in consideration of the foregoing and the promises and covenants contained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Section 3(b) of the Agreement labeled “</w:t>
      </w:r>
      <w:r>
        <w:rPr>
          <w:rFonts w:ascii="Arial" w:cs="Arial" w:eastAsia="Arial" w:hAnsi="Arial"/>
          <w:sz w:val="17"/>
          <w:szCs w:val="17"/>
          <w:u w:val="single" w:color="auto"/>
          <w:color w:val="auto"/>
        </w:rPr>
        <w:t>Annual Bonus</w:t>
      </w:r>
      <w:r>
        <w:rPr>
          <w:rFonts w:ascii="Arial" w:cs="Arial" w:eastAsia="Arial" w:hAnsi="Arial"/>
          <w:sz w:val="17"/>
          <w:szCs w:val="17"/>
          <w:color w:val="auto"/>
        </w:rPr>
        <w:t>,” is hereby amended to read in its entirety as follows:</w:t>
      </w:r>
    </w:p>
    <w:p>
      <w:pPr>
        <w:spacing w:after="0" w:line="224" w:lineRule="exact"/>
        <w:rPr>
          <w:sz w:val="20"/>
          <w:szCs w:val="20"/>
          <w:color w:val="auto"/>
        </w:rPr>
      </w:pPr>
    </w:p>
    <w:p>
      <w:pPr>
        <w:ind w:left="1260" w:right="20"/>
        <w:spacing w:after="0" w:line="23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2009 fiscal year and for each fiscal year thereafter during the Employment Term, the Executive will be eligible to receive an annual bonus (the “Bonus”) of up to thirty percent (30%) of the Executive’s Base Salary for such fiscal year based upon the achievement of certain financial or performance criteria to be mutually agreed upon by the Executive and the Board. Any Bonus paid pursuant to this Section 3(b) will be paid no later than the later of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Executive’s taxable year in which the Bonus is earned or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the Company’s taxable year in which the Bonus is earned.”</w:t>
      </w:r>
    </w:p>
    <w:p>
      <w:pPr>
        <w:spacing w:after="0" w:line="202" w:lineRule="exact"/>
        <w:rPr>
          <w:sz w:val="20"/>
          <w:szCs w:val="20"/>
          <w:color w:val="auto"/>
        </w:rPr>
      </w:pPr>
    </w:p>
    <w:p>
      <w:pPr>
        <w:ind w:left="800" w:hanging="166"/>
        <w:spacing w:after="0"/>
        <w:tabs>
          <w:tab w:leader="none" w:pos="800"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To the extent not expressly amended hereby, the Agreement shall remain in full force and effect.</w:t>
      </w:r>
    </w:p>
    <w:p>
      <w:pPr>
        <w:spacing w:after="0" w:line="224" w:lineRule="exact"/>
        <w:rPr>
          <w:rFonts w:ascii="Arial" w:cs="Arial" w:eastAsia="Arial" w:hAnsi="Arial"/>
          <w:sz w:val="17"/>
          <w:szCs w:val="17"/>
          <w:color w:val="auto"/>
        </w:rPr>
      </w:pPr>
    </w:p>
    <w:p>
      <w:pPr>
        <w:ind w:right="160" w:firstLine="634"/>
        <w:spacing w:after="0" w:line="289" w:lineRule="auto"/>
        <w:tabs>
          <w:tab w:leader="none" w:pos="804"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Agreement constitute the full and entire understanding and agreement between the parties with regard to the subjects hereof and thereof.</w:t>
      </w:r>
    </w:p>
    <w:p>
      <w:pPr>
        <w:spacing w:after="0" w:line="158" w:lineRule="exact"/>
        <w:rPr>
          <w:rFonts w:ascii="Arial" w:cs="Arial" w:eastAsia="Arial" w:hAnsi="Arial"/>
          <w:sz w:val="17"/>
          <w:szCs w:val="17"/>
          <w:color w:val="auto"/>
        </w:rPr>
      </w:pPr>
    </w:p>
    <w:p>
      <w:pPr>
        <w:ind w:right="340" w:firstLine="634"/>
        <w:spacing w:after="0" w:line="289" w:lineRule="auto"/>
        <w:tabs>
          <w:tab w:leader="none" w:pos="804"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Amendment and the rights and obligations of the parties hereunder shall inure to the benefit of, and be binding upon, their respective successors, assigns, and legal representatives.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right="460" w:firstLine="634"/>
        <w:spacing w:after="0" w:line="289" w:lineRule="auto"/>
        <w:tabs>
          <w:tab w:leader="none" w:pos="804"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all of which together shall constitute one instrument, and each of which may be executed by less than all of the parties to this Amendment.</w:t>
      </w:r>
    </w:p>
    <w:p>
      <w:pPr>
        <w:spacing w:after="0" w:line="158" w:lineRule="exact"/>
        <w:rPr>
          <w:rFonts w:ascii="Arial" w:cs="Arial" w:eastAsia="Arial" w:hAnsi="Arial"/>
          <w:sz w:val="17"/>
          <w:szCs w:val="17"/>
          <w:color w:val="auto"/>
        </w:rPr>
      </w:pPr>
    </w:p>
    <w:p>
      <w:pPr>
        <w:ind w:left="800" w:hanging="166"/>
        <w:spacing w:after="0"/>
        <w:tabs>
          <w:tab w:leader="none" w:pos="800"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in all respects by the internal laws of California, without regard to principles of conflicts of law.</w:t>
      </w:r>
    </w:p>
    <w:p>
      <w:pPr>
        <w:spacing w:after="0" w:line="235" w:lineRule="exact"/>
        <w:rPr>
          <w:rFonts w:ascii="Arial" w:cs="Arial" w:eastAsia="Arial" w:hAnsi="Arial"/>
          <w:sz w:val="16"/>
          <w:szCs w:val="16"/>
          <w:color w:val="auto"/>
        </w:rPr>
      </w:pPr>
    </w:p>
    <w:p>
      <w:pPr>
        <w:ind w:left="800" w:hanging="166"/>
        <w:spacing w:after="0"/>
        <w:tabs>
          <w:tab w:leader="none" w:pos="800"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Any provision of this Amendment may be amended, waived or terminated by a written instrument signed by the Company and Executive.</w:t>
      </w:r>
    </w:p>
    <w:p>
      <w:pPr>
        <w:spacing w:after="0" w:line="235" w:lineRule="exact"/>
        <w:rPr>
          <w:rFonts w:ascii="Arial" w:cs="Arial" w:eastAsia="Arial" w:hAnsi="Arial"/>
          <w:sz w:val="16"/>
          <w:szCs w:val="16"/>
          <w:color w:val="auto"/>
        </w:rPr>
      </w:pPr>
    </w:p>
    <w:p>
      <w:pPr>
        <w:ind w:left="478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-1424940</wp:posOffset>
            </wp:positionV>
            <wp:extent cx="7271385" cy="292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parties have caused this Amendment to be executed as of the date first set forth above.</w:t>
      </w: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BONNIE ANDERSON</w:t>
      </w:r>
      <w:r>
        <w:rPr>
          <w:sz w:val="20"/>
          <w:szCs w:val="20"/>
          <w:color w:val="auto"/>
        </w:rPr>
        <w:tab/>
      </w:r>
      <w:r>
        <w:rPr>
          <w:rFonts w:ascii="Arial" w:cs="Arial" w:eastAsia="Arial" w:hAnsi="Arial"/>
          <w:sz w:val="17"/>
          <w:szCs w:val="17"/>
          <w:b w:val="1"/>
          <w:bCs w:val="1"/>
          <w:color w:val="auto"/>
        </w:rPr>
        <w:t>VERACYTE, INC.</w:t>
      </w:r>
    </w:p>
    <w:p>
      <w:pPr>
        <w:sectPr>
          <w:pgSz w:w="11900" w:h="16838" w:orient="portrait"/>
          <w:cols w:equalWidth="0" w:num="1">
            <w:col w:w="11420"/>
          </w:cols>
          <w:pgMar w:left="240" w:top="357"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4880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62140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Title</w:t>
      </w:r>
    </w:p>
    <w:p>
      <w:pPr>
        <w:spacing w:after="0" w:line="200" w:lineRule="exact"/>
        <w:rPr>
          <w:sz w:val="20"/>
          <w:szCs w:val="20"/>
          <w:color w:val="auto"/>
        </w:rPr>
      </w:pPr>
    </w:p>
    <w:p>
      <w:pPr>
        <w:sectPr>
          <w:pgSz w:w="11900" w:h="16838" w:orient="portrait"/>
          <w:cols w:equalWidth="0" w:num="2">
            <w:col w:w="5000" w:space="720"/>
            <w:col w:w="5700"/>
          </w:cols>
          <w:pgMar w:left="240" w:top="357"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(Signature page to Amendment No. 2 to Bonnie Anderson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229235</wp:posOffset>
            </wp:positionV>
            <wp:extent cx="7271385" cy="292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355" w:name="page356"/>
    <w:bookmarkEnd w:id="355"/>
    <w:p>
      <w:pPr>
        <w:jc w:val="right"/>
        <w:spacing w:after="0"/>
        <w:rPr>
          <w:sz w:val="20"/>
          <w:szCs w:val="20"/>
          <w:color w:val="auto"/>
        </w:rPr>
      </w:pPr>
      <w:r>
        <w:rPr>
          <w:rFonts w:ascii="Arial" w:cs="Arial" w:eastAsia="Arial" w:hAnsi="Arial"/>
          <w:sz w:val="17"/>
          <w:szCs w:val="17"/>
          <w:b w:val="1"/>
          <w:bCs w:val="1"/>
          <w:color w:val="auto"/>
        </w:rPr>
        <w:t>Exhibit 10.13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Bonnie Anderson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August 24, 2012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jc w:val="both"/>
        <w:ind w:right="100" w:firstLine="634"/>
        <w:spacing w:after="0" w:line="268" w:lineRule="auto"/>
        <w:tabs>
          <w:tab w:leader="none" w:pos="1243"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(ii)to provide Executive with an incentive to continue Executive’s employment prior to a Change of Control and to motivate Executive to maximize the value of the Company upon a Change of Control for the benefit of its stockholders.</w:t>
      </w:r>
    </w:p>
    <w:p>
      <w:pPr>
        <w:spacing w:after="0" w:line="175" w:lineRule="exact"/>
        <w:rPr>
          <w:rFonts w:ascii="Arial" w:cs="Arial" w:eastAsia="Arial" w:hAnsi="Arial"/>
          <w:sz w:val="17"/>
          <w:szCs w:val="17"/>
          <w:color w:val="auto"/>
        </w:rPr>
      </w:pPr>
    </w:p>
    <w:p>
      <w:pPr>
        <w:ind w:right="60" w:firstLine="634"/>
        <w:spacing w:after="0" w:line="273" w:lineRule="auto"/>
        <w:tabs>
          <w:tab w:leader="none" w:pos="1243"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240" w:hanging="606"/>
        <w:spacing w:after="0"/>
        <w:tabs>
          <w:tab w:leader="none" w:pos="124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243" w:val="left"/>
        </w:tabs>
        <w:numPr>
          <w:ilvl w:val="0"/>
          <w:numId w:val="548"/>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380" w:firstLine="634"/>
        <w:spacing w:after="0" w:line="289" w:lineRule="auto"/>
        <w:tabs>
          <w:tab w:leader="none" w:pos="1243" w:val="left"/>
        </w:tabs>
        <w:numPr>
          <w:ilvl w:val="0"/>
          <w:numId w:val="548"/>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240" w:hanging="606"/>
        <w:spacing w:after="0"/>
        <w:tabs>
          <w:tab w:leader="none" w:pos="1240"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73" w:lineRule="auto"/>
        <w:tabs>
          <w:tab w:leader="none" w:pos="1861" w:val="left"/>
        </w:tabs>
        <w:numPr>
          <w:ilvl w:val="1"/>
          <w:numId w:val="54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160" w:firstLine="1840"/>
        <w:spacing w:after="0" w:line="289" w:lineRule="auto"/>
        <w:tabs>
          <w:tab w:leader="none" w:pos="2520" w:val="left"/>
        </w:tabs>
        <w:numPr>
          <w:ilvl w:val="2"/>
          <w:numId w:val="549"/>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40" w:firstLine="1842"/>
        <w:spacing w:after="0" w:line="273" w:lineRule="auto"/>
        <w:tabs>
          <w:tab w:leader="none" w:pos="2533" w:val="left"/>
        </w:tabs>
        <w:numPr>
          <w:ilvl w:val="2"/>
          <w:numId w:val="549"/>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twelve (12)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140" w:firstLine="1842"/>
        <w:spacing w:after="0" w:line="262" w:lineRule="auto"/>
        <w:tabs>
          <w:tab w:leader="none" w:pos="2545" w:val="left"/>
        </w:tabs>
        <w:numPr>
          <w:ilvl w:val="2"/>
          <w:numId w:val="549"/>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84" w:lineRule="exact"/>
        <w:rPr>
          <w:rFonts w:ascii="Arial" w:cs="Arial" w:eastAsia="Arial" w:hAnsi="Arial"/>
          <w:sz w:val="17"/>
          <w:szCs w:val="17"/>
          <w:color w:val="auto"/>
        </w:rPr>
      </w:pPr>
    </w:p>
    <w:p>
      <w:pPr>
        <w:ind w:right="140" w:firstLine="1838"/>
        <w:spacing w:after="0" w:line="261" w:lineRule="auto"/>
        <w:tabs>
          <w:tab w:leader="none" w:pos="2494" w:val="left"/>
        </w:tabs>
        <w:numPr>
          <w:ilvl w:val="2"/>
          <w:numId w:val="549"/>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xml:space="preserve">. If Executive elects continuation coverage pursuant to the Consolidated Omnibus Budget Reconciliation Act of 1985, as amended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8" w:gutter="0" w:footer="0" w:header="0"/>
        </w:sectPr>
      </w:pPr>
    </w:p>
    <w:bookmarkStart w:id="356" w:name="page357"/>
    <w:bookmarkEnd w:id="356"/>
    <w:p>
      <w:pPr>
        <w:spacing w:after="0" w:line="1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sz w:val="20"/>
          <w:szCs w:val="20"/>
          <w:color w:val="auto"/>
        </w:rPr>
      </w:pPr>
    </w:p>
    <w:p>
      <w:pPr>
        <w:jc w:val="both"/>
        <w:ind w:right="100" w:firstLine="1838"/>
        <w:spacing w:after="0" w:line="268" w:lineRule="auto"/>
        <w:tabs>
          <w:tab w:leader="none" w:pos="2483" w:val="left"/>
        </w:tabs>
        <w:numPr>
          <w:ilvl w:val="2"/>
          <w:numId w:val="550"/>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Fifty percent (50%)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fifty percent (50%)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80" w:firstLine="1838"/>
        <w:spacing w:after="0" w:line="294" w:lineRule="auto"/>
        <w:tabs>
          <w:tab w:leader="none" w:pos="2494" w:val="left"/>
        </w:tabs>
        <w:numPr>
          <w:ilvl w:val="2"/>
          <w:numId w:val="550"/>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20" w:firstLine="1263"/>
        <w:spacing w:after="0" w:line="298" w:lineRule="auto"/>
        <w:tabs>
          <w:tab w:leader="none" w:pos="1870" w:val="left"/>
        </w:tabs>
        <w:numPr>
          <w:ilvl w:val="1"/>
          <w:numId w:val="55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53" w:lineRule="exact"/>
        <w:rPr>
          <w:rFonts w:ascii="Arial" w:cs="Arial" w:eastAsia="Arial" w:hAnsi="Arial"/>
          <w:sz w:val="16"/>
          <w:szCs w:val="16"/>
          <w:color w:val="auto"/>
        </w:rPr>
      </w:pPr>
    </w:p>
    <w:p>
      <w:pPr>
        <w:ind w:right="220" w:firstLine="1838"/>
        <w:spacing w:after="0" w:line="289" w:lineRule="auto"/>
        <w:tabs>
          <w:tab w:leader="none" w:pos="2518" w:val="left"/>
        </w:tabs>
        <w:numPr>
          <w:ilvl w:val="2"/>
          <w:numId w:val="551"/>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20" w:firstLine="1838"/>
        <w:spacing w:after="0" w:line="294" w:lineRule="auto"/>
        <w:tabs>
          <w:tab w:leader="none" w:pos="2530" w:val="left"/>
        </w:tabs>
        <w:numPr>
          <w:ilvl w:val="2"/>
          <w:numId w:val="551"/>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xml:space="preserve">. Executive will receive a lump-sum payment (less applicable withholding taxes) equal to the twelve (12) 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2" w:lineRule="exact"/>
        <w:rPr>
          <w:rFonts w:ascii="Arial" w:cs="Arial" w:eastAsia="Arial" w:hAnsi="Arial"/>
          <w:sz w:val="15"/>
          <w:szCs w:val="15"/>
          <w:color w:val="auto"/>
        </w:rPr>
      </w:pPr>
    </w:p>
    <w:p>
      <w:pPr>
        <w:ind w:left="280" w:hanging="275"/>
        <w:spacing w:after="0"/>
        <w:tabs>
          <w:tab w:leader="none" w:pos="28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the date the Release (as defined below) is effective and irrevocable; or (C) such later date required by Section 4(c).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842"/>
        <w:spacing w:after="0" w:line="263" w:lineRule="auto"/>
        <w:tabs>
          <w:tab w:leader="none" w:pos="2545"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 (A) the greater of (x) Executive’s target bonus for the fiscal year in which the Change of Control occurs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7"/>
          <w:szCs w:val="17"/>
          <w:color w:val="auto"/>
        </w:rPr>
      </w:pPr>
    </w:p>
    <w:p>
      <w:pPr>
        <w:ind w:firstLine="1842"/>
        <w:spacing w:after="0" w:line="277" w:lineRule="auto"/>
        <w:tabs>
          <w:tab w:leader="none" w:pos="2497" w:val="left"/>
        </w:tabs>
        <w:numPr>
          <w:ilvl w:val="0"/>
          <w:numId w:val="553"/>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5" w:lineRule="exact"/>
        <w:rPr>
          <w:rFonts w:ascii="Arial" w:cs="Arial" w:eastAsia="Arial" w:hAnsi="Arial"/>
          <w:sz w:val="16"/>
          <w:szCs w:val="16"/>
          <w:color w:val="auto"/>
        </w:rPr>
      </w:pPr>
    </w:p>
    <w:p>
      <w:pPr>
        <w:jc w:val="both"/>
        <w:ind w:right="320" w:firstLine="1842"/>
        <w:spacing w:after="0" w:line="268" w:lineRule="auto"/>
        <w:tabs>
          <w:tab w:leader="none" w:pos="2523"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80" w:firstLine="1842"/>
        <w:spacing w:after="0" w:line="268" w:lineRule="auto"/>
        <w:tabs>
          <w:tab w:leader="none" w:pos="2497"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Extended Post-Termination Exercise Period</w:t>
      </w:r>
      <w:r>
        <w:rPr>
          <w:rFonts w:ascii="Arial" w:cs="Arial" w:eastAsia="Arial" w:hAnsi="Arial"/>
          <w:sz w:val="17"/>
          <w:szCs w:val="17"/>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stock option and/or stock appreciation right will not extend beyond the earlier of its original maximum term or the tenth (10</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original date of grant.</w:t>
      </w:r>
    </w:p>
    <w:p>
      <w:pPr>
        <w:spacing w:after="0" w:line="199" w:lineRule="exact"/>
        <w:rPr>
          <w:sz w:val="20"/>
          <w:szCs w:val="20"/>
          <w:color w:val="auto"/>
        </w:rPr>
      </w:pPr>
    </w:p>
    <w:p>
      <w:pPr>
        <w:ind w:right="140" w:firstLine="1263"/>
        <w:spacing w:after="0" w:line="268" w:lineRule="auto"/>
        <w:tabs>
          <w:tab w:leader="none" w:pos="1861" w:val="left"/>
        </w:tabs>
        <w:numPr>
          <w:ilvl w:val="0"/>
          <w:numId w:val="554"/>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ectPr>
          <w:pgSz w:w="11900" w:h="16853" w:orient="portrait"/>
          <w:cols w:equalWidth="0" w:num="1">
            <w:col w:w="11420"/>
          </w:cols>
          <w:pgMar w:left="240" w:top="127" w:right="239" w:bottom="0" w:gutter="0" w:footer="0" w:header="0"/>
        </w:sectPr>
      </w:pPr>
    </w:p>
    <w:bookmarkStart w:id="357" w:name="page358"/>
    <w:bookmarkEnd w:id="357"/>
    <w:p>
      <w:pPr>
        <w:ind w:right="60" w:firstLine="1263"/>
        <w:spacing w:after="0" w:line="298" w:lineRule="auto"/>
        <w:tabs>
          <w:tab w:leader="none" w:pos="1870" w:val="left"/>
        </w:tabs>
        <w:numPr>
          <w:ilvl w:val="1"/>
          <w:numId w:val="555"/>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20" w:firstLine="1263"/>
        <w:spacing w:after="0" w:line="265" w:lineRule="auto"/>
        <w:tabs>
          <w:tab w:leader="none" w:pos="1861" w:val="left"/>
        </w:tabs>
        <w:numPr>
          <w:ilvl w:val="1"/>
          <w:numId w:val="555"/>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240" w:hanging="606"/>
        <w:spacing w:after="0"/>
        <w:tabs>
          <w:tab w:leader="none" w:pos="1240"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260" w:firstLine="1263"/>
        <w:spacing w:after="0" w:line="263" w:lineRule="auto"/>
        <w:tabs>
          <w:tab w:leader="none" w:pos="1861" w:val="left"/>
        </w:tabs>
        <w:numPr>
          <w:ilvl w:val="1"/>
          <w:numId w:val="556"/>
        </w:numPr>
        <w:rPr>
          <w:rFonts w:ascii="Arial" w:cs="Arial" w:eastAsia="Arial" w:hAnsi="Arial"/>
          <w:sz w:val="17"/>
          <w:szCs w:val="17"/>
          <w:color w:val="auto"/>
        </w:rPr>
      </w:pPr>
      <w:r>
        <w:rPr>
          <w:rFonts w:ascii="Arial" w:cs="Arial" w:eastAsia="Arial" w:hAnsi="Arial"/>
          <w:sz w:val="17"/>
          <w:szCs w:val="17"/>
          <w:u w:val="single" w:color="auto"/>
          <w:color w:val="auto"/>
        </w:rPr>
        <w:t>Release of Claims Agreement</w:t>
      </w:r>
      <w:r>
        <w:rPr>
          <w:rFonts w:ascii="Arial" w:cs="Arial" w:eastAsia="Arial" w:hAnsi="Arial"/>
          <w:sz w:val="17"/>
          <w:szCs w:val="17"/>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3" w:lineRule="exact"/>
        <w:rPr>
          <w:rFonts w:ascii="Arial" w:cs="Arial" w:eastAsia="Arial" w:hAnsi="Arial"/>
          <w:sz w:val="17"/>
          <w:szCs w:val="17"/>
          <w:color w:val="auto"/>
        </w:rPr>
      </w:pPr>
    </w:p>
    <w:p>
      <w:pPr>
        <w:ind w:right="20" w:firstLine="1263"/>
        <w:spacing w:after="0" w:line="268" w:lineRule="auto"/>
        <w:tabs>
          <w:tab w:leader="none" w:pos="1870" w:val="left"/>
        </w:tabs>
        <w:numPr>
          <w:ilvl w:val="1"/>
          <w:numId w:val="55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13, 2008, between the Company and Executive, as such agreement may be amended from time to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60" w:hanging="597"/>
        <w:spacing w:after="0"/>
        <w:tabs>
          <w:tab w:leader="none" w:pos="1860"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997"/>
        <w:spacing w:after="0" w:line="283" w:lineRule="auto"/>
        <w:tabs>
          <w:tab w:leader="none" w:pos="2529" w:val="left"/>
        </w:tabs>
        <w:numPr>
          <w:ilvl w:val="2"/>
          <w:numId w:val="55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 A.</w:t>
      </w:r>
    </w:p>
    <w:p>
      <w:pPr>
        <w:spacing w:after="0" w:line="166" w:lineRule="exact"/>
        <w:rPr>
          <w:rFonts w:ascii="Arial" w:cs="Arial" w:eastAsia="Arial" w:hAnsi="Arial"/>
          <w:sz w:val="16"/>
          <w:szCs w:val="16"/>
          <w:color w:val="auto"/>
        </w:rPr>
      </w:pPr>
    </w:p>
    <w:p>
      <w:pPr>
        <w:ind w:right="60" w:firstLine="1893"/>
        <w:spacing w:after="0" w:line="276" w:lineRule="auto"/>
        <w:tabs>
          <w:tab w:leader="none" w:pos="2509" w:val="left"/>
        </w:tabs>
        <w:numPr>
          <w:ilvl w:val="1"/>
          <w:numId w:val="557"/>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20" w:firstLine="1893"/>
        <w:spacing w:after="0" w:line="261" w:lineRule="auto"/>
        <w:tabs>
          <w:tab w:leader="none" w:pos="2521" w:val="left"/>
        </w:tabs>
        <w:numPr>
          <w:ilvl w:val="1"/>
          <w:numId w:val="5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84" w:lineRule="exact"/>
        <w:rPr>
          <w:rFonts w:ascii="Arial" w:cs="Arial" w:eastAsia="Arial" w:hAnsi="Arial"/>
          <w:sz w:val="17"/>
          <w:szCs w:val="17"/>
          <w:color w:val="auto"/>
        </w:rPr>
      </w:pPr>
    </w:p>
    <w:p>
      <w:pPr>
        <w:ind w:left="2520" w:hanging="627"/>
        <w:spacing w:after="0"/>
        <w:tabs>
          <w:tab w:leader="none" w:pos="2520" w:val="left"/>
        </w:tabs>
        <w:numPr>
          <w:ilvl w:val="1"/>
          <w:numId w:val="557"/>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1.409 A-1(b)(4) of the Treasury Regulations will not constitute Deferred Payments for purposes of clause (i)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893"/>
        <w:spacing w:after="0" w:line="273" w:lineRule="auto"/>
        <w:tabs>
          <w:tab w:leader="none" w:pos="2500" w:val="left"/>
        </w:tabs>
        <w:numPr>
          <w:ilvl w:val="3"/>
          <w:numId w:val="558"/>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1.409A-l(b)(9)(iii)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11" w:val="left"/>
        </w:tabs>
        <w:numPr>
          <w:ilvl w:val="3"/>
          <w:numId w:val="558"/>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240" w:hanging="606"/>
        <w:spacing w:after="0"/>
        <w:tabs>
          <w:tab w:leader="none" w:pos="1240" w:val="left"/>
        </w:tabs>
        <w:numPr>
          <w:ilvl w:val="1"/>
          <w:numId w:val="559"/>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560"/>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820" w:hanging="557"/>
        <w:spacing w:after="0"/>
        <w:tabs>
          <w:tab w:leader="none" w:pos="1820" w:val="left"/>
        </w:tabs>
        <w:numPr>
          <w:ilvl w:val="2"/>
          <w:numId w:val="560"/>
        </w:numPr>
        <w:rPr>
          <w:rFonts w:ascii="Arial" w:cs="Arial" w:eastAsia="Arial" w:hAnsi="Arial"/>
          <w:sz w:val="17"/>
          <w:szCs w:val="17"/>
          <w:color w:val="auto"/>
        </w:rPr>
      </w:pPr>
      <w:r>
        <w:rPr>
          <w:rFonts w:ascii="Arial" w:cs="Arial" w:eastAsia="Arial" w:hAnsi="Arial"/>
          <w:sz w:val="17"/>
          <w:szCs w:val="17"/>
          <w:color w:val="auto"/>
        </w:rPr>
        <w:t>delivered in full, or</w:t>
      </w:r>
    </w:p>
    <w:p>
      <w:pPr>
        <w:sectPr>
          <w:pgSz w:w="11900" w:h="16838" w:orient="portrait"/>
          <w:cols w:equalWidth="0" w:num="1">
            <w:col w:w="11420"/>
          </w:cols>
          <w:pgMar w:left="240" w:top="337" w:right="239" w:bottom="0" w:gutter="0" w:footer="0" w:header="0"/>
        </w:sectPr>
      </w:pPr>
    </w:p>
    <w:bookmarkStart w:id="358" w:name="page359"/>
    <w:bookmarkEnd w:id="358"/>
    <w:p>
      <w:pPr>
        <w:spacing w:after="0" w:line="34" w:lineRule="exact"/>
        <w:rPr>
          <w:sz w:val="20"/>
          <w:szCs w:val="20"/>
          <w:color w:val="auto"/>
        </w:rPr>
      </w:pPr>
    </w:p>
    <w:p>
      <w:pPr>
        <w:ind w:left="1840" w:hanging="577"/>
        <w:spacing w:after="0"/>
        <w:tabs>
          <w:tab w:leader="none" w:pos="1840" w:val="left"/>
        </w:tabs>
        <w:numPr>
          <w:ilvl w:val="0"/>
          <w:numId w:val="561"/>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Code,</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will bear all costs the Firm may incur in connection with any calculations contemplated by this Section 5.</w:t>
      </w:r>
    </w:p>
    <w:p>
      <w:pPr>
        <w:spacing w:after="0" w:line="224" w:lineRule="exact"/>
        <w:rPr>
          <w:sz w:val="20"/>
          <w:szCs w:val="20"/>
          <w:color w:val="auto"/>
        </w:rPr>
      </w:pPr>
    </w:p>
    <w:p>
      <w:pPr>
        <w:ind w:left="1240" w:hanging="606"/>
        <w:spacing w:after="0"/>
        <w:tabs>
          <w:tab w:leader="none" w:pos="1240" w:val="left"/>
        </w:tabs>
        <w:numPr>
          <w:ilvl w:val="0"/>
          <w:numId w:val="562"/>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1"/>
          <w:numId w:val="562"/>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00" w:hanging="532"/>
        <w:spacing w:after="0"/>
        <w:tabs>
          <w:tab w:leader="none" w:pos="2500" w:val="left"/>
        </w:tabs>
        <w:numPr>
          <w:ilvl w:val="2"/>
          <w:numId w:val="562"/>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20" w:hanging="593"/>
        <w:spacing w:after="0"/>
        <w:tabs>
          <w:tab w:leader="none" w:pos="2520" w:val="left"/>
        </w:tabs>
        <w:numPr>
          <w:ilvl w:val="2"/>
          <w:numId w:val="562"/>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4"/>
          <w:numId w:val="562"/>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20" w:hanging="615"/>
        <w:spacing w:after="0"/>
        <w:tabs>
          <w:tab w:leader="none" w:pos="2520" w:val="left"/>
        </w:tabs>
        <w:numPr>
          <w:ilvl w:val="4"/>
          <w:numId w:val="562"/>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00" w:hanging="573"/>
        <w:spacing w:after="0"/>
        <w:tabs>
          <w:tab w:leader="none" w:pos="2500" w:val="left"/>
        </w:tabs>
        <w:numPr>
          <w:ilvl w:val="3"/>
          <w:numId w:val="562"/>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80" w:firstLine="1905"/>
        <w:spacing w:after="0" w:line="289" w:lineRule="auto"/>
        <w:tabs>
          <w:tab w:leader="none" w:pos="2523" w:val="left"/>
        </w:tabs>
        <w:numPr>
          <w:ilvl w:val="4"/>
          <w:numId w:val="563"/>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her duties for the Company).</w:t>
      </w:r>
    </w:p>
    <w:p>
      <w:pPr>
        <w:spacing w:after="0" w:line="158"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a reasonable opportunity to cure (to the extent curable) for a period of not less than ten (10) business days following such notice.</w:t>
      </w:r>
    </w:p>
    <w:p>
      <w:pPr>
        <w:spacing w:after="0" w:line="17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880" w:hanging="617"/>
        <w:spacing w:after="0"/>
        <w:tabs>
          <w:tab w:leader="none" w:pos="1880"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100" w:firstLine="1968"/>
        <w:spacing w:after="0" w:line="268" w:lineRule="auto"/>
        <w:tabs>
          <w:tab w:leader="none" w:pos="2499" w:val="left"/>
        </w:tabs>
        <w:numPr>
          <w:ilvl w:val="1"/>
          <w:numId w:val="564"/>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considered to own more than fifty percent (50%) of the total voting power of the stock of the Company will not be considered a Change of Control; or</w:t>
      </w:r>
    </w:p>
    <w:p>
      <w:pPr>
        <w:spacing w:after="0" w:line="224" w:lineRule="exact"/>
        <w:rPr>
          <w:sz w:val="20"/>
          <w:szCs w:val="20"/>
          <w:color w:val="auto"/>
        </w:rPr>
      </w:pPr>
    </w:p>
    <w:p>
      <w:pPr>
        <w:jc w:val="both"/>
        <w:ind w:firstLine="1893"/>
        <w:spacing w:after="0" w:line="268" w:lineRule="auto"/>
        <w:tabs>
          <w:tab w:leader="none" w:pos="2509" w:val="left"/>
        </w:tabs>
        <w:numPr>
          <w:ilvl w:val="0"/>
          <w:numId w:val="565"/>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1893"/>
        <w:spacing w:after="0" w:line="300" w:lineRule="auto"/>
        <w:tabs>
          <w:tab w:leader="none" w:pos="2521" w:val="left"/>
        </w:tabs>
        <w:numPr>
          <w:ilvl w:val="0"/>
          <w:numId w:val="565"/>
        </w:numPr>
        <w:rPr>
          <w:rFonts w:ascii="Arial" w:cs="Arial" w:eastAsia="Arial" w:hAnsi="Arial"/>
          <w:sz w:val="15"/>
          <w:szCs w:val="15"/>
          <w:color w:val="auto"/>
        </w:rPr>
      </w:pPr>
      <w:r>
        <w:rPr>
          <w:rFonts w:ascii="Arial" w:cs="Arial" w:eastAsia="Arial" w:hAnsi="Arial"/>
          <w:sz w:val="15"/>
          <w:szCs w:val="15"/>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w:t>
      </w:r>
    </w:p>
    <w:p>
      <w:pPr>
        <w:sectPr>
          <w:pgSz w:w="11900" w:h="16872" w:orient="portrait"/>
          <w:cols w:equalWidth="0" w:num="1">
            <w:col w:w="11420"/>
          </w:cols>
          <w:pgMar w:left="240" w:top="127" w:right="239" w:bottom="0" w:gutter="0" w:footer="0" w:header="0"/>
        </w:sectPr>
      </w:pPr>
    </w:p>
    <w:bookmarkStart w:id="359" w:name="page360"/>
    <w:bookmarkEnd w:id="359"/>
    <w:p>
      <w:pPr>
        <w:ind w:right="240"/>
        <w:spacing w:after="0" w:line="289" w:lineRule="auto"/>
        <w:rPr>
          <w:sz w:val="20"/>
          <w:szCs w:val="20"/>
          <w:color w:val="auto"/>
        </w:rPr>
      </w:pPr>
      <w:r>
        <w:rPr>
          <w:rFonts w:ascii="Arial" w:cs="Arial" w:eastAsia="Arial" w:hAnsi="Arial"/>
          <w:sz w:val="17"/>
          <w:szCs w:val="17"/>
          <w:color w:val="auto"/>
        </w:rPr>
        <w:t>subsection (iii), gross fair market value means the value of the assets of the Company, or the value of the assets being disposed of, determined without regard to any liabilities associated with such assets.</w:t>
      </w:r>
    </w:p>
    <w:p>
      <w:pPr>
        <w:spacing w:after="0" w:line="158" w:lineRule="exact"/>
        <w:rPr>
          <w:sz w:val="20"/>
          <w:szCs w:val="20"/>
          <w:color w:val="auto"/>
        </w:rPr>
      </w:pPr>
    </w:p>
    <w:p>
      <w:pPr>
        <w:ind w:right="180" w:firstLine="1888"/>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jc w:val="both"/>
        <w:ind w:right="280" w:firstLine="1888"/>
        <w:spacing w:after="0" w:line="273"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2"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860" w:hanging="597"/>
        <w:spacing w:after="0"/>
        <w:tabs>
          <w:tab w:leader="none" w:pos="1860" w:val="left"/>
        </w:tabs>
        <w:numPr>
          <w:ilvl w:val="1"/>
          <w:numId w:val="566"/>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17"/>
        <w:spacing w:after="0"/>
        <w:tabs>
          <w:tab w:leader="none" w:pos="1880" w:val="left"/>
        </w:tabs>
        <w:numPr>
          <w:ilvl w:val="1"/>
          <w:numId w:val="568"/>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20" w:firstLine="1263"/>
        <w:spacing w:after="0" w:line="283" w:lineRule="auto"/>
        <w:tabs>
          <w:tab w:leader="none" w:pos="1861"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60" w:firstLine="1263"/>
        <w:spacing w:after="0" w:line="289" w:lineRule="auto"/>
        <w:tabs>
          <w:tab w:leader="none" w:pos="1879" w:val="left"/>
        </w:tabs>
        <w:numPr>
          <w:ilvl w:val="1"/>
          <w:numId w:val="568"/>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80" w:firstLine="1263"/>
        <w:spacing w:after="0" w:line="289" w:lineRule="auto"/>
        <w:tabs>
          <w:tab w:leader="none" w:pos="1870" w:val="left"/>
        </w:tabs>
        <w:numPr>
          <w:ilvl w:val="1"/>
          <w:numId w:val="56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80" w:firstLine="1893"/>
        <w:spacing w:after="0" w:line="298" w:lineRule="auto"/>
        <w:tabs>
          <w:tab w:leader="none" w:pos="2498" w:val="left"/>
        </w:tabs>
        <w:numPr>
          <w:ilvl w:val="2"/>
          <w:numId w:val="568"/>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right="60" w:firstLine="1893"/>
        <w:spacing w:after="0" w:line="289" w:lineRule="auto"/>
        <w:tabs>
          <w:tab w:leader="none" w:pos="2509" w:val="left"/>
        </w:tabs>
        <w:numPr>
          <w:ilvl w:val="2"/>
          <w:numId w:val="568"/>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right="60" w:firstLine="1893"/>
        <w:spacing w:after="0" w:line="273" w:lineRule="auto"/>
        <w:tabs>
          <w:tab w:leader="none" w:pos="2521" w:val="left"/>
        </w:tabs>
        <w:numPr>
          <w:ilvl w:val="2"/>
          <w:numId w:val="568"/>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2"/>
          <w:numId w:val="568"/>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miles.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firstLine="1263"/>
        <w:spacing w:after="0" w:line="289" w:lineRule="auto"/>
        <w:tabs>
          <w:tab w:leader="none" w:pos="1943" w:val="left"/>
        </w:tabs>
        <w:numPr>
          <w:ilvl w:val="1"/>
          <w:numId w:val="570"/>
        </w:numPr>
        <w:rPr>
          <w:rFonts w:ascii="Arial" w:cs="Arial" w:eastAsia="Arial" w:hAnsi="Arial"/>
          <w:sz w:val="17"/>
          <w:szCs w:val="17"/>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rFonts w:ascii="Arial" w:cs="Arial" w:eastAsia="Arial" w:hAnsi="Arial"/>
          <w:sz w:val="17"/>
          <w:szCs w:val="17"/>
          <w:color w:val="auto"/>
        </w:rPr>
      </w:pPr>
    </w:p>
    <w:p>
      <w:pPr>
        <w:ind w:right="80" w:firstLine="1263"/>
        <w:spacing w:after="0" w:line="265" w:lineRule="auto"/>
        <w:tabs>
          <w:tab w:leader="none" w:pos="1948" w:val="left"/>
        </w:tabs>
        <w:numPr>
          <w:ilvl w:val="1"/>
          <w:numId w:val="570"/>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340" w:hanging="706"/>
        <w:spacing w:after="0"/>
        <w:tabs>
          <w:tab w:leader="none" w:pos="134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308" w:lineRule="auto"/>
        <w:tabs>
          <w:tab w:leader="none" w:pos="1933" w:val="left"/>
        </w:tabs>
        <w:numPr>
          <w:ilvl w:val="1"/>
          <w:numId w:val="571"/>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00" w:firstLine="1263"/>
        <w:spacing w:after="0" w:line="322" w:lineRule="auto"/>
        <w:tabs>
          <w:tab w:leader="none" w:pos="1943" w:val="left"/>
        </w:tabs>
        <w:numPr>
          <w:ilvl w:val="1"/>
          <w:numId w:val="571"/>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340" w:hanging="706"/>
        <w:spacing w:after="0"/>
        <w:tabs>
          <w:tab w:leader="none" w:pos="134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360" w:name="page361"/>
    <w:bookmarkEnd w:id="360"/>
    <w:p>
      <w:pPr>
        <w:ind w:right="60" w:firstLine="1263"/>
        <w:spacing w:after="0" w:line="283" w:lineRule="auto"/>
        <w:tabs>
          <w:tab w:leader="none" w:pos="1933" w:val="left"/>
        </w:tabs>
        <w:numPr>
          <w:ilvl w:val="0"/>
          <w:numId w:val="57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66" w:lineRule="exact"/>
        <w:rPr>
          <w:rFonts w:ascii="Arial" w:cs="Arial" w:eastAsia="Arial" w:hAnsi="Arial"/>
          <w:sz w:val="16"/>
          <w:szCs w:val="16"/>
          <w:color w:val="auto"/>
        </w:rPr>
      </w:pPr>
    </w:p>
    <w:p>
      <w:pPr>
        <w:ind w:right="20" w:firstLine="1263"/>
        <w:spacing w:after="0" w:line="268" w:lineRule="auto"/>
        <w:tabs>
          <w:tab w:leader="none" w:pos="1943" w:val="left"/>
        </w:tabs>
        <w:numPr>
          <w:ilvl w:val="0"/>
          <w:numId w:val="572"/>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and will specify the termination date (which will be not more than ninety (90) days after the giving of such notice).</w:t>
      </w:r>
    </w:p>
    <w:p>
      <w:pPr>
        <w:spacing w:after="0" w:line="224" w:lineRule="exact"/>
        <w:rPr>
          <w:sz w:val="20"/>
          <w:szCs w:val="20"/>
          <w:color w:val="auto"/>
        </w:rPr>
      </w:pPr>
    </w:p>
    <w:p>
      <w:pPr>
        <w:ind w:right="460" w:firstLine="634"/>
        <w:spacing w:after="0" w:line="298" w:lineRule="auto"/>
        <w:tabs>
          <w:tab w:leader="none" w:pos="1328"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53" w:lineRule="exact"/>
        <w:rPr>
          <w:rFonts w:ascii="Arial" w:cs="Arial" w:eastAsia="Arial" w:hAnsi="Arial"/>
          <w:sz w:val="16"/>
          <w:szCs w:val="16"/>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62" w:lineRule="auto"/>
        <w:tabs>
          <w:tab w:leader="none" w:pos="1933" w:val="left"/>
        </w:tabs>
        <w:numPr>
          <w:ilvl w:val="1"/>
          <w:numId w:val="57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8" w:lineRule="exact"/>
        <w:rPr>
          <w:rFonts w:ascii="Arial" w:cs="Arial" w:eastAsia="Arial" w:hAnsi="Arial"/>
          <w:sz w:val="17"/>
          <w:szCs w:val="17"/>
          <w:color w:val="auto"/>
        </w:rPr>
      </w:pPr>
    </w:p>
    <w:p>
      <w:pPr>
        <w:ind w:right="80" w:firstLine="1263"/>
        <w:spacing w:after="0" w:line="285" w:lineRule="auto"/>
        <w:tabs>
          <w:tab w:leader="none" w:pos="1943" w:val="left"/>
        </w:tabs>
        <w:numPr>
          <w:ilvl w:val="1"/>
          <w:numId w:val="57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rFonts w:ascii="Arial" w:cs="Arial" w:eastAsia="Arial" w:hAnsi="Arial"/>
          <w:sz w:val="16"/>
          <w:szCs w:val="16"/>
          <w:color w:val="auto"/>
        </w:rPr>
      </w:pPr>
    </w:p>
    <w:p>
      <w:pPr>
        <w:ind w:right="20" w:firstLine="1263"/>
        <w:spacing w:after="0" w:line="262" w:lineRule="auto"/>
        <w:tabs>
          <w:tab w:leader="none" w:pos="1933" w:val="left"/>
        </w:tabs>
        <w:numPr>
          <w:ilvl w:val="1"/>
          <w:numId w:val="573"/>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54" w:lineRule="exact"/>
        <w:rPr>
          <w:sz w:val="20"/>
          <w:szCs w:val="20"/>
          <w:color w:val="auto"/>
        </w:rPr>
      </w:pPr>
    </w:p>
    <w:p>
      <w:pPr>
        <w:ind w:firstLine="1263"/>
        <w:spacing w:after="0" w:line="314" w:lineRule="auto"/>
        <w:tabs>
          <w:tab w:leader="none" w:pos="1943" w:val="left"/>
        </w:tabs>
        <w:numPr>
          <w:ilvl w:val="1"/>
          <w:numId w:val="574"/>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will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action regarding claims that are subject to arbitration. </w:t>
      </w:r>
      <w:r>
        <w:rPr>
          <w:rFonts w:ascii="Arial" w:cs="Arial" w:eastAsia="Arial" w:hAnsi="Arial"/>
          <w:sz w:val="15"/>
          <w:szCs w:val="15"/>
          <w:color w:val="auto"/>
        </w:rPr>
        <w:t>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firstLine="1263"/>
        <w:spacing w:after="0" w:line="268" w:lineRule="auto"/>
        <w:tabs>
          <w:tab w:leader="none" w:pos="1933" w:val="left"/>
        </w:tabs>
        <w:numPr>
          <w:ilvl w:val="1"/>
          <w:numId w:val="574"/>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957" w:val="left"/>
        </w:tabs>
        <w:numPr>
          <w:ilvl w:val="1"/>
          <w:numId w:val="574"/>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xml:space="preserve"> Finally, Executive agrees that Executive has been provided an opportunity to seek the advice of an attorney of Executive’s choice before signing this Agreement.</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0"/>
          <w:numId w:val="575"/>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89" w:lineRule="auto"/>
        <w:tabs>
          <w:tab w:leader="none" w:pos="1933" w:val="left"/>
        </w:tabs>
        <w:numPr>
          <w:ilvl w:val="1"/>
          <w:numId w:val="575"/>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ectPr>
          <w:pgSz w:w="11900" w:h="16838" w:orient="portrait"/>
          <w:cols w:equalWidth="0" w:num="1">
            <w:col w:w="11420"/>
          </w:cols>
          <w:pgMar w:left="240" w:top="337" w:right="239" w:bottom="0" w:gutter="0" w:footer="0" w:header="0"/>
        </w:sectPr>
      </w:pPr>
    </w:p>
    <w:bookmarkStart w:id="361" w:name="page362"/>
    <w:bookmarkEnd w:id="361"/>
    <w:p>
      <w:pPr>
        <w:ind w:right="80" w:firstLine="1263"/>
        <w:spacing w:after="0" w:line="268" w:lineRule="auto"/>
        <w:tabs>
          <w:tab w:leader="none" w:pos="1943"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40" w:hanging="677"/>
        <w:spacing w:after="0"/>
        <w:tabs>
          <w:tab w:leader="none" w:pos="1940"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79" w:lineRule="auto"/>
        <w:tabs>
          <w:tab w:leader="none" w:pos="1943"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Employment Agreement dated February 15, 2008 and amendments thereto dated December 22, 2008 and March 11, 2009, Executive’s Restricted Stock Purchase Agreement under the 2008 Stock Plan dated February 15, 2008, Executive’s Stock Option Agreement – Early Exercise under the 2008 Stock Plan dated February 3, 2010 and amendment thereto dated December 6, 2010, Executive’s Stock Option Agreement — Early Exercise under the 2008 Stock Plan dated September 28, 2010, Executive’s Stock Option Agreement under the 2008 Stock Plan dated February 23, 2011, and Executive’s Stock Option Agreement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72" w:lineRule="exact"/>
        <w:rPr>
          <w:rFonts w:ascii="Arial" w:cs="Arial" w:eastAsia="Arial" w:hAnsi="Arial"/>
          <w:sz w:val="16"/>
          <w:szCs w:val="16"/>
          <w:color w:val="auto"/>
        </w:rPr>
      </w:pPr>
    </w:p>
    <w:p>
      <w:pPr>
        <w:ind w:right="120" w:firstLine="1263"/>
        <w:spacing w:after="0" w:line="290" w:lineRule="auto"/>
        <w:tabs>
          <w:tab w:leader="none" w:pos="1933"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660" w:firstLine="1263"/>
        <w:spacing w:after="0" w:line="289" w:lineRule="auto"/>
        <w:tabs>
          <w:tab w:leader="none" w:pos="1957"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rFonts w:ascii="Arial" w:cs="Arial" w:eastAsia="Arial" w:hAnsi="Arial"/>
          <w:sz w:val="16"/>
          <w:szCs w:val="16"/>
          <w:color w:val="auto"/>
        </w:rPr>
      </w:pPr>
    </w:p>
    <w:p>
      <w:pPr>
        <w:ind w:right="260" w:firstLine="1263"/>
        <w:spacing w:after="0" w:line="289" w:lineRule="auto"/>
        <w:tabs>
          <w:tab w:leader="none" w:pos="1943"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7"/>
                <w:szCs w:val="17"/>
                <w:color w:val="auto"/>
              </w:rPr>
              <w:t>COMPANY</w:t>
            </w:r>
          </w:p>
        </w:tc>
        <w:tc>
          <w:tcPr>
            <w:tcW w:w="8060" w:type="dxa"/>
            <w:vAlign w:val="bottom"/>
            <w:gridSpan w:val="2"/>
          </w:tcPr>
          <w:p>
            <w:pPr>
              <w:ind w:left="2360"/>
              <w:spacing w:after="0"/>
              <w:rPr>
                <w:sz w:val="20"/>
                <w:szCs w:val="20"/>
                <w:color w:val="auto"/>
              </w:rPr>
            </w:pPr>
            <w:r>
              <w:rPr>
                <w:rFonts w:ascii="Arial" w:cs="Arial" w:eastAsia="Arial" w:hAnsi="Arial"/>
                <w:sz w:val="17"/>
                <w:szCs w:val="17"/>
                <w:color w:val="auto"/>
              </w:rPr>
              <w:t>VERACYTE, INC.</w:t>
            </w:r>
          </w:p>
        </w:tc>
      </w:tr>
      <w:tr>
        <w:trPr>
          <w:trHeight w:val="420"/>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Atwood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Atwood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Chairman of the board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8/27/12</w:t>
            </w:r>
          </w:p>
        </w:tc>
      </w:tr>
      <w:tr>
        <w:trPr>
          <w:trHeight w:val="622"/>
        </w:trPr>
        <w:tc>
          <w:tcPr>
            <w:tcW w:w="3360" w:type="dxa"/>
            <w:vAlign w:val="bottom"/>
          </w:tcPr>
          <w:p>
            <w:pPr>
              <w:spacing w:after="0"/>
              <w:rPr>
                <w:sz w:val="20"/>
                <w:szCs w:val="20"/>
                <w:color w:val="auto"/>
              </w:rPr>
            </w:pPr>
            <w:r>
              <w:rPr>
                <w:rFonts w:ascii="Arial" w:cs="Arial" w:eastAsia="Arial" w:hAnsi="Arial"/>
                <w:sz w:val="17"/>
                <w:szCs w:val="17"/>
                <w:color w:val="auto"/>
              </w:rPr>
              <w:t>EXECUTIVE</w:t>
            </w:r>
          </w:p>
        </w:tc>
        <w:tc>
          <w:tcPr>
            <w:tcW w:w="3120" w:type="dxa"/>
            <w:vAlign w:val="bottom"/>
          </w:tcPr>
          <w:p>
            <w:pPr>
              <w:ind w:left="23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27 Aug 2012</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Bonnie Anderson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ectPr>
          <w:pgSz w:w="11900" w:h="16838" w:orient="portrait"/>
          <w:cols w:equalWidth="0" w:num="1">
            <w:col w:w="11420"/>
          </w:cols>
          <w:pgMar w:left="240" w:top="127" w:right="239" w:bottom="0" w:gutter="0" w:footer="0" w:header="0"/>
        </w:sectPr>
      </w:pPr>
    </w:p>
    <w:bookmarkStart w:id="362" w:name="page363"/>
    <w:bookmarkEnd w:id="362"/>
    <w:p>
      <w:pPr>
        <w:ind w:right="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an At-Will Employment, Confidential Information, Invention Assignment, and Arbitration Agreement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on February 13, 2008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145" w:lineRule="exact"/>
        <w:rPr>
          <w:sz w:val="20"/>
          <w:szCs w:val="20"/>
          <w:color w:val="auto"/>
        </w:rPr>
      </w:pPr>
    </w:p>
    <w:p>
      <w:pPr>
        <w:ind w:right="34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 Change of Control and Severance Agreement with the company on (the “</w:t>
      </w:r>
      <w:r>
        <w:rPr>
          <w:rFonts w:ascii="Arial" w:cs="Arial" w:eastAsia="Arial" w:hAnsi="Arial"/>
          <w:sz w:val="17"/>
          <w:szCs w:val="17"/>
          <w:b w:val="1"/>
          <w:bCs w:val="1"/>
          <w:i w:val="1"/>
          <w:iCs w:val="1"/>
          <w:color w:val="auto"/>
        </w:rPr>
        <w:t>Change of Control</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among other things, provides for certain severance benefits to be paid to Executive by the Company upon the termination of Executive’s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following a Change of Control (as defined in the Change of Control Agreement) of the Company;</w:t>
      </w:r>
    </w:p>
    <w:p>
      <w:pPr>
        <w:sectPr>
          <w:pgSz w:w="11900" w:h="16838" w:orient="portrait"/>
          <w:cols w:equalWidth="0" w:num="1">
            <w:col w:w="11400"/>
          </w:cols>
          <w:pgMar w:left="240" w:top="121" w:right="259" w:bottom="0" w:gutter="0" w:footer="0" w:header="0"/>
        </w:sectPr>
      </w:pPr>
    </w:p>
    <w:p>
      <w:pPr>
        <w:spacing w:after="0" w:line="162" w:lineRule="exact"/>
        <w:rPr>
          <w:sz w:val="20"/>
          <w:szCs w:val="20"/>
          <w:color w:val="auto"/>
        </w:rPr>
      </w:pPr>
    </w:p>
    <w:p>
      <w:pPr>
        <w:ind w:right="72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w:t>
      </w:r>
    </w:p>
    <w:p>
      <w:pPr>
        <w:spacing w:after="0" w:line="438" w:lineRule="exact"/>
        <w:rPr>
          <w:sz w:val="20"/>
          <w:szCs w:val="20"/>
          <w:color w:val="auto"/>
        </w:rPr>
      </w:pPr>
    </w:p>
    <w:p>
      <w:pPr>
        <w:sectPr>
          <w:pgSz w:w="11900" w:h="16838" w:orient="portrait"/>
          <w:cols w:equalWidth="0" w:num="2">
            <w:col w:w="5640" w:space="720"/>
            <w:col w:w="5040"/>
          </w:cols>
          <w:pgMar w:left="240" w:top="121" w:right="259" w:bottom="0" w:gutter="0" w:footer="0" w:header="0"/>
          <w:type w:val="continuous"/>
        </w:sectPr>
      </w:pPr>
    </w:p>
    <w:p>
      <w:pPr>
        <w:ind w:right="2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pacing w:after="0" w:line="16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340" w:hanging="706"/>
        <w:spacing w:after="0"/>
        <w:tabs>
          <w:tab w:leader="none" w:pos="1340" w:val="left"/>
        </w:tabs>
        <w:numPr>
          <w:ilvl w:val="0"/>
          <w:numId w:val="57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24" w:lineRule="exact"/>
        <w:rPr>
          <w:rFonts w:ascii="Arial" w:cs="Arial" w:eastAsia="Arial" w:hAnsi="Arial"/>
          <w:sz w:val="17"/>
          <w:szCs w:val="17"/>
          <w:color w:val="auto"/>
        </w:rPr>
      </w:pPr>
    </w:p>
    <w:p>
      <w:pPr>
        <w:ind w:right="700" w:firstLine="634"/>
        <w:spacing w:after="0" w:line="322" w:lineRule="auto"/>
        <w:tabs>
          <w:tab w:leader="none" w:pos="1328" w:val="left"/>
        </w:tabs>
        <w:numPr>
          <w:ilvl w:val="0"/>
          <w:numId w:val="578"/>
        </w:numPr>
        <w:rPr>
          <w:rFonts w:ascii="Arial" w:cs="Arial" w:eastAsia="Arial" w:hAnsi="Arial"/>
          <w:sz w:val="16"/>
          <w:szCs w:val="16"/>
          <w:color w:val="auto"/>
        </w:rPr>
      </w:pPr>
      <w:r>
        <w:rPr>
          <w:rFonts w:ascii="Arial" w:cs="Arial" w:eastAsia="Arial" w:hAnsi="Arial"/>
          <w:sz w:val="16"/>
          <w:szCs w:val="16"/>
          <w:u w:val="single" w:color="auto"/>
          <w:color w:val="auto"/>
        </w:rPr>
        <w:t>Payment of Salary and Receipt of All Benefits</w:t>
      </w:r>
      <w:r>
        <w:rPr>
          <w:rFonts w:ascii="Arial" w:cs="Arial" w:eastAsia="Arial" w:hAnsi="Arial"/>
          <w:sz w:val="16"/>
          <w:szCs w:val="16"/>
          <w:color w:val="auto"/>
        </w:rPr>
        <w:t>. Executive acknowledges and represents that, other than the consideration to be paid in accordance with the terms and conditions of the Change of Control Agreement, the Company has paid or provided all salary, wages, bonuses,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2" w:lineRule="exact"/>
        <w:rPr>
          <w:sz w:val="20"/>
          <w:szCs w:val="20"/>
          <w:color w:val="auto"/>
        </w:rPr>
      </w:pPr>
    </w:p>
    <w:p>
      <w:pPr>
        <w:ind w:right="100" w:firstLine="634"/>
        <w:spacing w:after="0" w:line="280" w:lineRule="auto"/>
        <w:tabs>
          <w:tab w:leader="none" w:pos="1328" w:val="left"/>
        </w:tabs>
        <w:numPr>
          <w:ilvl w:val="0"/>
          <w:numId w:val="579"/>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70" w:lineRule="exact"/>
        <w:rPr>
          <w:rFonts w:ascii="Arial" w:cs="Arial" w:eastAsia="Arial" w:hAnsi="Arial"/>
          <w:sz w:val="16"/>
          <w:szCs w:val="16"/>
          <w:color w:val="auto"/>
        </w:rPr>
      </w:pPr>
    </w:p>
    <w:p>
      <w:pPr>
        <w:ind w:left="1940" w:hanging="677"/>
        <w:spacing w:after="0"/>
        <w:tabs>
          <w:tab w:leader="none" w:pos="194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relationship;</w:t>
      </w:r>
    </w:p>
    <w:p>
      <w:pPr>
        <w:spacing w:after="0" w:line="212" w:lineRule="exact"/>
        <w:rPr>
          <w:rFonts w:ascii="Arial" w:cs="Arial" w:eastAsia="Arial" w:hAnsi="Arial"/>
          <w:sz w:val="16"/>
          <w:szCs w:val="16"/>
          <w:color w:val="auto"/>
        </w:rPr>
      </w:pPr>
    </w:p>
    <w:p>
      <w:pPr>
        <w:ind w:right="100" w:firstLine="1263"/>
        <w:spacing w:after="0" w:line="273" w:lineRule="auto"/>
        <w:tabs>
          <w:tab w:leader="none" w:pos="1943" w:val="left"/>
        </w:tabs>
        <w:numPr>
          <w:ilvl w:val="1"/>
          <w:numId w:val="579"/>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60" w:firstLine="1263"/>
        <w:spacing w:after="0" w:line="265" w:lineRule="auto"/>
        <w:tabs>
          <w:tab w:leader="none" w:pos="1933" w:val="left"/>
        </w:tabs>
        <w:numPr>
          <w:ilvl w:val="1"/>
          <w:numId w:val="579"/>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firstLine="1263"/>
        <w:spacing w:after="0" w:line="265" w:lineRule="auto"/>
        <w:tabs>
          <w:tab w:leader="none" w:pos="1943" w:val="left"/>
        </w:tabs>
        <w:numPr>
          <w:ilvl w:val="1"/>
          <w:numId w:val="579"/>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40" w:hanging="677"/>
        <w:spacing w:after="0"/>
        <w:tabs>
          <w:tab w:leader="none" w:pos="194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right="200" w:firstLine="1263"/>
        <w:spacing w:after="0" w:line="289" w:lineRule="auto"/>
        <w:tabs>
          <w:tab w:leader="none" w:pos="1943" w:val="left"/>
        </w:tabs>
        <w:numPr>
          <w:ilvl w:val="0"/>
          <w:numId w:val="580"/>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ectPr>
          <w:pgSz w:w="11900" w:h="16838" w:orient="portrait"/>
          <w:cols w:equalWidth="0" w:num="1">
            <w:col w:w="11400"/>
          </w:cols>
          <w:pgMar w:left="240" w:top="121" w:right="259" w:bottom="0" w:gutter="0" w:footer="0" w:header="0"/>
          <w:type w:val="continuous"/>
        </w:sectPr>
      </w:pPr>
    </w:p>
    <w:bookmarkStart w:id="363" w:name="page364"/>
    <w:bookmarkEnd w:id="363"/>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100" w:firstLine="634"/>
        <w:spacing w:after="0" w:line="305" w:lineRule="auto"/>
        <w:tabs>
          <w:tab w:leader="none" w:pos="1328" w:val="left"/>
        </w:tabs>
        <w:numPr>
          <w:ilvl w:val="1"/>
          <w:numId w:val="58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Executive acknowledges that Executive is waiving and releasing any rights Executive may have under the Age Discrimination in Employment Act of 1967 (“</w:t>
      </w:r>
      <w:r>
        <w:rPr>
          <w:rFonts w:ascii="Arial" w:cs="Arial" w:eastAsia="Arial" w:hAnsi="Arial"/>
          <w:sz w:val="15"/>
          <w:szCs w:val="15"/>
          <w:b w:val="1"/>
          <w:bCs w:val="1"/>
          <w:i w:val="1"/>
          <w:iCs w:val="1"/>
          <w:color w:val="auto"/>
        </w:rPr>
        <w:t>ADEA</w:t>
      </w:r>
      <w:r>
        <w:rPr>
          <w:rFonts w:ascii="Arial" w:cs="Arial" w:eastAsia="Arial" w:hAnsi="Arial"/>
          <w:sz w:val="15"/>
          <w:szCs w:val="15"/>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5"/>
          <w:szCs w:val="15"/>
          <w:b w:val="1"/>
          <w:bCs w:val="1"/>
          <w:i w:val="1"/>
          <w:iCs w:val="1"/>
          <w:color w:val="auto"/>
        </w:rPr>
        <w:t>prior</w:t>
      </w:r>
      <w:r>
        <w:rPr>
          <w:rFonts w:ascii="Arial" w:cs="Arial" w:eastAsia="Arial" w:hAnsi="Arial"/>
          <w:sz w:val="15"/>
          <w:szCs w:val="15"/>
          <w:color w:val="auto"/>
        </w:rPr>
        <w:t xml:space="preserve"> to executing this Agreement; (b) Executive has at least 21 days within which to consider this Agreement; (c) Executive has 7 days following the execution of this Agreement by the parties to revoke the</w:t>
      </w:r>
    </w:p>
    <w:p>
      <w:pPr>
        <w:spacing w:after="0" w:line="375" w:lineRule="exact"/>
        <w:rPr>
          <w:rFonts w:ascii="Arial" w:cs="Arial" w:eastAsia="Arial" w:hAnsi="Arial"/>
          <w:sz w:val="15"/>
          <w:szCs w:val="15"/>
          <w:color w:val="auto"/>
        </w:rPr>
      </w:pPr>
    </w:p>
    <w:p>
      <w:pPr>
        <w:ind w:right="840" w:firstLine="319"/>
        <w:spacing w:after="0" w:line="322" w:lineRule="auto"/>
        <w:tabs>
          <w:tab w:leader="none" w:pos="562" w:val="left"/>
        </w:tabs>
        <w:numPr>
          <w:ilvl w:val="0"/>
          <w:numId w:val="582"/>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183134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83" w:lineRule="exact"/>
        <w:rPr>
          <w:sz w:val="20"/>
          <w:szCs w:val="20"/>
          <w:color w:val="auto"/>
        </w:rPr>
      </w:pPr>
    </w:p>
    <w:p>
      <w:pPr>
        <w:ind w:firstLine="634"/>
        <w:spacing w:after="0" w:line="322" w:lineRule="auto"/>
        <w:tabs>
          <w:tab w:leader="none" w:pos="1328" w:val="left"/>
        </w:tabs>
        <w:numPr>
          <w:ilvl w:val="0"/>
          <w:numId w:val="5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9" w:lineRule="exact"/>
        <w:rPr>
          <w:sz w:val="20"/>
          <w:szCs w:val="20"/>
          <w:color w:val="auto"/>
        </w:rPr>
      </w:pPr>
    </w:p>
    <w:p>
      <w:pPr>
        <w:ind w:right="360" w:firstLine="634"/>
        <w:spacing w:after="0" w:line="289" w:lineRule="auto"/>
        <w:tabs>
          <w:tab w:leader="none" w:pos="1328" w:val="left"/>
        </w:tabs>
        <w:numPr>
          <w:ilvl w:val="1"/>
          <w:numId w:val="584"/>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w:t>
      </w:r>
    </w:p>
    <w:p>
      <w:pPr>
        <w:spacing w:after="0" w:line="381" w:lineRule="exact"/>
        <w:rPr>
          <w:rFonts w:ascii="Arial" w:cs="Arial" w:eastAsia="Arial" w:hAnsi="Arial"/>
          <w:sz w:val="17"/>
          <w:szCs w:val="17"/>
          <w:color w:val="auto"/>
        </w:rPr>
      </w:pPr>
    </w:p>
    <w:p>
      <w:pPr>
        <w:ind w:left="560" w:hanging="241"/>
        <w:spacing w:after="0"/>
        <w:tabs>
          <w:tab w:leader="none" w:pos="56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left="560" w:hanging="241"/>
        <w:spacing w:after="0"/>
        <w:tabs>
          <w:tab w:leader="none" w:pos="56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183134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76" w:lineRule="exact"/>
        <w:rPr>
          <w:sz w:val="20"/>
          <w:szCs w:val="20"/>
          <w:color w:val="auto"/>
        </w:rPr>
      </w:pPr>
    </w:p>
    <w:p>
      <w:pPr>
        <w:ind w:right="360" w:firstLine="634"/>
        <w:spacing w:after="0" w:line="289" w:lineRule="auto"/>
        <w:tabs>
          <w:tab w:leader="none" w:pos="1328" w:val="left"/>
        </w:tabs>
        <w:numPr>
          <w:ilvl w:val="0"/>
          <w:numId w:val="586"/>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80" w:firstLine="634"/>
        <w:spacing w:after="0" w:line="263" w:lineRule="auto"/>
        <w:tabs>
          <w:tab w:leader="none" w:pos="1328" w:val="left"/>
        </w:tabs>
        <w:numPr>
          <w:ilvl w:val="0"/>
          <w:numId w:val="58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ectPr>
          <w:pgSz w:w="11900" w:h="16838" w:orient="portrait"/>
          <w:cols w:equalWidth="0" w:num="1">
            <w:col w:w="11420"/>
          </w:cols>
          <w:pgMar w:left="240" w:top="336" w:right="239" w:bottom="0" w:gutter="0" w:footer="0" w:header="0"/>
        </w:sectPr>
      </w:pPr>
    </w:p>
    <w:bookmarkStart w:id="364" w:name="page365"/>
    <w:bookmarkEnd w:id="364"/>
    <w:p>
      <w:pPr>
        <w:ind w:right="20" w:firstLine="634"/>
        <w:spacing w:after="0" w:line="281" w:lineRule="auto"/>
        <w:tabs>
          <w:tab w:leader="none" w:pos="1328" w:val="left"/>
        </w:tabs>
        <w:numPr>
          <w:ilvl w:val="0"/>
          <w:numId w:val="587"/>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00" w:firstLine="634"/>
        <w:spacing w:after="0" w:line="283" w:lineRule="auto"/>
        <w:tabs>
          <w:tab w:leader="none" w:pos="1284" w:val="left"/>
        </w:tabs>
        <w:numPr>
          <w:ilvl w:val="0"/>
          <w:numId w:val="587"/>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60" w:firstLine="634"/>
        <w:spacing w:after="0" w:line="289" w:lineRule="auto"/>
        <w:tabs>
          <w:tab w:leader="none" w:pos="1248" w:val="left"/>
        </w:tabs>
        <w:numPr>
          <w:ilvl w:val="1"/>
          <w:numId w:val="58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firstLine="634"/>
        <w:spacing w:after="0" w:line="268" w:lineRule="auto"/>
        <w:tabs>
          <w:tab w:leader="none" w:pos="1254" w:val="left"/>
        </w:tabs>
        <w:numPr>
          <w:ilvl w:val="1"/>
          <w:numId w:val="588"/>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75" w:lineRule="exact"/>
        <w:rPr>
          <w:rFonts w:ascii="Arial" w:cs="Arial" w:eastAsia="Arial" w:hAnsi="Arial"/>
          <w:sz w:val="17"/>
          <w:szCs w:val="17"/>
          <w:color w:val="auto"/>
        </w:rPr>
      </w:pPr>
    </w:p>
    <w:p>
      <w:pPr>
        <w:ind w:right="300" w:firstLine="634"/>
        <w:spacing w:after="0" w:line="281" w:lineRule="auto"/>
        <w:tabs>
          <w:tab w:leader="none" w:pos="1254" w:val="left"/>
        </w:tabs>
        <w:numPr>
          <w:ilvl w:val="1"/>
          <w:numId w:val="588"/>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20" w:firstLine="5"/>
        <w:spacing w:after="0" w:line="275" w:lineRule="auto"/>
        <w:tabs>
          <w:tab w:leader="none" w:pos="247" w:val="left"/>
        </w:tabs>
        <w:numPr>
          <w:ilvl w:val="0"/>
          <w:numId w:val="589"/>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589"/>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40" w:firstLine="634"/>
        <w:spacing w:after="0" w:line="259" w:lineRule="auto"/>
        <w:tabs>
          <w:tab w:leader="none" w:pos="1254" w:val="left"/>
        </w:tabs>
        <w:numPr>
          <w:ilvl w:val="1"/>
          <w:numId w:val="58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12" w:lineRule="exact"/>
        <w:rPr>
          <w:sz w:val="20"/>
          <w:szCs w:val="20"/>
          <w:color w:val="auto"/>
        </w:rPr>
      </w:pPr>
    </w:p>
    <w:p>
      <w:pPr>
        <w:ind w:firstLine="634"/>
        <w:spacing w:after="0" w:line="265" w:lineRule="auto"/>
        <w:tabs>
          <w:tab w:leader="none" w:pos="1254"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60" w:firstLine="634"/>
        <w:spacing w:after="0" w:line="273" w:lineRule="auto"/>
        <w:tabs>
          <w:tab w:leader="none" w:pos="1254"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right="60" w:firstLine="634"/>
        <w:spacing w:after="0" w:line="273" w:lineRule="auto"/>
        <w:tabs>
          <w:tab w:leader="none" w:pos="1254"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right="20" w:firstLine="634"/>
        <w:spacing w:after="0" w:line="265" w:lineRule="auto"/>
        <w:tabs>
          <w:tab w:leader="none" w:pos="1254"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ectPr>
          <w:pgSz w:w="11900" w:h="16838" w:orient="portrait"/>
          <w:cols w:equalWidth="0" w:num="1">
            <w:col w:w="11400"/>
          </w:cols>
          <w:pgMar w:left="240" w:top="127" w:right="259" w:bottom="0" w:gutter="0" w:footer="0" w:header="0"/>
        </w:sectPr>
      </w:pPr>
    </w:p>
    <w:bookmarkStart w:id="365" w:name="page366"/>
    <w:bookmarkEnd w:id="365"/>
    <w:p>
      <w:pPr>
        <w:ind w:left="1260" w:hanging="626"/>
        <w:spacing w:after="0"/>
        <w:tabs>
          <w:tab w:leader="none" w:pos="1260" w:val="left"/>
        </w:tabs>
        <w:numPr>
          <w:ilvl w:val="1"/>
          <w:numId w:val="591"/>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40" w:firstLine="634"/>
        <w:spacing w:after="0" w:line="289" w:lineRule="auto"/>
        <w:tabs>
          <w:tab w:leader="none" w:pos="1254" w:val="left"/>
        </w:tabs>
        <w:numPr>
          <w:ilvl w:val="1"/>
          <w:numId w:val="59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81" w:lineRule="exact"/>
        <w:rPr>
          <w:rFonts w:ascii="Arial" w:cs="Arial" w:eastAsia="Arial" w:hAnsi="Arial"/>
          <w:sz w:val="17"/>
          <w:szCs w:val="17"/>
          <w:color w:val="auto"/>
        </w:rPr>
      </w:pPr>
    </w:p>
    <w:p>
      <w:pPr>
        <w:ind w:right="340" w:firstLine="319"/>
        <w:spacing w:after="0" w:line="289" w:lineRule="auto"/>
        <w:tabs>
          <w:tab w:leader="none" w:pos="562" w:val="left"/>
        </w:tabs>
        <w:numPr>
          <w:ilvl w:val="0"/>
          <w:numId w:val="592"/>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rFonts w:ascii="Arial" w:cs="Arial" w:eastAsia="Arial" w:hAnsi="Arial"/>
          <w:sz w:val="17"/>
          <w:szCs w:val="17"/>
          <w:color w:val="auto"/>
        </w:rPr>
      </w:pPr>
    </w:p>
    <w:p>
      <w:pPr>
        <w:ind w:right="340" w:firstLine="319"/>
        <w:spacing w:after="0" w:line="289" w:lineRule="auto"/>
        <w:tabs>
          <w:tab w:leader="none" w:pos="562" w:val="left"/>
        </w:tabs>
        <w:numPr>
          <w:ilvl w:val="0"/>
          <w:numId w:val="592"/>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-765175</wp:posOffset>
            </wp:positionV>
            <wp:extent cx="183134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44" w:lineRule="auto"/>
        <w:tabs>
          <w:tab w:leader="none" w:pos="1254" w:val="left"/>
        </w:tabs>
        <w:numPr>
          <w:ilvl w:val="1"/>
          <w:numId w:val="59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95" w:lineRule="exact"/>
        <w:rPr>
          <w:rFonts w:ascii="Arial" w:cs="Arial" w:eastAsia="Arial" w:hAnsi="Arial"/>
          <w:sz w:val="17"/>
          <w:szCs w:val="17"/>
          <w:color w:val="auto"/>
        </w:rPr>
      </w:pPr>
    </w:p>
    <w:p>
      <w:pPr>
        <w:ind w:right="220" w:firstLine="634"/>
        <w:spacing w:after="0" w:line="289" w:lineRule="auto"/>
        <w:tabs>
          <w:tab w:leader="none" w:pos="1254" w:val="left"/>
        </w:tabs>
        <w:numPr>
          <w:ilvl w:val="1"/>
          <w:numId w:val="59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8" w:lineRule="exact"/>
        <w:rPr>
          <w:rFonts w:ascii="Arial" w:cs="Arial" w:eastAsia="Arial" w:hAnsi="Arial"/>
          <w:sz w:val="17"/>
          <w:szCs w:val="17"/>
          <w:color w:val="auto"/>
        </w:rPr>
      </w:pPr>
    </w:p>
    <w:p>
      <w:pPr>
        <w:ind w:firstLine="634"/>
        <w:spacing w:after="0" w:line="273" w:lineRule="auto"/>
        <w:tabs>
          <w:tab w:leader="none" w:pos="1254" w:val="left"/>
        </w:tabs>
        <w:numPr>
          <w:ilvl w:val="1"/>
          <w:numId w:val="593"/>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2"/>
          <w:numId w:val="593"/>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900" w:right="200" w:hanging="637"/>
        <w:spacing w:after="0" w:line="289" w:lineRule="auto"/>
        <w:tabs>
          <w:tab w:leader="none" w:pos="1907" w:val="left"/>
        </w:tabs>
        <w:numPr>
          <w:ilvl w:val="2"/>
          <w:numId w:val="593"/>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593"/>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593"/>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560" w:hanging="241"/>
        <w:spacing w:after="0"/>
        <w:tabs>
          <w:tab w:leader="none" w:pos="560" w:val="left"/>
        </w:tabs>
        <w:numPr>
          <w:ilvl w:val="0"/>
          <w:numId w:val="594"/>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120" w:hanging="5301"/>
        <w:spacing w:after="0" w:line="547" w:lineRule="auto"/>
        <w:tabs>
          <w:tab w:leader="none" w:pos="557" w:val="left"/>
        </w:tabs>
        <w:numPr>
          <w:ilvl w:val="0"/>
          <w:numId w:val="594"/>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-898525</wp:posOffset>
            </wp:positionV>
            <wp:extent cx="183134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on the respective dates set forth below.</w:t>
      </w: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COMPANY</w:t>
      </w:r>
      <w:r>
        <w:rPr>
          <w:sz w:val="20"/>
          <w:szCs w:val="20"/>
          <w:color w:val="auto"/>
        </w:rPr>
        <w:tab/>
      </w:r>
      <w:r>
        <w:rPr>
          <w:rFonts w:ascii="Arial" w:cs="Arial" w:eastAsia="Arial" w:hAnsi="Arial"/>
          <w:sz w:val="17"/>
          <w:szCs w:val="17"/>
          <w:color w:val="auto"/>
        </w:rPr>
        <w:t>VERACYTE,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color w:val="auto"/>
        </w:rPr>
        <w:t>BONNIE ANDERSON,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420370</wp:posOffset>
            </wp:positionV>
            <wp:extent cx="362140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34"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380"/>
          </w:cols>
          <w:pgMar w:left="240" w:top="337" w:right="279" w:bottom="10" w:gutter="0" w:footer="0" w:header="0"/>
        </w:sectPr>
      </w:pPr>
    </w:p>
    <w:bookmarkStart w:id="366" w:name="page367"/>
    <w:bookmarkEnd w:id="366"/>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88900</wp:posOffset>
            </wp:positionV>
            <wp:extent cx="7271385" cy="2921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67" w:name="page368"/>
    <w:bookmarkEnd w:id="367"/>
    <w:p>
      <w:pPr>
        <w:jc w:val="right"/>
        <w:spacing w:after="0"/>
        <w:rPr>
          <w:sz w:val="20"/>
          <w:szCs w:val="20"/>
          <w:color w:val="auto"/>
        </w:rPr>
      </w:pPr>
      <w:r>
        <w:rPr>
          <w:rFonts w:ascii="Arial" w:cs="Arial" w:eastAsia="Arial" w:hAnsi="Arial"/>
          <w:sz w:val="17"/>
          <w:szCs w:val="17"/>
          <w:b w:val="1"/>
          <w:bCs w:val="1"/>
          <w:color w:val="auto"/>
        </w:rPr>
        <w:t>Exhibit 10.14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Christopher Hail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August 24, 2012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60" w:firstLine="634"/>
        <w:spacing w:after="0" w:line="300" w:lineRule="auto"/>
        <w:tabs>
          <w:tab w:leader="none" w:pos="1153" w:val="left"/>
        </w:tabs>
        <w:numPr>
          <w:ilvl w:val="1"/>
          <w:numId w:val="595"/>
        </w:numPr>
        <w:rPr>
          <w:rFonts w:ascii="Arial" w:cs="Arial" w:eastAsia="Arial" w:hAnsi="Arial"/>
          <w:sz w:val="15"/>
          <w:szCs w:val="15"/>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believes that it is in the best interests of the Company and its stockholders (i) to assure that the Company will have the continued dedication and objectivity of Executive, notwithstanding the possibility, threat, or occurrence of a Change of Control and</w:t>
      </w:r>
    </w:p>
    <w:p>
      <w:pPr>
        <w:ind w:right="180" w:firstLine="5"/>
        <w:spacing w:after="0" w:line="275" w:lineRule="auto"/>
        <w:tabs>
          <w:tab w:leader="none" w:pos="257" w:val="left"/>
        </w:tabs>
        <w:numPr>
          <w:ilvl w:val="0"/>
          <w:numId w:val="596"/>
        </w:numPr>
        <w:rPr>
          <w:rFonts w:ascii="Arial" w:cs="Arial" w:eastAsia="Arial" w:hAnsi="Arial"/>
          <w:sz w:val="17"/>
          <w:szCs w:val="17"/>
          <w:color w:val="auto"/>
        </w:rPr>
      </w:pPr>
      <w:r>
        <w:rPr>
          <w:rFonts w:ascii="Arial" w:cs="Arial" w:eastAsia="Arial" w:hAnsi="Arial"/>
          <w:sz w:val="17"/>
          <w:szCs w:val="17"/>
          <w:color w:val="auto"/>
        </w:rPr>
        <w:t>to provide Executive with an incentive to continue Executive’s employment prior to a Change of Control and to motivate Executive to maximize the value of the Company upon a Change of Control for the benefit of its stockholders.</w:t>
      </w:r>
    </w:p>
    <w:p>
      <w:pPr>
        <w:spacing w:after="0" w:line="169" w:lineRule="exact"/>
        <w:rPr>
          <w:rFonts w:ascii="Arial" w:cs="Arial" w:eastAsia="Arial" w:hAnsi="Arial"/>
          <w:sz w:val="17"/>
          <w:szCs w:val="17"/>
          <w:color w:val="auto"/>
        </w:rPr>
      </w:pPr>
    </w:p>
    <w:p>
      <w:pPr>
        <w:ind w:right="160" w:firstLine="634"/>
        <w:spacing w:after="0" w:line="273" w:lineRule="auto"/>
        <w:tabs>
          <w:tab w:leader="none" w:pos="1153" w:val="left"/>
        </w:tabs>
        <w:numPr>
          <w:ilvl w:val="1"/>
          <w:numId w:val="596"/>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160" w:hanging="526"/>
        <w:spacing w:after="0"/>
        <w:tabs>
          <w:tab w:leader="none" w:pos="116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153"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60" w:firstLine="634"/>
        <w:spacing w:after="0" w:line="289" w:lineRule="auto"/>
        <w:tabs>
          <w:tab w:leader="none" w:pos="1153"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160" w:hanging="526"/>
        <w:spacing w:after="0"/>
        <w:tabs>
          <w:tab w:leader="none" w:pos="1160" w:val="left"/>
        </w:tabs>
        <w:numPr>
          <w:ilvl w:val="1"/>
          <w:numId w:val="598"/>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158"/>
        <w:spacing w:after="0" w:line="273" w:lineRule="auto"/>
        <w:tabs>
          <w:tab w:leader="none" w:pos="1885" w:val="left"/>
        </w:tabs>
        <w:numPr>
          <w:ilvl w:val="2"/>
          <w:numId w:val="59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200" w:firstLine="1893"/>
        <w:spacing w:after="0" w:line="289" w:lineRule="auto"/>
        <w:tabs>
          <w:tab w:leader="none" w:pos="2538" w:val="left"/>
        </w:tabs>
        <w:numPr>
          <w:ilvl w:val="3"/>
          <w:numId w:val="598"/>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60" w:firstLine="1893"/>
        <w:spacing w:after="0" w:line="273" w:lineRule="auto"/>
        <w:tabs>
          <w:tab w:leader="none" w:pos="2547" w:val="left"/>
        </w:tabs>
        <w:numPr>
          <w:ilvl w:val="3"/>
          <w:numId w:val="598"/>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60" w:firstLine="1893"/>
        <w:spacing w:after="0" w:line="275" w:lineRule="auto"/>
        <w:tabs>
          <w:tab w:leader="none" w:pos="2556" w:val="left"/>
        </w:tabs>
        <w:numPr>
          <w:ilvl w:val="3"/>
          <w:numId w:val="598"/>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ind w:left="260" w:hanging="255"/>
        <w:spacing w:after="0"/>
        <w:tabs>
          <w:tab w:leader="none" w:pos="260" w:val="left"/>
        </w:tabs>
        <w:numPr>
          <w:ilvl w:val="0"/>
          <w:numId w:val="599"/>
        </w:numPr>
        <w:rPr>
          <w:rFonts w:ascii="Arial" w:cs="Arial" w:eastAsia="Arial" w:hAnsi="Arial"/>
          <w:sz w:val="16"/>
          <w:szCs w:val="16"/>
          <w:color w:val="auto"/>
        </w:rPr>
      </w:pPr>
      <w:r>
        <w:rPr>
          <w:rFonts w:ascii="Arial" w:cs="Arial" w:eastAsia="Arial" w:hAnsi="Arial"/>
          <w:sz w:val="16"/>
          <w:szCs w:val="16"/>
          <w:color w:val="auto"/>
        </w:rPr>
        <w:t>the date upon which Executive obtains other employment or (y) the date the Company has paid an amount equal to six (6) payments. For the avoidance of</w:t>
      </w:r>
    </w:p>
    <w:p>
      <w:pPr>
        <w:spacing w:after="0" w:line="25" w:lineRule="exact"/>
        <w:rPr>
          <w:rFonts w:ascii="Arial" w:cs="Arial" w:eastAsia="Arial" w:hAnsi="Arial"/>
          <w:sz w:val="16"/>
          <w:szCs w:val="16"/>
          <w:color w:val="auto"/>
        </w:rPr>
      </w:pPr>
    </w:p>
    <w:p>
      <w:pPr>
        <w:ind w:right="160"/>
        <w:spacing w:after="0" w:line="275" w:lineRule="auto"/>
        <w:rPr>
          <w:rFonts w:ascii="Arial" w:cs="Arial" w:eastAsia="Arial" w:hAnsi="Arial"/>
          <w:sz w:val="16"/>
          <w:szCs w:val="16"/>
          <w:color w:val="auto"/>
        </w:rPr>
      </w:pPr>
      <w:r>
        <w:rPr>
          <w:rFonts w:ascii="Arial" w:cs="Arial" w:eastAsia="Arial" w:hAnsi="Arial"/>
          <w:sz w:val="17"/>
          <w:szCs w:val="17"/>
          <w:color w:val="auto"/>
        </w:rPr>
        <w:t>doubt, the taxable payments in lieu of COBRA reimbursements may be used for any purpose, including, but not limited to continuation coverage under COBRA, and will be subject to all applicable tax withholdings.</w:t>
      </w:r>
    </w:p>
    <w:p>
      <w:pPr>
        <w:spacing w:after="0" w:line="169" w:lineRule="exact"/>
        <w:rPr>
          <w:rFonts w:ascii="Arial" w:cs="Arial" w:eastAsia="Arial" w:hAnsi="Arial"/>
          <w:sz w:val="16"/>
          <w:szCs w:val="16"/>
          <w:color w:val="auto"/>
        </w:rPr>
      </w:pPr>
    </w:p>
    <w:p>
      <w:pPr>
        <w:ind w:right="20" w:firstLine="1158"/>
        <w:spacing w:after="0" w:line="273" w:lineRule="auto"/>
        <w:tabs>
          <w:tab w:leader="none" w:pos="1895" w:val="left"/>
        </w:tabs>
        <w:numPr>
          <w:ilvl w:val="2"/>
          <w:numId w:val="59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in each case, such termination occurs during the Change of Control Period, then</w:t>
      </w:r>
    </w:p>
    <w:p>
      <w:pPr>
        <w:sectPr>
          <w:pgSz w:w="11900" w:h="16838" w:orient="portrait"/>
          <w:cols w:equalWidth="0" w:num="1">
            <w:col w:w="11420"/>
          </w:cols>
          <w:pgMar w:left="240" w:top="357" w:right="239" w:bottom="162"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368" w:name="page369"/>
    <w:bookmarkEnd w:id="368"/>
    <w:p>
      <w:pPr>
        <w:spacing w:after="0"/>
        <w:rPr>
          <w:sz w:val="20"/>
          <w:szCs w:val="20"/>
          <w:color w:val="auto"/>
        </w:rPr>
      </w:pPr>
      <w:r>
        <w:rPr>
          <w:rFonts w:ascii="Arial" w:cs="Arial" w:eastAsia="Arial" w:hAnsi="Arial"/>
          <w:sz w:val="17"/>
          <w:szCs w:val="17"/>
          <w:color w:val="auto"/>
        </w:rPr>
        <w:t>subject to Section 4, Executive will receive the following:</w:t>
      </w:r>
    </w:p>
    <w:p>
      <w:pPr>
        <w:spacing w:after="0" w:line="224" w:lineRule="exact"/>
        <w:rPr>
          <w:sz w:val="20"/>
          <w:szCs w:val="20"/>
          <w:color w:val="auto"/>
        </w:rPr>
      </w:pPr>
    </w:p>
    <w:p>
      <w:pPr>
        <w:ind w:right="200" w:firstLine="1893"/>
        <w:spacing w:after="0" w:line="289" w:lineRule="auto"/>
        <w:tabs>
          <w:tab w:leader="none" w:pos="2538" w:val="left"/>
        </w:tabs>
        <w:numPr>
          <w:ilvl w:val="1"/>
          <w:numId w:val="600"/>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600"/>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the six</w:t>
      </w:r>
    </w:p>
    <w:p>
      <w:pPr>
        <w:spacing w:after="0" w:line="26" w:lineRule="exact"/>
        <w:rPr>
          <w:rFonts w:ascii="Arial" w:cs="Arial" w:eastAsia="Arial" w:hAnsi="Arial"/>
          <w:sz w:val="17"/>
          <w:szCs w:val="17"/>
          <w:color w:val="auto"/>
        </w:rPr>
      </w:pPr>
    </w:p>
    <w:p>
      <w:pPr>
        <w:ind w:right="20" w:firstLine="5"/>
        <w:spacing w:after="0" w:line="291" w:lineRule="auto"/>
        <w:tabs>
          <w:tab w:leader="none" w:pos="247" w:val="left"/>
        </w:tabs>
        <w:numPr>
          <w:ilvl w:val="0"/>
          <w:numId w:val="601"/>
        </w:numPr>
        <w:rPr>
          <w:rFonts w:ascii="Arial" w:cs="Arial" w:eastAsia="Arial" w:hAnsi="Arial"/>
          <w:sz w:val="15"/>
          <w:szCs w:val="15"/>
          <w:color w:val="auto"/>
        </w:rPr>
      </w:pPr>
      <w:r>
        <w:rPr>
          <w:rFonts w:ascii="Arial" w:cs="Arial" w:eastAsia="Arial" w:hAnsi="Arial"/>
          <w:sz w:val="15"/>
          <w:szCs w:val="15"/>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 the date the Release (as defined below) is effective and irrevocable; or (C) such later date required by Section 4(c).</w:t>
      </w:r>
    </w:p>
    <w:p>
      <w:pPr>
        <w:spacing w:after="0" w:line="212" w:lineRule="exact"/>
        <w:rPr>
          <w:rFonts w:ascii="Arial" w:cs="Arial" w:eastAsia="Arial" w:hAnsi="Arial"/>
          <w:sz w:val="15"/>
          <w:szCs w:val="15"/>
          <w:color w:val="auto"/>
        </w:rPr>
      </w:pPr>
    </w:p>
    <w:p>
      <w:pPr>
        <w:ind w:left="2560" w:hanging="667"/>
        <w:spacing w:after="0"/>
        <w:tabs>
          <w:tab w:leader="none" w:pos="2560" w:val="left"/>
        </w:tabs>
        <w:numPr>
          <w:ilvl w:val="1"/>
          <w:numId w:val="601"/>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fifty percent (50%) of the higher of (A) the greater of</w:t>
      </w:r>
    </w:p>
    <w:p>
      <w:pPr>
        <w:spacing w:after="0" w:line="37"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7"/>
          <w:szCs w:val="17"/>
          <w:color w:val="auto"/>
        </w:rPr>
        <w:t>(x)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6"/>
          <w:szCs w:val="16"/>
          <w:color w:val="auto"/>
        </w:rPr>
      </w:pPr>
    </w:p>
    <w:p>
      <w:pPr>
        <w:ind w:right="100" w:firstLine="1893"/>
        <w:spacing w:after="0" w:line="278" w:lineRule="auto"/>
        <w:tabs>
          <w:tab w:leader="none" w:pos="2533" w:val="left"/>
        </w:tabs>
        <w:numPr>
          <w:ilvl w:val="1"/>
          <w:numId w:val="601"/>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w:t>
      </w:r>
    </w:p>
    <w:p>
      <w:pPr>
        <w:spacing w:after="0" w:line="1" w:lineRule="exact"/>
        <w:rPr>
          <w:rFonts w:ascii="Arial" w:cs="Arial" w:eastAsia="Arial" w:hAnsi="Arial"/>
          <w:sz w:val="16"/>
          <w:szCs w:val="16"/>
          <w:color w:val="auto"/>
        </w:rPr>
      </w:pPr>
    </w:p>
    <w:p>
      <w:pPr>
        <w:spacing w:after="0" w:line="299" w:lineRule="auto"/>
        <w:rPr>
          <w:rFonts w:ascii="Arial" w:cs="Arial" w:eastAsia="Arial" w:hAnsi="Arial"/>
          <w:sz w:val="16"/>
          <w:szCs w:val="16"/>
          <w:color w:val="auto"/>
        </w:rPr>
      </w:pPr>
      <w:r>
        <w:rPr>
          <w:rFonts w:ascii="Arial" w:cs="Arial" w:eastAsia="Arial" w:hAnsi="Arial"/>
          <w:sz w:val="15"/>
          <w:szCs w:val="15"/>
          <w:color w:val="auto"/>
        </w:rPr>
        <w:t>(B)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58" w:lineRule="exact"/>
        <w:rPr>
          <w:sz w:val="20"/>
          <w:szCs w:val="20"/>
          <w:color w:val="auto"/>
        </w:rPr>
      </w:pPr>
    </w:p>
    <w:p>
      <w:pPr>
        <w:jc w:val="both"/>
        <w:ind w:right="320" w:firstLine="1893"/>
        <w:spacing w:after="0" w:line="268" w:lineRule="auto"/>
        <w:tabs>
          <w:tab w:leader="none" w:pos="2524" w:val="left"/>
        </w:tabs>
        <w:numPr>
          <w:ilvl w:val="2"/>
          <w:numId w:val="602"/>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100" w:firstLine="1893"/>
        <w:spacing w:after="0" w:line="294" w:lineRule="auto"/>
        <w:tabs>
          <w:tab w:leader="none" w:pos="2533" w:val="left"/>
        </w:tabs>
        <w:numPr>
          <w:ilvl w:val="2"/>
          <w:numId w:val="602"/>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were granted on or following the Effective Date will remain exercisable until the eighteen (18)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140" w:firstLine="1158"/>
        <w:spacing w:after="0" w:line="268" w:lineRule="auto"/>
        <w:tabs>
          <w:tab w:leader="none" w:pos="1898" w:val="left"/>
        </w:tabs>
        <w:numPr>
          <w:ilvl w:val="1"/>
          <w:numId w:val="603"/>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5" w:lineRule="exact"/>
        <w:rPr>
          <w:rFonts w:ascii="Arial" w:cs="Arial" w:eastAsia="Arial" w:hAnsi="Arial"/>
          <w:sz w:val="17"/>
          <w:szCs w:val="17"/>
          <w:color w:val="auto"/>
        </w:rPr>
      </w:pPr>
    </w:p>
    <w:p>
      <w:pPr>
        <w:ind w:right="60" w:firstLine="1158"/>
        <w:spacing w:after="0" w:line="298" w:lineRule="auto"/>
        <w:tabs>
          <w:tab w:leader="none" w:pos="1895" w:val="left"/>
        </w:tabs>
        <w:numPr>
          <w:ilvl w:val="1"/>
          <w:numId w:val="603"/>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20" w:firstLine="1158"/>
        <w:spacing w:after="0" w:line="265" w:lineRule="auto"/>
        <w:tabs>
          <w:tab w:leader="none" w:pos="1898" w:val="left"/>
        </w:tabs>
        <w:numPr>
          <w:ilvl w:val="1"/>
          <w:numId w:val="603"/>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160" w:hanging="526"/>
        <w:spacing w:after="0"/>
        <w:tabs>
          <w:tab w:leader="none" w:pos="1160" w:val="left"/>
        </w:tabs>
        <w:numPr>
          <w:ilvl w:val="0"/>
          <w:numId w:val="604"/>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360" w:firstLine="1158"/>
        <w:spacing w:after="0" w:line="322" w:lineRule="auto"/>
        <w:tabs>
          <w:tab w:leader="none" w:pos="1885" w:val="left"/>
        </w:tabs>
        <w:numPr>
          <w:ilvl w:val="1"/>
          <w:numId w:val="604"/>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(other than the accrued benefits set forth in either Sections 3(a)(i) or 3(b)(i)) pursuant to this Agreement is subject to Executive signing and not revoking a separation agreement and release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80"/>
        <w:spacing w:after="0" w:line="360" w:lineRule="auto"/>
        <w:rPr>
          <w:sz w:val="20"/>
          <w:szCs w:val="20"/>
          <w:color w:val="auto"/>
        </w:rPr>
      </w:pPr>
      <w:r>
        <w:rPr>
          <w:rFonts w:ascii="Arial" w:cs="Arial" w:eastAsia="Arial" w:hAnsi="Arial"/>
          <w:sz w:val="15"/>
          <w:szCs w:val="15"/>
          <w:color w:val="auto"/>
        </w:rPr>
        <w:t xml:space="preserve">claims in substantially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which must become effective and irrevocable no later than the sixtieth (60th) day following Executive’s termination of employment (the “</w:t>
      </w:r>
      <w:r>
        <w:rPr>
          <w:rFonts w:ascii="Arial" w:cs="Arial" w:eastAsia="Arial" w:hAnsi="Arial"/>
          <w:sz w:val="15"/>
          <w:szCs w:val="15"/>
          <w:b w:val="1"/>
          <w:bCs w:val="1"/>
          <w:i w:val="1"/>
          <w:iCs w:val="1"/>
          <w:color w:val="auto"/>
        </w:rPr>
        <w:t>Release Deadline</w:t>
      </w:r>
      <w:r>
        <w:rPr>
          <w:rFonts w:ascii="Arial" w:cs="Arial" w:eastAsia="Arial" w:hAnsi="Arial"/>
          <w:sz w:val="15"/>
          <w:szCs w:val="15"/>
          <w:color w:val="auto"/>
        </w:rPr>
        <w:t>”). If the Release does not become effective and irrevocable by the Release Deadline,</w:t>
      </w:r>
    </w:p>
    <w:p>
      <w:pPr>
        <w:sectPr>
          <w:pgSz w:w="11900" w:h="16838" w:orient="portrait"/>
          <w:cols w:equalWidth="0" w:num="1">
            <w:col w:w="11420"/>
          </w:cols>
          <w:pgMar w:left="240" w:top="337" w:right="239" w:bottom="0" w:gutter="0" w:footer="0" w:header="0"/>
        </w:sectPr>
      </w:pPr>
    </w:p>
    <w:bookmarkStart w:id="369" w:name="page370"/>
    <w:bookmarkEnd w:id="369"/>
    <w:p>
      <w:pPr>
        <w:spacing w:after="0" w:line="4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Executive will forfeit any right to severance payments or benefits under this Agreement. In no event will severance payments or benefits be paid or provided until the Release actually becomes effective and irrevocable.</w:t>
      </w:r>
    </w:p>
    <w:p>
      <w:pPr>
        <w:spacing w:after="0" w:line="158" w:lineRule="exact"/>
        <w:rPr>
          <w:sz w:val="20"/>
          <w:szCs w:val="20"/>
          <w:color w:val="auto"/>
        </w:rPr>
      </w:pPr>
    </w:p>
    <w:p>
      <w:pPr>
        <w:ind w:right="100" w:firstLine="1163"/>
        <w:spacing w:after="0" w:line="268" w:lineRule="auto"/>
        <w:tabs>
          <w:tab w:leader="none" w:pos="1899"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3, 2010, between the Company and Executive, as such agreement may be amended from time to time.</w:t>
      </w:r>
    </w:p>
    <w:p>
      <w:pPr>
        <w:spacing w:after="0" w:line="175" w:lineRule="exact"/>
        <w:rPr>
          <w:rFonts w:ascii="Arial" w:cs="Arial" w:eastAsia="Arial" w:hAnsi="Arial"/>
          <w:sz w:val="17"/>
          <w:szCs w:val="17"/>
          <w:color w:val="auto"/>
        </w:rPr>
      </w:pPr>
    </w:p>
    <w:p>
      <w:pPr>
        <w:ind w:left="1900" w:hanging="737"/>
        <w:spacing w:after="0"/>
        <w:tabs>
          <w:tab w:leader="none" w:pos="1900"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893"/>
        <w:spacing w:after="0" w:line="283" w:lineRule="auto"/>
        <w:tabs>
          <w:tab w:leader="none" w:pos="2538" w:val="left"/>
        </w:tabs>
        <w:numPr>
          <w:ilvl w:val="1"/>
          <w:numId w:val="60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6" w:lineRule="exact"/>
        <w:rPr>
          <w:rFonts w:ascii="Arial" w:cs="Arial" w:eastAsia="Arial" w:hAnsi="Arial"/>
          <w:sz w:val="16"/>
          <w:szCs w:val="16"/>
          <w:color w:val="auto"/>
        </w:rPr>
      </w:pPr>
    </w:p>
    <w:p>
      <w:pPr>
        <w:ind w:right="60" w:firstLine="1893"/>
        <w:spacing w:after="0" w:line="276" w:lineRule="auto"/>
        <w:tabs>
          <w:tab w:leader="none" w:pos="2547" w:val="left"/>
        </w:tabs>
        <w:numPr>
          <w:ilvl w:val="1"/>
          <w:numId w:val="605"/>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180" w:firstLine="1893"/>
        <w:spacing w:after="0" w:line="268" w:lineRule="auto"/>
        <w:tabs>
          <w:tab w:leader="none" w:pos="2556" w:val="left"/>
        </w:tabs>
        <w:numPr>
          <w:ilvl w:val="1"/>
          <w:numId w:val="60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9" w:lineRule="exact"/>
        <w:rPr>
          <w:sz w:val="20"/>
          <w:szCs w:val="20"/>
          <w:color w:val="auto"/>
        </w:rPr>
      </w:pPr>
    </w:p>
    <w:p>
      <w:pPr>
        <w:ind w:right="920" w:firstLine="1893"/>
        <w:spacing w:after="0" w:line="289" w:lineRule="auto"/>
        <w:tabs>
          <w:tab w:leader="none" w:pos="2533" w:val="left"/>
        </w:tabs>
        <w:numPr>
          <w:ilvl w:val="3"/>
          <w:numId w:val="606"/>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8" w:lineRule="exact"/>
        <w:rPr>
          <w:rFonts w:ascii="Arial" w:cs="Arial" w:eastAsia="Arial" w:hAnsi="Arial"/>
          <w:sz w:val="17"/>
          <w:szCs w:val="17"/>
          <w:color w:val="auto"/>
        </w:rPr>
      </w:pPr>
    </w:p>
    <w:p>
      <w:pPr>
        <w:ind w:right="120" w:firstLine="1893"/>
        <w:spacing w:after="0" w:line="273" w:lineRule="auto"/>
        <w:tabs>
          <w:tab w:leader="none" w:pos="2524" w:val="left"/>
        </w:tabs>
        <w:numPr>
          <w:ilvl w:val="3"/>
          <w:numId w:val="606"/>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33" w:val="left"/>
        </w:tabs>
        <w:numPr>
          <w:ilvl w:val="3"/>
          <w:numId w:val="606"/>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160" w:hanging="526"/>
        <w:spacing w:after="0"/>
        <w:tabs>
          <w:tab w:leader="none" w:pos="1160"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608"/>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900" w:hanging="700"/>
        <w:spacing w:after="0"/>
        <w:tabs>
          <w:tab w:leader="none" w:pos="1900" w:val="left"/>
        </w:tabs>
        <w:numPr>
          <w:ilvl w:val="2"/>
          <w:numId w:val="608"/>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24" w:lineRule="exact"/>
        <w:rPr>
          <w:rFonts w:ascii="Arial" w:cs="Arial" w:eastAsia="Arial" w:hAnsi="Arial"/>
          <w:sz w:val="17"/>
          <w:szCs w:val="17"/>
          <w:color w:val="auto"/>
        </w:rPr>
      </w:pPr>
    </w:p>
    <w:p>
      <w:pPr>
        <w:ind w:left="1900" w:hanging="700"/>
        <w:spacing w:after="0"/>
        <w:tabs>
          <w:tab w:leader="none" w:pos="1900" w:val="left"/>
        </w:tabs>
        <w:numPr>
          <w:ilvl w:val="2"/>
          <w:numId w:val="608"/>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such acceleration of vesting will be cancelled in the reverse order of the date of grant of Executive’s equity awards.</w:t>
      </w:r>
    </w:p>
    <w:p>
      <w:pPr>
        <w:spacing w:after="0" w:line="224"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5"/>
          <w:szCs w:val="15"/>
          <w:b w:val="1"/>
          <w:bCs w:val="1"/>
          <w:i w:val="1"/>
          <w:iCs w:val="1"/>
          <w:color w:val="auto"/>
        </w:rPr>
        <w:t>Firm</w:t>
      </w:r>
      <w:r>
        <w:rPr>
          <w:rFonts w:ascii="Arial" w:cs="Arial" w:eastAsia="Arial" w:hAnsi="Arial"/>
          <w:sz w:val="15"/>
          <w:szCs w:val="15"/>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w:t>
      </w:r>
    </w:p>
    <w:p>
      <w:pPr>
        <w:sectPr>
          <w:pgSz w:w="11900" w:h="16883" w:orient="portrait"/>
          <w:cols w:equalWidth="0" w:num="1">
            <w:col w:w="11420"/>
          </w:cols>
          <w:pgMar w:left="240" w:top="127" w:right="239" w:bottom="0" w:gutter="0" w:footer="0" w:header="0"/>
        </w:sectPr>
      </w:pPr>
    </w:p>
    <w:bookmarkStart w:id="370" w:name="page371"/>
    <w:bookmarkEnd w:id="370"/>
    <w:p>
      <w:pPr>
        <w:ind w:right="20"/>
        <w:spacing w:after="0" w:line="273" w:lineRule="auto"/>
        <w:rPr>
          <w:sz w:val="20"/>
          <w:szCs w:val="20"/>
          <w:color w:val="auto"/>
        </w:rPr>
      </w:pPr>
      <w:r>
        <w:rPr>
          <w:rFonts w:ascii="Arial" w:cs="Arial" w:eastAsia="Arial" w:hAnsi="Arial"/>
          <w:sz w:val="17"/>
          <w:szCs w:val="17"/>
          <w:color w:val="auto"/>
        </w:rPr>
        <w:t>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72" w:lineRule="exact"/>
        <w:rPr>
          <w:sz w:val="20"/>
          <w:szCs w:val="20"/>
          <w:color w:val="auto"/>
        </w:rPr>
      </w:pPr>
    </w:p>
    <w:p>
      <w:pPr>
        <w:ind w:left="1160" w:hanging="526"/>
        <w:spacing w:after="0"/>
        <w:tabs>
          <w:tab w:leader="none" w:pos="1160"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900" w:hanging="737"/>
        <w:spacing w:after="0"/>
        <w:tabs>
          <w:tab w:leader="none" w:pos="1900" w:val="left"/>
        </w:tabs>
        <w:numPr>
          <w:ilvl w:val="1"/>
          <w:numId w:val="60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609"/>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60" w:hanging="667"/>
        <w:spacing w:after="0"/>
        <w:tabs>
          <w:tab w:leader="none" w:pos="2560" w:val="left"/>
        </w:tabs>
        <w:numPr>
          <w:ilvl w:val="2"/>
          <w:numId w:val="609"/>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609"/>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609"/>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20" w:hanging="627"/>
        <w:spacing w:after="0"/>
        <w:tabs>
          <w:tab w:leader="none" w:pos="2520" w:val="left"/>
        </w:tabs>
        <w:numPr>
          <w:ilvl w:val="2"/>
          <w:numId w:val="609"/>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60" w:firstLine="1893"/>
        <w:spacing w:after="0" w:line="289" w:lineRule="auto"/>
        <w:tabs>
          <w:tab w:leader="none" w:pos="2533" w:val="left"/>
        </w:tabs>
        <w:numPr>
          <w:ilvl w:val="2"/>
          <w:numId w:val="609"/>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of not less than ten (10) business days following such notice.</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provided in Section 2 above, and the term “Company” will be interpreted to include any subsidiary, parent, affiliate or successor thereto, if applicable.</w:t>
      </w:r>
    </w:p>
    <w:p>
      <w:pPr>
        <w:spacing w:after="0" w:line="224" w:lineRule="exact"/>
        <w:rPr>
          <w:sz w:val="20"/>
          <w:szCs w:val="20"/>
          <w:color w:val="auto"/>
        </w:rPr>
      </w:pPr>
    </w:p>
    <w:p>
      <w:pPr>
        <w:ind w:left="1900" w:hanging="737"/>
        <w:spacing w:after="0"/>
        <w:tabs>
          <w:tab w:leader="none" w:pos="1900"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80" w:firstLine="1893"/>
        <w:spacing w:after="0" w:line="314" w:lineRule="auto"/>
        <w:tabs>
          <w:tab w:leader="none" w:pos="2538" w:val="left"/>
        </w:tabs>
        <w:numPr>
          <w:ilvl w:val="1"/>
          <w:numId w:val="610"/>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46" w:lineRule="exact"/>
        <w:rPr>
          <w:rFonts w:ascii="Arial" w:cs="Arial" w:eastAsia="Arial" w:hAnsi="Arial"/>
          <w:sz w:val="15"/>
          <w:szCs w:val="15"/>
          <w:color w:val="auto"/>
        </w:rPr>
      </w:pPr>
    </w:p>
    <w:p>
      <w:pPr>
        <w:ind w:right="160" w:firstLine="1893"/>
        <w:spacing w:after="0" w:line="268" w:lineRule="auto"/>
        <w:tabs>
          <w:tab w:leader="none" w:pos="2547" w:val="left"/>
        </w:tabs>
        <w:numPr>
          <w:ilvl w:val="1"/>
          <w:numId w:val="61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1893"/>
        <w:spacing w:after="0" w:line="278" w:lineRule="auto"/>
        <w:tabs>
          <w:tab w:leader="none" w:pos="2556" w:val="left"/>
        </w:tabs>
        <w:numPr>
          <w:ilvl w:val="1"/>
          <w:numId w:val="610"/>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180" w:firstLine="1888"/>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340" w:firstLine="1888"/>
        <w:spacing w:after="0" w:line="289"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Section 409A, as it has been and may be amended from time to time, and any proposed or final Treasury Regulations and Internal Revenue Service guidance that has been promulgated or may be promulgated thereunder from time to time.</w:t>
      </w:r>
    </w:p>
    <w:p>
      <w:pPr>
        <w:spacing w:after="0" w:line="158"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ectPr>
          <w:pgSz w:w="11900" w:h="16838" w:orient="portrait"/>
          <w:cols w:equalWidth="0" w:num="1">
            <w:col w:w="11420"/>
          </w:cols>
          <w:pgMar w:left="240" w:top="127" w:right="239" w:bottom="37" w:gutter="0" w:footer="0" w:header="0"/>
        </w:sectPr>
      </w:pPr>
    </w:p>
    <w:bookmarkStart w:id="371" w:name="page372"/>
    <w:bookmarkEnd w:id="371"/>
    <w:p>
      <w:pPr>
        <w:ind w:left="1900" w:hanging="737"/>
        <w:spacing w:after="0"/>
        <w:tabs>
          <w:tab w:leader="none" w:pos="1900" w:val="left"/>
        </w:tabs>
        <w:numPr>
          <w:ilvl w:val="1"/>
          <w:numId w:val="611"/>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pacing w:after="0" w:line="212" w:lineRule="exact"/>
        <w:rPr>
          <w:rFonts w:ascii="Arial" w:cs="Arial" w:eastAsia="Arial" w:hAnsi="Arial"/>
          <w:sz w:val="17"/>
          <w:szCs w:val="17"/>
          <w:color w:val="auto"/>
        </w:rPr>
      </w:pPr>
    </w:p>
    <w:p>
      <w:pPr>
        <w:ind w:left="1900" w:hanging="737"/>
        <w:spacing w:after="0"/>
        <w:tabs>
          <w:tab w:leader="none" w:pos="1900" w:val="left"/>
        </w:tabs>
        <w:numPr>
          <w:ilvl w:val="1"/>
          <w:numId w:val="612"/>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00" w:firstLine="1163"/>
        <w:spacing w:after="0" w:line="283" w:lineRule="auto"/>
        <w:tabs>
          <w:tab w:leader="none" w:pos="1902" w:val="left"/>
        </w:tabs>
        <w:numPr>
          <w:ilvl w:val="1"/>
          <w:numId w:val="61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60" w:firstLine="1163"/>
        <w:spacing w:after="0" w:line="289" w:lineRule="auto"/>
        <w:tabs>
          <w:tab w:leader="none" w:pos="1896" w:val="left"/>
        </w:tabs>
        <w:numPr>
          <w:ilvl w:val="1"/>
          <w:numId w:val="612"/>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80" w:firstLine="1163"/>
        <w:spacing w:after="0" w:line="289" w:lineRule="auto"/>
        <w:tabs>
          <w:tab w:leader="none" w:pos="1912" w:val="left"/>
        </w:tabs>
        <w:numPr>
          <w:ilvl w:val="1"/>
          <w:numId w:val="61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40" w:firstLine="1893"/>
        <w:spacing w:after="0" w:line="298" w:lineRule="auto"/>
        <w:tabs>
          <w:tab w:leader="none" w:pos="2538" w:val="left"/>
        </w:tabs>
        <w:numPr>
          <w:ilvl w:val="2"/>
          <w:numId w:val="612"/>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firstLine="1893"/>
        <w:spacing w:after="0" w:line="289" w:lineRule="auto"/>
        <w:tabs>
          <w:tab w:leader="none" w:pos="2547" w:val="left"/>
        </w:tabs>
        <w:numPr>
          <w:ilvl w:val="2"/>
          <w:numId w:val="612"/>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firstLine="1893"/>
        <w:spacing w:after="0" w:line="289" w:lineRule="auto"/>
        <w:tabs>
          <w:tab w:leader="none" w:pos="2556" w:val="left"/>
        </w:tabs>
        <w:numPr>
          <w:ilvl w:val="2"/>
          <w:numId w:val="612"/>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company is a holding company, the corporation within the control group that is the controlling operating company of such control group of corporations);</w:t>
      </w:r>
    </w:p>
    <w:p>
      <w:pPr>
        <w:spacing w:after="0" w:line="224" w:lineRule="exact"/>
        <w:rPr>
          <w:sz w:val="20"/>
          <w:szCs w:val="20"/>
          <w:color w:val="auto"/>
        </w:rPr>
      </w:pPr>
    </w:p>
    <w:p>
      <w:pPr>
        <w:ind w:left="2540" w:hanging="647"/>
        <w:spacing w:after="0"/>
        <w:tabs>
          <w:tab w:leader="none" w:pos="2540"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(50) miles.</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ind w:right="100" w:firstLine="1163"/>
        <w:spacing w:after="0" w:line="265" w:lineRule="auto"/>
        <w:tabs>
          <w:tab w:leader="none" w:pos="1899" w:val="left"/>
        </w:tabs>
        <w:numPr>
          <w:ilvl w:val="1"/>
          <w:numId w:val="614"/>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160" w:hanging="526"/>
        <w:spacing w:after="0"/>
        <w:tabs>
          <w:tab w:leader="none" w:pos="1160"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163"/>
        <w:spacing w:after="0" w:line="308" w:lineRule="auto"/>
        <w:tabs>
          <w:tab w:leader="none" w:pos="1889" w:val="left"/>
        </w:tabs>
        <w:numPr>
          <w:ilvl w:val="1"/>
          <w:numId w:val="615"/>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20" w:firstLine="1163"/>
        <w:spacing w:after="0" w:line="322" w:lineRule="auto"/>
        <w:tabs>
          <w:tab w:leader="none" w:pos="1899" w:val="left"/>
        </w:tabs>
        <w:numPr>
          <w:ilvl w:val="1"/>
          <w:numId w:val="615"/>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160" w:hanging="526"/>
        <w:spacing w:after="0"/>
        <w:tabs>
          <w:tab w:leader="none" w:pos="1160"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163"/>
        <w:spacing w:after="0" w:line="268" w:lineRule="auto"/>
        <w:tabs>
          <w:tab w:leader="none" w:pos="1889" w:val="left"/>
        </w:tabs>
        <w:numPr>
          <w:ilvl w:val="1"/>
          <w:numId w:val="61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2" w:lineRule="exact"/>
        <w:rPr>
          <w:sz w:val="20"/>
          <w:szCs w:val="20"/>
          <w:color w:val="auto"/>
        </w:rPr>
      </w:pPr>
    </w:p>
    <w:p>
      <w:pPr>
        <w:jc w:val="both"/>
        <w:ind w:firstLine="1163"/>
        <w:spacing w:after="0" w:line="322" w:lineRule="auto"/>
        <w:tabs>
          <w:tab w:leader="none" w:pos="1899" w:val="left"/>
        </w:tabs>
        <w:numPr>
          <w:ilvl w:val="0"/>
          <w:numId w:val="61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w:t>
      </w:r>
    </w:p>
    <w:p>
      <w:pPr>
        <w:sectPr>
          <w:pgSz w:w="11900" w:h="16838" w:orient="portrait"/>
          <w:cols w:equalWidth="0" w:num="1">
            <w:col w:w="11400"/>
          </w:cols>
          <w:pgMar w:left="240" w:top="127" w:right="259" w:bottom="0" w:gutter="0" w:footer="0" w:header="0"/>
        </w:sectPr>
      </w:pPr>
    </w:p>
    <w:bookmarkStart w:id="372" w:name="page373"/>
    <w:bookmarkEnd w:id="372"/>
    <w:p>
      <w:pPr>
        <w:spacing w:after="0" w:line="3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8" w:lineRule="exact"/>
        <w:rPr>
          <w:sz w:val="20"/>
          <w:szCs w:val="20"/>
          <w:color w:val="auto"/>
        </w:rPr>
      </w:pPr>
    </w:p>
    <w:p>
      <w:pPr>
        <w:jc w:val="both"/>
        <w:ind w:right="20" w:firstLine="634"/>
        <w:spacing w:after="0" w:line="273" w:lineRule="auto"/>
        <w:tabs>
          <w:tab w:leader="none" w:pos="1258" w:val="left"/>
        </w:tabs>
        <w:numPr>
          <w:ilvl w:val="0"/>
          <w:numId w:val="617"/>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1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163"/>
        <w:spacing w:after="0" w:line="262" w:lineRule="auto"/>
        <w:tabs>
          <w:tab w:leader="none" w:pos="1889" w:val="left"/>
        </w:tabs>
        <w:numPr>
          <w:ilvl w:val="1"/>
          <w:numId w:val="61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8" w:lineRule="exact"/>
        <w:rPr>
          <w:rFonts w:ascii="Arial" w:cs="Arial" w:eastAsia="Arial" w:hAnsi="Arial"/>
          <w:sz w:val="17"/>
          <w:szCs w:val="17"/>
          <w:color w:val="auto"/>
        </w:rPr>
      </w:pPr>
    </w:p>
    <w:p>
      <w:pPr>
        <w:ind w:right="100" w:firstLine="1163"/>
        <w:spacing w:after="0" w:line="285" w:lineRule="auto"/>
        <w:tabs>
          <w:tab w:leader="none" w:pos="1899" w:val="left"/>
        </w:tabs>
        <w:numPr>
          <w:ilvl w:val="1"/>
          <w:numId w:val="61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any statutory claims under local, state, or federal law, </w:t>
      </w:r>
      <w:r>
        <w:rPr>
          <w:rFonts w:ascii="Arial" w:cs="Arial" w:eastAsia="Arial" w:hAnsi="Arial"/>
          <w:sz w:val="16"/>
          <w:szCs w:val="16"/>
          <w:color w:val="auto"/>
        </w:rPr>
        <w:t>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163"/>
        <w:spacing w:after="0" w:line="260" w:lineRule="auto"/>
        <w:tabs>
          <w:tab w:leader="none" w:pos="1902" w:val="left"/>
        </w:tabs>
        <w:numPr>
          <w:ilvl w:val="0"/>
          <w:numId w:val="618"/>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7" w:lineRule="exact"/>
        <w:rPr>
          <w:rFonts w:ascii="Arial" w:cs="Arial" w:eastAsia="Arial" w:hAnsi="Arial"/>
          <w:sz w:val="17"/>
          <w:szCs w:val="17"/>
          <w:color w:val="auto"/>
        </w:rPr>
      </w:pPr>
    </w:p>
    <w:p>
      <w:pPr>
        <w:ind w:right="40" w:firstLine="1163"/>
        <w:spacing w:after="0" w:line="314" w:lineRule="auto"/>
        <w:tabs>
          <w:tab w:leader="none" w:pos="1899" w:val="left"/>
        </w:tabs>
        <w:numPr>
          <w:ilvl w:val="0"/>
          <w:numId w:val="618"/>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will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firstLine="1163"/>
        <w:spacing w:after="0" w:line="268" w:lineRule="auto"/>
        <w:tabs>
          <w:tab w:leader="none" w:pos="1902" w:val="left"/>
        </w:tabs>
        <w:numPr>
          <w:ilvl w:val="0"/>
          <w:numId w:val="618"/>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163"/>
        <w:spacing w:after="0" w:line="265" w:lineRule="auto"/>
        <w:tabs>
          <w:tab w:leader="none" w:pos="1896" w:val="left"/>
        </w:tabs>
        <w:numPr>
          <w:ilvl w:val="0"/>
          <w:numId w:val="618"/>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i w:val="1"/>
          <w:iCs w:val="1"/>
          <w:color w:val="auto"/>
        </w:rPr>
        <w:t>.</w:t>
      </w:r>
      <w:r>
        <w:rPr>
          <w:rFonts w:ascii="Arial" w:cs="Arial" w:eastAsia="Arial" w:hAnsi="Arial"/>
          <w:sz w:val="17"/>
          <w:szCs w:val="17"/>
          <w:color w:val="auto"/>
        </w:rPr>
        <w:t xml:space="preserve">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619"/>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163"/>
        <w:spacing w:after="0" w:line="289" w:lineRule="auto"/>
        <w:tabs>
          <w:tab w:leader="none" w:pos="1889" w:val="left"/>
        </w:tabs>
        <w:numPr>
          <w:ilvl w:val="1"/>
          <w:numId w:val="619"/>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120" w:firstLine="1163"/>
        <w:spacing w:after="0" w:line="268" w:lineRule="auto"/>
        <w:tabs>
          <w:tab w:leader="none" w:pos="1899" w:val="left"/>
        </w:tabs>
        <w:numPr>
          <w:ilvl w:val="1"/>
          <w:numId w:val="61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737"/>
        <w:spacing w:after="0"/>
        <w:tabs>
          <w:tab w:leader="none" w:pos="1900" w:val="left"/>
        </w:tabs>
        <w:numPr>
          <w:ilvl w:val="1"/>
          <w:numId w:val="61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200" w:firstLine="1163"/>
        <w:spacing w:after="0" w:line="308" w:lineRule="auto"/>
        <w:tabs>
          <w:tab w:leader="none" w:pos="1899" w:val="left"/>
        </w:tabs>
        <w:numPr>
          <w:ilvl w:val="1"/>
          <w:numId w:val="619"/>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offer letter dated January 27, 2010, Executive’s Stock Option Agreement — Early Exercise under the 2008 Stock Plan dated March 30, 2010 and amendment thereto dated December 6, 2010, Executive’s Stock Option Agreement — Early Exercise under the 2008 Stock Plan dated September 28, 2010,</w:t>
      </w:r>
    </w:p>
    <w:p>
      <w:pPr>
        <w:sectPr>
          <w:pgSz w:w="11900" w:h="16877" w:orient="portrait"/>
          <w:cols w:equalWidth="0" w:num="1">
            <w:col w:w="11420"/>
          </w:cols>
          <w:pgMar w:left="240" w:top="127" w:right="239" w:bottom="0" w:gutter="0" w:footer="0" w:header="0"/>
        </w:sectPr>
      </w:pPr>
    </w:p>
    <w:bookmarkStart w:id="373" w:name="page374"/>
    <w:bookmarkEnd w:id="373"/>
    <w:p>
      <w:pPr>
        <w:ind w:right="220"/>
        <w:spacing w:after="0" w:line="268" w:lineRule="auto"/>
        <w:rPr>
          <w:sz w:val="20"/>
          <w:szCs w:val="20"/>
          <w:color w:val="auto"/>
        </w:rPr>
      </w:pPr>
      <w:r>
        <w:rPr>
          <w:rFonts w:ascii="Arial" w:cs="Arial" w:eastAsia="Arial" w:hAnsi="Arial"/>
          <w:sz w:val="17"/>
          <w:szCs w:val="17"/>
          <w:color w:val="auto"/>
        </w:rPr>
        <w:t>Executive’s Stock Option Agreement under the 2008 Stock Plan dated February 23, 2011, Executive’s Stock Option Agreement under the 2008 Stock Plan dated March 10, 2012, and Executive’s Stock Option Agreement — Early Exercise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76" w:lineRule="exact"/>
        <w:rPr>
          <w:sz w:val="20"/>
          <w:szCs w:val="20"/>
          <w:color w:val="auto"/>
        </w:rPr>
      </w:pPr>
    </w:p>
    <w:p>
      <w:pPr>
        <w:ind w:right="180" w:firstLine="1163"/>
        <w:spacing w:after="0" w:line="290" w:lineRule="auto"/>
        <w:tabs>
          <w:tab w:leader="none" w:pos="1902" w:val="left"/>
        </w:tabs>
        <w:numPr>
          <w:ilvl w:val="0"/>
          <w:numId w:val="620"/>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760" w:firstLine="1163"/>
        <w:spacing w:after="0" w:line="289" w:lineRule="auto"/>
        <w:tabs>
          <w:tab w:leader="none" w:pos="1896" w:val="left"/>
        </w:tabs>
        <w:numPr>
          <w:ilvl w:val="0"/>
          <w:numId w:val="6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20" w:hanging="757"/>
        <w:spacing w:after="0"/>
        <w:tabs>
          <w:tab w:leader="none" w:pos="1920" w:val="left"/>
        </w:tabs>
        <w:numPr>
          <w:ilvl w:val="0"/>
          <w:numId w:val="62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1163"/>
        <w:spacing w:after="0" w:line="289" w:lineRule="auto"/>
        <w:tabs>
          <w:tab w:leader="none" w:pos="1899" w:val="left"/>
        </w:tabs>
        <w:numPr>
          <w:ilvl w:val="0"/>
          <w:numId w:val="62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5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7"/>
                <w:szCs w:val="17"/>
                <w:color w:val="auto"/>
              </w:rPr>
              <w:t>COMPANY</w:t>
            </w:r>
          </w:p>
        </w:tc>
        <w:tc>
          <w:tcPr>
            <w:tcW w:w="9300" w:type="dxa"/>
            <w:vAlign w:val="bottom"/>
            <w:gridSpan w:val="2"/>
          </w:tcPr>
          <w:p>
            <w:pPr>
              <w:ind w:left="3600"/>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420"/>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August 24, 2012</w:t>
            </w:r>
          </w:p>
        </w:tc>
        <w:tc>
          <w:tcPr>
            <w:tcW w:w="40" w:type="dxa"/>
            <w:vAlign w:val="bottom"/>
          </w:tcPr>
          <w:p>
            <w:pPr>
              <w:spacing w:after="0"/>
              <w:rPr>
                <w:sz w:val="24"/>
                <w:szCs w:val="24"/>
                <w:color w:val="auto"/>
              </w:rPr>
            </w:pPr>
          </w:p>
        </w:tc>
      </w:tr>
      <w:tr>
        <w:trPr>
          <w:trHeight w:val="622"/>
        </w:trPr>
        <w:tc>
          <w:tcPr>
            <w:tcW w:w="2120" w:type="dxa"/>
            <w:vAlign w:val="bottom"/>
          </w:tcPr>
          <w:p>
            <w:pPr>
              <w:spacing w:after="0"/>
              <w:rPr>
                <w:sz w:val="20"/>
                <w:szCs w:val="20"/>
                <w:color w:val="auto"/>
              </w:rPr>
            </w:pPr>
            <w:r>
              <w:rPr>
                <w:rFonts w:ascii="Arial" w:cs="Arial" w:eastAsia="Arial" w:hAnsi="Arial"/>
                <w:sz w:val="17"/>
                <w:szCs w:val="17"/>
                <w:color w:val="auto"/>
              </w:rPr>
              <w:t>EXECUTIVE</w:t>
            </w:r>
          </w:p>
        </w:tc>
        <w:tc>
          <w:tcPr>
            <w:tcW w:w="4340" w:type="dxa"/>
            <w:vAlign w:val="bottom"/>
          </w:tcPr>
          <w:p>
            <w:pPr>
              <w:ind w:left="360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Hall</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Commercial Officer</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August 24, 2012</w:t>
            </w:r>
          </w:p>
        </w:tc>
        <w:tc>
          <w:tcPr>
            <w:tcW w:w="40" w:type="dxa"/>
            <w:vAlign w:val="bottom"/>
          </w:tcPr>
          <w:p>
            <w:pPr>
              <w:spacing w:after="0"/>
              <w:rPr>
                <w:sz w:val="24"/>
                <w:szCs w:val="24"/>
                <w:color w:val="auto"/>
              </w:rPr>
            </w:pPr>
          </w:p>
        </w:tc>
      </w:tr>
      <w:tr>
        <w:trPr>
          <w:trHeight w:val="412"/>
        </w:trPr>
        <w:tc>
          <w:tcPr>
            <w:tcW w:w="2120" w:type="dxa"/>
            <w:vAlign w:val="bottom"/>
          </w:tcPr>
          <w:p>
            <w:pPr>
              <w:spacing w:after="0"/>
              <w:rPr>
                <w:sz w:val="24"/>
                <w:szCs w:val="24"/>
                <w:color w:val="auto"/>
              </w:rPr>
            </w:pPr>
          </w:p>
        </w:tc>
        <w:tc>
          <w:tcPr>
            <w:tcW w:w="9300" w:type="dxa"/>
            <w:vAlign w:val="bottom"/>
            <w:gridSpan w:val="2"/>
          </w:tcPr>
          <w:p>
            <w:pPr>
              <w:ind w:left="1120"/>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tc>
        <w:tc>
          <w:tcPr>
            <w:tcW w:w="40" w:type="dxa"/>
            <w:vAlign w:val="bottom"/>
          </w:tcPr>
          <w:p>
            <w:pPr>
              <w:spacing w:after="0"/>
              <w:rPr>
                <w:sz w:val="24"/>
                <w:szCs w:val="24"/>
                <w:color w:val="auto"/>
              </w:rPr>
            </w:pPr>
          </w:p>
        </w:tc>
      </w:tr>
      <w:tr>
        <w:trPr>
          <w:trHeight w:val="419"/>
        </w:trPr>
        <w:tc>
          <w:tcPr>
            <w:tcW w:w="2120" w:type="dxa"/>
            <w:vAlign w:val="bottom"/>
          </w:tcPr>
          <w:p>
            <w:pPr>
              <w:spacing w:after="0"/>
              <w:rPr>
                <w:sz w:val="24"/>
                <w:szCs w:val="24"/>
                <w:color w:val="auto"/>
              </w:rPr>
            </w:pPr>
          </w:p>
        </w:tc>
        <w:tc>
          <w:tcPr>
            <w:tcW w:w="4340" w:type="dxa"/>
            <w:vAlign w:val="bottom"/>
          </w:tcPr>
          <w:p>
            <w:pPr>
              <w:ind w:left="3500"/>
              <w:spacing w:after="0"/>
              <w:rPr>
                <w:sz w:val="20"/>
                <w:szCs w:val="20"/>
                <w:color w:val="auto"/>
              </w:rPr>
            </w:pPr>
            <w:r>
              <w:rPr>
                <w:rFonts w:ascii="Arial" w:cs="Arial" w:eastAsia="Arial" w:hAnsi="Arial"/>
                <w:sz w:val="17"/>
                <w:szCs w:val="17"/>
                <w:color w:val="auto"/>
              </w:rPr>
              <w:t>15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120" w:type="dxa"/>
            <w:vAlign w:val="bottom"/>
            <w:tcBorders>
              <w:bottom w:val="single" w:sz="8" w:color="010101"/>
            </w:tcBorders>
          </w:tcPr>
          <w:p>
            <w:pPr>
              <w:spacing w:after="0"/>
              <w:rPr>
                <w:sz w:val="11"/>
                <w:szCs w:val="11"/>
                <w:color w:val="auto"/>
              </w:rPr>
            </w:pPr>
          </w:p>
        </w:tc>
        <w:tc>
          <w:tcPr>
            <w:tcW w:w="434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Christopher Hall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6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an At-Will Employment, Confidential Information, and Invention Assignment, and Arbitration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February 3, 2010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14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w:t>
      </w:r>
      <w:r>
        <w:rPr>
          <w:rFonts w:ascii="Arial" w:cs="Arial" w:eastAsia="Arial" w:hAnsi="Arial"/>
          <w:sz w:val="17"/>
          <w:szCs w:val="17"/>
          <w:b w:val="1"/>
          <w:bCs w:val="1"/>
          <w:color w:val="auto"/>
        </w:rPr>
        <w:t xml:space="preserve"> a Change of Control and </w:t>
      </w:r>
      <w:r>
        <w:rPr>
          <w:rFonts w:ascii="Arial" w:cs="Arial" w:eastAsia="Arial" w:hAnsi="Arial"/>
          <w:sz w:val="17"/>
          <w:szCs w:val="17"/>
          <w:color w:val="auto"/>
        </w:rPr>
        <w:t>Severance Agreement with the company on (the “</w:t>
      </w:r>
      <w:r>
        <w:rPr>
          <w:rFonts w:ascii="Arial" w:cs="Arial" w:eastAsia="Arial" w:hAnsi="Arial"/>
          <w:sz w:val="17"/>
          <w:szCs w:val="17"/>
          <w:b w:val="1"/>
          <w:bCs w:val="1"/>
          <w:i w:val="1"/>
          <w:iCs w:val="1"/>
          <w:color w:val="auto"/>
        </w:rPr>
        <w:t>Change of Control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460"/>
          </w:cols>
          <w:pgMar w:left="240" w:top="128" w:right="199" w:bottom="98" w:gutter="0" w:footer="0" w:header="0"/>
        </w:sectPr>
      </w:pPr>
    </w:p>
    <w:p>
      <w:pPr>
        <w:spacing w:after="0" w:line="162"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 Control</w:t>
      </w:r>
    </w:p>
    <w:p>
      <w:pPr>
        <w:spacing w:after="0" w:line="438" w:lineRule="exact"/>
        <w:rPr>
          <w:sz w:val="20"/>
          <w:szCs w:val="20"/>
          <w:color w:val="auto"/>
        </w:rPr>
      </w:pPr>
    </w:p>
    <w:p>
      <w:pPr>
        <w:sectPr>
          <w:pgSz w:w="11900" w:h="16838" w:orient="portrait"/>
          <w:cols w:equalWidth="0" w:num="2">
            <w:col w:w="5160" w:space="720"/>
            <w:col w:w="5580"/>
          </w:cols>
          <w:pgMar w:left="240" w:top="128" w:right="199" w:bottom="98" w:gutter="0" w:footer="0" w:header="0"/>
          <w:type w:val="continuous"/>
        </w:sect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ectPr>
          <w:pgSz w:w="11900" w:h="16838" w:orient="portrait"/>
          <w:cols w:equalWidth="0" w:num="1">
            <w:col w:w="11460"/>
          </w:cols>
          <w:pgMar w:left="240" w:top="128" w:right="199" w:bottom="98" w:gutter="0" w:footer="0" w:header="0"/>
          <w:type w:val="continuous"/>
        </w:sectPr>
      </w:pPr>
    </w:p>
    <w:bookmarkStart w:id="374" w:name="page375"/>
    <w:bookmarkEnd w:id="374"/>
    <w:p>
      <w:pPr>
        <w:spacing w:after="0" w:line="5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260" w:hanging="626"/>
        <w:spacing w:after="0"/>
        <w:tabs>
          <w:tab w:leader="none" w:pos="1260" w:val="left"/>
        </w:tabs>
        <w:numPr>
          <w:ilvl w:val="0"/>
          <w:numId w:val="62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24" w:lineRule="exact"/>
        <w:rPr>
          <w:rFonts w:ascii="Arial" w:cs="Arial" w:eastAsia="Arial" w:hAnsi="Arial"/>
          <w:sz w:val="17"/>
          <w:szCs w:val="17"/>
          <w:color w:val="auto"/>
        </w:rPr>
      </w:pPr>
    </w:p>
    <w:p>
      <w:pPr>
        <w:ind w:right="40" w:firstLine="634"/>
        <w:spacing w:after="0" w:line="268" w:lineRule="auto"/>
        <w:tabs>
          <w:tab w:leader="none" w:pos="1258" w:val="left"/>
        </w:tabs>
        <w:numPr>
          <w:ilvl w:val="0"/>
          <w:numId w:val="622"/>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options or other equity awards (including restricted stock unit awards), vesting, and any and all other benefits and compensation due to Executive and that no other reimbursements or compensation are owed to Executive.</w:t>
      </w:r>
    </w:p>
    <w:p>
      <w:pPr>
        <w:spacing w:after="0" w:line="158" w:lineRule="exact"/>
        <w:rPr>
          <w:sz w:val="20"/>
          <w:szCs w:val="20"/>
          <w:color w:val="auto"/>
        </w:rPr>
      </w:pPr>
    </w:p>
    <w:p>
      <w:pPr>
        <w:ind w:right="180" w:firstLine="634"/>
        <w:spacing w:after="0" w:line="301" w:lineRule="auto"/>
        <w:tabs>
          <w:tab w:leader="none" w:pos="1258" w:val="left"/>
        </w:tabs>
        <w:numPr>
          <w:ilvl w:val="0"/>
          <w:numId w:val="623"/>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5"/>
          <w:szCs w:val="15"/>
          <w:b w:val="1"/>
          <w:bCs w:val="1"/>
          <w:i w:val="1"/>
          <w:iCs w:val="1"/>
          <w:color w:val="auto"/>
        </w:rPr>
        <w:t>Releasees</w:t>
      </w:r>
      <w:r>
        <w:rPr>
          <w:rFonts w:ascii="Arial" w:cs="Arial" w:eastAsia="Arial" w:hAnsi="Arial"/>
          <w:sz w:val="15"/>
          <w:szCs w:val="15"/>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57" w:lineRule="exact"/>
        <w:rPr>
          <w:rFonts w:ascii="Arial" w:cs="Arial" w:eastAsia="Arial" w:hAnsi="Arial"/>
          <w:sz w:val="15"/>
          <w:szCs w:val="15"/>
          <w:color w:val="auto"/>
        </w:rPr>
      </w:pPr>
    </w:p>
    <w:p>
      <w:pPr>
        <w:ind w:left="1880" w:hanging="617"/>
        <w:spacing w:after="0"/>
        <w:tabs>
          <w:tab w:leader="none" w:pos="1880" w:val="left"/>
        </w:tabs>
        <w:numPr>
          <w:ilvl w:val="1"/>
          <w:numId w:val="62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relationship;</w:t>
      </w:r>
    </w:p>
    <w:p>
      <w:pPr>
        <w:spacing w:after="0" w:line="212" w:lineRule="exact"/>
        <w:rPr>
          <w:rFonts w:ascii="Arial" w:cs="Arial" w:eastAsia="Arial" w:hAnsi="Arial"/>
          <w:sz w:val="17"/>
          <w:szCs w:val="17"/>
          <w:color w:val="auto"/>
        </w:rPr>
      </w:pPr>
    </w:p>
    <w:p>
      <w:pPr>
        <w:ind w:right="120" w:firstLine="1263"/>
        <w:spacing w:after="0" w:line="273" w:lineRule="auto"/>
        <w:tabs>
          <w:tab w:leader="none" w:pos="1895" w:val="left"/>
        </w:tabs>
        <w:numPr>
          <w:ilvl w:val="1"/>
          <w:numId w:val="62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80" w:firstLine="1263"/>
        <w:spacing w:after="0" w:line="265" w:lineRule="auto"/>
        <w:tabs>
          <w:tab w:leader="none" w:pos="1898" w:val="left"/>
        </w:tabs>
        <w:numPr>
          <w:ilvl w:val="1"/>
          <w:numId w:val="623"/>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right="20" w:firstLine="1263"/>
        <w:spacing w:after="0" w:line="265" w:lineRule="auto"/>
        <w:tabs>
          <w:tab w:leader="none" w:pos="1934" w:val="left"/>
        </w:tabs>
        <w:numPr>
          <w:ilvl w:val="1"/>
          <w:numId w:val="623"/>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00" w:hanging="637"/>
        <w:spacing w:after="0"/>
        <w:tabs>
          <w:tab w:leader="none" w:pos="190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firstLine="1263"/>
        <w:spacing w:after="0" w:line="289" w:lineRule="auto"/>
        <w:tabs>
          <w:tab w:leader="none" w:pos="1908" w:val="left"/>
        </w:tabs>
        <w:numPr>
          <w:ilvl w:val="0"/>
          <w:numId w:val="624"/>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180" w:firstLine="634"/>
        <w:spacing w:after="0" w:line="322" w:lineRule="auto"/>
        <w:tabs>
          <w:tab w:leader="none" w:pos="1258" w:val="left"/>
        </w:tabs>
        <w:numPr>
          <w:ilvl w:val="0"/>
          <w:numId w:val="6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and that this waiver and release is knowing and voluntary. Executive agrees that</w:t>
      </w:r>
    </w:p>
    <w:p>
      <w:pPr>
        <w:sectPr>
          <w:pgSz w:w="11900" w:h="16893" w:orient="portrait"/>
          <w:cols w:equalWidth="0" w:num="1">
            <w:col w:w="11420"/>
          </w:cols>
          <w:pgMar w:left="240" w:top="121" w:right="239" w:bottom="0" w:gutter="0" w:footer="0" w:header="0"/>
        </w:sectPr>
      </w:pPr>
    </w:p>
    <w:bookmarkStart w:id="375" w:name="page376"/>
    <w:bookmarkEnd w:id="375"/>
    <w:p>
      <w:pPr>
        <w:ind w:right="100"/>
        <w:spacing w:after="0" w:line="314" w:lineRule="auto"/>
        <w:rPr>
          <w:sz w:val="20"/>
          <w:szCs w:val="20"/>
          <w:color w:val="auto"/>
        </w:rPr>
      </w:pPr>
      <w:r>
        <w:rPr>
          <w:rFonts w:ascii="Arial" w:cs="Arial" w:eastAsia="Arial" w:hAnsi="Arial"/>
          <w:sz w:val="15"/>
          <w:szCs w:val="15"/>
          <w:color w:val="auto"/>
        </w:rPr>
        <w:t xml:space="preserve">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5"/>
          <w:szCs w:val="15"/>
          <w:b w:val="1"/>
          <w:bCs w:val="1"/>
          <w:i w:val="1"/>
          <w:iCs w:val="1"/>
          <w:color w:val="auto"/>
        </w:rPr>
        <w:t>prior</w:t>
      </w:r>
      <w:r>
        <w:rPr>
          <w:rFonts w:ascii="Arial" w:cs="Arial" w:eastAsia="Arial" w:hAnsi="Arial"/>
          <w:sz w:val="15"/>
          <w:szCs w:val="15"/>
          <w:color w:val="auto"/>
        </w:rPr>
        <w:t xml:space="preserve"> to executing this Agreement; (b) Executive has at least 21 days within which to consider this Agreement; (c) Executive has 7 days following the execution of this Agreement by the parties to revoke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183134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49" w:lineRule="exact"/>
        <w:rPr>
          <w:sz w:val="20"/>
          <w:szCs w:val="20"/>
          <w:color w:val="auto"/>
        </w:rPr>
      </w:pPr>
    </w:p>
    <w:p>
      <w:pPr>
        <w:ind w:right="840" w:firstLine="319"/>
        <w:spacing w:after="0" w:line="322" w:lineRule="auto"/>
        <w:tabs>
          <w:tab w:leader="none" w:pos="562" w:val="left"/>
        </w:tabs>
        <w:numPr>
          <w:ilvl w:val="0"/>
          <w:numId w:val="626"/>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21 - 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83" w:lineRule="exact"/>
        <w:rPr>
          <w:sz w:val="20"/>
          <w:szCs w:val="20"/>
          <w:color w:val="auto"/>
        </w:rPr>
      </w:pPr>
    </w:p>
    <w:p>
      <w:pPr>
        <w:ind w:right="80" w:firstLine="634"/>
        <w:spacing w:after="0" w:line="322" w:lineRule="auto"/>
        <w:tabs>
          <w:tab w:leader="none" w:pos="1258" w:val="left"/>
        </w:tabs>
        <w:numPr>
          <w:ilvl w:val="0"/>
          <w:numId w:val="6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9" w:lineRule="exact"/>
        <w:rPr>
          <w:sz w:val="20"/>
          <w:szCs w:val="20"/>
          <w:color w:val="auto"/>
        </w:rPr>
      </w:pPr>
    </w:p>
    <w:p>
      <w:pPr>
        <w:ind w:right="440" w:firstLine="634"/>
        <w:spacing w:after="0" w:line="289" w:lineRule="auto"/>
        <w:tabs>
          <w:tab w:leader="none" w:pos="1258" w:val="left"/>
        </w:tabs>
        <w:numPr>
          <w:ilvl w:val="1"/>
          <w:numId w:val="628"/>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w:t>
      </w:r>
    </w:p>
    <w:p>
      <w:pPr>
        <w:spacing w:after="0" w:line="381" w:lineRule="exact"/>
        <w:rPr>
          <w:rFonts w:ascii="Arial" w:cs="Arial" w:eastAsia="Arial" w:hAnsi="Arial"/>
          <w:sz w:val="17"/>
          <w:szCs w:val="17"/>
          <w:color w:val="auto"/>
        </w:rPr>
      </w:pPr>
    </w:p>
    <w:p>
      <w:pPr>
        <w:ind w:left="560" w:hanging="241"/>
        <w:spacing w:after="0"/>
        <w:tabs>
          <w:tab w:leader="none" w:pos="56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right="960" w:firstLine="319"/>
        <w:spacing w:after="0" w:line="289" w:lineRule="auto"/>
        <w:tabs>
          <w:tab w:leader="none" w:pos="562"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1542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included in this Agreement, otherwise the second provision — “</w:t>
      </w:r>
      <w:r>
        <w:rPr>
          <w:rFonts w:ascii="Arial" w:cs="Arial" w:eastAsia="Arial" w:hAnsi="Arial"/>
          <w:sz w:val="17"/>
          <w:szCs w:val="17"/>
          <w:i w:val="1"/>
          <w:iCs w:val="1"/>
          <w:color w:val="auto"/>
        </w:rPr>
        <w:t xml:space="preserve">Unknown Claims” — </w:t>
      </w:r>
      <w:r>
        <w:rPr>
          <w:rFonts w:ascii="Arial" w:cs="Arial" w:eastAsia="Arial" w:hAnsi="Arial"/>
          <w:sz w:val="17"/>
          <w:szCs w:val="17"/>
          <w:color w:val="auto"/>
        </w:rPr>
        <w:t>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-631825</wp:posOffset>
            </wp:positionV>
            <wp:extent cx="183134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76" w:lineRule="exact"/>
        <w:rPr>
          <w:sz w:val="20"/>
          <w:szCs w:val="20"/>
          <w:color w:val="auto"/>
        </w:rPr>
      </w:pPr>
    </w:p>
    <w:p>
      <w:pPr>
        <w:ind w:firstLine="634"/>
        <w:spacing w:after="0" w:line="289" w:lineRule="auto"/>
        <w:tabs>
          <w:tab w:leader="none" w:pos="1258" w:val="left"/>
        </w:tabs>
        <w:numPr>
          <w:ilvl w:val="0"/>
          <w:numId w:val="630"/>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80" w:firstLine="634"/>
        <w:spacing w:after="0" w:line="263" w:lineRule="auto"/>
        <w:tabs>
          <w:tab w:leader="none" w:pos="1258" w:val="left"/>
        </w:tabs>
        <w:numPr>
          <w:ilvl w:val="0"/>
          <w:numId w:val="63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3" w:lineRule="exact"/>
        <w:rPr>
          <w:rFonts w:ascii="Arial" w:cs="Arial" w:eastAsia="Arial" w:hAnsi="Arial"/>
          <w:sz w:val="17"/>
          <w:szCs w:val="17"/>
          <w:color w:val="auto"/>
        </w:rPr>
      </w:pPr>
    </w:p>
    <w:p>
      <w:pPr>
        <w:ind w:right="60" w:firstLine="634"/>
        <w:spacing w:after="0" w:line="281" w:lineRule="auto"/>
        <w:tabs>
          <w:tab w:leader="none" w:pos="1258" w:val="left"/>
        </w:tabs>
        <w:numPr>
          <w:ilvl w:val="0"/>
          <w:numId w:val="630"/>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otheiwise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20" w:firstLine="634"/>
        <w:spacing w:after="0" w:line="314" w:lineRule="auto"/>
        <w:tabs>
          <w:tab w:leader="none" w:pos="1254"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No Cooperation</w:t>
      </w:r>
      <w:r>
        <w:rPr>
          <w:rFonts w:ascii="Arial" w:cs="Arial" w:eastAsia="Arial" w:hAnsi="Arial"/>
          <w:sz w:val="15"/>
          <w:szCs w:val="15"/>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w:t>
      </w:r>
    </w:p>
    <w:p>
      <w:pPr>
        <w:sectPr>
          <w:pgSz w:w="11900" w:h="16838" w:orient="portrait"/>
          <w:cols w:equalWidth="0" w:num="1">
            <w:col w:w="11420"/>
          </w:cols>
          <w:pgMar w:left="240" w:top="127" w:right="239" w:bottom="0" w:gutter="0" w:footer="0" w:header="0"/>
        </w:sectPr>
      </w:pPr>
    </w:p>
    <w:bookmarkStart w:id="376" w:name="page377"/>
    <w:bookmarkEnd w:id="376"/>
    <w:p>
      <w:pPr>
        <w:ind w:right="140"/>
        <w:spacing w:after="0" w:line="289" w:lineRule="auto"/>
        <w:rPr>
          <w:sz w:val="20"/>
          <w:szCs w:val="20"/>
          <w:color w:val="auto"/>
        </w:rPr>
      </w:pPr>
      <w:r>
        <w:rPr>
          <w:rFonts w:ascii="Arial" w:cs="Arial" w:eastAsia="Arial" w:hAnsi="Arial"/>
          <w:sz w:val="17"/>
          <w:szCs w:val="17"/>
          <w:color w:val="auto"/>
        </w:rPr>
        <w:t>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60" w:firstLine="634"/>
        <w:spacing w:after="0" w:line="289" w:lineRule="auto"/>
        <w:tabs>
          <w:tab w:leader="none" w:pos="1248" w:val="left"/>
        </w:tabs>
        <w:numPr>
          <w:ilvl w:val="1"/>
          <w:numId w:val="631"/>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firstLine="634"/>
        <w:spacing w:after="0" w:line="268" w:lineRule="auto"/>
        <w:tabs>
          <w:tab w:leader="none" w:pos="1254" w:val="left"/>
        </w:tabs>
        <w:numPr>
          <w:ilvl w:val="1"/>
          <w:numId w:val="631"/>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75" w:lineRule="exact"/>
        <w:rPr>
          <w:rFonts w:ascii="Arial" w:cs="Arial" w:eastAsia="Arial" w:hAnsi="Arial"/>
          <w:sz w:val="17"/>
          <w:szCs w:val="17"/>
          <w:color w:val="auto"/>
        </w:rPr>
      </w:pPr>
    </w:p>
    <w:p>
      <w:pPr>
        <w:ind w:right="300" w:firstLine="634"/>
        <w:spacing w:after="0" w:line="281" w:lineRule="auto"/>
        <w:tabs>
          <w:tab w:leader="none" w:pos="1254" w:val="left"/>
        </w:tabs>
        <w:numPr>
          <w:ilvl w:val="1"/>
          <w:numId w:val="631"/>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20" w:firstLine="5"/>
        <w:spacing w:after="0" w:line="275" w:lineRule="auto"/>
        <w:tabs>
          <w:tab w:leader="none" w:pos="247" w:val="left"/>
        </w:tabs>
        <w:numPr>
          <w:ilvl w:val="0"/>
          <w:numId w:val="632"/>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632"/>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40" w:firstLine="634"/>
        <w:spacing w:after="0" w:line="259" w:lineRule="auto"/>
        <w:tabs>
          <w:tab w:leader="none" w:pos="1254" w:val="left"/>
        </w:tabs>
        <w:numPr>
          <w:ilvl w:val="1"/>
          <w:numId w:val="632"/>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12" w:lineRule="exact"/>
        <w:rPr>
          <w:sz w:val="20"/>
          <w:szCs w:val="20"/>
          <w:color w:val="auto"/>
        </w:rPr>
      </w:pPr>
    </w:p>
    <w:p>
      <w:pPr>
        <w:ind w:firstLine="634"/>
        <w:spacing w:after="0" w:line="265" w:lineRule="auto"/>
        <w:tabs>
          <w:tab w:leader="none" w:pos="1254"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60" w:firstLine="634"/>
        <w:spacing w:after="0" w:line="273" w:lineRule="auto"/>
        <w:tabs>
          <w:tab w:leader="none" w:pos="1254"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right="60" w:firstLine="634"/>
        <w:spacing w:after="0" w:line="273" w:lineRule="auto"/>
        <w:tabs>
          <w:tab w:leader="none" w:pos="1254"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right="20" w:firstLine="634"/>
        <w:spacing w:after="0" w:line="265" w:lineRule="auto"/>
        <w:tabs>
          <w:tab w:leader="none" w:pos="1254"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1"/>
          <w:numId w:val="633"/>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100" w:firstLine="634"/>
        <w:spacing w:after="0" w:line="289" w:lineRule="auto"/>
        <w:tabs>
          <w:tab w:leader="none" w:pos="1215" w:val="left"/>
        </w:tabs>
        <w:numPr>
          <w:ilvl w:val="1"/>
          <w:numId w:val="63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81" w:lineRule="exact"/>
        <w:rPr>
          <w:rFonts w:ascii="Arial" w:cs="Arial" w:eastAsia="Arial" w:hAnsi="Arial"/>
          <w:sz w:val="17"/>
          <w:szCs w:val="17"/>
          <w:color w:val="auto"/>
        </w:rPr>
      </w:pPr>
    </w:p>
    <w:p>
      <w:pPr>
        <w:ind w:right="360" w:firstLine="319"/>
        <w:spacing w:after="0" w:line="289" w:lineRule="auto"/>
        <w:tabs>
          <w:tab w:leader="none" w:pos="562" w:val="left"/>
        </w:tabs>
        <w:numPr>
          <w:ilvl w:val="0"/>
          <w:numId w:val="634"/>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183134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00"/>
          </w:cols>
          <w:pgMar w:left="240" w:top="127" w:right="259" w:bottom="36" w:gutter="0" w:footer="0" w:header="0"/>
        </w:sectPr>
      </w:pPr>
    </w:p>
    <w:bookmarkStart w:id="377" w:name="page378"/>
    <w:bookmarkEnd w:id="377"/>
    <w:p>
      <w:pPr>
        <w:ind w:right="380" w:firstLine="319"/>
        <w:spacing w:after="0" w:line="289" w:lineRule="auto"/>
        <w:tabs>
          <w:tab w:leader="none" w:pos="562" w:val="left"/>
        </w:tabs>
        <w:numPr>
          <w:ilvl w:val="0"/>
          <w:numId w:val="635"/>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244" w:lineRule="auto"/>
        <w:tabs>
          <w:tab w:leader="none" w:pos="1254" w:val="left"/>
        </w:tabs>
        <w:numPr>
          <w:ilvl w:val="0"/>
          <w:numId w:val="636"/>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95"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63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8" w:lineRule="exact"/>
        <w:rPr>
          <w:rFonts w:ascii="Arial" w:cs="Arial" w:eastAsia="Arial" w:hAnsi="Arial"/>
          <w:sz w:val="17"/>
          <w:szCs w:val="17"/>
          <w:color w:val="auto"/>
        </w:rPr>
      </w:pPr>
    </w:p>
    <w:p>
      <w:pPr>
        <w:ind w:right="40" w:firstLine="634"/>
        <w:spacing w:after="0" w:line="273" w:lineRule="auto"/>
        <w:tabs>
          <w:tab w:leader="none" w:pos="1254" w:val="left"/>
        </w:tabs>
        <w:numPr>
          <w:ilvl w:val="0"/>
          <w:numId w:val="636"/>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900" w:hanging="662"/>
        <w:spacing w:after="0"/>
        <w:tabs>
          <w:tab w:leader="none" w:pos="1900" w:val="left"/>
        </w:tabs>
        <w:numPr>
          <w:ilvl w:val="1"/>
          <w:numId w:val="636"/>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860" w:right="260" w:hanging="622"/>
        <w:spacing w:after="0" w:line="289" w:lineRule="auto"/>
        <w:tabs>
          <w:tab w:leader="none" w:pos="1867" w:val="left"/>
        </w:tabs>
        <w:numPr>
          <w:ilvl w:val="1"/>
          <w:numId w:val="636"/>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880" w:hanging="642"/>
        <w:spacing w:after="0"/>
        <w:tabs>
          <w:tab w:leader="none" w:pos="1880" w:val="left"/>
        </w:tabs>
        <w:numPr>
          <w:ilvl w:val="1"/>
          <w:numId w:val="636"/>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62"/>
        <w:spacing w:after="0"/>
        <w:tabs>
          <w:tab w:leader="none" w:pos="1900" w:val="left"/>
        </w:tabs>
        <w:numPr>
          <w:ilvl w:val="1"/>
          <w:numId w:val="636"/>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241"/>
        <w:spacing w:after="0"/>
        <w:tabs>
          <w:tab w:leader="none" w:pos="56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160" w:hanging="5301"/>
        <w:spacing w:after="0" w:line="547" w:lineRule="auto"/>
        <w:tabs>
          <w:tab w:leader="none" w:pos="557" w:val="left"/>
        </w:tabs>
        <w:numPr>
          <w:ilvl w:val="0"/>
          <w:numId w:val="637"/>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on the respective dates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8040" w:type="dxa"/>
            <w:vAlign w:val="bottom"/>
            <w:gridSpan w:val="3"/>
          </w:tcPr>
          <w:p>
            <w:pPr>
              <w:ind w:left="2340"/>
              <w:spacing w:after="0"/>
              <w:rPr>
                <w:sz w:val="20"/>
                <w:szCs w:val="20"/>
                <w:color w:val="auto"/>
              </w:rPr>
            </w:pPr>
            <w:r>
              <w:rPr>
                <w:rFonts w:ascii="Arial" w:cs="Arial" w:eastAsia="Arial" w:hAnsi="Arial"/>
                <w:sz w:val="17"/>
                <w:szCs w:val="17"/>
                <w:color w:val="auto"/>
              </w:rPr>
              <w:t>VERACYTE, INC.</w:t>
            </w:r>
          </w:p>
        </w:tc>
      </w:tr>
      <w:tr>
        <w:trPr>
          <w:trHeight w:val="629"/>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413"/>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Name:</w:t>
            </w:r>
          </w:p>
        </w:tc>
        <w:tc>
          <w:tcPr>
            <w:tcW w:w="1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412"/>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Title:</w:t>
            </w:r>
          </w:p>
        </w:tc>
        <w:tc>
          <w:tcPr>
            <w:tcW w:w="5100" w:type="dxa"/>
            <w:vAlign w:val="bottom"/>
            <w:gridSpan w:val="2"/>
          </w:tcPr>
          <w:p>
            <w:pPr>
              <w:ind w:left="140"/>
              <w:spacing w:after="0"/>
              <w:rPr>
                <w:sz w:val="20"/>
                <w:szCs w:val="20"/>
                <w:color w:val="auto"/>
              </w:rPr>
            </w:pPr>
            <w:r>
              <w:rPr>
                <w:rFonts w:ascii="Arial" w:cs="Arial" w:eastAsia="Arial" w:hAnsi="Arial"/>
                <w:sz w:val="17"/>
                <w:szCs w:val="17"/>
                <w:color w:val="auto"/>
              </w:rPr>
              <w:t>President &amp; CEO</w:t>
            </w:r>
          </w:p>
        </w:tc>
      </w:tr>
      <w:tr>
        <w:trPr>
          <w:trHeight w:val="413"/>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Dated:</w:t>
            </w:r>
          </w:p>
        </w:tc>
        <w:tc>
          <w:tcPr>
            <w:tcW w:w="140" w:type="dxa"/>
            <w:vAlign w:val="bottom"/>
          </w:tcPr>
          <w:p>
            <w:pPr>
              <w:spacing w:after="0"/>
              <w:rPr>
                <w:sz w:val="24"/>
                <w:szCs w:val="24"/>
                <w:color w:val="auto"/>
              </w:rPr>
            </w:pPr>
          </w:p>
        </w:tc>
        <w:tc>
          <w:tcPr>
            <w:tcW w:w="4960" w:type="dxa"/>
            <w:vAlign w:val="bottom"/>
            <w:tcBorders>
              <w:top w:val="single" w:sz="8" w:color="auto"/>
              <w:bottom w:val="single" w:sz="8" w:color="auto"/>
            </w:tcBorders>
          </w:tcPr>
          <w:p>
            <w:pPr>
              <w:spacing w:after="0"/>
              <w:rPr>
                <w:sz w:val="24"/>
                <w:szCs w:val="24"/>
                <w:color w:val="auto"/>
              </w:rPr>
            </w:pPr>
          </w:p>
        </w:tc>
      </w:tr>
      <w:tr>
        <w:trPr>
          <w:trHeight w:val="399"/>
        </w:trPr>
        <w:tc>
          <w:tcPr>
            <w:tcW w:w="3380" w:type="dxa"/>
            <w:vAlign w:val="bottom"/>
          </w:tcPr>
          <w:p>
            <w:pPr>
              <w:spacing w:after="0"/>
              <w:rPr>
                <w:sz w:val="20"/>
                <w:szCs w:val="20"/>
                <w:color w:val="auto"/>
              </w:rPr>
            </w:pPr>
            <w:r>
              <w:rPr>
                <w:rFonts w:ascii="Arial" w:cs="Arial" w:eastAsia="Arial" w:hAnsi="Arial"/>
                <w:sz w:val="17"/>
                <w:szCs w:val="17"/>
                <w:b w:val="1"/>
                <w:bCs w:val="1"/>
                <w:color w:val="auto"/>
              </w:rPr>
              <w:t>EXECUTIVE</w:t>
            </w:r>
          </w:p>
        </w:tc>
        <w:tc>
          <w:tcPr>
            <w:tcW w:w="8040" w:type="dxa"/>
            <w:vAlign w:val="bottom"/>
            <w:gridSpan w:val="3"/>
          </w:tcPr>
          <w:p>
            <w:pPr>
              <w:ind w:left="2340"/>
              <w:spacing w:after="0"/>
              <w:rPr>
                <w:sz w:val="20"/>
                <w:szCs w:val="20"/>
                <w:color w:val="auto"/>
              </w:rPr>
            </w:pPr>
            <w:r>
              <w:rPr>
                <w:rFonts w:ascii="Arial" w:cs="Arial" w:eastAsia="Arial" w:hAnsi="Arial"/>
                <w:sz w:val="17"/>
                <w:szCs w:val="17"/>
                <w:color w:val="auto"/>
              </w:rPr>
              <w:t>CHRISTOPHER HALL, an individual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400050</wp:posOffset>
            </wp:positionV>
            <wp:extent cx="362140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50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7"/>
          <w:szCs w:val="17"/>
          <w:b w:val="1"/>
          <w:bCs w:val="1"/>
          <w:color w:val="auto"/>
        </w:rPr>
        <w:t>Exhibit 10.15</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72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Shelly Guyer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April 8, 2013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jc w:val="both"/>
        <w:ind w:right="60" w:firstLine="634"/>
        <w:spacing w:after="0" w:line="268" w:lineRule="auto"/>
        <w:tabs>
          <w:tab w:leader="none" w:pos="1258" w:val="left"/>
        </w:tabs>
        <w:numPr>
          <w:ilvl w:val="0"/>
          <w:numId w:val="638"/>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5" w:lineRule="exact"/>
        <w:rPr>
          <w:rFonts w:ascii="Arial" w:cs="Arial" w:eastAsia="Arial" w:hAnsi="Arial"/>
          <w:sz w:val="17"/>
          <w:szCs w:val="17"/>
          <w:color w:val="auto"/>
        </w:rPr>
      </w:pPr>
    </w:p>
    <w:p>
      <w:pPr>
        <w:ind w:right="60" w:firstLine="634"/>
        <w:spacing w:after="0" w:line="273" w:lineRule="auto"/>
        <w:tabs>
          <w:tab w:leader="none" w:pos="1258" w:val="left"/>
        </w:tabs>
        <w:numPr>
          <w:ilvl w:val="0"/>
          <w:numId w:val="638"/>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258" w:val="left"/>
        </w:tabs>
        <w:numPr>
          <w:ilvl w:val="0"/>
          <w:numId w:val="639"/>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360" w:firstLine="634"/>
        <w:spacing w:after="0" w:line="289" w:lineRule="auto"/>
        <w:tabs>
          <w:tab w:leader="none" w:pos="1258" w:val="left"/>
        </w:tabs>
        <w:numPr>
          <w:ilvl w:val="0"/>
          <w:numId w:val="639"/>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260" w:hanging="626"/>
        <w:spacing w:after="0"/>
        <w:tabs>
          <w:tab w:leader="none" w:pos="1260" w:val="left"/>
        </w:tabs>
        <w:numPr>
          <w:ilvl w:val="1"/>
          <w:numId w:val="640"/>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73" w:lineRule="auto"/>
        <w:tabs>
          <w:tab w:leader="none" w:pos="1885" w:val="left"/>
        </w:tabs>
        <w:numPr>
          <w:ilvl w:val="2"/>
          <w:numId w:val="640"/>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140" w:firstLine="1893"/>
        <w:spacing w:after="0" w:line="289" w:lineRule="auto"/>
        <w:tabs>
          <w:tab w:leader="none" w:pos="2538" w:val="left"/>
        </w:tabs>
        <w:numPr>
          <w:ilvl w:val="3"/>
          <w:numId w:val="640"/>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20" w:firstLine="1893"/>
        <w:spacing w:after="0" w:line="273" w:lineRule="auto"/>
        <w:tabs>
          <w:tab w:leader="none" w:pos="2547" w:val="left"/>
        </w:tabs>
        <w:numPr>
          <w:ilvl w:val="3"/>
          <w:numId w:val="640"/>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60" w:firstLine="1893"/>
        <w:spacing w:after="0" w:line="275" w:lineRule="auto"/>
        <w:tabs>
          <w:tab w:leader="none" w:pos="2556" w:val="left"/>
        </w:tabs>
        <w:numPr>
          <w:ilvl w:val="3"/>
          <w:numId w:val="640"/>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ind w:right="160" w:firstLine="5"/>
        <w:spacing w:after="0" w:line="266" w:lineRule="auto"/>
        <w:tabs>
          <w:tab w:leader="none" w:pos="247" w:val="left"/>
        </w:tabs>
        <w:numPr>
          <w:ilvl w:val="0"/>
          <w:numId w:val="641"/>
        </w:numPr>
        <w:rPr>
          <w:rFonts w:ascii="Arial" w:cs="Arial" w:eastAsia="Arial" w:hAnsi="Arial"/>
          <w:sz w:val="17"/>
          <w:szCs w:val="17"/>
          <w:color w:val="auto"/>
        </w:rPr>
      </w:pPr>
      <w:r>
        <w:rPr>
          <w:rFonts w:ascii="Arial" w:cs="Arial" w:eastAsia="Arial" w:hAnsi="Arial"/>
          <w:sz w:val="17"/>
          <w:szCs w:val="17"/>
          <w:color w:val="auto"/>
        </w:rPr>
        <w:t>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7" w:lineRule="exact"/>
        <w:rPr>
          <w:rFonts w:ascii="Arial" w:cs="Arial" w:eastAsia="Arial" w:hAnsi="Arial"/>
          <w:sz w:val="17"/>
          <w:szCs w:val="17"/>
          <w:color w:val="auto"/>
        </w:rPr>
      </w:pPr>
    </w:p>
    <w:p>
      <w:pPr>
        <w:ind w:right="20" w:firstLine="1263"/>
        <w:spacing w:after="0" w:line="273" w:lineRule="auto"/>
        <w:tabs>
          <w:tab w:leader="none" w:pos="1895" w:val="left"/>
        </w:tabs>
        <w:numPr>
          <w:ilvl w:val="2"/>
          <w:numId w:val="64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in each case, such termination occurs during the Change of Control Period, then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8" w:gutter="0" w:footer="0" w:header="0"/>
        </w:sectPr>
      </w:pPr>
    </w:p>
    <w:bookmarkStart w:id="379" w:name="page380"/>
    <w:bookmarkEnd w:id="379"/>
    <w:p>
      <w:pPr>
        <w:spacing w:after="0"/>
        <w:rPr>
          <w:sz w:val="20"/>
          <w:szCs w:val="20"/>
          <w:color w:val="auto"/>
        </w:rPr>
      </w:pPr>
      <w:r>
        <w:rPr>
          <w:rFonts w:ascii="Arial" w:cs="Arial" w:eastAsia="Arial" w:hAnsi="Arial"/>
          <w:sz w:val="17"/>
          <w:szCs w:val="17"/>
          <w:color w:val="auto"/>
        </w:rPr>
        <w:t>subject to Section 4, Executive will receive the following:</w:t>
      </w:r>
    </w:p>
    <w:p>
      <w:pPr>
        <w:spacing w:after="0" w:line="224" w:lineRule="exact"/>
        <w:rPr>
          <w:sz w:val="20"/>
          <w:szCs w:val="20"/>
          <w:color w:val="auto"/>
        </w:rPr>
      </w:pPr>
    </w:p>
    <w:p>
      <w:pPr>
        <w:ind w:right="120" w:firstLine="1893"/>
        <w:spacing w:after="0" w:line="289" w:lineRule="auto"/>
        <w:tabs>
          <w:tab w:leader="none" w:pos="2538" w:val="left"/>
        </w:tabs>
        <w:numPr>
          <w:ilvl w:val="1"/>
          <w:numId w:val="64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642"/>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the six</w:t>
      </w:r>
    </w:p>
    <w:p>
      <w:pPr>
        <w:spacing w:after="0" w:line="26" w:lineRule="exact"/>
        <w:rPr>
          <w:rFonts w:ascii="Arial" w:cs="Arial" w:eastAsia="Arial" w:hAnsi="Arial"/>
          <w:sz w:val="17"/>
          <w:szCs w:val="17"/>
          <w:color w:val="auto"/>
        </w:rPr>
      </w:pPr>
    </w:p>
    <w:p>
      <w:pPr>
        <w:ind w:firstLine="5"/>
        <w:spacing w:after="0" w:line="291" w:lineRule="auto"/>
        <w:tabs>
          <w:tab w:leader="none" w:pos="247" w:val="left"/>
        </w:tabs>
        <w:numPr>
          <w:ilvl w:val="0"/>
          <w:numId w:val="643"/>
        </w:numPr>
        <w:rPr>
          <w:rFonts w:ascii="Arial" w:cs="Arial" w:eastAsia="Arial" w:hAnsi="Arial"/>
          <w:sz w:val="15"/>
          <w:szCs w:val="15"/>
          <w:color w:val="auto"/>
        </w:rPr>
      </w:pPr>
      <w:r>
        <w:rPr>
          <w:rFonts w:ascii="Arial" w:cs="Arial" w:eastAsia="Arial" w:hAnsi="Arial"/>
          <w:sz w:val="15"/>
          <w:szCs w:val="15"/>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 the date the Release (as defined below) is effective and irrevocable; or (C) such later date required by Section 4(c).</w:t>
      </w:r>
    </w:p>
    <w:p>
      <w:pPr>
        <w:spacing w:after="0" w:line="212" w:lineRule="exact"/>
        <w:rPr>
          <w:rFonts w:ascii="Arial" w:cs="Arial" w:eastAsia="Arial" w:hAnsi="Arial"/>
          <w:sz w:val="15"/>
          <w:szCs w:val="15"/>
          <w:color w:val="auto"/>
        </w:rPr>
      </w:pPr>
    </w:p>
    <w:p>
      <w:pPr>
        <w:ind w:left="2560" w:hanging="667"/>
        <w:spacing w:after="0"/>
        <w:tabs>
          <w:tab w:leader="none" w:pos="2560" w:val="left"/>
        </w:tabs>
        <w:numPr>
          <w:ilvl w:val="1"/>
          <w:numId w:val="643"/>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fifty percent (50%) of the higher of (A) the greater of</w:t>
      </w:r>
    </w:p>
    <w:p>
      <w:pPr>
        <w:spacing w:after="0" w:line="37"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7"/>
          <w:szCs w:val="17"/>
          <w:color w:val="auto"/>
        </w:rPr>
        <w:t>(x)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6"/>
          <w:szCs w:val="16"/>
          <w:color w:val="auto"/>
        </w:rPr>
      </w:pPr>
    </w:p>
    <w:p>
      <w:pPr>
        <w:ind w:right="80" w:firstLine="1893"/>
        <w:spacing w:after="0" w:line="278" w:lineRule="auto"/>
        <w:tabs>
          <w:tab w:leader="none" w:pos="2533" w:val="left"/>
        </w:tabs>
        <w:numPr>
          <w:ilvl w:val="1"/>
          <w:numId w:val="643"/>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w:t>
      </w:r>
    </w:p>
    <w:p>
      <w:pPr>
        <w:spacing w:after="0" w:line="1" w:lineRule="exact"/>
        <w:rPr>
          <w:rFonts w:ascii="Arial" w:cs="Arial" w:eastAsia="Arial" w:hAnsi="Arial"/>
          <w:sz w:val="16"/>
          <w:szCs w:val="16"/>
          <w:color w:val="auto"/>
        </w:rPr>
      </w:pPr>
    </w:p>
    <w:p>
      <w:pPr>
        <w:ind w:right="240"/>
        <w:spacing w:after="0" w:line="259" w:lineRule="auto"/>
        <w:rPr>
          <w:rFonts w:ascii="Arial" w:cs="Arial" w:eastAsia="Arial" w:hAnsi="Arial"/>
          <w:sz w:val="16"/>
          <w:szCs w:val="16"/>
          <w:color w:val="auto"/>
        </w:rPr>
      </w:pPr>
      <w:r>
        <w:rPr>
          <w:rFonts w:ascii="Arial" w:cs="Arial" w:eastAsia="Arial" w:hAnsi="Arial"/>
          <w:sz w:val="17"/>
          <w:szCs w:val="17"/>
          <w:color w:val="auto"/>
        </w:rPr>
        <w:t>(B)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58" w:lineRule="exact"/>
        <w:rPr>
          <w:sz w:val="20"/>
          <w:szCs w:val="20"/>
          <w:color w:val="auto"/>
        </w:rPr>
      </w:pPr>
    </w:p>
    <w:p>
      <w:pPr>
        <w:jc w:val="both"/>
        <w:ind w:right="260" w:firstLine="1893"/>
        <w:spacing w:after="0" w:line="268" w:lineRule="auto"/>
        <w:tabs>
          <w:tab w:leader="none" w:pos="2524" w:val="left"/>
        </w:tabs>
        <w:numPr>
          <w:ilvl w:val="2"/>
          <w:numId w:val="644"/>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20" w:firstLine="1893"/>
        <w:spacing w:after="0" w:line="294" w:lineRule="auto"/>
        <w:tabs>
          <w:tab w:leader="none" w:pos="2533" w:val="left"/>
        </w:tabs>
        <w:numPr>
          <w:ilvl w:val="2"/>
          <w:numId w:val="644"/>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were granted on or following the Effective Date will remain exercisable until the eighteen (18)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160" w:firstLine="1263"/>
        <w:spacing w:after="0" w:line="268" w:lineRule="auto"/>
        <w:tabs>
          <w:tab w:leader="none" w:pos="1898" w:val="left"/>
        </w:tabs>
        <w:numPr>
          <w:ilvl w:val="1"/>
          <w:numId w:val="645"/>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5" w:lineRule="exact"/>
        <w:rPr>
          <w:rFonts w:ascii="Arial" w:cs="Arial" w:eastAsia="Arial" w:hAnsi="Arial"/>
          <w:sz w:val="17"/>
          <w:szCs w:val="17"/>
          <w:color w:val="auto"/>
        </w:rPr>
      </w:pPr>
    </w:p>
    <w:p>
      <w:pPr>
        <w:ind w:firstLine="1263"/>
        <w:spacing w:after="0" w:line="298" w:lineRule="auto"/>
        <w:tabs>
          <w:tab w:leader="none" w:pos="1895" w:val="left"/>
        </w:tabs>
        <w:numPr>
          <w:ilvl w:val="1"/>
          <w:numId w:val="645"/>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180" w:firstLine="1263"/>
        <w:spacing w:after="0" w:line="265" w:lineRule="auto"/>
        <w:tabs>
          <w:tab w:leader="none" w:pos="1898" w:val="left"/>
        </w:tabs>
        <w:numPr>
          <w:ilvl w:val="1"/>
          <w:numId w:val="645"/>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646"/>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300" w:firstLine="1263"/>
        <w:spacing w:after="0" w:line="322" w:lineRule="auto"/>
        <w:tabs>
          <w:tab w:leader="none" w:pos="1885" w:val="left"/>
        </w:tabs>
        <w:numPr>
          <w:ilvl w:val="1"/>
          <w:numId w:val="646"/>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(other than the accrued benefits set forth in either Sections 3(a)(i) or 3(b)(i)) pursuant to this Agreement is subject to Executive signing and not revoking a separation agreement and release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60" w:lineRule="auto"/>
        <w:rPr>
          <w:sz w:val="20"/>
          <w:szCs w:val="20"/>
          <w:color w:val="auto"/>
        </w:rPr>
      </w:pPr>
      <w:r>
        <w:rPr>
          <w:rFonts w:ascii="Arial" w:cs="Arial" w:eastAsia="Arial" w:hAnsi="Arial"/>
          <w:sz w:val="15"/>
          <w:szCs w:val="15"/>
          <w:color w:val="auto"/>
        </w:rPr>
        <w:t xml:space="preserve">claims in substantially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which must become effective and irrevocable no later than the sixtieth (60th) day following Executive’s termination of employment (the “</w:t>
      </w:r>
      <w:r>
        <w:rPr>
          <w:rFonts w:ascii="Arial" w:cs="Arial" w:eastAsia="Arial" w:hAnsi="Arial"/>
          <w:sz w:val="15"/>
          <w:szCs w:val="15"/>
          <w:b w:val="1"/>
          <w:bCs w:val="1"/>
          <w:i w:val="1"/>
          <w:iCs w:val="1"/>
          <w:color w:val="auto"/>
        </w:rPr>
        <w:t>Release Deadline</w:t>
      </w:r>
      <w:r>
        <w:rPr>
          <w:rFonts w:ascii="Arial" w:cs="Arial" w:eastAsia="Arial" w:hAnsi="Arial"/>
          <w:sz w:val="15"/>
          <w:szCs w:val="15"/>
          <w:color w:val="auto"/>
        </w:rPr>
        <w:t>”). If the Release does not become effective and irrevocable by the Release Deadline,</w:t>
      </w:r>
    </w:p>
    <w:p>
      <w:pPr>
        <w:sectPr>
          <w:pgSz w:w="11900" w:h="16838" w:orient="portrait"/>
          <w:cols w:equalWidth="0" w:num="1">
            <w:col w:w="11400"/>
          </w:cols>
          <w:pgMar w:left="240" w:top="127" w:right="259" w:bottom="0" w:gutter="0" w:footer="0" w:header="0"/>
        </w:sectPr>
      </w:pPr>
    </w:p>
    <w:bookmarkStart w:id="380" w:name="page381"/>
    <w:bookmarkEnd w:id="380"/>
    <w:p>
      <w:pPr>
        <w:spacing w:after="0" w:line="1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Executive will forfeit any right to severance payments or benefits under this Agreement. In no event will severance payments or benefits be paid or provided until the Release actually becomes effective and irrevocable.</w:t>
      </w:r>
    </w:p>
    <w:p>
      <w:pPr>
        <w:spacing w:after="0" w:line="158" w:lineRule="exact"/>
        <w:rPr>
          <w:sz w:val="20"/>
          <w:szCs w:val="20"/>
          <w:color w:val="auto"/>
        </w:rPr>
      </w:pPr>
    </w:p>
    <w:p>
      <w:pPr>
        <w:ind w:right="400" w:firstLine="1263"/>
        <w:spacing w:after="0" w:line="298" w:lineRule="auto"/>
        <w:tabs>
          <w:tab w:leader="none" w:pos="1895" w:val="left"/>
        </w:tabs>
        <w:numPr>
          <w:ilvl w:val="0"/>
          <w:numId w:val="647"/>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and Invention Assignment Agreements</w:t>
      </w:r>
      <w:r>
        <w:rPr>
          <w:rFonts w:ascii="Arial" w:cs="Arial" w:eastAsia="Arial" w:hAnsi="Arial"/>
          <w:sz w:val="16"/>
          <w:szCs w:val="16"/>
          <w:color w:val="auto"/>
        </w:rPr>
        <w:t>. Executive’s receipt of any payments or benefits under Section 3 (other than the accrued benefits set forth in either Sections 3(a)(i) or 3(b)(i)) will be subject to Executive continuing to comply with the terms of the Confidentiality Agreement dated April 8, 2013, between the Company and Executive, as such agreement may be amended from time to time.</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64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893"/>
        <w:spacing w:after="0" w:line="283" w:lineRule="auto"/>
        <w:tabs>
          <w:tab w:leader="none" w:pos="2538" w:val="left"/>
        </w:tabs>
        <w:numPr>
          <w:ilvl w:val="1"/>
          <w:numId w:val="64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6" w:lineRule="exact"/>
        <w:rPr>
          <w:rFonts w:ascii="Arial" w:cs="Arial" w:eastAsia="Arial" w:hAnsi="Arial"/>
          <w:sz w:val="16"/>
          <w:szCs w:val="16"/>
          <w:color w:val="auto"/>
        </w:rPr>
      </w:pPr>
    </w:p>
    <w:p>
      <w:pPr>
        <w:ind w:firstLine="1893"/>
        <w:spacing w:after="0" w:line="276" w:lineRule="auto"/>
        <w:tabs>
          <w:tab w:leader="none" w:pos="2547" w:val="left"/>
        </w:tabs>
        <w:numPr>
          <w:ilvl w:val="1"/>
          <w:numId w:val="647"/>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180" w:firstLine="1893"/>
        <w:spacing w:after="0" w:line="265" w:lineRule="auto"/>
        <w:tabs>
          <w:tab w:leader="none" w:pos="2556" w:val="left"/>
        </w:tabs>
        <w:numPr>
          <w:ilvl w:val="1"/>
          <w:numId w:val="64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59" w:lineRule="exact"/>
        <w:rPr>
          <w:sz w:val="20"/>
          <w:szCs w:val="20"/>
          <w:color w:val="auto"/>
        </w:rPr>
      </w:pPr>
    </w:p>
    <w:p>
      <w:pPr>
        <w:ind w:right="920" w:firstLine="1893"/>
        <w:spacing w:after="0" w:line="289" w:lineRule="auto"/>
        <w:tabs>
          <w:tab w:leader="none" w:pos="2533" w:val="left"/>
        </w:tabs>
        <w:numPr>
          <w:ilvl w:val="3"/>
          <w:numId w:val="648"/>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8" w:lineRule="exact"/>
        <w:rPr>
          <w:rFonts w:ascii="Arial" w:cs="Arial" w:eastAsia="Arial" w:hAnsi="Arial"/>
          <w:sz w:val="17"/>
          <w:szCs w:val="17"/>
          <w:color w:val="auto"/>
        </w:rPr>
      </w:pPr>
    </w:p>
    <w:p>
      <w:pPr>
        <w:ind w:right="120" w:firstLine="1893"/>
        <w:spacing w:after="0" w:line="273" w:lineRule="auto"/>
        <w:tabs>
          <w:tab w:leader="none" w:pos="2524" w:val="left"/>
        </w:tabs>
        <w:numPr>
          <w:ilvl w:val="3"/>
          <w:numId w:val="648"/>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33" w:val="left"/>
        </w:tabs>
        <w:numPr>
          <w:ilvl w:val="3"/>
          <w:numId w:val="648"/>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260" w:hanging="626"/>
        <w:spacing w:after="0"/>
        <w:tabs>
          <w:tab w:leader="none" w:pos="1260" w:val="left"/>
        </w:tabs>
        <w:numPr>
          <w:ilvl w:val="1"/>
          <w:numId w:val="649"/>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650"/>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880" w:hanging="617"/>
        <w:spacing w:after="0"/>
        <w:tabs>
          <w:tab w:leader="none" w:pos="188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650"/>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such acceleration of vesting will be cancelled in the reverse order of the date of grant of Executive’s equity awards.</w:t>
      </w:r>
    </w:p>
    <w:p>
      <w:pPr>
        <w:spacing w:after="0" w:line="224"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5"/>
          <w:szCs w:val="15"/>
          <w:b w:val="1"/>
          <w:bCs w:val="1"/>
          <w:i w:val="1"/>
          <w:iCs w:val="1"/>
          <w:color w:val="auto"/>
        </w:rPr>
        <w:t>Firm</w:t>
      </w:r>
      <w:r>
        <w:rPr>
          <w:rFonts w:ascii="Arial" w:cs="Arial" w:eastAsia="Arial" w:hAnsi="Arial"/>
          <w:sz w:val="15"/>
          <w:szCs w:val="15"/>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w:t>
      </w:r>
    </w:p>
    <w:p>
      <w:pPr>
        <w:sectPr>
          <w:pgSz w:w="11900" w:h="16851" w:orient="portrait"/>
          <w:cols w:equalWidth="0" w:num="1">
            <w:col w:w="11420"/>
          </w:cols>
          <w:pgMar w:left="240" w:top="127" w:right="239" w:bottom="0" w:gutter="0" w:footer="0" w:header="0"/>
        </w:sectPr>
      </w:pPr>
    </w:p>
    <w:bookmarkStart w:id="381" w:name="page382"/>
    <w:bookmarkEnd w:id="381"/>
    <w:p>
      <w:pPr>
        <w:ind w:right="20"/>
        <w:spacing w:after="0" w:line="289" w:lineRule="auto"/>
        <w:rPr>
          <w:sz w:val="20"/>
          <w:szCs w:val="20"/>
          <w:color w:val="auto"/>
        </w:rPr>
      </w:pPr>
      <w:r>
        <w:rPr>
          <w:rFonts w:ascii="Arial" w:cs="Arial" w:eastAsia="Arial" w:hAnsi="Arial"/>
          <w:sz w:val="17"/>
          <w:szCs w:val="17"/>
          <w:color w:val="auto"/>
        </w:rPr>
        <w:t>in order to make a determination under this Section. The Company will bear all costs the Firm may incur in connection with any calculations contemplated by this Section 5.</w:t>
      </w:r>
    </w:p>
    <w:p>
      <w:pPr>
        <w:spacing w:after="0" w:line="158" w:lineRule="exact"/>
        <w:rPr>
          <w:sz w:val="20"/>
          <w:szCs w:val="20"/>
          <w:color w:val="auto"/>
        </w:rPr>
      </w:pPr>
    </w:p>
    <w:p>
      <w:pPr>
        <w:ind w:left="1260" w:hanging="626"/>
        <w:spacing w:after="0"/>
        <w:tabs>
          <w:tab w:leader="none" w:pos="1260" w:val="left"/>
        </w:tabs>
        <w:numPr>
          <w:ilvl w:val="0"/>
          <w:numId w:val="651"/>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65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40" w:hanging="522"/>
        <w:spacing w:after="0"/>
        <w:tabs>
          <w:tab w:leader="none" w:pos="2540" w:val="left"/>
        </w:tabs>
        <w:numPr>
          <w:ilvl w:val="2"/>
          <w:numId w:val="651"/>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40" w:hanging="522"/>
        <w:spacing w:after="0"/>
        <w:tabs>
          <w:tab w:leader="none" w:pos="2540" w:val="left"/>
        </w:tabs>
        <w:numPr>
          <w:ilvl w:val="2"/>
          <w:numId w:val="651"/>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542"/>
        <w:spacing w:after="0"/>
        <w:tabs>
          <w:tab w:leader="none" w:pos="2560" w:val="left"/>
        </w:tabs>
        <w:numPr>
          <w:ilvl w:val="2"/>
          <w:numId w:val="651"/>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40" w:hanging="522"/>
        <w:spacing w:after="0"/>
        <w:tabs>
          <w:tab w:leader="none" w:pos="2540" w:val="left"/>
        </w:tabs>
        <w:numPr>
          <w:ilvl w:val="2"/>
          <w:numId w:val="651"/>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20" w:hanging="502"/>
        <w:spacing w:after="0"/>
        <w:tabs>
          <w:tab w:leader="none" w:pos="2520" w:val="left"/>
        </w:tabs>
        <w:numPr>
          <w:ilvl w:val="2"/>
          <w:numId w:val="651"/>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60" w:firstLine="2018"/>
        <w:spacing w:after="0" w:line="289" w:lineRule="auto"/>
        <w:tabs>
          <w:tab w:leader="none" w:pos="2528" w:val="left"/>
        </w:tabs>
        <w:numPr>
          <w:ilvl w:val="2"/>
          <w:numId w:val="651"/>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of not less than ten (10) business days following such notice.</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provided in Section 2 above, and the term “Company” will be interpreted to include any subsidiary, parent, affiliate or successor thereto, if applicable.</w:t>
      </w:r>
    </w:p>
    <w:p>
      <w:pPr>
        <w:spacing w:after="0" w:line="224" w:lineRule="exact"/>
        <w:rPr>
          <w:sz w:val="20"/>
          <w:szCs w:val="20"/>
          <w:color w:val="auto"/>
        </w:rPr>
      </w:pPr>
    </w:p>
    <w:p>
      <w:pPr>
        <w:ind w:left="1900" w:hanging="637"/>
        <w:spacing w:after="0"/>
        <w:tabs>
          <w:tab w:leader="none" w:pos="1900" w:val="left"/>
        </w:tabs>
        <w:numPr>
          <w:ilvl w:val="0"/>
          <w:numId w:val="652"/>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80" w:firstLine="2018"/>
        <w:spacing w:after="0" w:line="314" w:lineRule="auto"/>
        <w:tabs>
          <w:tab w:leader="none" w:pos="2532" w:val="left"/>
        </w:tabs>
        <w:numPr>
          <w:ilvl w:val="1"/>
          <w:numId w:val="652"/>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46" w:lineRule="exact"/>
        <w:rPr>
          <w:rFonts w:ascii="Arial" w:cs="Arial" w:eastAsia="Arial" w:hAnsi="Arial"/>
          <w:sz w:val="15"/>
          <w:szCs w:val="15"/>
          <w:color w:val="auto"/>
        </w:rPr>
      </w:pPr>
    </w:p>
    <w:p>
      <w:pPr>
        <w:ind w:right="160" w:firstLine="2018"/>
        <w:spacing w:after="0" w:line="268" w:lineRule="auto"/>
        <w:tabs>
          <w:tab w:leader="none" w:pos="2542" w:val="left"/>
        </w:tabs>
        <w:numPr>
          <w:ilvl w:val="1"/>
          <w:numId w:val="652"/>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2018"/>
        <w:spacing w:after="0" w:line="278" w:lineRule="auto"/>
        <w:tabs>
          <w:tab w:leader="none" w:pos="2551" w:val="left"/>
        </w:tabs>
        <w:numPr>
          <w:ilvl w:val="1"/>
          <w:numId w:val="652"/>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60" w:firstLine="2014"/>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220" w:firstLine="2014"/>
        <w:spacing w:after="0" w:line="289"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Section 409A, as it has been and may be amended from time to time, and any proposed or final Treasury Regulations and Internal Revenue Service guidance that has been promulgated or may be promulgated thereunder from time to time.</w:t>
      </w:r>
    </w:p>
    <w:p>
      <w:pPr>
        <w:spacing w:after="0" w:line="158"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900" w:hanging="637"/>
        <w:spacing w:after="0"/>
        <w:tabs>
          <w:tab w:leader="none" w:pos="1900" w:val="left"/>
        </w:tabs>
        <w:numPr>
          <w:ilvl w:val="1"/>
          <w:numId w:val="653"/>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ectPr>
          <w:pgSz w:w="11900" w:h="16838" w:orient="portrait"/>
          <w:cols w:equalWidth="0" w:num="1">
            <w:col w:w="11420"/>
          </w:cols>
          <w:pgMar w:left="240" w:top="127" w:right="239" w:bottom="0" w:gutter="0" w:footer="0" w:header="0"/>
        </w:sectPr>
      </w:pPr>
    </w:p>
    <w:bookmarkStart w:id="382" w:name="page383"/>
    <w:bookmarkEnd w:id="382"/>
    <w:p>
      <w:pPr>
        <w:spacing w:after="0" w:line="31" w:lineRule="exact"/>
        <w:rPr>
          <w:sz w:val="20"/>
          <w:szCs w:val="20"/>
          <w:color w:val="auto"/>
        </w:rPr>
      </w:pPr>
    </w:p>
    <w:p>
      <w:pPr>
        <w:ind w:left="1900" w:hanging="637"/>
        <w:spacing w:after="0"/>
        <w:tabs>
          <w:tab w:leader="none" w:pos="1900" w:val="left"/>
        </w:tabs>
        <w:numPr>
          <w:ilvl w:val="0"/>
          <w:numId w:val="655"/>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20" w:firstLine="1263"/>
        <w:spacing w:after="0" w:line="283" w:lineRule="auto"/>
        <w:tabs>
          <w:tab w:leader="none" w:pos="1898" w:val="left"/>
        </w:tabs>
        <w:numPr>
          <w:ilvl w:val="0"/>
          <w:numId w:val="65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40" w:firstLine="1263"/>
        <w:spacing w:after="0" w:line="289" w:lineRule="auto"/>
        <w:tabs>
          <w:tab w:leader="none" w:pos="1892" w:val="left"/>
        </w:tabs>
        <w:numPr>
          <w:ilvl w:val="0"/>
          <w:numId w:val="655"/>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60" w:firstLine="1263"/>
        <w:spacing w:after="0" w:line="289" w:lineRule="auto"/>
        <w:tabs>
          <w:tab w:leader="none" w:pos="1908" w:val="left"/>
        </w:tabs>
        <w:numPr>
          <w:ilvl w:val="0"/>
          <w:numId w:val="65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60" w:firstLine="2018"/>
        <w:spacing w:after="0" w:line="298" w:lineRule="auto"/>
        <w:tabs>
          <w:tab w:leader="none" w:pos="2532" w:val="left"/>
        </w:tabs>
        <w:numPr>
          <w:ilvl w:val="1"/>
          <w:numId w:val="655"/>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right="40" w:firstLine="2018"/>
        <w:spacing w:after="0" w:line="289" w:lineRule="auto"/>
        <w:tabs>
          <w:tab w:leader="none" w:pos="2542" w:val="left"/>
        </w:tabs>
        <w:numPr>
          <w:ilvl w:val="1"/>
          <w:numId w:val="655"/>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right="20" w:firstLine="2018"/>
        <w:spacing w:after="0" w:line="289" w:lineRule="auto"/>
        <w:tabs>
          <w:tab w:leader="none" w:pos="2551" w:val="left"/>
        </w:tabs>
        <w:numPr>
          <w:ilvl w:val="1"/>
          <w:numId w:val="655"/>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company is a holding company, the corporation within the control group that is the controlling operating company of such control group of corporations);</w:t>
      </w:r>
    </w:p>
    <w:p>
      <w:pPr>
        <w:spacing w:after="0" w:line="224" w:lineRule="exact"/>
        <w:rPr>
          <w:sz w:val="20"/>
          <w:szCs w:val="20"/>
          <w:color w:val="auto"/>
        </w:rPr>
      </w:pPr>
    </w:p>
    <w:p>
      <w:pPr>
        <w:ind w:left="2540" w:hanging="522"/>
        <w:spacing w:after="0"/>
        <w:tabs>
          <w:tab w:leader="none" w:pos="254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(50) miles.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ind w:right="760"/>
        <w:spacing w:after="0" w:line="289" w:lineRule="auto"/>
        <w:rPr>
          <w:sz w:val="20"/>
          <w:szCs w:val="20"/>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ind w:right="100" w:firstLine="1263"/>
        <w:spacing w:after="0" w:line="265" w:lineRule="auto"/>
        <w:tabs>
          <w:tab w:leader="none" w:pos="1895" w:val="left"/>
        </w:tabs>
        <w:numPr>
          <w:ilvl w:val="1"/>
          <w:numId w:val="657"/>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658"/>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308" w:lineRule="auto"/>
        <w:tabs>
          <w:tab w:leader="none" w:pos="1885" w:val="left"/>
        </w:tabs>
        <w:numPr>
          <w:ilvl w:val="1"/>
          <w:numId w:val="658"/>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00" w:firstLine="1263"/>
        <w:spacing w:after="0" w:line="322" w:lineRule="auto"/>
        <w:tabs>
          <w:tab w:leader="none" w:pos="1895" w:val="left"/>
        </w:tabs>
        <w:numPr>
          <w:ilvl w:val="1"/>
          <w:numId w:val="658"/>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260" w:hanging="626"/>
        <w:spacing w:after="0"/>
        <w:tabs>
          <w:tab w:leader="none" w:pos="1260" w:val="left"/>
        </w:tabs>
        <w:numPr>
          <w:ilvl w:val="0"/>
          <w:numId w:val="65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8" w:lineRule="auto"/>
        <w:tabs>
          <w:tab w:leader="none" w:pos="1885" w:val="left"/>
        </w:tabs>
        <w:numPr>
          <w:ilvl w:val="1"/>
          <w:numId w:val="65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2" w:lineRule="exact"/>
        <w:rPr>
          <w:sz w:val="20"/>
          <w:szCs w:val="20"/>
          <w:color w:val="auto"/>
        </w:rPr>
      </w:pPr>
    </w:p>
    <w:p>
      <w:pPr>
        <w:ind w:right="440" w:firstLine="1263"/>
        <w:spacing w:after="0" w:line="290" w:lineRule="auto"/>
        <w:tabs>
          <w:tab w:leader="none" w:pos="1895" w:val="left"/>
        </w:tabs>
        <w:numPr>
          <w:ilvl w:val="0"/>
          <w:numId w:val="65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ectPr>
          <w:pgSz w:w="11900" w:h="16870" w:orient="portrait"/>
          <w:cols w:equalWidth="0" w:num="1">
            <w:col w:w="11420"/>
          </w:cols>
          <w:pgMar w:left="240" w:top="337" w:right="239" w:bottom="0" w:gutter="0" w:footer="0" w:header="0"/>
        </w:sectPr>
      </w:pPr>
    </w:p>
    <w:bookmarkStart w:id="383" w:name="page384"/>
    <w:bookmarkEnd w:id="383"/>
    <w:p>
      <w:pPr>
        <w:jc w:val="both"/>
        <w:ind w:firstLine="634"/>
        <w:spacing w:after="0" w:line="273" w:lineRule="auto"/>
        <w:tabs>
          <w:tab w:leader="none" w:pos="1258" w:val="left"/>
        </w:tabs>
        <w:numPr>
          <w:ilvl w:val="0"/>
          <w:numId w:val="660"/>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6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right="20" w:firstLine="1263"/>
        <w:spacing w:after="0" w:line="264" w:lineRule="auto"/>
        <w:tabs>
          <w:tab w:leader="none" w:pos="1885" w:val="left"/>
        </w:tabs>
        <w:numPr>
          <w:ilvl w:val="1"/>
          <w:numId w:val="66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ind w:right="80" w:firstLine="1263"/>
        <w:spacing w:after="0" w:line="285" w:lineRule="auto"/>
        <w:tabs>
          <w:tab w:leader="none" w:pos="1895" w:val="left"/>
        </w:tabs>
        <w:numPr>
          <w:ilvl w:val="1"/>
          <w:numId w:val="66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1316"/>
        <w:spacing w:after="0" w:line="260" w:lineRule="auto"/>
        <w:tabs>
          <w:tab w:leader="none" w:pos="1898" w:val="left"/>
        </w:tabs>
        <w:numPr>
          <w:ilvl w:val="1"/>
          <w:numId w:val="66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7" w:lineRule="exact"/>
        <w:rPr>
          <w:rFonts w:ascii="Arial" w:cs="Arial" w:eastAsia="Arial" w:hAnsi="Arial"/>
          <w:sz w:val="17"/>
          <w:szCs w:val="17"/>
          <w:color w:val="auto"/>
        </w:rPr>
      </w:pPr>
    </w:p>
    <w:p>
      <w:pPr>
        <w:ind w:firstLine="1263"/>
        <w:spacing w:after="0" w:line="290" w:lineRule="auto"/>
        <w:tabs>
          <w:tab w:leader="none" w:pos="1895" w:val="left"/>
        </w:tabs>
        <w:numPr>
          <w:ilvl w:val="0"/>
          <w:numId w:val="662"/>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xml:space="preserve">. Except as provided by the Act, arbitration will be the sole, exclusive, and final remedy for any dispute between Executive and the Company. </w:t>
      </w:r>
      <w:r>
        <w:rPr>
          <w:rFonts w:ascii="Arial" w:cs="Arial" w:eastAsia="Arial" w:hAnsi="Arial"/>
          <w:sz w:val="16"/>
          <w:szCs w:val="16"/>
          <w:b w:val="1"/>
          <w:bCs w:val="1"/>
          <w:color w:val="auto"/>
        </w:rPr>
        <w:t>Accordingly, except as provided by the Act and this Agreement, neither Executive nor the Company will be permitted to pursue court</w:t>
      </w:r>
      <w:r>
        <w:rPr>
          <w:rFonts w:ascii="Arial" w:cs="Arial" w:eastAsia="Arial" w:hAnsi="Arial"/>
          <w:sz w:val="16"/>
          <w:szCs w:val="16"/>
          <w:color w:val="auto"/>
        </w:rPr>
        <w:t xml:space="preserve"> </w:t>
      </w:r>
      <w:r>
        <w:rPr>
          <w:rFonts w:ascii="Arial" w:cs="Arial" w:eastAsia="Arial" w:hAnsi="Arial"/>
          <w:sz w:val="16"/>
          <w:szCs w:val="16"/>
          <w:b w:val="1"/>
          <w:bCs w:val="1"/>
          <w:color w:val="auto"/>
        </w:rPr>
        <w:t>action regarding claims that are subject to arbitration</w:t>
      </w:r>
      <w:r>
        <w:rPr>
          <w:rFonts w:ascii="Arial" w:cs="Arial" w:eastAsia="Arial" w:hAnsi="Arial"/>
          <w:sz w:val="16"/>
          <w:szCs w:val="16"/>
          <w:color w:val="auto"/>
        </w:rPr>
        <w:t>. Notwithstanding, the arbitrator will not have the authority to disregard or refuse to enforce any lawful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policy, and the arbitrator will not order or require the Company to adopt a policy not otherwise required by law which the Company has not adopted.</w:t>
      </w:r>
    </w:p>
    <w:p>
      <w:pPr>
        <w:spacing w:after="0" w:line="159" w:lineRule="exact"/>
        <w:rPr>
          <w:rFonts w:ascii="Arial" w:cs="Arial" w:eastAsia="Arial" w:hAnsi="Arial"/>
          <w:sz w:val="16"/>
          <w:szCs w:val="16"/>
          <w:color w:val="auto"/>
        </w:rPr>
      </w:pPr>
    </w:p>
    <w:p>
      <w:pPr>
        <w:ind w:right="180" w:firstLine="1263"/>
        <w:spacing w:after="0" w:line="268" w:lineRule="auto"/>
        <w:tabs>
          <w:tab w:leader="none" w:pos="1898" w:val="left"/>
        </w:tabs>
        <w:numPr>
          <w:ilvl w:val="0"/>
          <w:numId w:val="662"/>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892" w:val="left"/>
        </w:tabs>
        <w:numPr>
          <w:ilvl w:val="0"/>
          <w:numId w:val="662"/>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663"/>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89" w:lineRule="auto"/>
        <w:tabs>
          <w:tab w:leader="none" w:pos="1885" w:val="left"/>
        </w:tabs>
        <w:numPr>
          <w:ilvl w:val="1"/>
          <w:numId w:val="663"/>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80" w:firstLine="1263"/>
        <w:spacing w:after="0" w:line="268" w:lineRule="auto"/>
        <w:tabs>
          <w:tab w:leader="none" w:pos="1895" w:val="left"/>
        </w:tabs>
        <w:numPr>
          <w:ilvl w:val="1"/>
          <w:numId w:val="66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66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20" w:firstLine="1263"/>
        <w:spacing w:after="0" w:line="265" w:lineRule="auto"/>
        <w:tabs>
          <w:tab w:leader="none" w:pos="1895" w:val="left"/>
        </w:tabs>
        <w:numPr>
          <w:ilvl w:val="1"/>
          <w:numId w:val="66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offer letter dated April 1, 2013. No waiver, alteration, or modification of any of the provisions of this Agreement will be binding unless in writing and signed by duly authorized representatives of the parties hereto and which specifically mention this Agreement.</w:t>
      </w:r>
    </w:p>
    <w:p>
      <w:pPr>
        <w:sectPr>
          <w:pgSz w:w="11900" w:h="16838" w:orient="portrait"/>
          <w:cols w:equalWidth="0" w:num="1">
            <w:col w:w="11420"/>
          </w:cols>
          <w:pgMar w:left="240" w:top="337" w:right="239" w:bottom="70" w:gutter="0" w:footer="0" w:header="0"/>
        </w:sectPr>
      </w:pPr>
    </w:p>
    <w:bookmarkStart w:id="384" w:name="page385"/>
    <w:bookmarkEnd w:id="384"/>
    <w:p>
      <w:pPr>
        <w:ind w:right="60" w:firstLine="1263"/>
        <w:spacing w:after="0" w:line="290" w:lineRule="auto"/>
        <w:tabs>
          <w:tab w:leader="none" w:pos="1898" w:val="left"/>
        </w:tabs>
        <w:numPr>
          <w:ilvl w:val="0"/>
          <w:numId w:val="664"/>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640" w:firstLine="1263"/>
        <w:spacing w:after="0" w:line="289" w:lineRule="auto"/>
        <w:tabs>
          <w:tab w:leader="none" w:pos="1892" w:val="left"/>
        </w:tabs>
        <w:numPr>
          <w:ilvl w:val="0"/>
          <w:numId w:val="66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66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rFonts w:ascii="Arial" w:cs="Arial" w:eastAsia="Arial" w:hAnsi="Arial"/>
          <w:sz w:val="16"/>
          <w:szCs w:val="16"/>
          <w:color w:val="auto"/>
        </w:rPr>
      </w:pPr>
    </w:p>
    <w:p>
      <w:pPr>
        <w:ind w:right="240" w:firstLine="1263"/>
        <w:spacing w:after="0" w:line="289" w:lineRule="auto"/>
        <w:tabs>
          <w:tab w:leader="none" w:pos="1895" w:val="left"/>
        </w:tabs>
        <w:numPr>
          <w:ilvl w:val="0"/>
          <w:numId w:val="66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VERACYTE,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EXECUTIVE</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Shelly Guyer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ectPr>
          <w:pgSz w:w="11900" w:h="16838" w:orient="portrait"/>
          <w:cols w:equalWidth="0" w:num="1">
            <w:col w:w="11380"/>
          </w:cols>
          <w:pgMar w:left="240" w:top="127" w:right="279" w:bottom="0" w:gutter="0" w:footer="0" w:header="0"/>
        </w:sectPr>
      </w:pP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[Confidential Information and Invention Assignment Agreement] with the Company on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38" w:lineRule="exact"/>
        <w:rPr>
          <w:sz w:val="20"/>
          <w:szCs w:val="20"/>
          <w:color w:val="auto"/>
        </w:rPr>
      </w:pPr>
    </w:p>
    <w:p>
      <w:pPr>
        <w:sectPr>
          <w:pgSz w:w="11900" w:h="16838" w:orient="portrait"/>
          <w:cols w:equalWidth="0" w:num="2">
            <w:col w:w="9660" w:space="720"/>
            <w:col w:w="1000"/>
          </w:cols>
          <w:pgMar w:left="240" w:top="127" w:right="279" w:bottom="0" w:gutter="0" w:footer="0" w:header="0"/>
          <w:type w:val="continuous"/>
        </w:sectPr>
      </w:pPr>
    </w:p>
    <w:p>
      <w:pPr>
        <w:ind w:left="640"/>
        <w:spacing w:after="0"/>
        <w:tabs>
          <w:tab w:leader="none" w:pos="888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Change of Control and Severance Agreement with the company on</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i w:val="1"/>
          <w:iCs w:val="1"/>
          <w:color w:val="auto"/>
        </w:rPr>
        <w:t>Change of Control</w:t>
      </w:r>
    </w:p>
    <w:p>
      <w:pPr>
        <w:sectPr>
          <w:pgSz w:w="11900" w:h="16838" w:orient="portrait"/>
          <w:cols w:equalWidth="0" w:num="1">
            <w:col w:w="11380"/>
          </w:cols>
          <w:pgMar w:left="240" w:top="127" w:right="279" w:bottom="0" w:gutter="0" w:footer="0" w:header="0"/>
          <w:type w:val="continuous"/>
        </w:sectPr>
      </w:pPr>
    </w:p>
    <w:p>
      <w:pPr>
        <w:spacing w:after="0" w:line="32"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among other things, provides for certain severance benefits to be paid to Executive by the Company upon the termination of Executive’s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following a Change of Control (as defined in the Change of Control Agreement) of the Company;</w:t>
      </w:r>
    </w:p>
    <w:p>
      <w:pPr>
        <w:sectPr>
          <w:pgSz w:w="11900" w:h="16838" w:orient="portrait"/>
          <w:cols w:equalWidth="0" w:num="1">
            <w:col w:w="11380"/>
          </w:cols>
          <w:pgMar w:left="240" w:top="127" w:right="279" w:bottom="0" w:gutter="0" w:footer="0" w:header="0"/>
          <w:type w:val="continuous"/>
        </w:sectPr>
      </w:pPr>
    </w:p>
    <w:p>
      <w:pPr>
        <w:spacing w:after="0" w:line="163"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w:t>
      </w:r>
    </w:p>
    <w:p>
      <w:pPr>
        <w:spacing w:after="0" w:line="438" w:lineRule="exact"/>
        <w:rPr>
          <w:sz w:val="20"/>
          <w:szCs w:val="20"/>
          <w:color w:val="auto"/>
        </w:rPr>
      </w:pPr>
    </w:p>
    <w:p>
      <w:pPr>
        <w:sectPr>
          <w:pgSz w:w="11900" w:h="16838" w:orient="portrait"/>
          <w:cols w:equalWidth="0" w:num="2">
            <w:col w:w="5380" w:space="720"/>
            <w:col w:w="5280"/>
          </w:cols>
          <w:pgMar w:left="240" w:top="127" w:right="279" w:bottom="0" w:gutter="0" w:footer="0" w:header="0"/>
          <w:type w:val="continuous"/>
        </w:sectPr>
      </w:pPr>
    </w:p>
    <w:p>
      <w:pPr>
        <w:ind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pacing w:after="0" w:line="162"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260" w:hanging="626"/>
        <w:spacing w:after="0"/>
        <w:tabs>
          <w:tab w:leader="none" w:pos="1260" w:val="left"/>
        </w:tabs>
        <w:numPr>
          <w:ilvl w:val="0"/>
          <w:numId w:val="66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ectPr>
          <w:pgSz w:w="11900" w:h="16838" w:orient="portrait"/>
          <w:cols w:equalWidth="0" w:num="1">
            <w:col w:w="11380"/>
          </w:cols>
          <w:pgMar w:left="240" w:top="127" w:right="279" w:bottom="0" w:gutter="0" w:footer="0" w:header="0"/>
          <w:type w:val="continuous"/>
        </w:sectPr>
      </w:pPr>
    </w:p>
    <w:bookmarkStart w:id="385" w:name="page386"/>
    <w:bookmarkEnd w:id="385"/>
    <w:p>
      <w:pPr>
        <w:ind w:right="40" w:firstLine="634"/>
        <w:spacing w:after="0" w:line="268" w:lineRule="auto"/>
        <w:tabs>
          <w:tab w:leader="none" w:pos="1258" w:val="left"/>
        </w:tabs>
        <w:numPr>
          <w:ilvl w:val="0"/>
          <w:numId w:val="666"/>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benefits and compensation due to Executive and that no other reimbursements or compensation are owed to Executive.</w:t>
      </w:r>
    </w:p>
    <w:p>
      <w:pPr>
        <w:spacing w:after="0" w:line="224" w:lineRule="exact"/>
        <w:rPr>
          <w:sz w:val="20"/>
          <w:szCs w:val="20"/>
          <w:color w:val="auto"/>
        </w:rPr>
      </w:pPr>
    </w:p>
    <w:p>
      <w:pPr>
        <w:ind w:right="140" w:firstLine="634"/>
        <w:spacing w:after="0" w:line="280" w:lineRule="auto"/>
        <w:tabs>
          <w:tab w:leader="none" w:pos="1258" w:val="left"/>
        </w:tabs>
        <w:numPr>
          <w:ilvl w:val="0"/>
          <w:numId w:val="667"/>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70" w:lineRule="exact"/>
        <w:rPr>
          <w:rFonts w:ascii="Arial" w:cs="Arial" w:eastAsia="Arial" w:hAnsi="Arial"/>
          <w:sz w:val="16"/>
          <w:szCs w:val="16"/>
          <w:color w:val="auto"/>
        </w:rPr>
      </w:pPr>
    </w:p>
    <w:p>
      <w:pPr>
        <w:ind w:left="1880" w:hanging="617"/>
        <w:spacing w:after="0"/>
        <w:tabs>
          <w:tab w:leader="none" w:pos="1880" w:val="left"/>
        </w:tabs>
        <w:numPr>
          <w:ilvl w:val="1"/>
          <w:numId w:val="667"/>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relationship;</w:t>
      </w:r>
    </w:p>
    <w:p>
      <w:pPr>
        <w:spacing w:after="0" w:line="212" w:lineRule="exact"/>
        <w:rPr>
          <w:rFonts w:ascii="Arial" w:cs="Arial" w:eastAsia="Arial" w:hAnsi="Arial"/>
          <w:sz w:val="17"/>
          <w:szCs w:val="17"/>
          <w:color w:val="auto"/>
        </w:rPr>
      </w:pPr>
    </w:p>
    <w:p>
      <w:pPr>
        <w:ind w:right="120" w:firstLine="1263"/>
        <w:spacing w:after="0" w:line="273" w:lineRule="auto"/>
        <w:tabs>
          <w:tab w:leader="none" w:pos="1895" w:val="left"/>
        </w:tabs>
        <w:numPr>
          <w:ilvl w:val="1"/>
          <w:numId w:val="667"/>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80" w:firstLine="1263"/>
        <w:spacing w:after="0" w:line="265" w:lineRule="auto"/>
        <w:tabs>
          <w:tab w:leader="none" w:pos="1898" w:val="left"/>
        </w:tabs>
        <w:numPr>
          <w:ilvl w:val="1"/>
          <w:numId w:val="667"/>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right="80" w:firstLine="1263"/>
        <w:spacing w:after="0" w:line="265" w:lineRule="auto"/>
        <w:tabs>
          <w:tab w:leader="none" w:pos="1895" w:val="left"/>
        </w:tabs>
        <w:numPr>
          <w:ilvl w:val="1"/>
          <w:numId w:val="667"/>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00" w:hanging="637"/>
        <w:spacing w:after="0"/>
        <w:tabs>
          <w:tab w:leader="none" w:pos="190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firstLine="1263"/>
        <w:spacing w:after="0" w:line="289" w:lineRule="auto"/>
        <w:tabs>
          <w:tab w:leader="none" w:pos="1908" w:val="left"/>
        </w:tabs>
        <w:numPr>
          <w:ilvl w:val="0"/>
          <w:numId w:val="668"/>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60" w:firstLine="634"/>
        <w:spacing w:after="0" w:line="263" w:lineRule="auto"/>
        <w:tabs>
          <w:tab w:leader="none" w:pos="1258" w:val="left"/>
        </w:tabs>
        <w:numPr>
          <w:ilvl w:val="1"/>
          <w:numId w:val="6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executing this Agreement; (b) Executive has at least 21 days within which to consider this Agreement;</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right="800" w:firstLine="319"/>
        <w:spacing w:after="0" w:line="322" w:lineRule="auto"/>
        <w:tabs>
          <w:tab w:leader="none" w:pos="606" w:val="left"/>
        </w:tabs>
        <w:numPr>
          <w:ilvl w:val="0"/>
          <w:numId w:val="670"/>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183134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20"/>
          </w:cols>
          <w:pgMar w:left="240" w:top="127" w:right="239" w:bottom="87"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87" w:gutter="0" w:footer="0" w:header="0"/>
          <w:type w:val="continuous"/>
        </w:sectPr>
      </w:pPr>
    </w:p>
    <w:bookmarkStart w:id="386" w:name="page387"/>
    <w:bookmarkEnd w:id="386"/>
    <w:p>
      <w:pPr>
        <w:spacing w:after="0" w:line="1" w:lineRule="exact"/>
        <w:rPr>
          <w:sz w:val="20"/>
          <w:szCs w:val="20"/>
          <w:color w:val="auto"/>
        </w:rPr>
      </w:pPr>
    </w:p>
    <w:p>
      <w:pPr>
        <w:ind w:right="60" w:firstLine="5"/>
        <w:spacing w:after="0" w:line="283" w:lineRule="auto"/>
        <w:tabs>
          <w:tab w:leader="none" w:pos="238" w:val="left"/>
        </w:tabs>
        <w:numPr>
          <w:ilvl w:val="0"/>
          <w:numId w:val="671"/>
        </w:numPr>
        <w:rPr>
          <w:rFonts w:ascii="Arial" w:cs="Arial" w:eastAsia="Arial" w:hAnsi="Arial"/>
          <w:sz w:val="16"/>
          <w:szCs w:val="16"/>
          <w:color w:val="auto"/>
        </w:rPr>
      </w:pPr>
      <w:r>
        <w:rPr>
          <w:rFonts w:ascii="Arial" w:cs="Arial" w:eastAsia="Arial" w:hAnsi="Arial"/>
          <w:sz w:val="16"/>
          <w:szCs w:val="16"/>
          <w:color w:val="auto"/>
        </w:rPr>
        <w:t>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66" w:lineRule="exact"/>
        <w:rPr>
          <w:rFonts w:ascii="Arial" w:cs="Arial" w:eastAsia="Arial" w:hAnsi="Arial"/>
          <w:sz w:val="16"/>
          <w:szCs w:val="16"/>
          <w:color w:val="auto"/>
        </w:rPr>
      </w:pPr>
    </w:p>
    <w:p>
      <w:pPr>
        <w:ind w:right="20" w:firstLine="634"/>
        <w:spacing w:after="0" w:line="322" w:lineRule="auto"/>
        <w:tabs>
          <w:tab w:leader="none" w:pos="1258" w:val="left"/>
        </w:tabs>
        <w:numPr>
          <w:ilvl w:val="1"/>
          <w:numId w:val="6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18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183134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62" w:lineRule="exact"/>
        <w:rPr>
          <w:sz w:val="20"/>
          <w:szCs w:val="20"/>
          <w:color w:val="auto"/>
        </w:rPr>
      </w:pPr>
    </w:p>
    <w:p>
      <w:pPr>
        <w:ind w:left="620" w:hanging="301"/>
        <w:spacing w:after="0"/>
        <w:tabs>
          <w:tab w:leader="none" w:pos="620" w:val="left"/>
        </w:tabs>
        <w:numPr>
          <w:ilvl w:val="0"/>
          <w:numId w:val="672"/>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right="900" w:firstLine="319"/>
        <w:spacing w:after="0" w:line="289" w:lineRule="auto"/>
        <w:tabs>
          <w:tab w:leader="none" w:pos="606"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34"/>
        <w:spacing w:after="0" w:line="308" w:lineRule="auto"/>
        <w:tabs>
          <w:tab w:leader="none" w:pos="1258" w:val="left"/>
        </w:tabs>
        <w:numPr>
          <w:ilvl w:val="0"/>
          <w:numId w:val="673"/>
        </w:numPr>
        <w:rPr>
          <w:rFonts w:ascii="Arial" w:cs="Arial" w:eastAsia="Arial" w:hAnsi="Arial"/>
          <w:sz w:val="15"/>
          <w:szCs w:val="15"/>
          <w:color w:val="auto"/>
        </w:rPr>
      </w:pPr>
      <w:r>
        <w:rPr>
          <w:rFonts w:ascii="Arial" w:cs="Arial" w:eastAsia="Arial" w:hAnsi="Arial"/>
          <w:sz w:val="15"/>
          <w:szCs w:val="15"/>
          <w:u w:val="single" w:color="auto"/>
          <w:color w:val="auto"/>
        </w:rPr>
        <w:t>No Pending or Future Lawsuits</w:t>
      </w:r>
      <w:r>
        <w:rPr>
          <w:rFonts w:ascii="Arial" w:cs="Arial" w:eastAsia="Arial" w:hAnsi="Arial"/>
          <w:sz w:val="15"/>
          <w:szCs w:val="15"/>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51" w:lineRule="exact"/>
        <w:rPr>
          <w:rFonts w:ascii="Arial" w:cs="Arial" w:eastAsia="Arial" w:hAnsi="Arial"/>
          <w:sz w:val="15"/>
          <w:szCs w:val="15"/>
          <w:color w:val="auto"/>
        </w:rPr>
      </w:pPr>
    </w:p>
    <w:p>
      <w:pPr>
        <w:ind w:right="380" w:firstLine="634"/>
        <w:spacing w:after="0" w:line="289" w:lineRule="auto"/>
        <w:tabs>
          <w:tab w:leader="none" w:pos="1258" w:val="left"/>
        </w:tabs>
        <w:numPr>
          <w:ilvl w:val="0"/>
          <w:numId w:val="673"/>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60" w:firstLine="634"/>
        <w:spacing w:after="0" w:line="263" w:lineRule="auto"/>
        <w:tabs>
          <w:tab w:leader="none" w:pos="1258" w:val="left"/>
        </w:tabs>
        <w:numPr>
          <w:ilvl w:val="0"/>
          <w:numId w:val="673"/>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3" w:lineRule="exact"/>
        <w:rPr>
          <w:rFonts w:ascii="Arial" w:cs="Arial" w:eastAsia="Arial" w:hAnsi="Arial"/>
          <w:sz w:val="17"/>
          <w:szCs w:val="17"/>
          <w:color w:val="auto"/>
        </w:rPr>
      </w:pPr>
    </w:p>
    <w:p>
      <w:pPr>
        <w:ind w:right="20" w:firstLine="634"/>
        <w:spacing w:after="0" w:line="281" w:lineRule="auto"/>
        <w:tabs>
          <w:tab w:leader="none" w:pos="1258" w:val="left"/>
        </w:tabs>
        <w:numPr>
          <w:ilvl w:val="0"/>
          <w:numId w:val="673"/>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00" w:firstLine="634"/>
        <w:spacing w:after="0" w:line="308" w:lineRule="auto"/>
        <w:tabs>
          <w:tab w:leader="none" w:pos="1254" w:val="left"/>
        </w:tabs>
        <w:numPr>
          <w:ilvl w:val="0"/>
          <w:numId w:val="673"/>
        </w:numPr>
        <w:rPr>
          <w:rFonts w:ascii="Arial" w:cs="Arial" w:eastAsia="Arial" w:hAnsi="Arial"/>
          <w:sz w:val="15"/>
          <w:szCs w:val="15"/>
          <w:color w:val="auto"/>
        </w:rPr>
      </w:pPr>
      <w:r>
        <w:rPr>
          <w:rFonts w:ascii="Arial" w:cs="Arial" w:eastAsia="Arial" w:hAnsi="Arial"/>
          <w:sz w:val="15"/>
          <w:szCs w:val="15"/>
          <w:u w:val="single" w:color="auto"/>
          <w:color w:val="auto"/>
        </w:rPr>
        <w:t>No Cooperation</w:t>
      </w:r>
      <w:r>
        <w:rPr>
          <w:rFonts w:ascii="Arial" w:cs="Arial" w:eastAsia="Arial" w:hAnsi="Arial"/>
          <w:sz w:val="15"/>
          <w:szCs w:val="15"/>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against any of the Releasees, Executive will state no more than that Executive cannot provide any such counsel or assistance.</w:t>
      </w:r>
    </w:p>
    <w:p>
      <w:pPr>
        <w:spacing w:after="0" w:line="224" w:lineRule="exact"/>
        <w:rPr>
          <w:sz w:val="20"/>
          <w:szCs w:val="20"/>
          <w:color w:val="auto"/>
        </w:rPr>
      </w:pPr>
    </w:p>
    <w:p>
      <w:pPr>
        <w:ind w:right="120" w:firstLine="634"/>
        <w:spacing w:after="0" w:line="289" w:lineRule="auto"/>
        <w:tabs>
          <w:tab w:leader="none" w:pos="1248" w:val="left"/>
        </w:tabs>
        <w:numPr>
          <w:ilvl w:val="0"/>
          <w:numId w:val="67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right="60" w:firstLine="634"/>
        <w:spacing w:after="0" w:line="268" w:lineRule="auto"/>
        <w:tabs>
          <w:tab w:leader="none" w:pos="1254" w:val="left"/>
        </w:tabs>
        <w:numPr>
          <w:ilvl w:val="0"/>
          <w:numId w:val="674"/>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ectPr>
          <w:pgSz w:w="11900" w:h="16840" w:orient="portrait"/>
          <w:cols w:equalWidth="0" w:num="1">
            <w:col w:w="11400"/>
          </w:cols>
          <w:pgMar w:left="240" w:top="336" w:right="259" w:bottom="0" w:gutter="0" w:footer="0" w:header="0"/>
        </w:sectPr>
      </w:pPr>
    </w:p>
    <w:bookmarkStart w:id="387" w:name="page388"/>
    <w:bookmarkEnd w:id="387"/>
    <w:p>
      <w:pPr>
        <w:ind w:right="280" w:firstLine="634"/>
        <w:spacing w:after="0" w:line="281" w:lineRule="auto"/>
        <w:tabs>
          <w:tab w:leader="none" w:pos="1254" w:val="left"/>
        </w:tabs>
        <w:numPr>
          <w:ilvl w:val="1"/>
          <w:numId w:val="675"/>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00" w:firstLine="5"/>
        <w:spacing w:after="0" w:line="275" w:lineRule="auto"/>
        <w:tabs>
          <w:tab w:leader="none" w:pos="247" w:val="left"/>
        </w:tabs>
        <w:numPr>
          <w:ilvl w:val="0"/>
          <w:numId w:val="676"/>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676"/>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20" w:firstLine="634"/>
        <w:spacing w:after="0" w:line="260" w:lineRule="auto"/>
        <w:tabs>
          <w:tab w:leader="none" w:pos="1254" w:val="left"/>
        </w:tabs>
        <w:numPr>
          <w:ilvl w:val="1"/>
          <w:numId w:val="67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79" w:lineRule="exact"/>
        <w:rPr>
          <w:sz w:val="20"/>
          <w:szCs w:val="20"/>
          <w:color w:val="auto"/>
        </w:rPr>
      </w:pPr>
    </w:p>
    <w:p>
      <w:pPr>
        <w:ind w:right="180" w:firstLine="634"/>
        <w:spacing w:after="0" w:line="265" w:lineRule="auto"/>
        <w:tabs>
          <w:tab w:leader="none" w:pos="1254" w:val="left"/>
        </w:tabs>
        <w:numPr>
          <w:ilvl w:val="1"/>
          <w:numId w:val="677"/>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00" w:firstLine="634"/>
        <w:spacing w:after="0" w:line="273" w:lineRule="auto"/>
        <w:tabs>
          <w:tab w:leader="none" w:pos="1254" w:val="left"/>
        </w:tabs>
        <w:numPr>
          <w:ilvl w:val="1"/>
          <w:numId w:val="677"/>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firstLine="634"/>
        <w:spacing w:after="0" w:line="273" w:lineRule="auto"/>
        <w:tabs>
          <w:tab w:leader="none" w:pos="1254" w:val="left"/>
        </w:tabs>
        <w:numPr>
          <w:ilvl w:val="1"/>
          <w:numId w:val="67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firstLine="634"/>
        <w:spacing w:after="0" w:line="265" w:lineRule="auto"/>
        <w:tabs>
          <w:tab w:leader="none" w:pos="1254" w:val="left"/>
        </w:tabs>
        <w:numPr>
          <w:ilvl w:val="1"/>
          <w:numId w:val="67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1"/>
          <w:numId w:val="677"/>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right="300" w:firstLine="319"/>
        <w:spacing w:after="0" w:line="289" w:lineRule="auto"/>
        <w:tabs>
          <w:tab w:leader="none" w:pos="606" w:val="left"/>
        </w:tabs>
        <w:numPr>
          <w:ilvl w:val="0"/>
          <w:numId w:val="678"/>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183134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40" w:firstLine="634"/>
        <w:spacing w:after="0" w:line="289" w:lineRule="auto"/>
        <w:tabs>
          <w:tab w:leader="none" w:pos="1254" w:val="left"/>
        </w:tabs>
        <w:numPr>
          <w:ilvl w:val="0"/>
          <w:numId w:val="67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68" w:lineRule="exact"/>
        <w:rPr>
          <w:rFonts w:ascii="Arial" w:cs="Arial" w:eastAsia="Arial" w:hAnsi="Arial"/>
          <w:sz w:val="17"/>
          <w:szCs w:val="17"/>
          <w:color w:val="auto"/>
        </w:rPr>
      </w:pPr>
    </w:p>
    <w:p>
      <w:pPr>
        <w:jc w:val="both"/>
        <w:ind w:right="40" w:firstLine="634"/>
        <w:spacing w:after="0" w:line="244" w:lineRule="auto"/>
        <w:tabs>
          <w:tab w:leader="none" w:pos="1254" w:val="left"/>
        </w:tabs>
        <w:numPr>
          <w:ilvl w:val="0"/>
          <w:numId w:val="679"/>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right="180" w:firstLine="634"/>
        <w:spacing w:after="0" w:line="289" w:lineRule="auto"/>
        <w:tabs>
          <w:tab w:leader="none" w:pos="1254" w:val="left"/>
        </w:tabs>
        <w:numPr>
          <w:ilvl w:val="0"/>
          <w:numId w:val="67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ectPr>
          <w:pgSz w:w="11900" w:h="16838" w:orient="portrait"/>
          <w:cols w:equalWidth="0" w:num="1">
            <w:col w:w="11380"/>
          </w:cols>
          <w:pgMar w:left="240" w:top="337" w:right="279" w:bottom="10" w:gutter="0" w:footer="0" w:header="0"/>
        </w:sectPr>
      </w:pPr>
    </w:p>
    <w:bookmarkStart w:id="388" w:name="page389"/>
    <w:bookmarkEnd w:id="388"/>
    <w:p>
      <w:pPr>
        <w:ind w:firstLine="634"/>
        <w:spacing w:after="0" w:line="273" w:lineRule="auto"/>
        <w:tabs>
          <w:tab w:leader="none" w:pos="1254" w:val="left"/>
        </w:tabs>
        <w:numPr>
          <w:ilvl w:val="1"/>
          <w:numId w:val="680"/>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2"/>
          <w:numId w:val="680"/>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900" w:right="140" w:hanging="637"/>
        <w:spacing w:after="0" w:line="289" w:lineRule="auto"/>
        <w:tabs>
          <w:tab w:leader="none" w:pos="1907" w:val="left"/>
        </w:tabs>
        <w:numPr>
          <w:ilvl w:val="2"/>
          <w:numId w:val="680"/>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680"/>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680"/>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right="240" w:firstLine="319"/>
        <w:spacing w:after="0" w:line="289" w:lineRule="auto"/>
        <w:tabs>
          <w:tab w:leader="none" w:pos="606" w:val="left"/>
        </w:tabs>
        <w:numPr>
          <w:ilvl w:val="0"/>
          <w:numId w:val="681"/>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rFonts w:ascii="Arial" w:cs="Arial" w:eastAsia="Arial" w:hAnsi="Arial"/>
          <w:sz w:val="17"/>
          <w:szCs w:val="17"/>
          <w:color w:val="auto"/>
        </w:rPr>
      </w:pPr>
    </w:p>
    <w:p>
      <w:pPr>
        <w:ind w:left="620" w:hanging="301"/>
        <w:spacing w:after="0"/>
        <w:tabs>
          <w:tab w:leader="none" w:pos="620" w:val="left"/>
        </w:tabs>
        <w:numPr>
          <w:ilvl w:val="0"/>
          <w:numId w:val="681"/>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20" w:hanging="5301"/>
        <w:spacing w:after="0" w:line="547" w:lineRule="auto"/>
        <w:tabs>
          <w:tab w:leader="none" w:pos="604" w:val="left"/>
        </w:tabs>
        <w:numPr>
          <w:ilvl w:val="0"/>
          <w:numId w:val="681"/>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-1297940</wp:posOffset>
            </wp:positionV>
            <wp:extent cx="183134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on the respective dates set forth below.</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COMPANY</w:t>
      </w:r>
      <w:r>
        <w:rPr>
          <w:sz w:val="20"/>
          <w:szCs w:val="20"/>
          <w:color w:val="auto"/>
        </w:rPr>
        <w:tab/>
      </w:r>
      <w:r>
        <w:rPr>
          <w:rFonts w:ascii="Arial" w:cs="Arial" w:eastAsia="Arial" w:hAnsi="Arial"/>
          <w:sz w:val="17"/>
          <w:szCs w:val="17"/>
          <w:color w:val="auto"/>
        </w:rPr>
        <w:t>VERACYTE,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color w:val="auto"/>
        </w:rPr>
        <w:t>Shelly Guyer,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287020</wp:posOffset>
            </wp:positionV>
            <wp:extent cx="362140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389" w:name="page390"/>
    <w:bookmarkEnd w:id="389"/>
    <w:p>
      <w:pPr>
        <w:jc w:val="right"/>
        <w:ind w:right="40"/>
        <w:spacing w:after="0"/>
        <w:rPr>
          <w:sz w:val="20"/>
          <w:szCs w:val="20"/>
          <w:color w:val="auto"/>
        </w:rPr>
      </w:pPr>
      <w:r>
        <w:rPr>
          <w:rFonts w:ascii="Arial" w:cs="Arial" w:eastAsia="Arial" w:hAnsi="Arial"/>
          <w:sz w:val="17"/>
          <w:szCs w:val="17"/>
          <w:b w:val="1"/>
          <w:bCs w:val="1"/>
          <w:color w:val="auto"/>
        </w:rPr>
        <w:t>Exhibit 10.16</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2012 Executive Bonus Plan</w:t>
      </w:r>
    </w:p>
    <w:p>
      <w:pPr>
        <w:spacing w:after="0" w:line="206" w:lineRule="exact"/>
        <w:rPr>
          <w:sz w:val="20"/>
          <w:szCs w:val="20"/>
          <w:color w:val="auto"/>
        </w:rPr>
      </w:pPr>
    </w:p>
    <w:p>
      <w:pPr>
        <w:ind w:left="160" w:hanging="155"/>
        <w:spacing w:after="0"/>
        <w:tabs>
          <w:tab w:leader="none" w:pos="160" w:val="left"/>
        </w:tabs>
        <w:numPr>
          <w:ilvl w:val="0"/>
          <w:numId w:val="682"/>
        </w:numPr>
        <w:rPr>
          <w:rFonts w:ascii="Arial" w:cs="Arial" w:eastAsia="Arial" w:hAnsi="Arial"/>
          <w:sz w:val="17"/>
          <w:szCs w:val="17"/>
          <w:color w:val="auto"/>
        </w:rPr>
      </w:pPr>
      <w:r>
        <w:rPr>
          <w:rFonts w:ascii="Arial" w:cs="Arial" w:eastAsia="Arial" w:hAnsi="Arial"/>
          <w:sz w:val="17"/>
          <w:szCs w:val="17"/>
          <w:b w:val="1"/>
          <w:bCs w:val="1"/>
          <w:color w:val="auto"/>
        </w:rPr>
        <w:t>Objective</w:t>
      </w:r>
    </w:p>
    <w:p>
      <w:pPr>
        <w:spacing w:after="0" w:line="230"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The Executive Bonus Plan (the “Plan”) is intended to provide incentive compensation to retain and attract top talent and to align bonus awards with the achievement of corporate goals.</w:t>
      </w:r>
    </w:p>
    <w:p>
      <w:pPr>
        <w:spacing w:after="0" w:line="152" w:lineRule="exact"/>
        <w:rPr>
          <w:sz w:val="20"/>
          <w:szCs w:val="20"/>
          <w:color w:val="auto"/>
        </w:rPr>
      </w:pPr>
    </w:p>
    <w:p>
      <w:pPr>
        <w:ind w:left="200" w:hanging="195"/>
        <w:spacing w:after="0"/>
        <w:tabs>
          <w:tab w:leader="none" w:pos="200" w:val="left"/>
        </w:tabs>
        <w:numPr>
          <w:ilvl w:val="0"/>
          <w:numId w:val="683"/>
        </w:numPr>
        <w:rPr>
          <w:rFonts w:ascii="Arial" w:cs="Arial" w:eastAsia="Arial" w:hAnsi="Arial"/>
          <w:sz w:val="17"/>
          <w:szCs w:val="17"/>
          <w:color w:val="auto"/>
        </w:rPr>
      </w:pPr>
      <w:r>
        <w:rPr>
          <w:rFonts w:ascii="Arial" w:cs="Arial" w:eastAsia="Arial" w:hAnsi="Arial"/>
          <w:sz w:val="17"/>
          <w:szCs w:val="17"/>
          <w:b w:val="1"/>
          <w:bCs w:val="1"/>
          <w:color w:val="auto"/>
        </w:rPr>
        <w:t>Summary</w:t>
      </w:r>
    </w:p>
    <w:p>
      <w:pPr>
        <w:spacing w:after="0" w:line="230" w:lineRule="exact"/>
        <w:rPr>
          <w:sz w:val="20"/>
          <w:szCs w:val="20"/>
          <w:color w:val="auto"/>
        </w:rPr>
      </w:pPr>
    </w:p>
    <w:p>
      <w:pPr>
        <w:ind w:left="640" w:hanging="635"/>
        <w:spacing w:after="0"/>
        <w:tabs>
          <w:tab w:leader="none" w:pos="640" w:val="left"/>
        </w:tabs>
        <w:numPr>
          <w:ilvl w:val="0"/>
          <w:numId w:val="684"/>
        </w:numPr>
        <w:rPr>
          <w:rFonts w:ascii="Arial" w:cs="Arial" w:eastAsia="Arial" w:hAnsi="Arial"/>
          <w:sz w:val="17"/>
          <w:szCs w:val="17"/>
          <w:color w:val="auto"/>
        </w:rPr>
      </w:pPr>
      <w:r>
        <w:rPr>
          <w:rFonts w:ascii="Arial" w:cs="Arial" w:eastAsia="Arial" w:hAnsi="Arial"/>
          <w:sz w:val="17"/>
          <w:szCs w:val="17"/>
          <w:u w:val="single" w:color="auto"/>
          <w:color w:val="auto"/>
        </w:rPr>
        <w:t>Effective Date</w:t>
      </w:r>
    </w:p>
    <w:p>
      <w:pPr>
        <w:spacing w:after="0" w:line="224" w:lineRule="exact"/>
        <w:rPr>
          <w:rFonts w:ascii="Arial" w:cs="Arial" w:eastAsia="Arial" w:hAnsi="Arial"/>
          <w:sz w:val="17"/>
          <w:szCs w:val="17"/>
          <w:color w:val="auto"/>
        </w:rPr>
      </w:pPr>
    </w:p>
    <w:p>
      <w:pPr>
        <w:ind w:left="640" w:right="400"/>
        <w:spacing w:after="0" w:line="289" w:lineRule="auto"/>
        <w:rPr>
          <w:rFonts w:ascii="Arial" w:cs="Arial" w:eastAsia="Arial" w:hAnsi="Arial"/>
          <w:sz w:val="17"/>
          <w:szCs w:val="17"/>
          <w:color w:val="auto"/>
        </w:rPr>
      </w:pPr>
      <w:r>
        <w:rPr>
          <w:rFonts w:ascii="Arial" w:cs="Arial" w:eastAsia="Arial" w:hAnsi="Arial"/>
          <w:sz w:val="17"/>
          <w:szCs w:val="17"/>
          <w:color w:val="auto"/>
        </w:rPr>
        <w:t>The plan is effective for each calendar year beginning January 1 and ending December 31. It shall remain in effect until otherwise determined by the Board of Directors.</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684"/>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224" w:lineRule="exact"/>
        <w:rPr>
          <w:rFonts w:ascii="Arial" w:cs="Arial" w:eastAsia="Arial" w:hAnsi="Arial"/>
          <w:sz w:val="17"/>
          <w:szCs w:val="17"/>
          <w:color w:val="auto"/>
        </w:rPr>
      </w:pPr>
    </w:p>
    <w:p>
      <w:pPr>
        <w:ind w:left="640" w:right="140"/>
        <w:spacing w:after="0" w:line="268" w:lineRule="auto"/>
        <w:rPr>
          <w:rFonts w:ascii="Arial" w:cs="Arial" w:eastAsia="Arial" w:hAnsi="Arial"/>
          <w:sz w:val="17"/>
          <w:szCs w:val="17"/>
          <w:color w:val="auto"/>
        </w:rPr>
      </w:pPr>
      <w:r>
        <w:rPr>
          <w:rFonts w:ascii="Arial" w:cs="Arial" w:eastAsia="Arial" w:hAnsi="Arial"/>
          <w:sz w:val="17"/>
          <w:szCs w:val="17"/>
          <w:color w:val="auto"/>
        </w:rPr>
        <w:t>The Plan applies to full time employees in Executive level positions (C-Suite, excluding the CEO) who are not otherwise eligible for participation in a Company commission plan. Participants must be hired on or before October 1 of the calendar year to be eligible for a bonus payment in that year. Eligibility is contingent upon employment through the end of the bonus period. Participants must also be an active employee on the Veracyte payroll, on the date of the actual payout in order to be eligible for the bonus.</w:t>
      </w:r>
    </w:p>
    <w:p>
      <w:pPr>
        <w:spacing w:after="0" w:line="175" w:lineRule="exact"/>
        <w:rPr>
          <w:rFonts w:ascii="Arial" w:cs="Arial" w:eastAsia="Arial" w:hAnsi="Arial"/>
          <w:sz w:val="17"/>
          <w:szCs w:val="17"/>
          <w:color w:val="auto"/>
        </w:rPr>
      </w:pPr>
    </w:p>
    <w:p>
      <w:pPr>
        <w:ind w:left="640" w:hanging="635"/>
        <w:spacing w:after="0"/>
        <w:tabs>
          <w:tab w:leader="none" w:pos="640" w:val="left"/>
        </w:tabs>
        <w:numPr>
          <w:ilvl w:val="0"/>
          <w:numId w:val="684"/>
        </w:numPr>
        <w:rPr>
          <w:rFonts w:ascii="Arial" w:cs="Arial" w:eastAsia="Arial" w:hAnsi="Arial"/>
          <w:sz w:val="17"/>
          <w:szCs w:val="17"/>
          <w:color w:val="auto"/>
        </w:rPr>
      </w:pPr>
      <w:r>
        <w:rPr>
          <w:rFonts w:ascii="Arial" w:cs="Arial" w:eastAsia="Arial" w:hAnsi="Arial"/>
          <w:sz w:val="17"/>
          <w:szCs w:val="17"/>
          <w:u w:val="single" w:color="auto"/>
          <w:color w:val="auto"/>
        </w:rPr>
        <w:t>Determination of Bonus Awards</w:t>
      </w:r>
    </w:p>
    <w:p>
      <w:pPr>
        <w:spacing w:after="0" w:line="224" w:lineRule="exact"/>
        <w:rPr>
          <w:rFonts w:ascii="Arial" w:cs="Arial" w:eastAsia="Arial" w:hAnsi="Arial"/>
          <w:sz w:val="17"/>
          <w:szCs w:val="17"/>
          <w:color w:val="auto"/>
        </w:rPr>
      </w:pPr>
    </w:p>
    <w:p>
      <w:pPr>
        <w:ind w:left="860" w:hanging="226"/>
        <w:spacing w:after="0"/>
        <w:tabs>
          <w:tab w:leader="none" w:pos="860" w:val="left"/>
        </w:tabs>
        <w:numPr>
          <w:ilvl w:val="1"/>
          <w:numId w:val="684"/>
        </w:numPr>
        <w:rPr>
          <w:rFonts w:ascii="Arial" w:cs="Arial" w:eastAsia="Arial" w:hAnsi="Arial"/>
          <w:sz w:val="17"/>
          <w:szCs w:val="17"/>
          <w:color w:val="auto"/>
        </w:rPr>
      </w:pPr>
      <w:r>
        <w:rPr>
          <w:rFonts w:ascii="Arial" w:cs="Arial" w:eastAsia="Arial" w:hAnsi="Arial"/>
          <w:sz w:val="17"/>
          <w:szCs w:val="17"/>
          <w:u w:val="single" w:color="auto"/>
          <w:color w:val="auto"/>
        </w:rPr>
        <w:t>Funding</w:t>
      </w:r>
    </w:p>
    <w:p>
      <w:pPr>
        <w:spacing w:after="0" w:line="224" w:lineRule="exact"/>
        <w:rPr>
          <w:rFonts w:ascii="Arial" w:cs="Arial" w:eastAsia="Arial" w:hAnsi="Arial"/>
          <w:sz w:val="17"/>
          <w:szCs w:val="17"/>
          <w:color w:val="auto"/>
        </w:rPr>
      </w:pPr>
    </w:p>
    <w:p>
      <w:pPr>
        <w:ind w:left="840" w:right="120"/>
        <w:spacing w:after="0" w:line="289" w:lineRule="auto"/>
        <w:rPr>
          <w:rFonts w:ascii="Arial" w:cs="Arial" w:eastAsia="Arial" w:hAnsi="Arial"/>
          <w:sz w:val="17"/>
          <w:szCs w:val="17"/>
          <w:color w:val="auto"/>
        </w:rPr>
      </w:pPr>
      <w:r>
        <w:rPr>
          <w:rFonts w:ascii="Arial" w:cs="Arial" w:eastAsia="Arial" w:hAnsi="Arial"/>
          <w:sz w:val="17"/>
          <w:szCs w:val="17"/>
          <w:color w:val="auto"/>
        </w:rPr>
        <w:t>Funding of the Plan for each bonus period is based on achievement of the Company’s annual corporate goals as determined by the Board of Directors, in its sole discretion.</w:t>
      </w:r>
    </w:p>
    <w:p>
      <w:pPr>
        <w:spacing w:after="0" w:line="158" w:lineRule="exact"/>
        <w:rPr>
          <w:rFonts w:ascii="Arial" w:cs="Arial" w:eastAsia="Arial" w:hAnsi="Arial"/>
          <w:sz w:val="17"/>
          <w:szCs w:val="17"/>
          <w:color w:val="auto"/>
        </w:rPr>
      </w:pPr>
    </w:p>
    <w:p>
      <w:pPr>
        <w:ind w:left="860" w:hanging="226"/>
        <w:spacing w:after="0"/>
        <w:tabs>
          <w:tab w:leader="none" w:pos="860" w:val="left"/>
        </w:tabs>
        <w:numPr>
          <w:ilvl w:val="1"/>
          <w:numId w:val="684"/>
        </w:numPr>
        <w:rPr>
          <w:rFonts w:ascii="Arial" w:cs="Arial" w:eastAsia="Arial" w:hAnsi="Arial"/>
          <w:sz w:val="17"/>
          <w:szCs w:val="17"/>
          <w:color w:val="auto"/>
        </w:rPr>
      </w:pPr>
      <w:r>
        <w:rPr>
          <w:rFonts w:ascii="Arial" w:cs="Arial" w:eastAsia="Arial" w:hAnsi="Arial"/>
          <w:sz w:val="17"/>
          <w:szCs w:val="17"/>
          <w:u w:val="single" w:color="auto"/>
          <w:color w:val="auto"/>
        </w:rPr>
        <w:t>Bonus Formula</w:t>
      </w:r>
    </w:p>
    <w:p>
      <w:pPr>
        <w:spacing w:after="0" w:line="224" w:lineRule="exact"/>
        <w:rPr>
          <w:rFonts w:ascii="Arial" w:cs="Arial" w:eastAsia="Arial" w:hAnsi="Arial"/>
          <w:sz w:val="17"/>
          <w:szCs w:val="17"/>
          <w:color w:val="auto"/>
        </w:rPr>
      </w:pPr>
    </w:p>
    <w:p>
      <w:pPr>
        <w:ind w:left="840" w:right="360"/>
        <w:spacing w:after="0" w:line="322" w:lineRule="auto"/>
        <w:rPr>
          <w:rFonts w:ascii="Arial" w:cs="Arial" w:eastAsia="Arial" w:hAnsi="Arial"/>
          <w:sz w:val="17"/>
          <w:szCs w:val="17"/>
          <w:color w:val="auto"/>
        </w:rPr>
      </w:pPr>
      <w:r>
        <w:rPr>
          <w:rFonts w:ascii="Arial" w:cs="Arial" w:eastAsia="Arial" w:hAnsi="Arial"/>
          <w:sz w:val="16"/>
          <w:szCs w:val="16"/>
          <w:color w:val="auto"/>
        </w:rPr>
        <w:t>The 2012 target bonus is 20%. A target bonus award is calculated by multiplying the annual base salary, prorated based on length of service in the position, by the target bonus percentage. Actual bonus awards will be based on the funding of the bonus program in any bonus period.</w:t>
      </w:r>
    </w:p>
    <w:p>
      <w:pPr>
        <w:spacing w:after="0" w:line="135" w:lineRule="exact"/>
        <w:rPr>
          <w:rFonts w:ascii="Arial" w:cs="Arial" w:eastAsia="Arial" w:hAnsi="Arial"/>
          <w:sz w:val="17"/>
          <w:szCs w:val="17"/>
          <w:color w:val="auto"/>
        </w:rPr>
      </w:pPr>
    </w:p>
    <w:p>
      <w:pPr>
        <w:ind w:left="860" w:hanging="226"/>
        <w:spacing w:after="0"/>
        <w:tabs>
          <w:tab w:leader="none" w:pos="860" w:val="left"/>
        </w:tabs>
        <w:numPr>
          <w:ilvl w:val="1"/>
          <w:numId w:val="684"/>
        </w:numPr>
        <w:rPr>
          <w:rFonts w:ascii="Arial" w:cs="Arial" w:eastAsia="Arial" w:hAnsi="Arial"/>
          <w:sz w:val="17"/>
          <w:szCs w:val="17"/>
          <w:color w:val="auto"/>
        </w:rPr>
      </w:pPr>
      <w:r>
        <w:rPr>
          <w:rFonts w:ascii="Arial" w:cs="Arial" w:eastAsia="Arial" w:hAnsi="Arial"/>
          <w:sz w:val="17"/>
          <w:szCs w:val="17"/>
          <w:color w:val="auto"/>
        </w:rPr>
        <w:t>Bonus Awards</w:t>
      </w:r>
    </w:p>
    <w:p>
      <w:pPr>
        <w:spacing w:after="0" w:line="224" w:lineRule="exact"/>
        <w:rPr>
          <w:rFonts w:ascii="Arial" w:cs="Arial" w:eastAsia="Arial" w:hAnsi="Arial"/>
          <w:sz w:val="17"/>
          <w:szCs w:val="17"/>
          <w:color w:val="auto"/>
        </w:rPr>
      </w:pPr>
    </w:p>
    <w:p>
      <w:pPr>
        <w:ind w:left="840" w:right="80"/>
        <w:spacing w:after="0" w:line="273" w:lineRule="auto"/>
        <w:rPr>
          <w:rFonts w:ascii="Arial" w:cs="Arial" w:eastAsia="Arial" w:hAnsi="Arial"/>
          <w:sz w:val="17"/>
          <w:szCs w:val="17"/>
          <w:color w:val="auto"/>
        </w:rPr>
      </w:pPr>
      <w:r>
        <w:rPr>
          <w:rFonts w:ascii="Arial" w:cs="Arial" w:eastAsia="Arial" w:hAnsi="Arial"/>
          <w:sz w:val="17"/>
          <w:szCs w:val="17"/>
          <w:color w:val="auto"/>
        </w:rPr>
        <w:t>Bonus recommendations will be made by the CEO and the Compensation Committee and approved by the Board of Directors. Bonuses may be paid partly in cash and partly in company stock or fully-vested stock options, the percentage of which will be determined in the sole discretion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40" w:right="240"/>
        <w:spacing w:after="0" w:line="301" w:lineRule="auto"/>
        <w:rPr>
          <w:sz w:val="20"/>
          <w:szCs w:val="20"/>
          <w:color w:val="auto"/>
        </w:rPr>
      </w:pPr>
      <w:r>
        <w:rPr>
          <w:rFonts w:ascii="Arial" w:cs="Arial" w:eastAsia="Arial" w:hAnsi="Arial"/>
          <w:sz w:val="17"/>
          <w:szCs w:val="17"/>
          <w:color w:val="auto"/>
        </w:rPr>
        <w:t>The calculation and payment of bonuses under the Plan will occur as soon as administratively practicable following the completion of the applicable bonus period, but in no case later than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calendar year following the year in which the bonus is earned.</w:t>
      </w:r>
    </w:p>
    <w:p>
      <w:pPr>
        <w:spacing w:after="0" w:line="61" w:lineRule="exact"/>
        <w:rPr>
          <w:sz w:val="20"/>
          <w:szCs w:val="20"/>
          <w:color w:val="auto"/>
        </w:rPr>
      </w:pPr>
    </w:p>
    <w:p>
      <w:pPr>
        <w:ind w:left="260" w:hanging="255"/>
        <w:spacing w:after="0"/>
        <w:tabs>
          <w:tab w:leader="none" w:pos="260" w:val="left"/>
        </w:tabs>
        <w:numPr>
          <w:ilvl w:val="0"/>
          <w:numId w:val="685"/>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Any ambiguous term under this Plan shall be resolved at the discretion of the Board.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IV. </w:t>
      </w:r>
      <w:r>
        <w:rPr>
          <w:rFonts w:ascii="Arial" w:cs="Arial" w:eastAsia="Arial" w:hAnsi="Arial"/>
          <w:sz w:val="17"/>
          <w:szCs w:val="17"/>
          <w:b w:val="1"/>
          <w:bCs w:val="1"/>
          <w:color w:val="auto"/>
        </w:rPr>
        <w:t>Signature</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Participant acknowledges his/her understanding of the Executive Bonus Plan, including the discretionary nature of the plan, by signing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VERACYTE, INC.</w:t>
            </w:r>
          </w:p>
        </w:tc>
        <w:tc>
          <w:tcPr>
            <w:tcW w:w="5800" w:type="dxa"/>
            <w:vAlign w:val="bottom"/>
            <w:gridSpan w:val="2"/>
          </w:tcPr>
          <w:p>
            <w:pPr>
              <w:ind w:left="220"/>
              <w:spacing w:after="0"/>
              <w:rPr>
                <w:sz w:val="20"/>
                <w:szCs w:val="20"/>
                <w:color w:val="auto"/>
              </w:rPr>
            </w:pPr>
            <w:r>
              <w:rPr>
                <w:rFonts w:ascii="Arial" w:cs="Arial" w:eastAsia="Arial" w:hAnsi="Arial"/>
                <w:sz w:val="17"/>
                <w:szCs w:val="17"/>
                <w:b w:val="1"/>
                <w:bCs w:val="1"/>
                <w:color w:val="auto"/>
              </w:rPr>
              <w:t>PARTICIPANT</w:t>
            </w:r>
          </w:p>
        </w:tc>
        <w:tc>
          <w:tcPr>
            <w:tcW w:w="40" w:type="dxa"/>
            <w:vAlign w:val="bottom"/>
          </w:tcPr>
          <w:p>
            <w:pPr>
              <w:spacing w:after="0"/>
              <w:rPr>
                <w:sz w:val="19"/>
                <w:szCs w:val="19"/>
                <w:color w:val="auto"/>
              </w:rPr>
            </w:pPr>
          </w:p>
        </w:tc>
      </w:tr>
      <w:tr>
        <w:trPr>
          <w:trHeight w:val="420"/>
        </w:trPr>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5620" w:type="dxa"/>
            <w:vAlign w:val="bottom"/>
            <w:gridSpan w:val="2"/>
          </w:tcPr>
          <w:p>
            <w:pPr>
              <w:spacing w:after="0"/>
              <w:rPr>
                <w:sz w:val="20"/>
                <w:szCs w:val="20"/>
                <w:color w:val="auto"/>
              </w:rPr>
            </w:pPr>
            <w:r>
              <w:rPr>
                <w:rFonts w:ascii="Arial" w:cs="Arial" w:eastAsia="Arial" w:hAnsi="Arial"/>
                <w:sz w:val="17"/>
                <w:szCs w:val="17"/>
                <w:color w:val="auto"/>
              </w:rPr>
              <w:t>Date:</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24"/>
                <w:szCs w:val="24"/>
                <w:color w:val="auto"/>
              </w:rPr>
            </w:pPr>
          </w:p>
        </w:tc>
      </w:tr>
      <w:tr>
        <w:trPr>
          <w:trHeight w:val="331"/>
        </w:trPr>
        <w:tc>
          <w:tcPr>
            <w:tcW w:w="660" w:type="dxa"/>
            <w:vAlign w:val="bottom"/>
            <w:tcBorders>
              <w:bottom w:val="single" w:sz="8" w:color="010101"/>
            </w:tcBorders>
          </w:tcPr>
          <w:p>
            <w:pPr>
              <w:spacing w:after="0"/>
              <w:rPr>
                <w:sz w:val="24"/>
                <w:szCs w:val="24"/>
                <w:color w:val="auto"/>
              </w:rPr>
            </w:pPr>
          </w:p>
        </w:tc>
        <w:tc>
          <w:tcPr>
            <w:tcW w:w="4960" w:type="dxa"/>
            <w:vAlign w:val="bottom"/>
            <w:tcBorders>
              <w:top w:val="single" w:sz="8" w:color="auto"/>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94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D7A3E"/>
    <w:multiLevelType w:val="hybridMultilevel"/>
    <w:lvl w:ilvl="0">
      <w:lvlJc w:val="left"/>
      <w:lvlText w:val="(%1)"/>
      <w:numFmt w:val="decimal"/>
      <w:start w:val="1"/>
    </w:lvl>
  </w:abstractNum>
  <w:abstractNum w:abstractNumId="1">
    <w:nsid w:val="490B7C5"/>
    <w:multiLevelType w:val="hybridMultilevel"/>
    <w:lvl w:ilvl="0">
      <w:lvlJc w:val="left"/>
      <w:lvlText w:val="•"/>
      <w:numFmt w:val="bullet"/>
      <w:start w:val="1"/>
    </w:lvl>
  </w:abstractNum>
  <w:abstractNum w:abstractNumId="2">
    <w:nsid w:val="4303A216"/>
    <w:multiLevelType w:val="hybridMultilevel"/>
    <w:lvl w:ilvl="0">
      <w:lvlJc w:val="left"/>
      <w:lvlText w:val="•"/>
      <w:numFmt w:val="bullet"/>
      <w:start w:val="1"/>
    </w:lvl>
  </w:abstractNum>
  <w:abstractNum w:abstractNumId="3">
    <w:nsid w:val="19B8A08E"/>
    <w:multiLevelType w:val="hybridMultilevel"/>
    <w:lvl w:ilvl="0">
      <w:lvlJc w:val="left"/>
      <w:lvlText w:val="•"/>
      <w:numFmt w:val="bullet"/>
      <w:start w:val="1"/>
    </w:lvl>
  </w:abstractNum>
  <w:abstractNum w:abstractNumId="4">
    <w:nsid w:val="54B59621"/>
    <w:multiLevelType w:val="hybridMultilevel"/>
    <w:lvl w:ilvl="0">
      <w:lvlJc w:val="left"/>
      <w:lvlText w:val="•"/>
      <w:numFmt w:val="bullet"/>
      <w:start w:val="1"/>
    </w:lvl>
  </w:abstractNum>
  <w:abstractNum w:abstractNumId="5">
    <w:nsid w:val="5992A02E"/>
    <w:multiLevelType w:val="hybridMultilevel"/>
    <w:lvl w:ilvl="0">
      <w:lvlJc w:val="left"/>
      <w:lvlText w:val="•"/>
      <w:numFmt w:val="bullet"/>
      <w:start w:val="1"/>
    </w:lvl>
  </w:abstractNum>
  <w:abstractNum w:abstractNumId="6">
    <w:nsid w:val="29EF532D"/>
    <w:multiLevelType w:val="hybridMultilevel"/>
    <w:lvl w:ilvl="0">
      <w:lvlJc w:val="left"/>
      <w:lvlText w:val="•"/>
      <w:numFmt w:val="bullet"/>
      <w:start w:val="1"/>
    </w:lvl>
  </w:abstractNum>
  <w:abstractNum w:abstractNumId="7">
    <w:nsid w:val="71D601AF"/>
    <w:multiLevelType w:val="hybridMultilevel"/>
    <w:lvl w:ilvl="0">
      <w:lvlJc w:val="left"/>
      <w:lvlText w:val="•"/>
      <w:numFmt w:val="bullet"/>
      <w:start w:val="1"/>
    </w:lvl>
  </w:abstractNum>
  <w:abstractNum w:abstractNumId="8">
    <w:nsid w:val="52C77402"/>
    <w:multiLevelType w:val="hybridMultilevel"/>
    <w:lvl w:ilvl="0">
      <w:lvlJc w:val="left"/>
      <w:lvlText w:val="•"/>
      <w:numFmt w:val="bullet"/>
      <w:start w:val="1"/>
    </w:lvl>
  </w:abstractNum>
  <w:abstractNum w:abstractNumId="9">
    <w:nsid w:val="2BB5B1C6"/>
    <w:multiLevelType w:val="hybridMultilevel"/>
    <w:lvl w:ilvl="0">
      <w:lvlJc w:val="left"/>
      <w:lvlText w:val="(%1)"/>
      <w:numFmt w:val="decimal"/>
      <w:start w:val="1"/>
    </w:lvl>
  </w:abstractNum>
  <w:abstractNum w:abstractNumId="10">
    <w:nsid w:val="66BE6B9"/>
    <w:multiLevelType w:val="hybridMultilevel"/>
    <w:lvl w:ilvl="0">
      <w:lvlJc w:val="left"/>
      <w:lvlText w:val="•"/>
      <w:numFmt w:val="bullet"/>
      <w:start w:val="1"/>
    </w:lvl>
  </w:abstractNum>
  <w:abstractNum w:abstractNumId="11">
    <w:nsid w:val="62234363"/>
    <w:multiLevelType w:val="hybridMultilevel"/>
    <w:lvl w:ilvl="0">
      <w:lvlJc w:val="left"/>
      <w:lvlText w:val="•"/>
      <w:numFmt w:val="bullet"/>
      <w:start w:val="1"/>
    </w:lvl>
  </w:abstractNum>
  <w:abstractNum w:abstractNumId="12">
    <w:nsid w:val="66D385C9"/>
    <w:multiLevelType w:val="hybridMultilevel"/>
    <w:lvl w:ilvl="0">
      <w:lvlJc w:val="left"/>
      <w:lvlText w:val="•"/>
      <w:numFmt w:val="bullet"/>
      <w:start w:val="1"/>
    </w:lvl>
  </w:abstractNum>
  <w:abstractNum w:abstractNumId="13">
    <w:nsid w:val="596F6D8A"/>
    <w:multiLevelType w:val="hybridMultilevel"/>
    <w:lvl w:ilvl="0">
      <w:lvlJc w:val="left"/>
      <w:lvlText w:val="•"/>
      <w:numFmt w:val="bullet"/>
      <w:start w:val="1"/>
    </w:lvl>
  </w:abstractNum>
  <w:abstractNum w:abstractNumId="14">
    <w:nsid w:val="5749361F"/>
    <w:multiLevelType w:val="hybridMultilevel"/>
    <w:lvl w:ilvl="0">
      <w:lvlJc w:val="left"/>
      <w:lvlText w:val="•"/>
      <w:numFmt w:val="bullet"/>
      <w:start w:val="1"/>
    </w:lvl>
  </w:abstractNum>
  <w:abstractNum w:abstractNumId="15">
    <w:nsid w:val="73BC6770"/>
    <w:multiLevelType w:val="hybridMultilevel"/>
    <w:lvl w:ilvl="0">
      <w:lvlJc w:val="left"/>
      <w:lvlText w:val="•"/>
      <w:numFmt w:val="bullet"/>
      <w:start w:val="1"/>
    </w:lvl>
  </w:abstractNum>
  <w:abstractNum w:abstractNumId="16">
    <w:nsid w:val="280E6897"/>
    <w:multiLevelType w:val="hybridMultilevel"/>
    <w:lvl w:ilvl="0">
      <w:lvlJc w:val="left"/>
      <w:lvlText w:val="•"/>
      <w:numFmt w:val="bullet"/>
      <w:start w:val="1"/>
    </w:lvl>
  </w:abstractNum>
  <w:abstractNum w:abstractNumId="17">
    <w:nsid w:val="605138DE"/>
    <w:multiLevelType w:val="hybridMultilevel"/>
    <w:lvl w:ilvl="0">
      <w:lvlJc w:val="left"/>
      <w:lvlText w:val="•"/>
      <w:numFmt w:val="bullet"/>
      <w:start w:val="1"/>
    </w:lvl>
  </w:abstractNum>
  <w:abstractNum w:abstractNumId="18">
    <w:nsid w:val="2622AD0C"/>
    <w:multiLevelType w:val="hybridMultilevel"/>
    <w:lvl w:ilvl="0">
      <w:lvlJc w:val="left"/>
      <w:lvlText w:val="•"/>
      <w:numFmt w:val="bullet"/>
      <w:start w:val="1"/>
    </w:lvl>
  </w:abstractNum>
  <w:abstractNum w:abstractNumId="19">
    <w:nsid w:val="67997556"/>
    <w:multiLevelType w:val="hybridMultilevel"/>
    <w:lvl w:ilvl="0">
      <w:lvlJc w:val="left"/>
      <w:lvlText w:val="•"/>
      <w:numFmt w:val="bullet"/>
      <w:start w:val="1"/>
    </w:lvl>
  </w:abstractNum>
  <w:abstractNum w:abstractNumId="20">
    <w:nsid w:val="18333C89"/>
    <w:multiLevelType w:val="hybridMultilevel"/>
    <w:lvl w:ilvl="0">
      <w:lvlJc w:val="left"/>
      <w:lvlText w:val="•"/>
      <w:numFmt w:val="bullet"/>
      <w:start w:val="1"/>
    </w:lvl>
  </w:abstractNum>
  <w:abstractNum w:abstractNumId="21">
    <w:nsid w:val="4BA9831A"/>
    <w:multiLevelType w:val="hybridMultilevel"/>
    <w:lvl w:ilvl="0">
      <w:lvlJc w:val="left"/>
      <w:lvlText w:val="•"/>
      <w:numFmt w:val="bullet"/>
      <w:start w:val="1"/>
    </w:lvl>
  </w:abstractNum>
  <w:abstractNum w:abstractNumId="22">
    <w:nsid w:val="6D71A2B"/>
    <w:multiLevelType w:val="hybridMultilevel"/>
    <w:lvl w:ilvl="0">
      <w:lvlJc w:val="left"/>
      <w:lvlText w:val="$"/>
      <w:numFmt w:val="bullet"/>
      <w:start w:val="1"/>
    </w:lvl>
  </w:abstractNum>
  <w:abstractNum w:abstractNumId="23">
    <w:nsid w:val="CFC7321"/>
    <w:multiLevelType w:val="hybridMultilevel"/>
    <w:lvl w:ilvl="0">
      <w:lvlJc w:val="left"/>
      <w:lvlText w:val="•"/>
      <w:numFmt w:val="bullet"/>
      <w:start w:val="1"/>
    </w:lvl>
  </w:abstractNum>
  <w:abstractNum w:abstractNumId="24">
    <w:nsid w:val="1421971B"/>
    <w:multiLevelType w:val="hybridMultilevel"/>
    <w:lvl w:ilvl="0">
      <w:lvlJc w:val="left"/>
      <w:lvlText w:val="$"/>
      <w:numFmt w:val="bullet"/>
      <w:start w:val="1"/>
    </w:lvl>
  </w:abstractNum>
  <w:abstractNum w:abstractNumId="25">
    <w:nsid w:val="1F404301"/>
    <w:multiLevelType w:val="hybridMultilevel"/>
    <w:lvl w:ilvl="0">
      <w:lvlJc w:val="left"/>
      <w:lvlText w:val="$"/>
      <w:numFmt w:val="bullet"/>
      <w:start w:val="1"/>
    </w:lvl>
  </w:abstractNum>
  <w:abstractNum w:abstractNumId="26">
    <w:nsid w:val="116E0907"/>
    <w:multiLevelType w:val="hybridMultilevel"/>
    <w:lvl w:ilvl="0">
      <w:lvlJc w:val="left"/>
      <w:lvlText w:val="•"/>
      <w:numFmt w:val="bullet"/>
      <w:start w:val="1"/>
    </w:lvl>
  </w:abstractNum>
  <w:abstractNum w:abstractNumId="27">
    <w:nsid w:val="4B683D0D"/>
    <w:multiLevelType w:val="hybridMultilevel"/>
    <w:lvl w:ilvl="0">
      <w:lvlJc w:val="left"/>
      <w:lvlText w:val="(%1)"/>
      <w:numFmt w:val="decimal"/>
      <w:start w:val="1"/>
    </w:lvl>
  </w:abstractNum>
  <w:abstractNum w:abstractNumId="28">
    <w:nsid w:val="76E41D8"/>
    <w:multiLevelType w:val="hybridMultilevel"/>
    <w:lvl w:ilvl="0">
      <w:lvlJc w:val="left"/>
      <w:lvlText w:val="•"/>
      <w:numFmt w:val="bullet"/>
      <w:start w:val="1"/>
    </w:lvl>
  </w:abstractNum>
  <w:abstractNum w:abstractNumId="29">
    <w:nsid w:val="71DCE0FD"/>
    <w:multiLevelType w:val="hybridMultilevel"/>
    <w:lvl w:ilvl="0">
      <w:lvlJc w:val="left"/>
      <w:lvlText w:val="•"/>
      <w:numFmt w:val="bullet"/>
      <w:start w:val="1"/>
    </w:lvl>
  </w:abstractNum>
  <w:abstractNum w:abstractNumId="30">
    <w:nsid w:val="7906328B"/>
    <w:multiLevelType w:val="hybridMultilevel"/>
    <w:lvl w:ilvl="0">
      <w:lvlJc w:val="left"/>
      <w:lvlText w:val="•"/>
      <w:numFmt w:val="bullet"/>
      <w:start w:val="1"/>
    </w:lvl>
  </w:abstractNum>
  <w:abstractNum w:abstractNumId="31">
    <w:nsid w:val="72BBC16"/>
    <w:multiLevelType w:val="hybridMultilevel"/>
    <w:lvl w:ilvl="0">
      <w:lvlJc w:val="left"/>
      <w:lvlText w:val="•"/>
      <w:numFmt w:val="bullet"/>
      <w:start w:val="1"/>
    </w:lvl>
  </w:abstractNum>
  <w:abstractNum w:abstractNumId="32">
    <w:nsid w:val="766D98C2"/>
    <w:multiLevelType w:val="hybridMultilevel"/>
    <w:lvl w:ilvl="0">
      <w:lvlJc w:val="left"/>
      <w:lvlText w:val="•"/>
      <w:numFmt w:val="bullet"/>
      <w:start w:val="1"/>
    </w:lvl>
  </w:abstractNum>
  <w:abstractNum w:abstractNumId="33">
    <w:nsid w:val="3C09D4A1"/>
    <w:multiLevelType w:val="hybridMultilevel"/>
    <w:lvl w:ilvl="0">
      <w:lvlJc w:val="left"/>
      <w:lvlText w:val="•"/>
      <w:numFmt w:val="bullet"/>
      <w:start w:val="1"/>
    </w:lvl>
  </w:abstractNum>
  <w:abstractNum w:abstractNumId="34">
    <w:nsid w:val="20E45CA4"/>
    <w:multiLevelType w:val="hybridMultilevel"/>
    <w:lvl w:ilvl="0">
      <w:lvlJc w:val="left"/>
      <w:lvlText w:val="(%1)"/>
      <w:numFmt w:val="decimal"/>
      <w:start w:val="1"/>
    </w:lvl>
  </w:abstractNum>
  <w:abstractNum w:abstractNumId="35">
    <w:nsid w:val="4B232EE3"/>
    <w:multiLevelType w:val="hybridMultilevel"/>
    <w:lvl w:ilvl="0">
      <w:lvlJc w:val="left"/>
      <w:lvlText w:val="•"/>
      <w:numFmt w:val="bullet"/>
      <w:start w:val="1"/>
    </w:lvl>
  </w:abstractNum>
  <w:abstractNum w:abstractNumId="36">
    <w:nsid w:val="159C74CF"/>
    <w:multiLevelType w:val="hybridMultilevel"/>
    <w:lvl w:ilvl="0">
      <w:lvlJc w:val="left"/>
      <w:lvlText w:val="•"/>
      <w:numFmt w:val="bullet"/>
      <w:start w:val="1"/>
    </w:lvl>
  </w:abstractNum>
  <w:abstractNum w:abstractNumId="37">
    <w:nsid w:val="4AD3AFD2"/>
    <w:multiLevelType w:val="hybridMultilevel"/>
    <w:lvl w:ilvl="0">
      <w:lvlJc w:val="left"/>
      <w:lvlText w:val="•"/>
      <w:numFmt w:val="bullet"/>
      <w:start w:val="1"/>
    </w:lvl>
  </w:abstractNum>
  <w:abstractNum w:abstractNumId="38">
    <w:nsid w:val="3CF93092"/>
    <w:multiLevelType w:val="hybridMultilevel"/>
    <w:lvl w:ilvl="0">
      <w:lvlJc w:val="left"/>
      <w:lvlText w:val="•"/>
      <w:numFmt w:val="bullet"/>
      <w:start w:val="1"/>
    </w:lvl>
  </w:abstractNum>
  <w:abstractNum w:abstractNumId="39">
    <w:nsid w:val="6863E8D2"/>
    <w:multiLevelType w:val="hybridMultilevel"/>
    <w:lvl w:ilvl="0">
      <w:lvlJc w:val="left"/>
      <w:lvlText w:val="•"/>
      <w:numFmt w:val="bullet"/>
      <w:start w:val="1"/>
    </w:lvl>
  </w:abstractNum>
  <w:abstractNum w:abstractNumId="40">
    <w:nsid w:val="76896198"/>
    <w:multiLevelType w:val="hybridMultilevel"/>
    <w:lvl w:ilvl="0">
      <w:lvlJc w:val="left"/>
      <w:lvlText w:val="•"/>
      <w:numFmt w:val="bullet"/>
      <w:start w:val="1"/>
    </w:lvl>
  </w:abstractNum>
  <w:abstractNum w:abstractNumId="41">
    <w:nsid w:val="4365174B"/>
    <w:multiLevelType w:val="hybridMultilevel"/>
    <w:lvl w:ilvl="0">
      <w:lvlJc w:val="left"/>
      <w:lvlText w:val="•"/>
      <w:numFmt w:val="bullet"/>
      <w:start w:val="1"/>
    </w:lvl>
  </w:abstractNum>
  <w:abstractNum w:abstractNumId="42">
    <w:nsid w:val="4A872C35"/>
    <w:multiLevelType w:val="hybridMultilevel"/>
    <w:lvl w:ilvl="0">
      <w:lvlJc w:val="left"/>
      <w:lvlText w:val="(%1)"/>
      <w:numFmt w:val="decimal"/>
      <w:start w:val="1"/>
    </w:lvl>
  </w:abstractNum>
  <w:abstractNum w:abstractNumId="43">
    <w:nsid w:val="5D5CE761"/>
    <w:multiLevelType w:val="hybridMultilevel"/>
    <w:lvl w:ilvl="0">
      <w:lvlJc w:val="left"/>
      <w:lvlText w:val="(%1)"/>
      <w:numFmt w:val="decimal"/>
      <w:start w:val="1"/>
    </w:lvl>
  </w:abstractNum>
  <w:abstractNum w:abstractNumId="44">
    <w:nsid w:val="1CD484D5"/>
    <w:multiLevelType w:val="hybridMultilevel"/>
    <w:lvl w:ilvl="0">
      <w:lvlJc w:val="left"/>
      <w:lvlText w:val="%1"/>
      <w:numFmt w:val="decimal"/>
      <w:start w:val="1"/>
    </w:lvl>
    <w:lvl w:ilvl="1">
      <w:lvlJc w:val="left"/>
      <w:lvlText w:val="(%2)"/>
      <w:numFmt w:val="decimal"/>
      <w:start w:val="1"/>
    </w:lvl>
  </w:abstractNum>
  <w:abstractNum w:abstractNumId="45">
    <w:nsid w:val="21D06255"/>
    <w:multiLevelType w:val="hybridMultilevel"/>
    <w:lvl w:ilvl="0">
      <w:lvlJc w:val="left"/>
      <w:lvlText w:val="(%1)"/>
      <w:numFmt w:val="decimal"/>
      <w:start w:val="3"/>
    </w:lvl>
    <w:lvl w:ilvl="1">
      <w:lvlJc w:val="left"/>
      <w:lvlText w:val="%2"/>
      <w:numFmt w:val="decimal"/>
      <w:start w:val="1"/>
    </w:lvl>
  </w:abstractNum>
  <w:abstractNum w:abstractNumId="46">
    <w:nsid w:val="51194ED1"/>
    <w:multiLevelType w:val="hybridMultilevel"/>
    <w:lvl w:ilvl="0">
      <w:lvlJc w:val="left"/>
      <w:lvlText w:val="(%1)"/>
      <w:numFmt w:val="decimal"/>
      <w:start w:val="1"/>
    </w:lvl>
  </w:abstractNum>
  <w:abstractNum w:abstractNumId="47">
    <w:nsid w:val="44E2ED6C"/>
    <w:multiLevelType w:val="hybridMultilevel"/>
    <w:lvl w:ilvl="0">
      <w:lvlJc w:val="left"/>
      <w:lvlText w:val="(%1)"/>
      <w:numFmt w:val="decimal"/>
      <w:start w:val="1"/>
    </w:lvl>
  </w:abstractNum>
  <w:abstractNum w:abstractNumId="48">
    <w:nsid w:val="2219B33"/>
    <w:multiLevelType w:val="hybridMultilevel"/>
    <w:lvl w:ilvl="0">
      <w:lvlJc w:val="left"/>
      <w:lvlText w:val="(%1)"/>
      <w:numFmt w:val="upperLetter"/>
      <w:start w:val="3"/>
    </w:lvl>
  </w:abstractNum>
  <w:abstractNum w:abstractNumId="49">
    <w:nsid w:val="773BFBDD"/>
    <w:multiLevelType w:val="hybridMultilevel"/>
    <w:lvl w:ilvl="0">
      <w:lvlJc w:val="left"/>
      <w:lvlText w:val="(%1)"/>
      <w:numFmt w:val="upperLetter"/>
      <w:start w:val="1"/>
    </w:lvl>
  </w:abstractNum>
  <w:abstractNum w:abstractNumId="50">
    <w:nsid w:val="2C7C62C2"/>
    <w:multiLevelType w:val="hybridMultilevel"/>
    <w:lvl w:ilvl="0">
      <w:lvlJc w:val="left"/>
      <w:lvlText w:val="•"/>
      <w:numFmt w:val="bullet"/>
      <w:start w:val="1"/>
    </w:lvl>
  </w:abstractNum>
  <w:abstractNum w:abstractNumId="51">
    <w:nsid w:val="1A54D7BC"/>
    <w:multiLevelType w:val="hybridMultilevel"/>
    <w:lvl w:ilvl="0">
      <w:lvlJc w:val="left"/>
      <w:lvlText w:val="•"/>
      <w:numFmt w:val="bullet"/>
      <w:start w:val="1"/>
    </w:lvl>
  </w:abstractNum>
  <w:abstractNum w:abstractNumId="52">
    <w:nsid w:val="42E57EF7"/>
    <w:multiLevelType w:val="hybridMultilevel"/>
    <w:lvl w:ilvl="0">
      <w:lvlJc w:val="left"/>
      <w:lvlText w:val="•"/>
      <w:numFmt w:val="bullet"/>
      <w:start w:val="1"/>
    </w:lvl>
  </w:abstractNum>
  <w:abstractNum w:abstractNumId="53">
    <w:nsid w:val="33537CED"/>
    <w:multiLevelType w:val="hybridMultilevel"/>
    <w:lvl w:ilvl="0">
      <w:lvlJc w:val="left"/>
      <w:lvlText w:val="•"/>
      <w:numFmt w:val="bullet"/>
      <w:start w:val="1"/>
    </w:lvl>
  </w:abstractNum>
  <w:abstractNum w:abstractNumId="54">
    <w:nsid w:val="27514ADE"/>
    <w:multiLevelType w:val="hybridMultilevel"/>
    <w:lvl w:ilvl="0">
      <w:lvlJc w:val="left"/>
      <w:lvlText w:val="•"/>
      <w:numFmt w:val="bullet"/>
      <w:start w:val="1"/>
    </w:lvl>
  </w:abstractNum>
  <w:abstractNum w:abstractNumId="55">
    <w:nsid w:val="57071613"/>
    <w:multiLevelType w:val="hybridMultilevel"/>
    <w:lvl w:ilvl="0">
      <w:lvlJc w:val="left"/>
      <w:lvlText w:val="(%1)"/>
      <w:numFmt w:val="decimal"/>
      <w:start w:val="1"/>
    </w:lvl>
  </w:abstractNum>
  <w:abstractNum w:abstractNumId="56">
    <w:nsid w:val="5293BFEF"/>
    <w:multiLevelType w:val="hybridMultilevel"/>
    <w:lvl w:ilvl="0">
      <w:lvlJc w:val="left"/>
      <w:lvlText w:val="•"/>
      <w:numFmt w:val="bullet"/>
      <w:start w:val="1"/>
    </w:lvl>
  </w:abstractNum>
  <w:abstractNum w:abstractNumId="57">
    <w:nsid w:val="38BF53E5"/>
    <w:multiLevelType w:val="hybridMultilevel"/>
    <w:lvl w:ilvl="0">
      <w:lvlJc w:val="left"/>
      <w:lvlText w:val="*"/>
      <w:numFmt w:val="bullet"/>
      <w:start w:val="1"/>
    </w:lvl>
  </w:abstractNum>
  <w:abstractNum w:abstractNumId="58">
    <w:nsid w:val="226F5320"/>
    <w:multiLevelType w:val="hybridMultilevel"/>
    <w:lvl w:ilvl="0">
      <w:lvlJc w:val="left"/>
      <w:lvlText w:val="(%1)"/>
      <w:numFmt w:val="decimal"/>
      <w:start w:val="1"/>
    </w:lvl>
  </w:abstractNum>
  <w:abstractNum w:abstractNumId="59">
    <w:nsid w:val="5A0201C7"/>
    <w:multiLevelType w:val="hybridMultilevel"/>
    <w:lvl w:ilvl="0">
      <w:lvlJc w:val="left"/>
      <w:lvlText w:val="(%1)"/>
      <w:numFmt w:val="decimal"/>
      <w:start w:val="2"/>
    </w:lvl>
  </w:abstractNum>
  <w:abstractNum w:abstractNumId="60">
    <w:nsid w:val="2A9C34E2"/>
    <w:multiLevelType w:val="hybridMultilevel"/>
    <w:lvl w:ilvl="0">
      <w:lvlJc w:val="left"/>
      <w:lvlText w:val="(%1)"/>
      <w:numFmt w:val="decimal"/>
      <w:start w:val="6"/>
    </w:lvl>
  </w:abstractNum>
  <w:abstractNum w:abstractNumId="61">
    <w:nsid w:val="1B7585AB"/>
    <w:multiLevelType w:val="hybridMultilevel"/>
    <w:lvl w:ilvl="0">
      <w:lvlJc w:val="left"/>
      <w:lvlText w:val="•"/>
      <w:numFmt w:val="bullet"/>
      <w:start w:val="1"/>
    </w:lvl>
  </w:abstractNum>
  <w:abstractNum w:abstractNumId="62">
    <w:nsid w:val="612DBDDD"/>
    <w:multiLevelType w:val="hybridMultilevel"/>
    <w:lvl w:ilvl="0">
      <w:lvlJc w:val="left"/>
      <w:lvlText w:val="•"/>
      <w:numFmt w:val="bullet"/>
      <w:start w:val="1"/>
    </w:lvl>
  </w:abstractNum>
  <w:abstractNum w:abstractNumId="63">
    <w:nsid w:val="2109CDA4"/>
    <w:multiLevelType w:val="hybridMultilevel"/>
    <w:lvl w:ilvl="0">
      <w:lvlJc w:val="left"/>
      <w:lvlText w:val="•"/>
      <w:numFmt w:val="bullet"/>
      <w:start w:val="1"/>
    </w:lvl>
  </w:abstractNum>
  <w:abstractNum w:abstractNumId="64">
    <w:nsid w:val="577F5A4D"/>
    <w:multiLevelType w:val="hybridMultilevel"/>
    <w:lvl w:ilvl="0">
      <w:lvlJc w:val="left"/>
      <w:lvlText w:val="•"/>
      <w:numFmt w:val="bullet"/>
      <w:start w:val="1"/>
    </w:lvl>
  </w:abstractNum>
  <w:abstractNum w:abstractNumId="65">
    <w:nsid w:val="2121A81"/>
    <w:multiLevelType w:val="hybridMultilevel"/>
    <w:lvl w:ilvl="0">
      <w:lvlJc w:val="left"/>
      <w:lvlText w:val="•"/>
      <w:numFmt w:val="bullet"/>
      <w:start w:val="1"/>
    </w:lvl>
  </w:abstractNum>
  <w:abstractNum w:abstractNumId="66">
    <w:nsid w:val="6C2CFC88"/>
    <w:multiLevelType w:val="hybridMultilevel"/>
    <w:lvl w:ilvl="0">
      <w:lvlJc w:val="left"/>
      <w:lvlText w:val="•"/>
      <w:numFmt w:val="bullet"/>
      <w:start w:val="1"/>
    </w:lvl>
  </w:abstractNum>
  <w:abstractNum w:abstractNumId="67">
    <w:nsid w:val="6D1BCF1C"/>
    <w:multiLevelType w:val="hybridMultilevel"/>
    <w:lvl w:ilvl="0">
      <w:lvlJc w:val="left"/>
      <w:lvlText w:val="•"/>
      <w:numFmt w:val="bullet"/>
      <w:start w:val="1"/>
    </w:lvl>
  </w:abstractNum>
  <w:abstractNum w:abstractNumId="68">
    <w:nsid w:val="4CE5CA53"/>
    <w:multiLevelType w:val="hybridMultilevel"/>
    <w:lvl w:ilvl="0">
      <w:lvlJc w:val="left"/>
      <w:lvlText w:val="•"/>
      <w:numFmt w:val="bullet"/>
      <w:start w:val="1"/>
    </w:lvl>
  </w:abstractNum>
  <w:abstractNum w:abstractNumId="69">
    <w:nsid w:val="29262D1A"/>
    <w:multiLevelType w:val="hybridMultilevel"/>
    <w:lvl w:ilvl="0">
      <w:lvlJc w:val="left"/>
      <w:lvlText w:val="•"/>
      <w:numFmt w:val="bullet"/>
      <w:start w:val="1"/>
    </w:lvl>
  </w:abstractNum>
  <w:abstractNum w:abstractNumId="70">
    <w:nsid w:val="557FB7EE"/>
    <w:multiLevelType w:val="hybridMultilevel"/>
    <w:lvl w:ilvl="0">
      <w:lvlJc w:val="left"/>
      <w:lvlText w:val="•"/>
      <w:numFmt w:val="bullet"/>
      <w:start w:val="1"/>
    </w:lvl>
  </w:abstractNum>
  <w:abstractNum w:abstractNumId="71">
    <w:nsid w:val="436F2BEB"/>
    <w:multiLevelType w:val="hybridMultilevel"/>
    <w:lvl w:ilvl="0">
      <w:lvlJc w:val="left"/>
      <w:lvlText w:val="•"/>
      <w:numFmt w:val="bullet"/>
      <w:start w:val="1"/>
    </w:lvl>
  </w:abstractNum>
  <w:abstractNum w:abstractNumId="72">
    <w:nsid w:val="6C8B4466"/>
    <w:multiLevelType w:val="hybridMultilevel"/>
    <w:lvl w:ilvl="0">
      <w:lvlJc w:val="left"/>
      <w:lvlText w:val="•"/>
      <w:numFmt w:val="bullet"/>
      <w:start w:val="1"/>
    </w:lvl>
  </w:abstractNum>
  <w:abstractNum w:abstractNumId="73">
    <w:nsid w:val="2006E424"/>
    <w:multiLevelType w:val="hybridMultilevel"/>
    <w:lvl w:ilvl="0">
      <w:lvlJc w:val="left"/>
      <w:lvlText w:val="•"/>
      <w:numFmt w:val="bullet"/>
      <w:start w:val="1"/>
    </w:lvl>
  </w:abstractNum>
  <w:abstractNum w:abstractNumId="74">
    <w:nsid w:val="20CC134C"/>
    <w:multiLevelType w:val="hybridMultilevel"/>
    <w:lvl w:ilvl="0">
      <w:lvlJc w:val="left"/>
      <w:lvlText w:val="%1."/>
      <w:numFmt w:val="decimal"/>
      <w:start w:val="2"/>
    </w:lvl>
  </w:abstractNum>
  <w:abstractNum w:abstractNumId="75">
    <w:nsid w:val="95FC93B"/>
    <w:multiLevelType w:val="hybridMultilevel"/>
    <w:lvl w:ilvl="0">
      <w:lvlJc w:val="left"/>
      <w:lvlText w:val="•"/>
      <w:numFmt w:val="bullet"/>
      <w:start w:val="1"/>
    </w:lvl>
  </w:abstractNum>
  <w:abstractNum w:abstractNumId="76">
    <w:nsid w:val="41D74679"/>
    <w:multiLevelType w:val="hybridMultilevel"/>
    <w:lvl w:ilvl="0">
      <w:lvlJc w:val="left"/>
      <w:lvlText w:val="•"/>
      <w:numFmt w:val="bullet"/>
      <w:start w:val="1"/>
    </w:lvl>
  </w:abstractNum>
  <w:abstractNum w:abstractNumId="77">
    <w:nsid w:val="71E5621E"/>
    <w:multiLevelType w:val="hybridMultilevel"/>
    <w:lvl w:ilvl="0">
      <w:lvlJc w:val="left"/>
      <w:lvlText w:val="•"/>
      <w:numFmt w:val="bullet"/>
      <w:start w:val="1"/>
    </w:lvl>
  </w:abstractNum>
  <w:abstractNum w:abstractNumId="78">
    <w:nsid w:val="4E42B6A8"/>
    <w:multiLevelType w:val="hybridMultilevel"/>
    <w:lvl w:ilvl="0">
      <w:lvlJc w:val="left"/>
      <w:lvlText w:val="*"/>
      <w:numFmt w:val="bullet"/>
      <w:start w:val="1"/>
    </w:lvl>
  </w:abstractNum>
  <w:abstractNum w:abstractNumId="79">
    <w:nsid w:val="43F8E1AC"/>
    <w:multiLevelType w:val="hybridMultilevel"/>
    <w:lvl w:ilvl="0">
      <w:lvlJc w:val="left"/>
      <w:lvlText w:val="$"/>
      <w:numFmt w:val="bullet"/>
      <w:start w:val="1"/>
    </w:lvl>
  </w:abstractNum>
  <w:abstractNum w:abstractNumId="80">
    <w:nsid w:val="69215DFB"/>
    <w:multiLevelType w:val="hybridMultilevel"/>
    <w:lvl w:ilvl="0">
      <w:lvlJc w:val="left"/>
      <w:lvlText w:val="(%1)"/>
      <w:numFmt w:val="decimal"/>
      <w:start w:val="1"/>
    </w:lvl>
  </w:abstractNum>
  <w:abstractNum w:abstractNumId="81">
    <w:nsid w:val="7ABF196A"/>
    <w:multiLevelType w:val="hybridMultilevel"/>
    <w:lvl w:ilvl="0">
      <w:lvlJc w:val="left"/>
      <w:lvlText w:val="(%1)"/>
      <w:numFmt w:val="lowerLetter"/>
      <w:start w:val="1"/>
    </w:lvl>
  </w:abstractNum>
  <w:abstractNum w:abstractNumId="82">
    <w:nsid w:val="5E4DB968"/>
    <w:multiLevelType w:val="hybridMultilevel"/>
    <w:lvl w:ilvl="0">
      <w:lvlJc w:val="left"/>
      <w:lvlText w:val="*"/>
      <w:numFmt w:val="bullet"/>
      <w:start w:val="1"/>
    </w:lvl>
  </w:abstractNum>
  <w:abstractNum w:abstractNumId="83">
    <w:nsid w:val="2C06DCF3"/>
    <w:multiLevelType w:val="hybridMultilevel"/>
    <w:lvl w:ilvl="0">
      <w:lvlJc w:val="left"/>
      <w:lvlText w:val="#"/>
      <w:numFmt w:val="bullet"/>
      <w:start w:val="1"/>
    </w:lvl>
  </w:abstractNum>
  <w:abstractNum w:abstractNumId="84">
    <w:nsid w:val="2E129658"/>
    <w:multiLevelType w:val="hybridMultilevel"/>
    <w:lvl w:ilvl="0">
      <w:lvlJc w:val="left"/>
      <w:lvlText w:val="(%1)"/>
      <w:numFmt w:val="decimal"/>
      <w:start w:val="1"/>
    </w:lvl>
  </w:abstractNum>
  <w:abstractNum w:abstractNumId="85">
    <w:nsid w:val="59F0446"/>
    <w:multiLevelType w:val="hybridMultilevel"/>
    <w:lvl w:ilvl="0">
      <w:lvlJc w:val="left"/>
      <w:lvlText w:val="*"/>
      <w:numFmt w:val="bullet"/>
      <w:start w:val="1"/>
    </w:lvl>
  </w:abstractNum>
  <w:abstractNum w:abstractNumId="86">
    <w:nsid w:val="30DF306"/>
    <w:multiLevelType w:val="hybridMultilevel"/>
    <w:lvl w:ilvl="0">
      <w:lvlJc w:val="left"/>
      <w:lvlText w:val="#"/>
      <w:numFmt w:val="bullet"/>
      <w:start w:val="1"/>
    </w:lvl>
  </w:abstractNum>
  <w:abstractNum w:abstractNumId="87">
    <w:nsid w:val="A65647"/>
    <w:multiLevelType w:val="hybridMultilevel"/>
    <w:lvl w:ilvl="0">
      <w:lvlJc w:val="left"/>
      <w:lvlText w:val="%1."/>
      <w:numFmt w:val="decimal"/>
      <w:start w:val="1"/>
    </w:lvl>
  </w:abstractNum>
  <w:abstractNum w:abstractNumId="88">
    <w:nsid w:val="3E5E582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9">
    <w:nsid w:val="257D462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5AA858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1">
    <w:nsid w:val="68FA8D0D"/>
    <w:multiLevelType w:val="hybridMultilevel"/>
    <w:lvl w:ilvl="0">
      <w:lvlJc w:val="left"/>
      <w:lvlText w:val="(%1)"/>
      <w:numFmt w:val="lowerLetter"/>
      <w:start w:val="2"/>
    </w:lvl>
  </w:abstractNum>
  <w:abstractNum w:abstractNumId="92">
    <w:nsid w:val="40F2CBD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3">
    <w:nsid w:val="3BD615E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94">
    <w:nsid w:val="A045AB2"/>
    <w:multiLevelType w:val="hybridMultilevel"/>
    <w:lvl w:ilvl="0">
      <w:lvlJc w:val="left"/>
      <w:lvlText w:val="(%1)"/>
      <w:numFmt w:val="lowerRoman"/>
      <w:start w:val="2"/>
    </w:lvl>
  </w:abstractNum>
  <w:abstractNum w:abstractNumId="95">
    <w:nsid w:val="1872261F"/>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3"/>
    </w:lvl>
  </w:abstractNum>
  <w:abstractNum w:abstractNumId="96">
    <w:nsid w:val="3DE8306C"/>
    <w:multiLevelType w:val="hybridMultilevel"/>
    <w:lvl w:ilvl="0">
      <w:lvlJc w:val="left"/>
      <w:lvlText w:val="%1"/>
      <w:numFmt w:val="lowerRoman"/>
      <w:start w:val="1"/>
    </w:lvl>
    <w:lvl w:ilvl="1">
      <w:lvlJc w:val="left"/>
      <w:lvlText w:val="%2."/>
      <w:numFmt w:val="decimal"/>
      <w:start w:val="3"/>
    </w:lvl>
    <w:lvl w:ilvl="2">
      <w:lvlJc w:val="left"/>
      <w:lvlText w:val="%3."/>
      <w:numFmt w:val="decimal"/>
      <w:start w:val="3"/>
    </w:lvl>
    <w:lvl w:ilvl="3">
      <w:lvlJc w:val="left"/>
      <w:lvlText w:val="(%4)"/>
      <w:numFmt w:val="lowerLetter"/>
      <w:start w:val="1"/>
    </w:lvl>
    <w:lvl w:ilvl="4">
      <w:lvlJc w:val="left"/>
      <w:lvlText w:val="%5"/>
      <w:numFmt w:val="lowerRoman"/>
      <w:start w:val="1"/>
    </w:lvl>
  </w:abstractNum>
  <w:abstractNum w:abstractNumId="97">
    <w:nsid w:val="7631573A"/>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98">
    <w:nsid w:val="58DF53B"/>
    <w:multiLevelType w:val="hybridMultilevel"/>
    <w:lvl w:ilvl="0">
      <w:lvlJc w:val="left"/>
      <w:lvlText w:val="(%1)"/>
      <w:numFmt w:val="lowerLetter"/>
      <w:start w:val="2"/>
    </w:lvl>
  </w:abstractNum>
  <w:abstractNum w:abstractNumId="99">
    <w:nsid w:val="ACDFAC0"/>
    <w:multiLevelType w:val="hybridMultilevel"/>
    <w:lvl w:ilvl="0">
      <w:lvlJc w:val="left"/>
      <w:lvlText w:val="%1"/>
      <w:numFmt w:val="decimal"/>
      <w:start w:val="1"/>
    </w:lvl>
    <w:lvl w:ilvl="1">
      <w:lvlJc w:val="left"/>
      <w:lvlText w:val="(%2)"/>
      <w:numFmt w:val="lowerLetter"/>
      <w:start w:val="3"/>
    </w:lvl>
  </w:abstractNum>
  <w:abstractNum w:abstractNumId="100">
    <w:nsid w:val="1F578454"/>
    <w:multiLevelType w:val="hybridMultilevel"/>
    <w:lvl w:ilvl="0">
      <w:lvlJc w:val="left"/>
      <w:lvlText w:val="%1."/>
      <w:numFmt w:val="decimal"/>
      <w:start w:val="5"/>
    </w:lvl>
    <w:lvl w:ilvl="1">
      <w:lvlJc w:val="left"/>
      <w:lvlText w:val="%2"/>
      <w:numFmt w:val="lowerLetter"/>
      <w:start w:val="1"/>
    </w:lvl>
  </w:abstractNum>
  <w:abstractNum w:abstractNumId="101">
    <w:nsid w:val="5B0DAD2A"/>
    <w:multiLevelType w:val="hybridMultilevel"/>
    <w:lvl w:ilvl="0">
      <w:lvlJc w:val="left"/>
      <w:lvlText w:val="(%1)"/>
      <w:numFmt w:val="lowerLetter"/>
      <w:start w:val="1"/>
    </w:lvl>
  </w:abstractNum>
  <w:abstractNum w:abstractNumId="102">
    <w:nsid w:val="4E3D26A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03">
    <w:nsid w:val="BE2C8BA"/>
    <w:multiLevelType w:val="hybridMultilevel"/>
    <w:lvl w:ilvl="0">
      <w:lvlJc w:val="left"/>
      <w:lvlText w:val="(%1)"/>
      <w:numFmt w:val="lowerRoman"/>
      <w:start w:val="2"/>
    </w:lvl>
  </w:abstractNum>
  <w:abstractNum w:abstractNumId="104">
    <w:nsid w:val="7B14914E"/>
    <w:multiLevelType w:val="hybridMultilevel"/>
    <w:lvl w:ilvl="0">
      <w:lvlJc w:val="left"/>
      <w:lvlText w:val="(%1)"/>
      <w:numFmt w:val="lowerLetter"/>
      <w:start w:val="7"/>
    </w:lvl>
  </w:abstractNum>
  <w:abstractNum w:abstractNumId="105">
    <w:nsid w:val="6F0939F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06">
    <w:nsid w:val="154291F6"/>
    <w:multiLevelType w:val="hybridMultilevel"/>
    <w:lvl w:ilvl="0">
      <w:lvlJc w:val="left"/>
      <w:lvlText w:val="(%1)"/>
      <w:numFmt w:val="upperLetter"/>
      <w:start w:val="1"/>
    </w:lvl>
    <w:lvl w:ilvl="1">
      <w:lvlJc w:val="left"/>
      <w:lvlText w:val="(%2)"/>
      <w:numFmt w:val="lowerRoman"/>
      <w:start w:val="2"/>
    </w:lvl>
  </w:abstractNum>
  <w:abstractNum w:abstractNumId="107">
    <w:nsid w:val="3CEBD7C7"/>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08">
    <w:nsid w:val="60EE9C16"/>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109">
    <w:nsid w:val="6385489E"/>
    <w:multiLevelType w:val="hybridMultilevel"/>
    <w:lvl w:ilvl="0">
      <w:lvlJc w:val="left"/>
      <w:lvlText w:val="(%1)"/>
      <w:numFmt w:val="upperLetter"/>
      <w:start w:val="2"/>
    </w:lvl>
  </w:abstractNum>
  <w:abstractNum w:abstractNumId="110">
    <w:nsid w:val="E4B973"/>
    <w:multiLevelType w:val="hybridMultilevel"/>
    <w:lvl w:ilvl="0">
      <w:lvlJc w:val="left"/>
      <w:lvlText w:val="(%1)"/>
      <w:numFmt w:val="lowerRoman"/>
      <w:start w:val="5"/>
    </w:lvl>
    <w:lvl w:ilvl="1">
      <w:lvlJc w:val="left"/>
      <w:lvlText w:val="(%2)"/>
      <w:numFmt w:val="upperLetter"/>
      <w:start w:val="1"/>
    </w:lvl>
  </w:abstractNum>
  <w:abstractNum w:abstractNumId="111">
    <w:nsid w:val="4A0FFA11"/>
    <w:multiLevelType w:val="hybridMultilevel"/>
    <w:lvl w:ilvl="0">
      <w:lvlJc w:val="left"/>
      <w:lvlText w:val="(%1)"/>
      <w:numFmt w:val="lowerRoman"/>
      <w:start w:val="6"/>
    </w:lvl>
  </w:abstractNum>
  <w:abstractNum w:abstractNumId="112">
    <w:nsid w:val="5E446208"/>
    <w:multiLevelType w:val="hybridMultilevel"/>
    <w:lvl w:ilvl="0">
      <w:lvlJc w:val="left"/>
      <w:lvlText w:val="(%1)"/>
      <w:numFmt w:val="lowerLetter"/>
      <w:start w:val="9"/>
    </w:lvl>
  </w:abstractNum>
  <w:abstractNum w:abstractNumId="113">
    <w:nsid w:val="5F3272DB"/>
    <w:multiLevelType w:val="hybridMultilevel"/>
    <w:lvl w:ilvl="0">
      <w:lvlJc w:val="left"/>
      <w:lvlText w:val="(%1)"/>
      <w:numFmt w:val="lowerRoman"/>
      <w:start w:val="1"/>
    </w:lvl>
  </w:abstractNum>
  <w:abstractNum w:abstractNumId="114">
    <w:nsid w:val="7616D70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15">
    <w:nsid w:val="C56F860"/>
    <w:multiLevelType w:val="hybridMultilevel"/>
    <w:lvl w:ilvl="0">
      <w:lvlJc w:val="left"/>
      <w:lvlText w:val="%1"/>
      <w:numFmt w:val="lowerRoman"/>
      <w:start w:val="1"/>
    </w:lvl>
    <w:lvl w:ilvl="1">
      <w:lvlJc w:val="left"/>
      <w:lvlText w:val="(%2)"/>
      <w:numFmt w:val="lowerLetter"/>
      <w:start w:val="12"/>
    </w:lvl>
    <w:lvl w:ilvl="2">
      <w:lvlJc w:val="left"/>
      <w:lvlText w:val="%3"/>
      <w:numFmt w:val="lowerLetter"/>
      <w:start w:val="1"/>
    </w:lvl>
  </w:abstractNum>
  <w:abstractNum w:abstractNumId="116">
    <w:nsid w:val="64D17722"/>
    <w:multiLevelType w:val="hybridMultilevel"/>
    <w:lvl w:ilvl="0">
      <w:lvlJc w:val="left"/>
      <w:lvlText w:val="(%1)"/>
      <w:numFmt w:val="lowerRoman"/>
      <w:start w:val="4"/>
    </w:lvl>
    <w:lvl w:ilvl="1">
      <w:lvlJc w:val="left"/>
      <w:lvlText w:val="(%2)"/>
      <w:numFmt w:val="lowerLetter"/>
      <w:start w:val="15"/>
    </w:lvl>
    <w:lvl w:ilvl="2">
      <w:lvlJc w:val="left"/>
      <w:lvlText w:val="%3"/>
      <w:numFmt w:val="lowerLetter"/>
      <w:start w:val="1"/>
    </w:lvl>
  </w:abstractNum>
  <w:abstractNum w:abstractNumId="117">
    <w:nsid w:val="7924CA0A"/>
    <w:multiLevelType w:val="hybridMultilevel"/>
    <w:lvl w:ilvl="0">
      <w:lvlJc w:val="left"/>
      <w:lvlText w:val="%1."/>
      <w:numFmt w:val="decimal"/>
      <w:start w:val="6"/>
    </w:lvl>
  </w:abstractNum>
  <w:abstractNum w:abstractNumId="118">
    <w:nsid w:val="CFD4EA7"/>
    <w:multiLevelType w:val="hybridMultilevel"/>
    <w:lvl w:ilvl="0">
      <w:lvlJc w:val="left"/>
      <w:lvlText w:val="%1."/>
      <w:numFmt w:val="upperLetter"/>
      <w:start w:val="1"/>
    </w:lvl>
  </w:abstractNum>
  <w:abstractNum w:abstractNumId="119">
    <w:nsid w:val="232FCF4D"/>
    <w:multiLevelType w:val="hybridMultilevel"/>
    <w:lvl w:ilvl="0">
      <w:lvlJc w:val="left"/>
      <w:lvlText w:val="%1."/>
      <w:numFmt w:val="upperLetter"/>
      <w:start w:val="3"/>
    </w:lvl>
  </w:abstractNum>
  <w:abstractNum w:abstractNumId="120">
    <w:nsid w:val="1EA21031"/>
    <w:multiLevelType w:val="hybridMultilevel"/>
    <w:lvl w:ilvl="0">
      <w:lvlJc w:val="left"/>
      <w:lvlText w:val="%1."/>
      <w:numFmt w:val="decimal"/>
      <w:start w:val="1"/>
    </w:lvl>
  </w:abstractNum>
  <w:abstractNum w:abstractNumId="121">
    <w:nsid w:val="67A5A6B5"/>
    <w:multiLevelType w:val="hybridMultilevel"/>
    <w:lvl w:ilvl="0">
      <w:lvlJc w:val="left"/>
      <w:lvlText w:val="%1."/>
      <w:numFmt w:val="decimal"/>
      <w:start w:val="5"/>
    </w:lvl>
  </w:abstractNum>
  <w:abstractNum w:abstractNumId="122">
    <w:nsid w:val="C2A5C5B"/>
    <w:multiLevelType w:val="hybridMultilevel"/>
    <w:lvl w:ilvl="0">
      <w:lvlJc w:val="left"/>
      <w:lvlText w:val="%1."/>
      <w:numFmt w:val="decimal"/>
      <w:start w:val="1"/>
    </w:lvl>
  </w:abstractNum>
  <w:abstractNum w:abstractNumId="123">
    <w:nsid w:val="5F94DC03"/>
    <w:multiLevelType w:val="hybridMultilevel"/>
    <w:lvl w:ilvl="0">
      <w:lvlJc w:val="left"/>
      <w:lvlText w:val="%1."/>
      <w:numFmt w:val="decimal"/>
      <w:start w:val="5"/>
    </w:lvl>
  </w:abstractNum>
  <w:abstractNum w:abstractNumId="124">
    <w:nsid w:val="237BBCA0"/>
    <w:multiLevelType w:val="hybridMultilevel"/>
    <w:lvl w:ilvl="0">
      <w:lvlJc w:val="left"/>
      <w:lvlText w:val="(%1)"/>
      <w:numFmt w:val="lowerLetter"/>
      <w:start w:val="1"/>
    </w:lvl>
  </w:abstractNum>
  <w:abstractNum w:abstractNumId="125">
    <w:nsid w:val="162EB70D"/>
    <w:multiLevelType w:val="hybridMultilevel"/>
    <w:lvl w:ilvl="0">
      <w:lvlJc w:val="left"/>
      <w:lvlText w:val="(%1)"/>
      <w:numFmt w:val="lowerLetter"/>
      <w:start w:val="61"/>
    </w:lvl>
    <w:lvl w:ilvl="1">
      <w:lvlJc w:val="left"/>
      <w:lvlText w:val="(%2)"/>
      <w:numFmt w:val="lowerLetter"/>
      <w:start w:val="2"/>
    </w:lvl>
  </w:abstractNum>
  <w:abstractNum w:abstractNumId="126">
    <w:nsid w:val="78070222"/>
    <w:multiLevelType w:val="hybridMultilevel"/>
    <w:lvl w:ilvl="0">
      <w:lvlJc w:val="left"/>
      <w:lvlText w:val="(%1)"/>
      <w:numFmt w:val="lowerLetter"/>
      <w:start w:val="3"/>
    </w:lvl>
  </w:abstractNum>
  <w:abstractNum w:abstractNumId="127">
    <w:nsid w:val="6163ED0D"/>
    <w:multiLevelType w:val="hybridMultilevel"/>
    <w:lvl w:ilvl="0">
      <w:lvlJc w:val="left"/>
      <w:lvlText w:val="(%1)"/>
      <w:numFmt w:val="lowerLetter"/>
      <w:start w:val="6"/>
    </w:lvl>
  </w:abstractNum>
  <w:abstractNum w:abstractNumId="128">
    <w:nsid w:val="C600E47"/>
    <w:multiLevelType w:val="hybridMultilevel"/>
    <w:lvl w:ilvl="0">
      <w:lvlJc w:val="left"/>
      <w:lvlText w:val="(%1)"/>
      <w:numFmt w:val="lowerLetter"/>
      <w:start w:val="1"/>
    </w:lvl>
  </w:abstractNum>
  <w:abstractNum w:abstractNumId="129">
    <w:nsid w:val="7D94F75D"/>
    <w:multiLevelType w:val="hybridMultilevel"/>
    <w:lvl w:ilvl="0">
      <w:lvlJc w:val="left"/>
      <w:lvlText w:val="(%1)"/>
      <w:numFmt w:val="lowerLetter"/>
      <w:start w:val="2"/>
    </w:lvl>
  </w:abstractNum>
  <w:abstractNum w:abstractNumId="130">
    <w:nsid w:val="6C31E7CD"/>
    <w:multiLevelType w:val="hybridMultilevel"/>
    <w:lvl w:ilvl="0">
      <w:lvlJc w:val="left"/>
      <w:lvlText w:val="(%1)"/>
      <w:numFmt w:val="lowerLetter"/>
      <w:start w:val="1"/>
    </w:lvl>
  </w:abstractNum>
  <w:abstractNum w:abstractNumId="131">
    <w:nsid w:val="2BB7929B"/>
    <w:multiLevelType w:val="hybridMultilevel"/>
    <w:lvl w:ilvl="0">
      <w:lvlJc w:val="left"/>
      <w:lvlText w:val="(%1)"/>
      <w:numFmt w:val="lowerLetter"/>
      <w:start w:val="2"/>
    </w:lvl>
  </w:abstractNum>
  <w:abstractNum w:abstractNumId="132">
    <w:nsid w:val="58A2A487"/>
    <w:multiLevelType w:val="hybridMultilevel"/>
    <w:lvl w:ilvl="0">
      <w:lvlJc w:val="left"/>
      <w:lvlText w:val="(%1)"/>
      <w:numFmt w:val="lowerLetter"/>
      <w:start w:val="5"/>
    </w:lvl>
  </w:abstractNum>
  <w:abstractNum w:abstractNumId="133">
    <w:nsid w:val="3A6F0E78"/>
    <w:multiLevelType w:val="hybridMultilevel"/>
    <w:lvl w:ilvl="0">
      <w:lvlJc w:val="left"/>
      <w:lvlText w:val="(%1)"/>
      <w:numFmt w:val="lowerLetter"/>
      <w:start w:val="1"/>
    </w:lvl>
  </w:abstractNum>
  <w:abstractNum w:abstractNumId="134">
    <w:nsid w:val="379A5B56"/>
    <w:multiLevelType w:val="hybridMultilevel"/>
    <w:lvl w:ilvl="0">
      <w:lvlJc w:val="left"/>
      <w:lvlText w:val="(%1)"/>
      <w:numFmt w:val="lowerLetter"/>
      <w:start w:val="2"/>
    </w:lvl>
  </w:abstractNum>
  <w:abstractNum w:abstractNumId="135">
    <w:nsid w:val="53B735D5"/>
    <w:multiLevelType w:val="hybridMultilevel"/>
    <w:lvl w:ilvl="0">
      <w:lvlJc w:val="left"/>
      <w:lvlText w:val="%1"/>
      <w:numFmt w:val="lowerLetter"/>
      <w:start w:val="1"/>
    </w:lvl>
    <w:lvl w:ilvl="1">
      <w:lvlJc w:val="left"/>
      <w:lvlText w:val="(%2)"/>
      <w:numFmt w:val="lowerLetter"/>
      <w:start w:val="1"/>
    </w:lvl>
  </w:abstractNum>
  <w:abstractNum w:abstractNumId="136">
    <w:nsid w:val="29784870"/>
    <w:multiLevelType w:val="hybridMultilevel"/>
    <w:lvl w:ilvl="0">
      <w:lvlJc w:val="left"/>
      <w:lvlText w:val="(%1)"/>
      <w:numFmt w:val="lowerLetter"/>
      <w:start w:val="9"/>
    </w:lvl>
    <w:lvl w:ilvl="1">
      <w:lvlJc w:val="left"/>
      <w:lvlText w:val="%2"/>
      <w:numFmt w:val="lowerLetter"/>
      <w:start w:val="1"/>
    </w:lvl>
  </w:abstractNum>
  <w:abstractNum w:abstractNumId="137">
    <w:nsid w:val="4CDCED4C"/>
    <w:multiLevelType w:val="hybridMultilevel"/>
    <w:lvl w:ilvl="0">
      <w:lvlJc w:val="left"/>
      <w:lvlText w:val="(%1)"/>
      <w:numFmt w:val="lowerLetter"/>
      <w:start w:val="1"/>
    </w:lvl>
  </w:abstractNum>
  <w:abstractNum w:abstractNumId="138">
    <w:nsid w:val="10A30D9C"/>
    <w:multiLevelType w:val="hybridMultilevel"/>
    <w:lvl w:ilvl="0">
      <w:lvlJc w:val="left"/>
      <w:lvlText w:val="(%1)"/>
      <w:numFmt w:val="lowerLetter"/>
      <w:start w:val="2"/>
    </w:lvl>
    <w:lvl w:ilvl="1">
      <w:lvlJc w:val="left"/>
      <w:lvlText w:val="(%2)"/>
      <w:numFmt w:val="lowerRoman"/>
      <w:start w:val="1"/>
    </w:lvl>
  </w:abstractNum>
  <w:abstractNum w:abstractNumId="139">
    <w:nsid w:val="A66E486"/>
    <w:multiLevelType w:val="hybridMultilevel"/>
    <w:lvl w:ilvl="0">
      <w:lvlJc w:val="left"/>
      <w:lvlText w:val="(%1)"/>
      <w:numFmt w:val="lowerLetter"/>
      <w:start w:val="1"/>
    </w:lvl>
  </w:abstractNum>
  <w:abstractNum w:abstractNumId="140">
    <w:nsid w:val="306235EA"/>
    <w:multiLevelType w:val="hybridMultilevel"/>
    <w:lvl w:ilvl="0">
      <w:lvlJc w:val="left"/>
      <w:lvlText w:val="(%1)"/>
      <w:numFmt w:val="lowerLetter"/>
      <w:start w:val="1"/>
    </w:lvl>
  </w:abstractNum>
  <w:abstractNum w:abstractNumId="141">
    <w:nsid w:val="1187C70F"/>
    <w:multiLevelType w:val="hybridMultilevel"/>
    <w:lvl w:ilvl="0">
      <w:lvlJc w:val="left"/>
      <w:lvlText w:val="(%1)"/>
      <w:numFmt w:val="lowerLetter"/>
      <w:start w:val="1"/>
    </w:lvl>
  </w:abstractNum>
  <w:abstractNum w:abstractNumId="142">
    <w:nsid w:val="5476DE98"/>
    <w:multiLevelType w:val="hybridMultilevel"/>
    <w:lvl w:ilvl="0">
      <w:lvlJc w:val="left"/>
      <w:lvlText w:val="(%1)"/>
      <w:numFmt w:val="lowerLetter"/>
      <w:start w:val="1"/>
    </w:lvl>
  </w:abstractNum>
  <w:abstractNum w:abstractNumId="143">
    <w:nsid w:val="EA697F2"/>
    <w:multiLevelType w:val="hybridMultilevel"/>
    <w:lvl w:ilvl="0">
      <w:lvlJc w:val="left"/>
      <w:lvlText w:val="(%1)"/>
      <w:numFmt w:val="lowerLetter"/>
      <w:start w:val="2"/>
    </w:lvl>
  </w:abstractNum>
  <w:abstractNum w:abstractNumId="144">
    <w:nsid w:val="70BA39EB"/>
    <w:multiLevelType w:val="hybridMultilevel"/>
    <w:lvl w:ilvl="0">
      <w:lvlJc w:val="left"/>
      <w:lvlText w:val="(%1)"/>
      <w:numFmt w:val="lowerLetter"/>
      <w:start w:val="1"/>
    </w:lvl>
  </w:abstractNum>
  <w:abstractNum w:abstractNumId="145">
    <w:nsid w:val="4A8DB59C"/>
    <w:multiLevelType w:val="hybridMultilevel"/>
    <w:lvl w:ilvl="0">
      <w:lvlJc w:val="left"/>
      <w:lvlText w:val="(%1)"/>
      <w:numFmt w:val="lowerLetter"/>
      <w:start w:val="3"/>
    </w:lvl>
  </w:abstractNum>
  <w:abstractNum w:abstractNumId="146">
    <w:nsid w:val="1AFD9053"/>
    <w:multiLevelType w:val="hybridMultilevel"/>
    <w:lvl w:ilvl="0">
      <w:lvlJc w:val="left"/>
      <w:lvlText w:val="%1)"/>
      <w:numFmt w:val="decimal"/>
      <w:start w:val="26"/>
    </w:lvl>
    <w:lvl w:ilvl="1">
      <w:lvlJc w:val="left"/>
      <w:lvlText w:val="(%2)"/>
      <w:numFmt w:val="lowerLetter"/>
      <w:start w:val="4"/>
    </w:lvl>
  </w:abstractNum>
  <w:abstractNum w:abstractNumId="147">
    <w:nsid w:val="558BB10D"/>
    <w:multiLevelType w:val="hybridMultilevel"/>
    <w:lvl w:ilvl="0">
      <w:lvlJc w:val="left"/>
      <w:lvlText w:val="(%1)"/>
      <w:numFmt w:val="lowerLetter"/>
      <w:start w:val="1"/>
    </w:lvl>
  </w:abstractNum>
  <w:abstractNum w:abstractNumId="148">
    <w:nsid w:val="43B27FA7"/>
    <w:multiLevelType w:val="hybridMultilevel"/>
    <w:lvl w:ilvl="0">
      <w:lvlJc w:val="left"/>
      <w:lvlText w:val="%1"/>
      <w:numFmt w:val="decimal"/>
      <w:start w:val="1"/>
    </w:lvl>
    <w:lvl w:ilvl="1">
      <w:lvlJc w:val="left"/>
      <w:lvlText w:val="(%2)"/>
      <w:numFmt w:val="lowerLetter"/>
      <w:start w:val="1"/>
    </w:lvl>
  </w:abstractNum>
  <w:abstractNum w:abstractNumId="149">
    <w:nsid w:val="27FADEFA"/>
    <w:multiLevelType w:val="hybridMultilevel"/>
    <w:lvl w:ilvl="0">
      <w:lvlJc w:val="left"/>
      <w:lvlText w:val="(%1)"/>
      <w:numFmt w:val="decimal"/>
      <w:start w:val="10"/>
    </w:lvl>
    <w:lvl w:ilvl="1">
      <w:lvlJc w:val="left"/>
      <w:lvlText w:val="%2"/>
      <w:numFmt w:val="lowerLetter"/>
      <w:start w:val="1"/>
    </w:lvl>
  </w:abstractNum>
  <w:abstractNum w:abstractNumId="150">
    <w:nsid w:val="78BB805A"/>
    <w:multiLevelType w:val="hybridMultilevel"/>
    <w:lvl w:ilvl="0">
      <w:lvlJc w:val="left"/>
      <w:lvlText w:val="(%1)"/>
      <w:numFmt w:val="lowerLetter"/>
      <w:start w:val="3"/>
    </w:lvl>
  </w:abstractNum>
  <w:abstractNum w:abstractNumId="151">
    <w:nsid w:val="62548FD8"/>
    <w:multiLevelType w:val="hybridMultilevel"/>
    <w:lvl w:ilvl="0">
      <w:lvlJc w:val="left"/>
      <w:lvlText w:val="(%1)"/>
      <w:numFmt w:val="lowerLetter"/>
      <w:start w:val="1"/>
    </w:lvl>
  </w:abstractNum>
  <w:abstractNum w:abstractNumId="152">
    <w:nsid w:val="FA085B0"/>
    <w:multiLevelType w:val="hybridMultilevel"/>
    <w:lvl w:ilvl="0">
      <w:lvlJc w:val="left"/>
      <w:lvlText w:val="(%1)"/>
      <w:numFmt w:val="decimal"/>
      <w:start w:val="1"/>
    </w:lvl>
  </w:abstractNum>
  <w:abstractNum w:abstractNumId="153">
    <w:nsid w:val="4E5DCB5"/>
    <w:multiLevelType w:val="hybridMultilevel"/>
    <w:lvl w:ilvl="0">
      <w:lvlJc w:val="left"/>
      <w:lvlText w:val="%1"/>
      <w:numFmt w:val="lowerLetter"/>
      <w:start w:val="1"/>
    </w:lvl>
    <w:lvl w:ilvl="1">
      <w:lvlJc w:val="left"/>
      <w:lvlText w:val="(%2)"/>
      <w:numFmt w:val="decimal"/>
      <w:start w:val="2"/>
    </w:lvl>
  </w:abstractNum>
  <w:abstractNum w:abstractNumId="154">
    <w:nsid w:val="41E96BDB"/>
    <w:multiLevelType w:val="hybridMultilevel"/>
    <w:lvl w:ilvl="0">
      <w:lvlJc w:val="left"/>
      <w:lvlText w:val="(%1)"/>
      <w:numFmt w:val="lowerLetter"/>
      <w:start w:val="2"/>
    </w:lvl>
    <w:lvl w:ilvl="1">
      <w:lvlJc w:val="left"/>
      <w:lvlText w:val="%2"/>
      <w:numFmt w:val="decimal"/>
      <w:start w:val="1"/>
    </w:lvl>
  </w:abstractNum>
  <w:abstractNum w:abstractNumId="155">
    <w:nsid w:val="331C4250"/>
    <w:multiLevelType w:val="hybridMultilevel"/>
    <w:lvl w:ilvl="0">
      <w:lvlJc w:val="left"/>
      <w:lvlText w:val="%1"/>
      <w:numFmt w:val="lowerLetter"/>
      <w:start w:val="1"/>
    </w:lvl>
    <w:lvl w:ilvl="1">
      <w:lvlJc w:val="left"/>
      <w:lvlText w:val="(%2)"/>
      <w:numFmt w:val="lowerLetter"/>
      <w:start w:val="4"/>
    </w:lvl>
  </w:abstractNum>
  <w:abstractNum w:abstractNumId="156">
    <w:nsid w:val="1B1493C2"/>
    <w:multiLevelType w:val="hybridMultilevel"/>
    <w:lvl w:ilvl="0">
      <w:lvlJc w:val="left"/>
      <w:lvlText w:val="(%1)"/>
      <w:numFmt w:val="lowerLetter"/>
      <w:start w:val="35"/>
    </w:lvl>
    <w:lvl w:ilvl="1">
      <w:lvlJc w:val="left"/>
      <w:lvlText w:val="(%2)"/>
      <w:numFmt w:val="lowerLetter"/>
      <w:start w:val="5"/>
    </w:lvl>
  </w:abstractNum>
  <w:abstractNum w:abstractNumId="157">
    <w:nsid w:val="39F06DFD"/>
    <w:multiLevelType w:val="hybridMultilevel"/>
    <w:lvl w:ilvl="0">
      <w:lvlJc w:val="left"/>
      <w:lvlText w:val="(%1)"/>
      <w:numFmt w:val="lowerLetter"/>
      <w:start w:val="6"/>
    </w:lvl>
  </w:abstractNum>
  <w:abstractNum w:abstractNumId="158">
    <w:nsid w:val="14802F5D"/>
    <w:multiLevelType w:val="hybridMultilevel"/>
    <w:lvl w:ilvl="0">
      <w:lvlJc w:val="left"/>
      <w:lvlText w:val="(%1)"/>
      <w:numFmt w:val="decimal"/>
      <w:start w:val="1"/>
    </w:lvl>
  </w:abstractNum>
  <w:abstractNum w:abstractNumId="159">
    <w:nsid w:val="2774A209"/>
    <w:multiLevelType w:val="hybridMultilevel"/>
    <w:lvl w:ilvl="0">
      <w:lvlJc w:val="left"/>
      <w:lvlText w:val="(%1)"/>
      <w:numFmt w:val="decimal"/>
      <w:start w:val="5"/>
    </w:lvl>
  </w:abstractNum>
  <w:abstractNum w:abstractNumId="160">
    <w:nsid w:val="3785655A"/>
    <w:multiLevelType w:val="hybridMultilevel"/>
    <w:lvl w:ilvl="0">
      <w:lvlJc w:val="left"/>
      <w:lvlText w:val="(%1)"/>
      <w:numFmt w:val="lowerLetter"/>
      <w:start w:val="1"/>
    </w:lvl>
  </w:abstractNum>
  <w:abstractNum w:abstractNumId="161">
    <w:nsid w:val="B2172A"/>
    <w:multiLevelType w:val="hybridMultilevel"/>
    <w:lvl w:ilvl="0">
      <w:lvlJc w:val="left"/>
      <w:lvlText w:val="(%1)"/>
      <w:numFmt w:val="lowerLetter"/>
      <w:start w:val="5"/>
    </w:lvl>
  </w:abstractNum>
  <w:abstractNum w:abstractNumId="162">
    <w:nsid w:val="532C34A5"/>
    <w:multiLevelType w:val="hybridMultilevel"/>
    <w:lvl w:ilvl="0">
      <w:lvlJc w:val="left"/>
      <w:lvlText w:val="(%1)"/>
      <w:numFmt w:val="lowerLetter"/>
      <w:start w:val="1"/>
    </w:lvl>
    <w:lvl w:ilvl="1">
      <w:lvlJc w:val="left"/>
      <w:lvlText w:val="(%2)"/>
      <w:numFmt w:val="decimal"/>
      <w:start w:val="1"/>
    </w:lvl>
  </w:abstractNum>
  <w:abstractNum w:abstractNumId="163">
    <w:nsid w:val="102809E2"/>
    <w:multiLevelType w:val="hybridMultilevel"/>
    <w:lvl w:ilvl="0">
      <w:lvlJc w:val="left"/>
      <w:lvlText w:val="(%1)"/>
      <w:numFmt w:val="decimal"/>
      <w:start w:val="2"/>
    </w:lvl>
  </w:abstractNum>
  <w:abstractNum w:abstractNumId="164">
    <w:nsid w:val="3B2125A3"/>
    <w:multiLevelType w:val="hybridMultilevel"/>
    <w:lvl w:ilvl="0">
      <w:lvlJc w:val="left"/>
      <w:lvlText w:val="(%1)"/>
      <w:numFmt w:val="lowerLetter"/>
      <w:start w:val="7"/>
    </w:lvl>
    <w:lvl w:ilvl="1">
      <w:lvlJc w:val="left"/>
      <w:lvlText w:val="(%2)"/>
      <w:numFmt w:val="decimal"/>
      <w:start w:val="1"/>
    </w:lvl>
  </w:abstractNum>
  <w:abstractNum w:abstractNumId="165">
    <w:nsid w:val="AC68FFB"/>
    <w:multiLevelType w:val="hybridMultilevel"/>
    <w:lvl w:ilvl="0">
      <w:lvlJc w:val="left"/>
      <w:lvlText w:val="%1"/>
      <w:numFmt w:val="lowerLetter"/>
      <w:start w:val="1"/>
    </w:lvl>
    <w:lvl w:ilvl="1">
      <w:lvlJc w:val="left"/>
      <w:lvlText w:val="(%2)"/>
      <w:numFmt w:val="decimal"/>
      <w:start w:val="2"/>
    </w:lvl>
  </w:abstractNum>
  <w:abstractNum w:abstractNumId="166">
    <w:nsid w:val="63DF3FB7"/>
    <w:multiLevelType w:val="hybridMultilevel"/>
    <w:lvl w:ilvl="0">
      <w:lvlJc w:val="left"/>
      <w:lvlText w:val="(%1)"/>
      <w:numFmt w:val="lowerLetter"/>
      <w:start w:val="10"/>
    </w:lvl>
    <w:lvl w:ilvl="1">
      <w:lvlJc w:val="left"/>
      <w:lvlText w:val="%2"/>
      <w:numFmt w:val="decimal"/>
      <w:start w:val="1"/>
    </w:lvl>
  </w:abstractNum>
  <w:abstractNum w:abstractNumId="167">
    <w:nsid w:val="64996E13"/>
    <w:multiLevelType w:val="hybridMultilevel"/>
    <w:lvl w:ilvl="0">
      <w:lvlJc w:val="left"/>
      <w:lvlText w:val="(%1)"/>
      <w:numFmt w:val="lowerLetter"/>
      <w:start w:val="1"/>
    </w:lvl>
  </w:abstractNum>
  <w:abstractNum w:abstractNumId="168">
    <w:nsid w:val="57A37D47"/>
    <w:multiLevelType w:val="hybridMultilevel"/>
    <w:lvl w:ilvl="0">
      <w:lvlJc w:val="left"/>
      <w:lvlText w:val="(%1)"/>
      <w:numFmt w:val="lowerLetter"/>
      <w:start w:val="2"/>
    </w:lvl>
  </w:abstractNum>
  <w:abstractNum w:abstractNumId="169">
    <w:nsid w:val="74824D54"/>
    <w:multiLevelType w:val="hybridMultilevel"/>
    <w:lvl w:ilvl="0">
      <w:lvlJc w:val="left"/>
      <w:lvlText w:val="%1"/>
      <w:numFmt w:val="lowerLetter"/>
      <w:start w:val="1"/>
    </w:lvl>
    <w:lvl w:ilvl="1">
      <w:lvlJc w:val="left"/>
      <w:lvlText w:val="(%2)"/>
      <w:numFmt w:val="lowerLetter"/>
      <w:start w:val="1"/>
    </w:lvl>
  </w:abstractNum>
  <w:abstractNum w:abstractNumId="170">
    <w:nsid w:val="6F00529A"/>
    <w:multiLevelType w:val="hybridMultilevel"/>
    <w:lvl w:ilvl="0">
      <w:lvlJc w:val="left"/>
      <w:lvlText w:val="(%1)"/>
      <w:numFmt w:val="lowerLetter"/>
      <w:start w:val="2"/>
    </w:lvl>
    <w:lvl w:ilvl="1">
      <w:lvlJc w:val="left"/>
      <w:lvlText w:val="(%2)"/>
      <w:numFmt w:val="lowerLetter"/>
      <w:start w:val="7"/>
    </w:lvl>
  </w:abstractNum>
  <w:abstractNum w:abstractNumId="171">
    <w:nsid w:val="805B331"/>
    <w:multiLevelType w:val="hybridMultilevel"/>
    <w:lvl w:ilvl="0">
      <w:lvlJc w:val="left"/>
      <w:lvlText w:val="(%1)"/>
      <w:numFmt w:val="lowerLetter"/>
      <w:start w:val="9"/>
    </w:lvl>
  </w:abstractNum>
  <w:abstractNum w:abstractNumId="172">
    <w:nsid w:val="60A1463"/>
    <w:multiLevelType w:val="hybridMultilevel"/>
    <w:lvl w:ilvl="0">
      <w:lvlJc w:val="left"/>
      <w:lvlText w:val="(%1)"/>
      <w:numFmt w:val="lowerLetter"/>
      <w:start w:val="1"/>
    </w:lvl>
    <w:lvl w:ilvl="1">
      <w:lvlJc w:val="left"/>
      <w:lvlText w:val="(%2)"/>
      <w:numFmt w:val="lowerRoman"/>
      <w:start w:val="1"/>
    </w:lvl>
  </w:abstractNum>
  <w:abstractNum w:abstractNumId="173">
    <w:nsid w:val="43773132"/>
    <w:multiLevelType w:val="hybridMultilevel"/>
    <w:lvl w:ilvl="0">
      <w:lvlJc w:val="left"/>
      <w:lvlText w:val="(%1)"/>
      <w:numFmt w:val="lowerLetter"/>
      <w:start w:val="4"/>
    </w:lvl>
  </w:abstractNum>
  <w:abstractNum w:abstractNumId="174">
    <w:nsid w:val="16AC4B23"/>
    <w:multiLevelType w:val="hybridMultilevel"/>
    <w:lvl w:ilvl="0">
      <w:lvlJc w:val="left"/>
      <w:lvlText w:val="(%1)"/>
      <w:numFmt w:val="lowerLetter"/>
      <w:start w:val="5"/>
    </w:lvl>
  </w:abstractNum>
  <w:abstractNum w:abstractNumId="175">
    <w:nsid w:val="76C44E4E"/>
    <w:multiLevelType w:val="hybridMultilevel"/>
    <w:lvl w:ilvl="0">
      <w:lvlJc w:val="left"/>
      <w:lvlText w:val="(%1)"/>
      <w:numFmt w:val="lowerLetter"/>
      <w:start w:val="2"/>
    </w:lvl>
  </w:abstractNum>
  <w:abstractNum w:abstractNumId="176">
    <w:nsid w:val="E04E6CE"/>
    <w:multiLevelType w:val="hybridMultilevel"/>
    <w:lvl w:ilvl="0">
      <w:lvlJc w:val="left"/>
      <w:lvlText w:val="(%1)"/>
      <w:numFmt w:val="lowerLetter"/>
      <w:start w:val="3"/>
    </w:lvl>
    <w:lvl w:ilvl="1">
      <w:lvlJc w:val="left"/>
      <w:lvlText w:val="(%2)"/>
      <w:numFmt w:val="lowerRoman"/>
      <w:start w:val="1"/>
    </w:lvl>
  </w:abstractNum>
  <w:abstractNum w:abstractNumId="177">
    <w:nsid w:val="31A9DB76"/>
    <w:multiLevelType w:val="hybridMultilevel"/>
    <w:lvl w:ilvl="0">
      <w:lvlJc w:val="left"/>
      <w:lvlText w:val="(%1)"/>
      <w:numFmt w:val="lowerRoman"/>
      <w:start w:val="4"/>
    </w:lvl>
  </w:abstractNum>
  <w:abstractNum w:abstractNumId="178">
    <w:nsid w:val="4C4FFF5B"/>
    <w:multiLevelType w:val="hybridMultilevel"/>
    <w:lvl w:ilvl="0">
      <w:lvlJc w:val="left"/>
      <w:lvlText w:val="(%1)"/>
      <w:numFmt w:val="lowerLetter"/>
      <w:start w:val="1"/>
    </w:lvl>
  </w:abstractNum>
  <w:abstractNum w:abstractNumId="179">
    <w:nsid w:val="51B76675"/>
    <w:multiLevelType w:val="hybridMultilevel"/>
    <w:lvl w:ilvl="0">
      <w:lvlJc w:val="left"/>
      <w:lvlText w:val="(%1)"/>
      <w:numFmt w:val="lowerLetter"/>
      <w:start w:val="2"/>
    </w:lvl>
  </w:abstractNum>
  <w:abstractNum w:abstractNumId="180">
    <w:nsid w:val="59A4BA71"/>
    <w:multiLevelType w:val="hybridMultilevel"/>
    <w:lvl w:ilvl="0">
      <w:lvlJc w:val="left"/>
      <w:lvlText w:val="(%1)"/>
      <w:numFmt w:val="lowerLetter"/>
      <w:start w:val="1"/>
    </w:lvl>
  </w:abstractNum>
  <w:abstractNum w:abstractNumId="181">
    <w:nsid w:val="450B7FB6"/>
    <w:multiLevelType w:val="hybridMultilevel"/>
    <w:lvl w:ilvl="0">
      <w:lvlJc w:val="left"/>
      <w:lvlText w:val="(%1)"/>
      <w:numFmt w:val="lowerLetter"/>
      <w:start w:val="2"/>
    </w:lvl>
    <w:lvl w:ilvl="1">
      <w:lvlJc w:val="left"/>
      <w:lvlText w:val="(%2)"/>
      <w:numFmt w:val="lowerRoman"/>
      <w:start w:val="1"/>
    </w:lvl>
  </w:abstractNum>
  <w:abstractNum w:abstractNumId="182">
    <w:nsid w:val="340BF64D"/>
    <w:multiLevelType w:val="hybridMultilevel"/>
    <w:lvl w:ilvl="0">
      <w:lvlJc w:val="left"/>
      <w:lvlText w:val="%1"/>
      <w:numFmt w:val="lowerLetter"/>
      <w:start w:val="1"/>
    </w:lvl>
    <w:lvl w:ilvl="1">
      <w:lvlJc w:val="left"/>
      <w:lvlText w:val="(%2)"/>
      <w:numFmt w:val="lowerRoman"/>
      <w:start w:val="5"/>
    </w:lvl>
  </w:abstractNum>
  <w:abstractNum w:abstractNumId="183">
    <w:nsid w:val="69454021"/>
    <w:multiLevelType w:val="hybridMultilevel"/>
    <w:lvl w:ilvl="0">
      <w:lvlJc w:val="left"/>
      <w:lvlText w:val="(%1)"/>
      <w:numFmt w:val="lowerLetter"/>
      <w:start w:val="3"/>
    </w:lvl>
    <w:lvl w:ilvl="1">
      <w:lvlJc w:val="left"/>
      <w:lvlText w:val="%2"/>
      <w:numFmt w:val="lowerRoman"/>
      <w:start w:val="1"/>
    </w:lvl>
  </w:abstractNum>
  <w:abstractNum w:abstractNumId="184">
    <w:nsid w:val="49F15C6B"/>
    <w:multiLevelType w:val="hybridMultilevel"/>
    <w:lvl w:ilvl="0">
      <w:lvlJc w:val="left"/>
      <w:lvlText w:val="(%1)"/>
      <w:numFmt w:val="lowerLetter"/>
      <w:start w:val="1"/>
    </w:lvl>
  </w:abstractNum>
  <w:abstractNum w:abstractNumId="185">
    <w:nsid w:val="75F56228"/>
    <w:multiLevelType w:val="hybridMultilevel"/>
    <w:lvl w:ilvl="0">
      <w:lvlJc w:val="left"/>
      <w:lvlText w:val="(%1)"/>
      <w:numFmt w:val="lowerLetter"/>
      <w:start w:val="2"/>
    </w:lvl>
  </w:abstractNum>
  <w:abstractNum w:abstractNumId="186">
    <w:nsid w:val="1C618271"/>
    <w:multiLevelType w:val="hybridMultilevel"/>
    <w:lvl w:ilvl="0">
      <w:lvlJc w:val="left"/>
      <w:lvlText w:val="(%1)"/>
      <w:numFmt w:val="lowerRoman"/>
      <w:start w:val="1"/>
    </w:lvl>
  </w:abstractNum>
  <w:abstractNum w:abstractNumId="187">
    <w:nsid w:val="6505F02E"/>
    <w:multiLevelType w:val="hybridMultilevel"/>
    <w:lvl w:ilvl="0">
      <w:lvlJc w:val="left"/>
      <w:lvlText w:val="(%1)"/>
      <w:numFmt w:val="lowerLetter"/>
      <w:start w:val="2"/>
    </w:lvl>
  </w:abstractNum>
  <w:abstractNum w:abstractNumId="188">
    <w:nsid w:val="2FE5D025"/>
    <w:multiLevelType w:val="hybridMultilevel"/>
    <w:lvl w:ilvl="0">
      <w:lvlJc w:val="left"/>
      <w:lvlText w:val="(%1)"/>
      <w:numFmt w:val="lowerLetter"/>
      <w:start w:val="1"/>
    </w:lvl>
  </w:abstractNum>
  <w:abstractNum w:abstractNumId="189">
    <w:nsid w:val="30E1B1CF"/>
    <w:multiLevelType w:val="hybridMultilevel"/>
    <w:lvl w:ilvl="0">
      <w:lvlJc w:val="left"/>
      <w:lvlText w:val="(%1)"/>
      <w:numFmt w:val="lowerLetter"/>
      <w:start w:val="2"/>
    </w:lvl>
  </w:abstractNum>
  <w:abstractNum w:abstractNumId="190">
    <w:nsid w:val="C7A9237"/>
    <w:multiLevelType w:val="hybridMultilevel"/>
    <w:lvl w:ilvl="0">
      <w:lvlJc w:val="left"/>
      <w:lvlText w:val="(%1)"/>
      <w:numFmt w:val="lowerLetter"/>
      <w:start w:val="3"/>
    </w:lvl>
  </w:abstractNum>
  <w:abstractNum w:abstractNumId="191">
    <w:nsid w:val="676B3580"/>
    <w:multiLevelType w:val="hybridMultilevel"/>
    <w:lvl w:ilvl="0">
      <w:lvlJc w:val="left"/>
      <w:lvlText w:val="(%1)"/>
      <w:numFmt w:val="lowerLetter"/>
      <w:start w:val="5"/>
    </w:lvl>
  </w:abstractNum>
  <w:abstractNum w:abstractNumId="192">
    <w:nsid w:val="3193C8F9"/>
    <w:multiLevelType w:val="hybridMultilevel"/>
    <w:lvl w:ilvl="0">
      <w:lvlJc w:val="left"/>
      <w:lvlText w:val="(%1)"/>
      <w:numFmt w:val="lowerLetter"/>
      <w:start w:val="1"/>
    </w:lvl>
  </w:abstractNum>
  <w:abstractNum w:abstractNumId="193">
    <w:nsid w:val="5FA6C6DC"/>
    <w:multiLevelType w:val="hybridMultilevel"/>
    <w:lvl w:ilvl="0">
      <w:lvlJc w:val="left"/>
      <w:lvlText w:val="(%1)"/>
      <w:numFmt w:val="lowerLetter"/>
      <w:start w:val="2"/>
    </w:lvl>
  </w:abstractNum>
  <w:abstractNum w:abstractNumId="194">
    <w:nsid w:val="77933F62"/>
    <w:multiLevelType w:val="hybridMultilevel"/>
    <w:lvl w:ilvl="0">
      <w:lvlJc w:val="left"/>
      <w:lvlText w:val="%1"/>
      <w:numFmt w:val="lowerLetter"/>
      <w:start w:val="1"/>
    </w:lvl>
    <w:lvl w:ilvl="1">
      <w:lvlJc w:val="left"/>
      <w:lvlText w:val="(%2)"/>
      <w:numFmt w:val="lowerLetter"/>
      <w:start w:val="3"/>
    </w:lvl>
  </w:abstractNum>
  <w:abstractNum w:abstractNumId="195">
    <w:nsid w:val="6CB4EE9C"/>
    <w:multiLevelType w:val="hybridMultilevel"/>
    <w:lvl w:ilvl="0">
      <w:lvlJc w:val="left"/>
      <w:lvlText w:val="(%1)"/>
      <w:numFmt w:val="lowerLetter"/>
      <w:start w:val="4"/>
    </w:lvl>
    <w:lvl w:ilvl="1">
      <w:lvlJc w:val="left"/>
      <w:lvlText w:val="%2"/>
      <w:numFmt w:val="lowerLetter"/>
      <w:start w:val="1"/>
    </w:lvl>
  </w:abstractNum>
  <w:abstractNum w:abstractNumId="196">
    <w:nsid w:val="6A6D56D7"/>
    <w:multiLevelType w:val="hybridMultilevel"/>
    <w:lvl w:ilvl="0">
      <w:lvlJc w:val="left"/>
      <w:lvlText w:val="(%1)"/>
      <w:numFmt w:val="lowerLetter"/>
      <w:start w:val="1"/>
    </w:lvl>
  </w:abstractNum>
  <w:abstractNum w:abstractNumId="197">
    <w:nsid w:val="5B727F19"/>
    <w:multiLevelType w:val="hybridMultilevel"/>
    <w:lvl w:ilvl="0">
      <w:lvlJc w:val="left"/>
      <w:lvlText w:val="(%1)"/>
      <w:numFmt w:val="lowerLetter"/>
      <w:start w:val="5"/>
    </w:lvl>
  </w:abstractNum>
  <w:abstractNum w:abstractNumId="198">
    <w:nsid w:val="514E5CB0"/>
    <w:multiLevelType w:val="hybridMultilevel"/>
    <w:lvl w:ilvl="0">
      <w:lvlJc w:val="left"/>
      <w:lvlText w:val="(%1)"/>
      <w:numFmt w:val="lowerLetter"/>
      <w:start w:val="8"/>
    </w:lvl>
  </w:abstractNum>
  <w:abstractNum w:abstractNumId="199">
    <w:nsid w:val="4210D41E"/>
    <w:multiLevelType w:val="hybridMultilevel"/>
    <w:lvl w:ilvl="0">
      <w:lvlJc w:val="left"/>
      <w:lvlText w:val="%1."/>
      <w:numFmt w:val="upperLetter"/>
      <w:start w:val="1"/>
    </w:lvl>
  </w:abstractNum>
  <w:abstractNum w:abstractNumId="200">
    <w:nsid w:val="4FF4CC6D"/>
    <w:multiLevelType w:val="hybridMultilevel"/>
    <w:lvl w:ilvl="0">
      <w:lvlJc w:val="left"/>
      <w:lvlText w:val="%1."/>
      <w:numFmt w:val="decimal"/>
      <w:start w:val="1"/>
    </w:lvl>
  </w:abstractNum>
  <w:abstractNum w:abstractNumId="201">
    <w:nsid w:val="404EAF4A"/>
    <w:multiLevelType w:val="hybridMultilevel"/>
    <w:lvl w:ilvl="0">
      <w:lvlJc w:val="left"/>
      <w:lvlText w:val="%1."/>
      <w:numFmt w:val="decimal"/>
      <w:start w:val="2"/>
    </w:lvl>
  </w:abstractNum>
  <w:abstractNum w:abstractNumId="202">
    <w:nsid w:val="4A16874F"/>
    <w:multiLevelType w:val="hybridMultilevel"/>
    <w:lvl w:ilvl="0">
      <w:lvlJc w:val="left"/>
      <w:lvlText w:val="(%1)"/>
      <w:numFmt w:val="lowerLetter"/>
      <w:start w:val="1"/>
    </w:lvl>
  </w:abstractNum>
  <w:abstractNum w:abstractNumId="203">
    <w:nsid w:val="55FEE0D1"/>
    <w:multiLevelType w:val="hybridMultilevel"/>
    <w:lvl w:ilvl="0">
      <w:lvlJc w:val="left"/>
      <w:lvlText w:val="(%1)"/>
      <w:numFmt w:val="lowerLetter"/>
      <w:start w:val="2"/>
    </w:lvl>
  </w:abstractNum>
  <w:abstractNum w:abstractNumId="204">
    <w:nsid w:val="3C5E07C"/>
    <w:multiLevelType w:val="hybridMultilevel"/>
    <w:lvl w:ilvl="0">
      <w:lvlJc w:val="left"/>
      <w:lvlText w:val="(%1)"/>
      <w:numFmt w:val="lowerLetter"/>
      <w:start w:val="1"/>
    </w:lvl>
  </w:abstractNum>
  <w:abstractNum w:abstractNumId="205">
    <w:nsid w:val="60C2D273"/>
    <w:multiLevelType w:val="hybridMultilevel"/>
    <w:lvl w:ilvl="0">
      <w:lvlJc w:val="left"/>
      <w:lvlText w:val="(%1)"/>
      <w:numFmt w:val="lowerLetter"/>
      <w:start w:val="1"/>
    </w:lvl>
  </w:abstractNum>
  <w:abstractNum w:abstractNumId="206">
    <w:nsid w:val="4CC32F1F"/>
    <w:multiLevelType w:val="hybridMultilevel"/>
    <w:lvl w:ilvl="0">
      <w:lvlJc w:val="left"/>
      <w:lvlText w:val="(%1)"/>
      <w:numFmt w:val="decimal"/>
      <w:start w:val="1"/>
    </w:lvl>
  </w:abstractNum>
  <w:abstractNum w:abstractNumId="207">
    <w:nsid w:val="11CAC74A"/>
    <w:multiLevelType w:val="hybridMultilevel"/>
    <w:lvl w:ilvl="0">
      <w:lvlJc w:val="left"/>
      <w:lvlText w:val="(%1)"/>
      <w:numFmt w:val="decimal"/>
      <w:start w:val="2"/>
    </w:lvl>
  </w:abstractNum>
  <w:abstractNum w:abstractNumId="208">
    <w:nsid w:val="126CADE9"/>
    <w:multiLevelType w:val="hybridMultilevel"/>
    <w:lvl w:ilvl="0">
      <w:lvlJc w:val="left"/>
      <w:lvlText w:val="(%1)"/>
      <w:numFmt w:val="lowerLetter"/>
      <w:start w:val="1"/>
    </w:lvl>
  </w:abstractNum>
  <w:abstractNum w:abstractNumId="209">
    <w:nsid w:val="19132E7B"/>
    <w:multiLevelType w:val="hybridMultilevel"/>
    <w:lvl w:ilvl="0">
      <w:lvlJc w:val="left"/>
      <w:lvlText w:val="o"/>
      <w:numFmt w:val="bullet"/>
      <w:start w:val="1"/>
    </w:lvl>
  </w:abstractNum>
  <w:abstractNum w:abstractNumId="210">
    <w:nsid w:val="63822DC0"/>
    <w:multiLevelType w:val="hybridMultilevel"/>
    <w:lvl w:ilvl="0">
      <w:lvlJc w:val="left"/>
      <w:lvlText w:val="%1."/>
      <w:numFmt w:val="decimal"/>
      <w:start w:val="2"/>
    </w:lvl>
  </w:abstractNum>
  <w:abstractNum w:abstractNumId="211">
    <w:nsid w:val="6C11685A"/>
    <w:multiLevelType w:val="hybridMultilevel"/>
    <w:lvl w:ilvl="0">
      <w:lvlJc w:val="left"/>
      <w:lvlText w:val="%1."/>
      <w:numFmt w:val="decimal"/>
      <w:start w:val="3"/>
    </w:lvl>
  </w:abstractNum>
  <w:abstractNum w:abstractNumId="212">
    <w:nsid w:val="5E1EAE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3">
    <w:nsid w:val="178E240D"/>
    <w:multiLevelType w:val="hybridMultilevel"/>
    <w:lvl w:ilvl="0">
      <w:lvlJc w:val="left"/>
      <w:lvlText w:val="(%1)"/>
      <w:numFmt w:val="lowerRoman"/>
      <w:start w:val="3"/>
    </w:lvl>
  </w:abstractNum>
  <w:abstractNum w:abstractNumId="214">
    <w:nsid w:val="5556A87B"/>
    <w:multiLevelType w:val="hybridMultilevel"/>
    <w:lvl w:ilvl="0">
      <w:lvlJc w:val="left"/>
      <w:lvlText w:val="(%1)"/>
      <w:numFmt w:val="lowerLetter"/>
      <w:start w:val="7"/>
    </w:lvl>
  </w:abstractNum>
  <w:abstractNum w:abstractNumId="215">
    <w:nsid w:val="28100A9C"/>
    <w:multiLevelType w:val="hybridMultilevel"/>
    <w:lvl w:ilvl="0">
      <w:lvlJc w:val="left"/>
      <w:lvlText w:val="(%1)"/>
      <w:numFmt w:val="lowerLetter"/>
      <w:start w:val="13"/>
    </w:lvl>
    <w:lvl w:ilvl="1">
      <w:lvlJc w:val="left"/>
      <w:lvlText w:val="(%2)"/>
      <w:numFmt w:val="lowerRoman"/>
      <w:start w:val="1"/>
    </w:lvl>
  </w:abstractNum>
  <w:abstractNum w:abstractNumId="216">
    <w:nsid w:val="D838636"/>
    <w:multiLevelType w:val="hybridMultilevel"/>
    <w:lvl w:ilvl="0">
      <w:lvlJc w:val="left"/>
      <w:lvlText w:val="(%1)"/>
      <w:numFmt w:val="lowerLetter"/>
      <w:start w:val="24"/>
    </w:lvl>
  </w:abstractNum>
  <w:abstractNum w:abstractNumId="217">
    <w:nsid w:val="71B82AED"/>
    <w:multiLevelType w:val="hybridMultilevel"/>
    <w:lvl w:ilvl="0">
      <w:lvlJc w:val="left"/>
      <w:lvlText w:val="(%1)"/>
      <w:numFmt w:val="lowerLetter"/>
      <w:start w:val="27"/>
    </w:lvl>
  </w:abstractNum>
  <w:abstractNum w:abstractNumId="218">
    <w:nsid w:val="D15FACA"/>
    <w:multiLevelType w:val="hybridMultilevel"/>
    <w:lvl w:ilvl="0">
      <w:lvlJc w:val="left"/>
      <w:lvlText w:val="%1."/>
      <w:numFmt w:val="decimal"/>
      <w:start w:val="3"/>
    </w:lvl>
  </w:abstractNum>
  <w:abstractNum w:abstractNumId="219">
    <w:nsid w:val="3D69565B"/>
    <w:multiLevelType w:val="hybridMultilevel"/>
    <w:lvl w:ilvl="0">
      <w:lvlJc w:val="left"/>
      <w:lvlText w:val="%1."/>
      <w:numFmt w:val="decimal"/>
      <w:start w:val="4"/>
    </w:lvl>
    <w:lvl w:ilvl="1">
      <w:lvlJc w:val="left"/>
      <w:lvlText w:val="(%2)"/>
      <w:numFmt w:val="lowerLetter"/>
      <w:start w:val="1"/>
    </w:lvl>
  </w:abstractNum>
  <w:abstractNum w:abstractNumId="220">
    <w:nsid w:val="2299DCBC"/>
    <w:multiLevelType w:val="hybridMultilevel"/>
    <w:lvl w:ilvl="0">
      <w:lvlJc w:val="left"/>
      <w:lvlText w:val="(%1)"/>
      <w:numFmt w:val="lowerLetter"/>
      <w:start w:val="2"/>
    </w:lvl>
    <w:lvl w:ilvl="1">
      <w:lvlJc w:val="left"/>
      <w:lvlText w:val="(%2)"/>
      <w:numFmt w:val="lowerRoman"/>
      <w:start w:val="1"/>
    </w:lvl>
  </w:abstractNum>
  <w:abstractNum w:abstractNumId="221">
    <w:nsid w:val="19908D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22">
    <w:nsid w:val="24D48B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3">
    <w:nsid w:val="542DA5B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4">
    <w:nsid w:val="793753D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225">
    <w:nsid w:val="1C67CB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226">
    <w:nsid w:val="40E29452"/>
    <w:multiLevelType w:val="hybridMultilevel"/>
    <w:lvl w:ilvl="0">
      <w:lvlJc w:val="left"/>
      <w:lvlText w:val="(%1)"/>
      <w:numFmt w:val="lowerLetter"/>
      <w:start w:val="3"/>
    </w:lvl>
    <w:lvl w:ilvl="1">
      <w:lvlJc w:val="left"/>
      <w:lvlText w:val="(%2)"/>
      <w:numFmt w:val="lowerLetter"/>
      <w:start w:val="9"/>
    </w:lvl>
  </w:abstractNum>
  <w:abstractNum w:abstractNumId="227">
    <w:nsid w:val="63A4AAB6"/>
    <w:multiLevelType w:val="hybridMultilevel"/>
    <w:lvl w:ilvl="0">
      <w:lvlJc w:val="left"/>
      <w:lvlText w:val="(%1)"/>
      <w:numFmt w:val="lowerRoman"/>
      <w:start w:val="2"/>
    </w:lvl>
  </w:abstractNum>
  <w:abstractNum w:abstractNumId="228">
    <w:nsid w:val="77DA4A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29">
    <w:nsid w:val="1230F10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30">
    <w:nsid w:val="25B57ED4"/>
    <w:multiLevelType w:val="hybridMultilevel"/>
    <w:lvl w:ilvl="0">
      <w:lvlJc w:val="left"/>
      <w:lvlText w:val="%1."/>
      <w:numFmt w:val="decimal"/>
      <w:start w:val="8"/>
    </w:lvl>
  </w:abstractNum>
  <w:abstractNum w:abstractNumId="231">
    <w:nsid w:val="47CF16C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32">
    <w:nsid w:val="527FA04C"/>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3"/>
    </w:lvl>
  </w:abstractNum>
  <w:abstractNum w:abstractNumId="233">
    <w:nsid w:val="6FCC06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4">
    <w:nsid w:val="1DCDF795"/>
    <w:multiLevelType w:val="hybridMultilevel"/>
    <w:lvl w:ilvl="0">
      <w:lvlJc w:val="left"/>
      <w:lvlText w:val="(%1)"/>
      <w:numFmt w:val="lowerLetter"/>
      <w:start w:val="2"/>
    </w:lvl>
  </w:abstractNum>
  <w:abstractNum w:abstractNumId="235">
    <w:nsid w:val="564580C8"/>
    <w:multiLevelType w:val="hybridMultilevel"/>
    <w:lvl w:ilvl="0">
      <w:lvlJc w:val="left"/>
      <w:lvlText w:val="%1."/>
      <w:numFmt w:val="decimal"/>
      <w:start w:val="12"/>
    </w:lvl>
  </w:abstractNum>
  <w:abstractNum w:abstractNumId="236">
    <w:nsid w:val="508ED897"/>
    <w:multiLevelType w:val="hybridMultilevel"/>
    <w:lvl w:ilvl="0">
      <w:lvlJc w:val="left"/>
      <w:lvlText w:val="%1."/>
      <w:numFmt w:val="decimal"/>
      <w:start w:val="13"/>
    </w:lvl>
  </w:abstractNum>
  <w:abstractNum w:abstractNumId="237">
    <w:nsid w:val="6A9126B5"/>
    <w:multiLevelType w:val="hybridMultilevel"/>
    <w:lvl w:ilvl="0">
      <w:lvlJc w:val="left"/>
      <w:lvlText w:val="%1."/>
      <w:numFmt w:val="decimal"/>
      <w:start w:val="14"/>
    </w:lvl>
    <w:lvl w:ilvl="1">
      <w:lvlJc w:val="left"/>
      <w:lvlText w:val="(%2)"/>
      <w:numFmt w:val="lowerLetter"/>
      <w:start w:val="1"/>
    </w:lvl>
  </w:abstractNum>
  <w:abstractNum w:abstractNumId="238">
    <w:nsid w:val="68104812"/>
    <w:multiLevelType w:val="hybridMultilevel"/>
    <w:lvl w:ilvl="0">
      <w:lvlJc w:val="left"/>
      <w:lvlText w:val="%1."/>
      <w:numFmt w:val="upperLetter"/>
      <w:start w:val="9"/>
    </w:lvl>
  </w:abstractNum>
  <w:abstractNum w:abstractNumId="239">
    <w:nsid w:val="62FB8680"/>
    <w:multiLevelType w:val="hybridMultilevel"/>
    <w:lvl w:ilvl="0">
      <w:lvlJc w:val="left"/>
      <w:lvlText w:val="(%1)"/>
      <w:numFmt w:val="lowerRoman"/>
      <w:start w:val="3"/>
    </w:lvl>
  </w:abstractNum>
  <w:abstractNum w:abstractNumId="240">
    <w:nsid w:val="3A45530"/>
    <w:multiLevelType w:val="hybridMultilevel"/>
    <w:lvl w:ilvl="0">
      <w:lvlJc w:val="left"/>
      <w:lvlText w:val="%1."/>
      <w:numFmt w:val="upperLetter"/>
      <w:start w:val="35"/>
    </w:lvl>
    <w:lvl w:ilvl="1">
      <w:lvlJc w:val="left"/>
      <w:lvlText w:val="%2."/>
      <w:numFmt w:val="decimal"/>
      <w:start w:val="1"/>
    </w:lvl>
  </w:abstractNum>
  <w:abstractNum w:abstractNumId="241">
    <w:nsid w:val="4B9275D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2">
    <w:nsid w:val="4F0CEEDB"/>
    <w:multiLevelType w:val="hybridMultilevel"/>
    <w:lvl w:ilvl="0">
      <w:lvlJc w:val="left"/>
      <w:lvlText w:val="%1."/>
      <w:numFmt w:val="decimal"/>
      <w:start w:val="3"/>
    </w:lvl>
  </w:abstractNum>
  <w:abstractNum w:abstractNumId="243">
    <w:nsid w:val="61C30361"/>
    <w:multiLevelType w:val="hybridMultilevel"/>
    <w:lvl w:ilvl="0">
      <w:lvlJc w:val="left"/>
      <w:lvlText w:val="%1."/>
      <w:numFmt w:val="decimal"/>
      <w:start w:val="4"/>
    </w:lvl>
  </w:abstractNum>
  <w:abstractNum w:abstractNumId="244">
    <w:nsid w:val="632099E0"/>
    <w:multiLevelType w:val="hybridMultilevel"/>
    <w:lvl w:ilvl="0">
      <w:lvlJc w:val="left"/>
      <w:lvlText w:val="%1."/>
      <w:numFmt w:val="decimal"/>
      <w:start w:val="5"/>
    </w:lvl>
    <w:lvl w:ilvl="1">
      <w:lvlJc w:val="left"/>
      <w:lvlText w:val="(%2)"/>
      <w:numFmt w:val="lowerLetter"/>
      <w:start w:val="1"/>
    </w:lvl>
  </w:abstractNum>
  <w:abstractNum w:abstractNumId="245">
    <w:nsid w:val="24639756"/>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46">
    <w:nsid w:val="9D30DF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47">
    <w:nsid w:val="70A42016"/>
    <w:multiLevelType w:val="hybridMultilevel"/>
    <w:lvl w:ilvl="0">
      <w:lvlJc w:val="left"/>
      <w:lvlText w:val="(%1)"/>
      <w:numFmt w:val="lowerLetter"/>
      <w:start w:val="3"/>
    </w:lvl>
  </w:abstractNum>
  <w:abstractNum w:abstractNumId="248">
    <w:nsid w:val="161BC243"/>
    <w:multiLevelType w:val="hybridMultilevel"/>
    <w:lvl w:ilvl="0">
      <w:lvlJc w:val="left"/>
      <w:lvlText w:val="%1."/>
      <w:numFmt w:val="decimal"/>
      <w:start w:val="10"/>
    </w:lvl>
  </w:abstractNum>
  <w:abstractNum w:abstractNumId="249">
    <w:nsid w:val="16E908C8"/>
    <w:multiLevelType w:val="hybridMultilevel"/>
    <w:lvl w:ilvl="0">
      <w:lvlJc w:val="left"/>
      <w:lvlText w:val="%1."/>
      <w:numFmt w:val="decimal"/>
      <w:start w:val="2"/>
    </w:lvl>
  </w:abstractNum>
  <w:abstractNum w:abstractNumId="250">
    <w:nsid w:val="2E0D767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51">
    <w:nsid w:val="38B59EF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52">
    <w:nsid w:val="307995CA"/>
    <w:multiLevelType w:val="hybridMultilevel"/>
    <w:lvl w:ilvl="0">
      <w:lvlJc w:val="left"/>
      <w:lvlText w:val="(%1)"/>
      <w:numFmt w:val="lowerLetter"/>
      <w:start w:val="3"/>
    </w:lvl>
  </w:abstractNum>
  <w:abstractNum w:abstractNumId="253">
    <w:nsid w:val="52E2024D"/>
    <w:multiLevelType w:val="hybridMultilevel"/>
    <w:lvl w:ilvl="0">
      <w:lvlJc w:val="left"/>
      <w:lvlText w:val="%1."/>
      <w:numFmt w:val="decimal"/>
      <w:start w:val="6"/>
    </w:lvl>
  </w:abstractNum>
  <w:abstractNum w:abstractNumId="254">
    <w:nsid w:val="CE344B5"/>
    <w:multiLevelType w:val="hybridMultilevel"/>
    <w:lvl w:ilvl="0">
      <w:lvlJc w:val="left"/>
      <w:lvlText w:val="%1."/>
      <w:numFmt w:val="decimal"/>
      <w:start w:val="7"/>
    </w:lvl>
    <w:lvl w:ilvl="1">
      <w:lvlJc w:val="left"/>
      <w:lvlText w:val="(%2)"/>
      <w:numFmt w:val="lowerLetter"/>
      <w:start w:val="1"/>
    </w:lvl>
  </w:abstractNum>
  <w:abstractNum w:abstractNumId="255">
    <w:nsid w:val="29B0E9A8"/>
    <w:multiLevelType w:val="hybridMultilevel"/>
    <w:lvl w:ilvl="0">
      <w:lvlJc w:val="left"/>
      <w:lvlText w:val="%1"/>
      <w:numFmt w:val="decimal"/>
      <w:start w:val="1"/>
    </w:lvl>
    <w:lvl w:ilvl="1">
      <w:lvlJc w:val="left"/>
      <w:lvlText w:val="(%2)"/>
      <w:numFmt w:val="lowerLetter"/>
      <w:start w:val="2"/>
    </w:lvl>
  </w:abstractNum>
  <w:abstractNum w:abstractNumId="256">
    <w:nsid w:val="6F49CD8A"/>
    <w:multiLevelType w:val="hybridMultilevel"/>
    <w:lvl w:ilvl="0">
      <w:lvlJc w:val="left"/>
      <w:lvlText w:val="%1."/>
      <w:numFmt w:val="decimal"/>
      <w:start w:val="8"/>
    </w:lvl>
    <w:lvl w:ilvl="1">
      <w:lvlJc w:val="left"/>
      <w:lvlText w:val="%2"/>
      <w:numFmt w:val="lowerLetter"/>
      <w:start w:val="1"/>
    </w:lvl>
  </w:abstractNum>
  <w:abstractNum w:abstractNumId="257">
    <w:nsid w:val="4DC5D907"/>
    <w:multiLevelType w:val="hybridMultilevel"/>
    <w:lvl w:ilvl="0">
      <w:lvlJc w:val="left"/>
      <w:lvlText w:val="%1."/>
      <w:numFmt w:val="decimal"/>
      <w:start w:val="9"/>
    </w:lvl>
  </w:abstractNum>
  <w:abstractNum w:abstractNumId="258">
    <w:nsid w:val="D55945E"/>
    <w:multiLevelType w:val="hybridMultilevel"/>
    <w:lvl w:ilvl="0">
      <w:lvlJc w:val="left"/>
      <w:lvlText w:val="(%1)"/>
      <w:numFmt w:val="lowerLetter"/>
      <w:start w:val="1"/>
    </w:lvl>
  </w:abstractNum>
  <w:abstractNum w:abstractNumId="259">
    <w:nsid w:val="672417E1"/>
    <w:multiLevelType w:val="hybridMultilevel"/>
    <w:lvl w:ilvl="0">
      <w:lvlJc w:val="left"/>
      <w:lvlText w:val="(%1)"/>
      <w:numFmt w:val="lowerLetter"/>
      <w:start w:val="2"/>
    </w:lvl>
  </w:abstractNum>
  <w:abstractNum w:abstractNumId="260">
    <w:nsid w:val="5FF6CA09"/>
    <w:multiLevelType w:val="hybridMultilevel"/>
    <w:lvl w:ilvl="0">
      <w:lvlJc w:val="left"/>
      <w:lvlText w:val="(%1)"/>
      <w:numFmt w:val="lowerLetter"/>
      <w:start w:val="4"/>
    </w:lvl>
  </w:abstractNum>
  <w:abstractNum w:abstractNumId="261">
    <w:nsid w:val="330B1333"/>
    <w:multiLevelType w:val="hybridMultilevel"/>
    <w:lvl w:ilvl="0">
      <w:lvlJc w:val="left"/>
      <w:lvlText w:val="%1."/>
      <w:numFmt w:val="upperLetter"/>
      <w:start w:val="1"/>
    </w:lvl>
  </w:abstractNum>
  <w:abstractNum w:abstractNumId="262">
    <w:nsid w:val="2EF32EA6"/>
    <w:multiLevelType w:val="hybridMultilevel"/>
    <w:lvl w:ilvl="0">
      <w:lvlJc w:val="left"/>
      <w:lvlText w:val="%1."/>
      <w:numFmt w:val="upperLetter"/>
      <w:start w:val="2"/>
    </w:lvl>
  </w:abstractNum>
  <w:abstractNum w:abstractNumId="263">
    <w:nsid w:val="32766A55"/>
    <w:multiLevelType w:val="hybridMultilevel"/>
    <w:lvl w:ilvl="0">
      <w:lvlJc w:val="left"/>
      <w:lvlText w:val="%1."/>
      <w:numFmt w:val="decimal"/>
      <w:start w:val="1"/>
    </w:lvl>
  </w:abstractNum>
  <w:abstractNum w:abstractNumId="264">
    <w:nsid w:val="22D71957"/>
    <w:multiLevelType w:val="hybridMultilevel"/>
    <w:lvl w:ilvl="0">
      <w:lvlJc w:val="left"/>
      <w:lvlText w:val="(%1)"/>
      <w:numFmt w:val="lowerLetter"/>
      <w:start w:val="1"/>
    </w:lvl>
  </w:abstractNum>
  <w:abstractNum w:abstractNumId="265">
    <w:nsid w:val="4CC1263B"/>
    <w:multiLevelType w:val="hybridMultilevel"/>
    <w:lvl w:ilvl="0">
      <w:lvlJc w:val="left"/>
      <w:lvlText w:val="%1"/>
      <w:numFmt w:val="decimal"/>
      <w:start w:val="1"/>
    </w:lvl>
    <w:lvl w:ilvl="1">
      <w:lvlJc w:val="left"/>
      <w:lvlText w:val="(%2)"/>
      <w:numFmt w:val="lowerLetter"/>
      <w:start w:val="3"/>
    </w:lvl>
  </w:abstractNum>
  <w:abstractNum w:abstractNumId="266">
    <w:nsid w:val="8BBEB1D"/>
    <w:multiLevelType w:val="hybridMultilevel"/>
    <w:lvl w:ilvl="0">
      <w:lvlJc w:val="left"/>
      <w:lvlText w:val="%1."/>
      <w:numFmt w:val="decimal"/>
      <w:start w:val="2"/>
    </w:lvl>
    <w:lvl w:ilvl="1">
      <w:lvlJc w:val="left"/>
      <w:lvlText w:val="(%2)"/>
      <w:numFmt w:val="lowerLetter"/>
      <w:start w:val="1"/>
    </w:lvl>
  </w:abstractNum>
  <w:abstractNum w:abstractNumId="267">
    <w:nsid w:val="7365F1EE"/>
    <w:multiLevelType w:val="hybridMultilevel"/>
    <w:lvl w:ilvl="0">
      <w:lvlJc w:val="left"/>
      <w:lvlText w:val="%1."/>
      <w:numFmt w:val="decimal"/>
      <w:start w:val="3"/>
    </w:lvl>
  </w:abstractNum>
  <w:abstractNum w:abstractNumId="268">
    <w:nsid w:val="37524CF0"/>
    <w:multiLevelType w:val="hybridMultilevel"/>
    <w:lvl w:ilvl="0">
      <w:lvlJc w:val="left"/>
      <w:lvlText w:val="%1."/>
      <w:numFmt w:val="decimal"/>
      <w:start w:val="5"/>
    </w:lvl>
  </w:abstractNum>
  <w:abstractNum w:abstractNumId="269">
    <w:nsid w:val="70CC332F"/>
    <w:multiLevelType w:val="hybridMultilevel"/>
    <w:lvl w:ilvl="0">
      <w:lvlJc w:val="left"/>
      <w:lvlText w:val="%1."/>
      <w:numFmt w:val="decimal"/>
      <w:start w:val="9"/>
    </w:lvl>
  </w:abstractNum>
  <w:abstractNum w:abstractNumId="270">
    <w:nsid w:val="5661786E"/>
    <w:multiLevelType w:val="hybridMultilevel"/>
    <w:lvl w:ilvl="0">
      <w:lvlJc w:val="left"/>
      <w:lvlText w:val="%1."/>
      <w:numFmt w:val="decimal"/>
      <w:start w:val="1"/>
    </w:lvl>
  </w:abstractNum>
  <w:abstractNum w:abstractNumId="271">
    <w:nsid w:val="3AF6A220"/>
    <w:multiLevelType w:val="hybridMultilevel"/>
    <w:lvl w:ilvl="0">
      <w:lvlJc w:val="left"/>
      <w:lvlText w:val="%1."/>
      <w:numFmt w:val="decimal"/>
      <w:start w:val="5"/>
    </w:lvl>
  </w:abstractNum>
  <w:abstractNum w:abstractNumId="272">
    <w:nsid w:val="3C5EA902"/>
    <w:multiLevelType w:val="hybridMultilevel"/>
    <w:lvl w:ilvl="0">
      <w:lvlJc w:val="left"/>
      <w:lvlText w:val="%1."/>
      <w:numFmt w:val="decimal"/>
      <w:start w:val="12"/>
    </w:lvl>
  </w:abstractNum>
  <w:abstractNum w:abstractNumId="273">
    <w:nsid w:val="256E6749"/>
    <w:multiLevelType w:val="hybridMultilevel"/>
    <w:lvl w:ilvl="0">
      <w:lvlJc w:val="left"/>
      <w:lvlText w:val="%1."/>
      <w:numFmt w:val="decimal"/>
      <w:start w:val="14"/>
    </w:lvl>
  </w:abstractNum>
  <w:abstractNum w:abstractNumId="274">
    <w:nsid w:val="1CB9A581"/>
    <w:multiLevelType w:val="hybridMultilevel"/>
    <w:lvl w:ilvl="0">
      <w:lvlJc w:val="left"/>
      <w:lvlText w:val="%1."/>
      <w:numFmt w:val="decimal"/>
      <w:start w:val="1"/>
    </w:lvl>
  </w:abstractNum>
  <w:abstractNum w:abstractNumId="275">
    <w:nsid w:val="1F7F42E2"/>
    <w:multiLevelType w:val="hybridMultilevel"/>
    <w:lvl w:ilvl="0">
      <w:lvlJc w:val="left"/>
      <w:lvlText w:val="%1."/>
      <w:numFmt w:val="decimal"/>
      <w:start w:val="4"/>
    </w:lvl>
  </w:abstractNum>
  <w:abstractNum w:abstractNumId="276">
    <w:nsid w:val="49D1FEA0"/>
    <w:multiLevelType w:val="hybridMultilevel"/>
    <w:lvl w:ilvl="0">
      <w:lvlJc w:val="left"/>
      <w:lvlText w:val="%1."/>
      <w:numFmt w:val="upperLetter"/>
      <w:start w:val="9"/>
    </w:lvl>
  </w:abstractNum>
  <w:abstractNum w:abstractNumId="277">
    <w:nsid w:val="268CB37F"/>
    <w:multiLevelType w:val="hybridMultilevel"/>
    <w:lvl w:ilvl="0">
      <w:lvlJc w:val="left"/>
      <w:lvlText w:val="%1."/>
      <w:numFmt w:val="upperLetter"/>
      <w:start w:val="35"/>
    </w:lvl>
    <w:lvl w:ilvl="1">
      <w:lvlJc w:val="left"/>
      <w:lvlText w:val="%2."/>
      <w:numFmt w:val="decimal"/>
      <w:start w:val="1"/>
    </w:lvl>
  </w:abstractNum>
  <w:abstractNum w:abstractNumId="278">
    <w:nsid w:val="102362F8"/>
    <w:multiLevelType w:val="hybridMultilevel"/>
    <w:lvl w:ilvl="0">
      <w:lvlJc w:val="left"/>
      <w:lvlText w:val="%1."/>
      <w:numFmt w:val="decimal"/>
      <w:start w:val="2"/>
    </w:lvl>
    <w:lvl w:ilvl="1">
      <w:lvlJc w:val="left"/>
      <w:lvlText w:val="(%2)"/>
      <w:numFmt w:val="lowerLetter"/>
      <w:start w:val="1"/>
    </w:lvl>
  </w:abstractNum>
  <w:abstractNum w:abstractNumId="279">
    <w:nsid w:val="5FEDC0E3"/>
    <w:multiLevelType w:val="hybridMultilevel"/>
    <w:lvl w:ilvl="0">
      <w:lvlJc w:val="left"/>
      <w:lvlText w:val="%1."/>
      <w:numFmt w:val="decimal"/>
      <w:start w:val="3"/>
    </w:lvl>
  </w:abstractNum>
  <w:abstractNum w:abstractNumId="280">
    <w:nsid w:val="3D75BC47"/>
    <w:multiLevelType w:val="hybridMultilevel"/>
    <w:lvl w:ilvl="0">
      <w:lvlJc w:val="left"/>
      <w:lvlText w:val="%1."/>
      <w:numFmt w:val="decimal"/>
      <w:start w:val="5"/>
    </w:lvl>
    <w:lvl w:ilvl="1">
      <w:lvlJc w:val="left"/>
      <w:lvlText w:val="(%2)"/>
      <w:numFmt w:val="lowerLetter"/>
      <w:start w:val="1"/>
    </w:lvl>
  </w:abstractNum>
  <w:abstractNum w:abstractNumId="281">
    <w:nsid w:val="3E30D969"/>
    <w:multiLevelType w:val="hybridMultilevel"/>
    <w:lvl w:ilvl="0">
      <w:lvlJc w:val="left"/>
      <w:lvlText w:val="(%1)"/>
      <w:numFmt w:val="lowerLetter"/>
      <w:start w:val="3"/>
    </w:lvl>
  </w:abstractNum>
  <w:abstractNum w:abstractNumId="282">
    <w:nsid w:val="18A35F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83">
    <w:nsid w:val="6DEF521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84">
    <w:nsid w:val="1112DBB6"/>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85">
    <w:nsid w:val="2586A498"/>
    <w:multiLevelType w:val="hybridMultilevel"/>
    <w:lvl w:ilvl="0">
      <w:lvlJc w:val="left"/>
      <w:lvlText w:val="%1."/>
      <w:numFmt w:val="decimal"/>
      <w:start w:val="10"/>
    </w:lvl>
  </w:abstractNum>
  <w:abstractNum w:abstractNumId="286">
    <w:nsid w:val="17A03BB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7">
    <w:nsid w:val="5CA941"/>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88">
    <w:nsid w:val="734C7D9F"/>
    <w:multiLevelType w:val="hybridMultilevel"/>
    <w:lvl w:ilvl="0">
      <w:lvlJc w:val="left"/>
      <w:lvlText w:val="(%1)"/>
      <w:numFmt w:val="lowerLetter"/>
      <w:start w:val="2"/>
    </w:lvl>
  </w:abstractNum>
  <w:abstractNum w:abstractNumId="289">
    <w:nsid w:val="24F5D018"/>
    <w:multiLevelType w:val="hybridMultilevel"/>
    <w:lvl w:ilvl="0">
      <w:lvlJc w:val="left"/>
      <w:lvlText w:val="%1."/>
      <w:numFmt w:val="decimal"/>
      <w:start w:val="6"/>
    </w:lvl>
    <w:lvl w:ilvl="1">
      <w:lvlJc w:val="left"/>
      <w:lvlText w:val="(%2)"/>
      <w:numFmt w:val="lowerLetter"/>
      <w:start w:val="1"/>
    </w:lvl>
  </w:abstractNum>
  <w:abstractNum w:abstractNumId="290">
    <w:nsid w:val="6780C122"/>
    <w:multiLevelType w:val="hybridMultilevel"/>
    <w:lvl w:ilvl="0">
      <w:lvlJc w:val="left"/>
      <w:lvlText w:val="(%1)"/>
      <w:numFmt w:val="lowerLetter"/>
      <w:start w:val="2"/>
    </w:lvl>
  </w:abstractNum>
  <w:abstractNum w:abstractNumId="291">
    <w:nsid w:val="534347A8"/>
    <w:multiLevelType w:val="hybridMultilevel"/>
    <w:lvl w:ilvl="0">
      <w:lvlJc w:val="left"/>
      <w:lvlText w:val="%1."/>
      <w:numFmt w:val="decimal"/>
      <w:start w:val="8"/>
    </w:lvl>
  </w:abstractNum>
  <w:abstractNum w:abstractNumId="292">
    <w:nsid w:val="5800E34B"/>
    <w:multiLevelType w:val="hybridMultilevel"/>
    <w:lvl w:ilvl="0">
      <w:lvlJc w:val="left"/>
      <w:lvlText w:val="(%1)"/>
      <w:numFmt w:val="lowerLetter"/>
      <w:start w:val="1"/>
    </w:lvl>
  </w:abstractNum>
  <w:abstractNum w:abstractNumId="293">
    <w:nsid w:val="1673EFC8"/>
    <w:multiLevelType w:val="hybridMultilevel"/>
    <w:lvl w:ilvl="0">
      <w:lvlJc w:val="left"/>
      <w:lvlText w:val="(%1)"/>
      <w:numFmt w:val="lowerLetter"/>
      <w:start w:val="4"/>
    </w:lvl>
  </w:abstractNum>
  <w:abstractNum w:abstractNumId="294">
    <w:nsid w:val="5B9B1FD"/>
    <w:multiLevelType w:val="hybridMultilevel"/>
    <w:lvl w:ilvl="0">
      <w:lvlJc w:val="left"/>
      <w:lvlText w:val="%1."/>
      <w:numFmt w:val="upperLetter"/>
      <w:start w:val="1"/>
    </w:lvl>
  </w:abstractNum>
  <w:abstractNum w:abstractNumId="295">
    <w:nsid w:val="7AD7FCA2"/>
    <w:multiLevelType w:val="hybridMultilevel"/>
    <w:lvl w:ilvl="0">
      <w:lvlJc w:val="left"/>
      <w:lvlText w:val="%1."/>
      <w:numFmt w:val="upperLetter"/>
      <w:start w:val="3"/>
    </w:lvl>
  </w:abstractNum>
  <w:abstractNum w:abstractNumId="296">
    <w:nsid w:val="63351604"/>
    <w:multiLevelType w:val="hybridMultilevel"/>
    <w:lvl w:ilvl="0">
      <w:lvlJc w:val="left"/>
      <w:lvlText w:val="%1."/>
      <w:numFmt w:val="upperLetter"/>
      <w:start w:val="7"/>
    </w:lvl>
  </w:abstractNum>
  <w:abstractNum w:abstractNumId="297">
    <w:nsid w:val="E759D1A"/>
    <w:multiLevelType w:val="hybridMultilevel"/>
    <w:lvl w:ilvl="0">
      <w:lvlJc w:val="left"/>
      <w:lvlText w:val="x"/>
      <w:numFmt w:val="bullet"/>
      <w:start w:val="1"/>
    </w:lvl>
  </w:abstractNum>
  <w:abstractNum w:abstractNumId="298">
    <w:nsid w:val="6E3DEE90"/>
    <w:multiLevelType w:val="hybridMultilevel"/>
    <w:lvl w:ilvl="0">
      <w:lvlJc w:val="left"/>
      <w:lvlText w:val="x"/>
      <w:numFmt w:val="bullet"/>
      <w:start w:val="1"/>
    </w:lvl>
    <w:lvl w:ilvl="1">
      <w:lvlJc w:val="left"/>
      <w:lvlText w:val="%2."/>
      <w:numFmt w:val="decimal"/>
      <w:start w:val="1"/>
    </w:lvl>
  </w:abstractNum>
  <w:abstractNum w:abstractNumId="299">
    <w:nsid w:val="1A8762F4"/>
    <w:multiLevelType w:val="hybridMultilevel"/>
    <w:lvl w:ilvl="0">
      <w:lvlJc w:val="left"/>
      <w:lvlText w:val="%1."/>
      <w:numFmt w:val="decimal"/>
      <w:start w:val="2"/>
    </w:lvl>
  </w:abstractNum>
  <w:abstractNum w:abstractNumId="300">
    <w:nsid w:val="7F41D049"/>
    <w:multiLevelType w:val="hybridMultilevel"/>
    <w:lvl w:ilvl="0">
      <w:lvlJc w:val="left"/>
      <w:lvlText w:val="(%1)"/>
      <w:numFmt w:val="lowerLetter"/>
      <w:start w:val="1"/>
    </w:lvl>
    <w:lvl w:ilvl="1">
      <w:lvlJc w:val="left"/>
      <w:lvlText w:val="(%2)"/>
      <w:numFmt w:val="lowerRoman"/>
      <w:start w:val="1"/>
    </w:lvl>
  </w:abstractNum>
  <w:abstractNum w:abstractNumId="301">
    <w:nsid w:val="449F66FE"/>
    <w:multiLevelType w:val="hybridMultilevel"/>
    <w:lvl w:ilvl="0">
      <w:lvlJc w:val="left"/>
      <w:lvlText w:val="(%1)"/>
      <w:numFmt w:val="lowerLetter"/>
      <w:start w:val="2"/>
    </w:lvl>
  </w:abstractNum>
  <w:abstractNum w:abstractNumId="302">
    <w:nsid w:val="557E0515"/>
    <w:multiLevelType w:val="hybridMultilevel"/>
    <w:lvl w:ilvl="0">
      <w:lvlJc w:val="left"/>
      <w:lvlText w:val="(%1)"/>
      <w:numFmt w:val="lowerRoman"/>
      <w:start w:val="1"/>
    </w:lvl>
  </w:abstractNum>
  <w:abstractNum w:abstractNumId="303">
    <w:nsid w:val="3BA0794B"/>
    <w:multiLevelType w:val="hybridMultilevel"/>
    <w:lvl w:ilvl="0">
      <w:lvlJc w:val="left"/>
      <w:lvlText w:val="(%1)"/>
      <w:numFmt w:val="lowerRoman"/>
      <w:start w:val="2"/>
    </w:lvl>
  </w:abstractNum>
  <w:abstractNum w:abstractNumId="304">
    <w:nsid w:val="6A0DCE48"/>
    <w:multiLevelType w:val="hybridMultilevel"/>
    <w:lvl w:ilvl="0">
      <w:lvlJc w:val="left"/>
      <w:lvlText w:val="%1."/>
      <w:numFmt w:val="decimal"/>
      <w:start w:val="3"/>
    </w:lvl>
  </w:abstractNum>
  <w:abstractNum w:abstractNumId="305">
    <w:nsid w:val="7237AA96"/>
    <w:multiLevelType w:val="hybridMultilevel"/>
    <w:lvl w:ilvl="0">
      <w:lvlJc w:val="left"/>
      <w:lvlText w:val="(%1)"/>
      <w:numFmt w:val="lowerLetter"/>
      <w:start w:val="1"/>
    </w:lvl>
  </w:abstractNum>
  <w:abstractNum w:abstractNumId="306">
    <w:nsid w:val="5B1FBC2D"/>
    <w:multiLevelType w:val="hybridMultilevel"/>
    <w:lvl w:ilvl="0">
      <w:lvlJc w:val="left"/>
      <w:lvlText w:val="(%1)"/>
      <w:numFmt w:val="lowerLetter"/>
      <w:start w:val="2"/>
    </w:lvl>
  </w:abstractNum>
  <w:abstractNum w:abstractNumId="307">
    <w:nsid w:val="33DFCCE8"/>
    <w:multiLevelType w:val="hybridMultilevel"/>
    <w:lvl w:ilvl="0">
      <w:lvlJc w:val="left"/>
      <w:lvlText w:val="%1."/>
      <w:numFmt w:val="decimal"/>
      <w:start w:val="4"/>
    </w:lvl>
  </w:abstractNum>
  <w:abstractNum w:abstractNumId="308">
    <w:nsid w:val="18C45E15"/>
    <w:multiLevelType w:val="hybridMultilevel"/>
    <w:lvl w:ilvl="0">
      <w:lvlJc w:val="left"/>
      <w:lvlText w:val="(%1)"/>
      <w:numFmt w:val="lowerLetter"/>
      <w:start w:val="1"/>
    </w:lvl>
  </w:abstractNum>
  <w:abstractNum w:abstractNumId="309">
    <w:nsid w:val="6B431F25"/>
    <w:multiLevelType w:val="hybridMultilevel"/>
    <w:lvl w:ilvl="0">
      <w:lvlJc w:val="left"/>
      <w:lvlText w:val="(%1)"/>
      <w:numFmt w:val="lowerLetter"/>
      <w:start w:val="4"/>
    </w:lvl>
  </w:abstractNum>
  <w:abstractNum w:abstractNumId="310">
    <w:nsid w:val="13CD8DCB"/>
    <w:multiLevelType w:val="hybridMultilevel"/>
    <w:lvl w:ilvl="0">
      <w:lvlJc w:val="left"/>
      <w:lvlText w:val="(%1)"/>
      <w:numFmt w:val="lowerLetter"/>
      <w:start w:val="15"/>
    </w:lvl>
  </w:abstractNum>
  <w:abstractNum w:abstractNumId="311">
    <w:nsid w:val="563A1A5C"/>
    <w:multiLevelType w:val="hybridMultilevel"/>
    <w:lvl w:ilvl="0">
      <w:lvlJc w:val="left"/>
      <w:lvlText w:val="(%1)"/>
      <w:numFmt w:val="lowerLetter"/>
      <w:start w:val="18"/>
    </w:lvl>
  </w:abstractNum>
  <w:abstractNum w:abstractNumId="312">
    <w:nsid w:val="2973F88F"/>
    <w:multiLevelType w:val="hybridMultilevel"/>
    <w:lvl w:ilvl="0">
      <w:lvlJc w:val="left"/>
      <w:lvlText w:val="%1."/>
      <w:numFmt w:val="decimal"/>
      <w:start w:val="6"/>
    </w:lvl>
  </w:abstractNum>
  <w:abstractNum w:abstractNumId="313">
    <w:nsid w:val="2C70EDAE"/>
    <w:multiLevelType w:val="hybridMultilevel"/>
    <w:lvl w:ilvl="0">
      <w:lvlJc w:val="left"/>
      <w:lvlText w:val="%1."/>
      <w:numFmt w:val="decimal"/>
      <w:start w:val="7"/>
    </w:lvl>
  </w:abstractNum>
  <w:abstractNum w:abstractNumId="314">
    <w:nsid w:val="44296C6D"/>
    <w:multiLevelType w:val="hybridMultilevel"/>
    <w:lvl w:ilvl="0">
      <w:lvlJc w:val="left"/>
      <w:lvlText w:val="%1."/>
      <w:numFmt w:val="decimal"/>
      <w:start w:val="8"/>
    </w:lvl>
  </w:abstractNum>
  <w:abstractNum w:abstractNumId="315">
    <w:nsid w:val="3A86D445"/>
    <w:multiLevelType w:val="hybridMultilevel"/>
    <w:lvl w:ilvl="0">
      <w:lvlJc w:val="left"/>
      <w:lvlText w:val="%1."/>
      <w:numFmt w:val="decimal"/>
      <w:start w:val="10"/>
    </w:lvl>
  </w:abstractNum>
  <w:abstractNum w:abstractNumId="316">
    <w:nsid w:val="51F79246"/>
    <w:multiLevelType w:val="hybridMultilevel"/>
    <w:lvl w:ilvl="0">
      <w:lvlJc w:val="left"/>
      <w:lvlText w:val="%1."/>
      <w:numFmt w:val="decimal"/>
      <w:start w:val="13"/>
    </w:lvl>
  </w:abstractNum>
  <w:abstractNum w:abstractNumId="317">
    <w:nsid w:val="5BC9A827"/>
    <w:multiLevelType w:val="hybridMultilevel"/>
    <w:lvl w:ilvl="0">
      <w:lvlJc w:val="left"/>
      <w:lvlText w:val="%1."/>
      <w:numFmt w:val="decimal"/>
      <w:start w:val="15"/>
    </w:lvl>
  </w:abstractNum>
  <w:abstractNum w:abstractNumId="318">
    <w:nsid w:val="3AE37D86"/>
    <w:multiLevelType w:val="hybridMultilevel"/>
    <w:lvl w:ilvl="0">
      <w:lvlJc w:val="left"/>
      <w:lvlText w:val="%1."/>
      <w:numFmt w:val="decimal"/>
      <w:start w:val="18"/>
    </w:lvl>
  </w:abstractNum>
  <w:abstractNum w:abstractNumId="319">
    <w:nsid w:val="45440FE5"/>
    <w:multiLevelType w:val="hybridMultilevel"/>
    <w:lvl w:ilvl="0">
      <w:lvlJc w:val="left"/>
      <w:lvlText w:val="%1."/>
      <w:numFmt w:val="decimal"/>
      <w:start w:val="19"/>
    </w:lvl>
  </w:abstractNum>
  <w:abstractNum w:abstractNumId="320">
    <w:nsid w:val="BF783F"/>
    <w:multiLevelType w:val="hybridMultilevel"/>
    <w:lvl w:ilvl="0">
      <w:lvlJc w:val="left"/>
      <w:lvlText w:val="%1."/>
      <w:numFmt w:val="decimal"/>
      <w:start w:val="20"/>
    </w:lvl>
  </w:abstractNum>
  <w:abstractNum w:abstractNumId="321">
    <w:nsid w:val="22643EA9"/>
    <w:multiLevelType w:val="hybridMultilevel"/>
    <w:lvl w:ilvl="0">
      <w:lvlJc w:val="left"/>
      <w:lvlText w:val="(%1)"/>
      <w:numFmt w:val="lowerLetter"/>
      <w:start w:val="1"/>
    </w:lvl>
  </w:abstractNum>
  <w:abstractNum w:abstractNumId="322">
    <w:nsid w:val="1887578D"/>
    <w:multiLevelType w:val="hybridMultilevel"/>
    <w:lvl w:ilvl="0">
      <w:lvlJc w:val="left"/>
      <w:lvlText w:val="(%1)"/>
      <w:numFmt w:val="lowerLetter"/>
      <w:start w:val="7"/>
    </w:lvl>
  </w:abstractNum>
  <w:abstractNum w:abstractNumId="323">
    <w:nsid w:val="58C05B8A"/>
    <w:multiLevelType w:val="hybridMultilevel"/>
    <w:lvl w:ilvl="0">
      <w:lvlJc w:val="left"/>
      <w:lvlText w:val="(%1)"/>
      <w:numFmt w:val="lowerLetter"/>
      <w:start w:val="9"/>
    </w:lvl>
  </w:abstractNum>
  <w:abstractNum w:abstractNumId="324">
    <w:nsid w:val="38D82E71"/>
    <w:multiLevelType w:val="hybridMultilevel"/>
    <w:lvl w:ilvl="0">
      <w:lvlJc w:val="left"/>
      <w:lvlText w:val="%1."/>
      <w:numFmt w:val="decimal"/>
      <w:start w:val="21"/>
    </w:lvl>
  </w:abstractNum>
  <w:abstractNum w:abstractNumId="325">
    <w:nsid w:val="1E41098A"/>
    <w:multiLevelType w:val="hybridMultilevel"/>
    <w:lvl w:ilvl="0">
      <w:lvlJc w:val="left"/>
      <w:lvlText w:val="(%1)"/>
      <w:numFmt w:val="lowerLetter"/>
      <w:start w:val="1"/>
    </w:lvl>
    <w:lvl w:ilvl="1">
      <w:lvlJc w:val="left"/>
      <w:lvlText w:val="(%2)"/>
      <w:numFmt w:val="lowerRoman"/>
      <w:start w:val="1"/>
    </w:lvl>
  </w:abstractNum>
  <w:abstractNum w:abstractNumId="326">
    <w:nsid w:val="5398582C"/>
    <w:multiLevelType w:val="hybridMultilevel"/>
    <w:lvl w:ilvl="0">
      <w:lvlJc w:val="left"/>
      <w:lvlText w:val="(%1)"/>
      <w:numFmt w:val="upperLetter"/>
      <w:start w:val="1"/>
    </w:lvl>
  </w:abstractNum>
  <w:abstractNum w:abstractNumId="327">
    <w:nsid w:val="1C0D4475"/>
    <w:multiLevelType w:val="hybridMultilevel"/>
    <w:lvl w:ilvl="0">
      <w:lvlJc w:val="left"/>
      <w:lvlText w:val="(%1)"/>
      <w:numFmt w:val="lowerRoman"/>
      <w:start w:val="3"/>
    </w:lvl>
  </w:abstractNum>
  <w:abstractNum w:abstractNumId="328">
    <w:nsid w:val="2CB6A6A4"/>
    <w:multiLevelType w:val="hybridMultilevel"/>
    <w:lvl w:ilvl="0">
      <w:lvlJc w:val="left"/>
      <w:lvlText w:val="(%1)"/>
      <w:numFmt w:val="lowerLetter"/>
      <w:start w:val="4"/>
    </w:lvl>
  </w:abstractNum>
  <w:abstractNum w:abstractNumId="329">
    <w:nsid w:val="41D646BC"/>
    <w:multiLevelType w:val="hybridMultilevel"/>
    <w:lvl w:ilvl="0">
      <w:lvlJc w:val="left"/>
      <w:lvlText w:val="%1."/>
      <w:numFmt w:val="decimal"/>
      <w:start w:val="22"/>
    </w:lvl>
  </w:abstractNum>
  <w:abstractNum w:abstractNumId="330">
    <w:nsid w:val="3694A76A"/>
    <w:multiLevelType w:val="hybridMultilevel"/>
    <w:lvl w:ilvl="0">
      <w:lvlJc w:val="left"/>
      <w:lvlText w:val="(%1)"/>
      <w:numFmt w:val="lowerLetter"/>
      <w:start w:val="1"/>
    </w:lvl>
  </w:abstractNum>
  <w:abstractNum w:abstractNumId="331">
    <w:nsid w:val="2BF876EE"/>
    <w:multiLevelType w:val="hybridMultilevel"/>
    <w:lvl w:ilvl="0">
      <w:lvlJc w:val="left"/>
      <w:lvlText w:val="(%1)"/>
      <w:numFmt w:val="decimal"/>
      <w:start w:val="8"/>
    </w:lvl>
  </w:abstractNum>
  <w:abstractNum w:abstractNumId="332">
    <w:nsid w:val="675ADBA"/>
    <w:multiLevelType w:val="hybridMultilevel"/>
    <w:lvl w:ilvl="0">
      <w:lvlJc w:val="left"/>
      <w:lvlText w:val="(%1)"/>
      <w:numFmt w:val="lowerLetter"/>
      <w:start w:val="3"/>
    </w:lvl>
  </w:abstractNum>
  <w:abstractNum w:abstractNumId="333">
    <w:nsid w:val="C12AC7F"/>
    <w:multiLevelType w:val="hybridMultilevel"/>
    <w:lvl w:ilvl="0">
      <w:lvlJc w:val="left"/>
      <w:lvlText w:val="(%1)"/>
      <w:numFmt w:val="lowerRoman"/>
      <w:start w:val="1"/>
    </w:lvl>
  </w:abstractNum>
  <w:abstractNum w:abstractNumId="334">
    <w:nsid w:val="6798F039"/>
    <w:multiLevelType w:val="hybridMultilevel"/>
    <w:lvl w:ilvl="0">
      <w:lvlJc w:val="left"/>
      <w:lvlText w:val="(%1)"/>
      <w:numFmt w:val="lowerLetter"/>
      <w:start w:val="4"/>
    </w:lvl>
  </w:abstractNum>
  <w:abstractNum w:abstractNumId="335">
    <w:nsid w:val="70837C02"/>
    <w:multiLevelType w:val="hybridMultilevel"/>
    <w:lvl w:ilvl="0">
      <w:lvlJc w:val="left"/>
      <w:lvlText w:val="%1."/>
      <w:numFmt w:val="decimal"/>
      <w:start w:val="23"/>
    </w:lvl>
  </w:abstractNum>
  <w:abstractNum w:abstractNumId="336">
    <w:nsid w:val="7E4A5715"/>
    <w:multiLevelType w:val="hybridMultilevel"/>
    <w:lvl w:ilvl="0">
      <w:lvlJc w:val="left"/>
      <w:lvlText w:val="%1."/>
      <w:numFmt w:val="decimal"/>
      <w:start w:val="24"/>
    </w:lvl>
  </w:abstractNum>
  <w:abstractNum w:abstractNumId="337">
    <w:nsid w:val="42B8AC67"/>
    <w:multiLevelType w:val="hybridMultilevel"/>
    <w:lvl w:ilvl="0">
      <w:lvlJc w:val="left"/>
      <w:lvlText w:val="%1."/>
      <w:numFmt w:val="decimal"/>
      <w:start w:val="29"/>
    </w:lvl>
  </w:abstractNum>
  <w:abstractNum w:abstractNumId="338">
    <w:nsid w:val="246348EA"/>
    <w:multiLevelType w:val="hybridMultilevel"/>
    <w:lvl w:ilvl="0">
      <w:lvlJc w:val="left"/>
      <w:lvlText w:val="%1."/>
      <w:numFmt w:val="decimal"/>
      <w:start w:val="30"/>
    </w:lvl>
  </w:abstractNum>
  <w:abstractNum w:abstractNumId="339">
    <w:nsid w:val="170EB52B"/>
    <w:multiLevelType w:val="hybridMultilevel"/>
    <w:lvl w:ilvl="0">
      <w:lvlJc w:val="left"/>
      <w:lvlText w:val="(%1)"/>
      <w:numFmt w:val="lowerLetter"/>
      <w:start w:val="1"/>
    </w:lvl>
  </w:abstractNum>
  <w:abstractNum w:abstractNumId="340">
    <w:nsid w:val="2DFBCB8C"/>
    <w:multiLevelType w:val="hybridMultilevel"/>
    <w:lvl w:ilvl="0">
      <w:lvlJc w:val="left"/>
      <w:lvlText w:val="(%1)"/>
      <w:numFmt w:val="lowerLetter"/>
      <w:start w:val="3"/>
    </w:lvl>
  </w:abstractNum>
  <w:abstractNum w:abstractNumId="341">
    <w:nsid w:val="3830D6B6"/>
    <w:multiLevelType w:val="hybridMultilevel"/>
    <w:lvl w:ilvl="0">
      <w:lvlJc w:val="left"/>
      <w:lvlText w:val="(%1)"/>
      <w:numFmt w:val="lowerLetter"/>
      <w:start w:val="5"/>
    </w:lvl>
  </w:abstractNum>
  <w:abstractNum w:abstractNumId="342">
    <w:nsid w:val="6D48CF87"/>
    <w:multiLevelType w:val="hybridMultilevel"/>
    <w:lvl w:ilvl="0">
      <w:lvlJc w:val="left"/>
      <w:lvlText w:val="(%1)"/>
      <w:numFmt w:val="lowerLetter"/>
      <w:start w:val="6"/>
    </w:lvl>
  </w:abstractNum>
  <w:abstractNum w:abstractNumId="343">
    <w:nsid w:val="576FC41B"/>
    <w:multiLevelType w:val="hybridMultilevel"/>
    <w:lvl w:ilvl="0">
      <w:lvlJc w:val="left"/>
      <w:lvlText w:val="%1."/>
      <w:numFmt w:val="decimal"/>
      <w:start w:val="31"/>
    </w:lvl>
  </w:abstractNum>
  <w:abstractNum w:abstractNumId="344">
    <w:nsid w:val="64A1C464"/>
    <w:multiLevelType w:val="hybridMultilevel"/>
    <w:lvl w:ilvl="0">
      <w:lvlJc w:val="left"/>
      <w:lvlText w:val="%1."/>
      <w:numFmt w:val="decimal"/>
      <w:start w:val="32"/>
    </w:lvl>
  </w:abstractNum>
  <w:abstractNum w:abstractNumId="345">
    <w:nsid w:val="31723BF5"/>
    <w:multiLevelType w:val="hybridMultilevel"/>
    <w:lvl w:ilvl="0">
      <w:lvlJc w:val="left"/>
      <w:lvlText w:val="%1."/>
      <w:numFmt w:val="decimal"/>
      <w:start w:val="33"/>
    </w:lvl>
  </w:abstractNum>
  <w:abstractNum w:abstractNumId="346">
    <w:nsid w:val="11F69861"/>
    <w:multiLevelType w:val="hybridMultilevel"/>
    <w:lvl w:ilvl="0">
      <w:lvlJc w:val="left"/>
      <w:lvlText w:val="%1."/>
      <w:numFmt w:val="decimal"/>
      <w:start w:val="34"/>
    </w:lvl>
  </w:abstractNum>
  <w:abstractNum w:abstractNumId="347">
    <w:nsid w:val="369956AB"/>
    <w:multiLevelType w:val="hybridMultilevel"/>
    <w:lvl w:ilvl="0">
      <w:lvlJc w:val="left"/>
      <w:lvlText w:val="%1."/>
      <w:numFmt w:val="decimal"/>
      <w:start w:val="37"/>
    </w:lvl>
  </w:abstractNum>
  <w:abstractNum w:abstractNumId="348">
    <w:nsid w:val="D3BE41C"/>
    <w:multiLevelType w:val="hybridMultilevel"/>
    <w:lvl w:ilvl="0">
      <w:lvlJc w:val="left"/>
      <w:lvlText w:val="(%1)"/>
      <w:numFmt w:val="lowerLetter"/>
      <w:start w:val="1"/>
    </w:lvl>
  </w:abstractNum>
  <w:abstractNum w:abstractNumId="349">
    <w:nsid w:val="4CDA15E7"/>
    <w:multiLevelType w:val="hybridMultilevel"/>
    <w:lvl w:ilvl="0">
      <w:lvlJc w:val="left"/>
      <w:lvlText w:val="(%1)"/>
      <w:numFmt w:val="lowerLetter"/>
      <w:start w:val="2"/>
    </w:lvl>
    <w:lvl w:ilvl="1">
      <w:lvlJc w:val="left"/>
      <w:lvlText w:val="(%2)"/>
      <w:numFmt w:val="lowerRoman"/>
      <w:start w:val="1"/>
    </w:lvl>
  </w:abstractNum>
  <w:abstractNum w:abstractNumId="350">
    <w:nsid w:val="7BDD6690"/>
    <w:multiLevelType w:val="hybridMultilevel"/>
    <w:lvl w:ilvl="0">
      <w:lvlJc w:val="left"/>
      <w:lvlText w:val="(%1)"/>
      <w:numFmt w:val="lowerRoman"/>
      <w:start w:val="1"/>
    </w:lvl>
  </w:abstractNum>
  <w:abstractNum w:abstractNumId="351">
    <w:nsid w:val="DFB5C5B"/>
    <w:multiLevelType w:val="hybridMultilevel"/>
    <w:lvl w:ilvl="0">
      <w:lvlJc w:val="left"/>
      <w:lvlText w:val="(%1)"/>
      <w:numFmt w:val="lowerLetter"/>
      <w:start w:val="3"/>
    </w:lvl>
  </w:abstractNum>
  <w:abstractNum w:abstractNumId="352">
    <w:nsid w:val="6F3E5490"/>
    <w:multiLevelType w:val="hybridMultilevel"/>
    <w:lvl w:ilvl="0">
      <w:lvlJc w:val="left"/>
      <w:lvlText w:val="%1"/>
      <w:numFmt w:val="lowerLetter"/>
      <w:start w:val="1"/>
    </w:lvl>
    <w:lvl w:ilvl="1">
      <w:lvlJc w:val="left"/>
      <w:lvlText w:val="(%2)"/>
      <w:numFmt w:val="lowerRoman"/>
      <w:start w:val="1"/>
    </w:lvl>
  </w:abstractNum>
  <w:abstractNum w:abstractNumId="353">
    <w:nsid w:val="1464BE1E"/>
    <w:multiLevelType w:val="hybridMultilevel"/>
    <w:lvl w:ilvl="0">
      <w:lvlJc w:val="left"/>
      <w:lvlText w:val="(%1)"/>
      <w:numFmt w:val="lowerLetter"/>
      <w:start w:val="5"/>
    </w:lvl>
    <w:lvl w:ilvl="1">
      <w:lvlJc w:val="left"/>
      <w:lvlText w:val="%2"/>
      <w:numFmt w:val="lowerRoman"/>
      <w:start w:val="1"/>
    </w:lvl>
  </w:abstractNum>
  <w:abstractNum w:abstractNumId="354">
    <w:nsid w:val="66BBB7E5"/>
    <w:multiLevelType w:val="hybridMultilevel"/>
    <w:lvl w:ilvl="0">
      <w:lvlJc w:val="left"/>
      <w:lvlText w:val="%1."/>
      <w:numFmt w:val="decimal"/>
      <w:start w:val="40"/>
    </w:lvl>
  </w:abstractNum>
  <w:abstractNum w:abstractNumId="355">
    <w:nsid w:val="28168302"/>
    <w:multiLevelType w:val="hybridMultilevel"/>
    <w:lvl w:ilvl="0">
      <w:lvlJc w:val="left"/>
      <w:lvlText w:val="(%1)"/>
      <w:numFmt w:val="lowerLetter"/>
      <w:start w:val="1"/>
    </w:lvl>
  </w:abstractNum>
  <w:abstractNum w:abstractNumId="356">
    <w:nsid w:val="32A5C7A8"/>
    <w:multiLevelType w:val="hybridMultilevel"/>
    <w:lvl w:ilvl="0">
      <w:lvlJc w:val="left"/>
      <w:lvlText w:val="(%1)"/>
      <w:numFmt w:val="lowerLetter"/>
      <w:start w:val="6"/>
    </w:lvl>
  </w:abstractNum>
  <w:abstractNum w:abstractNumId="357">
    <w:nsid w:val="3A541011"/>
    <w:multiLevelType w:val="hybridMultilevel"/>
    <w:lvl w:ilvl="0">
      <w:lvlJc w:val="left"/>
      <w:lvlText w:val="(%1)"/>
      <w:numFmt w:val="lowerLetter"/>
      <w:start w:val="7"/>
    </w:lvl>
  </w:abstractNum>
  <w:abstractNum w:abstractNumId="358">
    <w:nsid w:val="4423C777"/>
    <w:multiLevelType w:val="hybridMultilevel"/>
    <w:lvl w:ilvl="0">
      <w:lvlJc w:val="left"/>
      <w:lvlText w:val="%1."/>
      <w:numFmt w:val="decimal"/>
      <w:start w:val="1"/>
    </w:lvl>
  </w:abstractNum>
  <w:abstractNum w:abstractNumId="359">
    <w:nsid w:val="5F5C6E4D"/>
    <w:multiLevelType w:val="hybridMultilevel"/>
    <w:lvl w:ilvl="0">
      <w:lvlJc w:val="left"/>
      <w:lvlText w:val="(%1)"/>
      <w:numFmt w:val="lowerLetter"/>
      <w:start w:val="1"/>
    </w:lvl>
  </w:abstractNum>
  <w:abstractNum w:abstractNumId="360">
    <w:nsid w:val="7C2A56CD"/>
    <w:multiLevelType w:val="hybridMultilevel"/>
    <w:lvl w:ilvl="0">
      <w:lvlJc w:val="left"/>
      <w:lvlText w:val="%1."/>
      <w:numFmt w:val="decimal"/>
      <w:start w:val="2"/>
    </w:lvl>
  </w:abstractNum>
  <w:abstractNum w:abstractNumId="361">
    <w:nsid w:val="7AB86EE1"/>
    <w:multiLevelType w:val="hybridMultilevel"/>
    <w:lvl w:ilvl="0">
      <w:lvlJc w:val="left"/>
      <w:lvlText w:val="(%1)"/>
      <w:numFmt w:val="lowerLetter"/>
      <w:start w:val="1"/>
    </w:lvl>
  </w:abstractNum>
  <w:abstractNum w:abstractNumId="362">
    <w:nsid w:val="B54E53B"/>
    <w:multiLevelType w:val="hybridMultilevel"/>
    <w:lvl w:ilvl="0">
      <w:lvlJc w:val="left"/>
      <w:lvlText w:val="%1"/>
      <w:numFmt w:val="lowerLetter"/>
      <w:start w:val="1"/>
    </w:lvl>
    <w:lvl w:ilvl="1">
      <w:lvlJc w:val="left"/>
      <w:lvlText w:val="(%2)"/>
      <w:numFmt w:val="lowerLetter"/>
      <w:start w:val="2"/>
    </w:lvl>
  </w:abstractNum>
  <w:abstractNum w:abstractNumId="363">
    <w:nsid w:val="2A00487"/>
    <w:multiLevelType w:val="hybridMultilevel"/>
    <w:lvl w:ilvl="0">
      <w:lvlJc w:val="left"/>
      <w:lvlText w:val="(%1)"/>
      <w:numFmt w:val="lowerLetter"/>
      <w:start w:val="9"/>
    </w:lvl>
    <w:lvl w:ilvl="1">
      <w:lvlJc w:val="left"/>
      <w:lvlText w:val="%2"/>
      <w:numFmt w:val="lowerLetter"/>
      <w:start w:val="1"/>
    </w:lvl>
  </w:abstractNum>
  <w:abstractNum w:abstractNumId="364">
    <w:nsid w:val="6CB1B60"/>
    <w:multiLevelType w:val="hybridMultilevel"/>
    <w:lvl w:ilvl="0">
      <w:lvlJc w:val="left"/>
      <w:lvlText w:val="%1."/>
      <w:numFmt w:val="decimal"/>
      <w:start w:val="3"/>
    </w:lvl>
  </w:abstractNum>
  <w:abstractNum w:abstractNumId="365">
    <w:nsid w:val="72EDD574"/>
    <w:multiLevelType w:val="hybridMultilevel"/>
    <w:lvl w:ilvl="0">
      <w:lvlJc w:val="left"/>
      <w:lvlText w:val="(%1)"/>
      <w:numFmt w:val="lowerLetter"/>
      <w:start w:val="1"/>
    </w:lvl>
  </w:abstractNum>
  <w:abstractNum w:abstractNumId="366">
    <w:nsid w:val="7323808A"/>
    <w:multiLevelType w:val="hybridMultilevel"/>
    <w:lvl w:ilvl="0">
      <w:lvlJc w:val="left"/>
      <w:lvlText w:val="(%1)"/>
      <w:numFmt w:val="lowerLetter"/>
      <w:start w:val="4"/>
    </w:lvl>
  </w:abstractNum>
  <w:abstractNum w:abstractNumId="367">
    <w:nsid w:val="5157276"/>
    <w:multiLevelType w:val="hybridMultilevel"/>
    <w:lvl w:ilvl="0">
      <w:lvlJc w:val="left"/>
      <w:lvlText w:val="(%1)"/>
      <w:numFmt w:val="lowerLetter"/>
      <w:start w:val="6"/>
    </w:lvl>
    <w:lvl w:ilvl="1">
      <w:lvlJc w:val="left"/>
      <w:lvlText w:val="(%2)"/>
      <w:numFmt w:val="lowerRoman"/>
      <w:start w:val="1"/>
    </w:lvl>
  </w:abstractNum>
  <w:abstractNum w:abstractNumId="368">
    <w:nsid w:val="35A681DB"/>
    <w:multiLevelType w:val="hybridMultilevel"/>
    <w:lvl w:ilvl="0">
      <w:lvlJc w:val="left"/>
      <w:lvlText w:val="(%1)"/>
      <w:numFmt w:val="lowerRoman"/>
      <w:start w:val="8"/>
    </w:lvl>
  </w:abstractNum>
  <w:abstractNum w:abstractNumId="369">
    <w:nsid w:val="1786C974"/>
    <w:multiLevelType w:val="hybridMultilevel"/>
    <w:lvl w:ilvl="0">
      <w:lvlJc w:val="left"/>
      <w:lvlText w:val="%1."/>
      <w:numFmt w:val="decimal"/>
      <w:start w:val="4"/>
    </w:lvl>
  </w:abstractNum>
  <w:abstractNum w:abstractNumId="370">
    <w:nsid w:val="1C2427A1"/>
    <w:multiLevelType w:val="hybridMultilevel"/>
    <w:lvl w:ilvl="0">
      <w:lvlJc w:val="left"/>
      <w:lvlText w:val="(%1)"/>
      <w:numFmt w:val="lowerLetter"/>
      <w:start w:val="1"/>
    </w:lvl>
  </w:abstractNum>
  <w:abstractNum w:abstractNumId="371">
    <w:nsid w:val="63A24D68"/>
    <w:multiLevelType w:val="hybridMultilevel"/>
    <w:lvl w:ilvl="0">
      <w:lvlJc w:val="left"/>
      <w:lvlText w:val="%1."/>
      <w:numFmt w:val="decimal"/>
      <w:start w:val="5"/>
    </w:lvl>
  </w:abstractNum>
  <w:abstractNum w:abstractNumId="372">
    <w:nsid w:val="4FB7A02A"/>
    <w:multiLevelType w:val="hybridMultilevel"/>
    <w:lvl w:ilvl="0">
      <w:lvlJc w:val="left"/>
      <w:lvlText w:val="(%1)"/>
      <w:numFmt w:val="lowerLetter"/>
      <w:start w:val="1"/>
    </w:lvl>
  </w:abstractNum>
  <w:abstractNum w:abstractNumId="373">
    <w:nsid w:val="96CF728"/>
    <w:multiLevelType w:val="hybridMultilevel"/>
    <w:lvl w:ilvl="0">
      <w:lvlJc w:val="left"/>
      <w:lvlText w:val="(%1)"/>
      <w:numFmt w:val="lowerLetter"/>
      <w:start w:val="2"/>
    </w:lvl>
  </w:abstractNum>
  <w:abstractNum w:abstractNumId="374">
    <w:nsid w:val="3B121183"/>
    <w:multiLevelType w:val="hybridMultilevel"/>
    <w:lvl w:ilvl="0">
      <w:lvlJc w:val="left"/>
      <w:lvlText w:val="%1."/>
      <w:numFmt w:val="decimal"/>
      <w:start w:val="6"/>
    </w:lvl>
  </w:abstractNum>
  <w:abstractNum w:abstractNumId="375">
    <w:nsid w:val="3459648F"/>
    <w:multiLevelType w:val="hybridMultilevel"/>
    <w:lvl w:ilvl="0">
      <w:lvlJc w:val="left"/>
      <w:lvlText w:val="(%1)"/>
      <w:numFmt w:val="lowerLetter"/>
      <w:start w:val="1"/>
    </w:lvl>
  </w:abstractNum>
  <w:abstractNum w:abstractNumId="376">
    <w:nsid w:val="3ADF331D"/>
    <w:multiLevelType w:val="hybridMultilevel"/>
    <w:lvl w:ilvl="0">
      <w:lvlJc w:val="left"/>
      <w:lvlText w:val="1"/>
      <w:numFmt w:val="bullet"/>
      <w:start w:val="1"/>
    </w:lvl>
  </w:abstractNum>
  <w:abstractNum w:abstractNumId="377">
    <w:nsid w:val="4D08A9E4"/>
    <w:multiLevelType w:val="hybridMultilevel"/>
    <w:lvl w:ilvl="0">
      <w:lvlJc w:val="left"/>
      <w:lvlText w:val="."/>
      <w:numFmt w:val="bullet"/>
      <w:start w:val="1"/>
    </w:lvl>
  </w:abstractNum>
  <w:abstractNum w:abstractNumId="378">
    <w:nsid w:val="6AF2BB3A"/>
    <w:multiLevelType w:val="hybridMultilevel"/>
    <w:lvl w:ilvl="0">
      <w:lvlJc w:val="left"/>
      <w:lvlText w:val="%1."/>
      <w:numFmt w:val="decimal"/>
      <w:start w:val="1"/>
    </w:lvl>
  </w:abstractNum>
  <w:abstractNum w:abstractNumId="379">
    <w:nsid w:val="481B1739"/>
    <w:multiLevelType w:val="hybridMultilevel"/>
    <w:lvl w:ilvl="0">
      <w:lvlJc w:val="left"/>
      <w:lvlText w:val="·"/>
      <w:numFmt w:val="bullet"/>
      <w:start w:val="1"/>
    </w:lvl>
  </w:abstractNum>
  <w:abstractNum w:abstractNumId="380">
    <w:nsid w:val="19E2BFCC"/>
    <w:multiLevelType w:val="hybridMultilevel"/>
    <w:lvl w:ilvl="0">
      <w:lvlJc w:val="left"/>
      <w:lvlText w:val="·"/>
      <w:numFmt w:val="bullet"/>
      <w:start w:val="1"/>
    </w:lvl>
  </w:abstractNum>
  <w:abstractNum w:abstractNumId="381">
    <w:nsid w:val="66D021CA"/>
    <w:multiLevelType w:val="hybridMultilevel"/>
    <w:lvl w:ilvl="0">
      <w:lvlJc w:val="left"/>
      <w:lvlText w:val="·"/>
      <w:numFmt w:val="bullet"/>
      <w:start w:val="1"/>
    </w:lvl>
  </w:abstractNum>
  <w:abstractNum w:abstractNumId="382">
    <w:nsid w:val="56167394"/>
    <w:multiLevelType w:val="hybridMultilevel"/>
    <w:lvl w:ilvl="0">
      <w:lvlJc w:val="left"/>
      <w:lvlText w:val="·"/>
      <w:numFmt w:val="bullet"/>
      <w:start w:val="1"/>
    </w:lvl>
  </w:abstractNum>
  <w:abstractNum w:abstractNumId="383">
    <w:nsid w:val="921145C"/>
    <w:multiLevelType w:val="hybridMultilevel"/>
    <w:lvl w:ilvl="0">
      <w:lvlJc w:val="left"/>
      <w:lvlText w:val="·"/>
      <w:numFmt w:val="bullet"/>
      <w:start w:val="1"/>
    </w:lvl>
  </w:abstractNum>
  <w:abstractNum w:abstractNumId="384">
    <w:nsid w:val="7B34DFE8"/>
    <w:multiLevelType w:val="hybridMultilevel"/>
    <w:lvl w:ilvl="0">
      <w:lvlJc w:val="left"/>
      <w:lvlText w:val="%1."/>
      <w:numFmt w:val="upperLetter"/>
      <w:start w:val="1"/>
    </w:lvl>
  </w:abstractNum>
  <w:abstractNum w:abstractNumId="385">
    <w:nsid w:val="3CD22B79"/>
    <w:multiLevelType w:val="hybridMultilevel"/>
    <w:lvl w:ilvl="0">
      <w:lvlJc w:val="left"/>
      <w:lvlText w:val="%1."/>
      <w:numFmt w:val="decimal"/>
      <w:start w:val="1"/>
    </w:lvl>
  </w:abstractNum>
  <w:abstractNum w:abstractNumId="386">
    <w:nsid w:val="3137975E"/>
    <w:multiLevelType w:val="hybridMultilevel"/>
    <w:lvl w:ilvl="0">
      <w:lvlJc w:val="left"/>
      <w:lvlText w:val="%1."/>
      <w:numFmt w:val="decimal"/>
      <w:start w:val="2"/>
    </w:lvl>
  </w:abstractNum>
  <w:abstractNum w:abstractNumId="387">
    <w:nsid w:val="2DDAA791"/>
    <w:multiLevelType w:val="hybridMultilevel"/>
    <w:lvl w:ilvl="0">
      <w:lvlJc w:val="left"/>
      <w:lvlText w:val="%1."/>
      <w:numFmt w:val="decimal"/>
      <w:start w:val="3"/>
    </w:lvl>
  </w:abstractNum>
  <w:abstractNum w:abstractNumId="388">
    <w:nsid w:val="77263B8A"/>
    <w:multiLevelType w:val="hybridMultilevel"/>
    <w:lvl w:ilvl="0">
      <w:lvlJc w:val="left"/>
      <w:lvlText w:val="%1."/>
      <w:numFmt w:val="decimal"/>
      <w:start w:val="5"/>
    </w:lvl>
  </w:abstractNum>
  <w:abstractNum w:abstractNumId="389">
    <w:nsid w:val="755B5ED6"/>
    <w:multiLevelType w:val="hybridMultilevel"/>
    <w:lvl w:ilvl="0">
      <w:lvlJc w:val="left"/>
      <w:lvlText w:val="%1."/>
      <w:numFmt w:val="decimal"/>
      <w:start w:val="6"/>
    </w:lvl>
    <w:lvl w:ilvl="1">
      <w:lvlJc w:val="left"/>
      <w:lvlText w:val="%2."/>
      <w:numFmt w:val="lowerLetter"/>
      <w:start w:val="1"/>
    </w:lvl>
  </w:abstractNum>
  <w:abstractNum w:abstractNumId="390">
    <w:nsid w:val="D3715DE"/>
    <w:multiLevelType w:val="hybridMultilevel"/>
    <w:lvl w:ilvl="0">
      <w:lvlJc w:val="left"/>
      <w:lvlText w:val="%1."/>
      <w:numFmt w:val="decimal"/>
      <w:start w:val="1"/>
    </w:lvl>
  </w:abstractNum>
  <w:abstractNum w:abstractNumId="391">
    <w:nsid w:val="73509257"/>
    <w:multiLevelType w:val="hybridMultilevel"/>
    <w:lvl w:ilvl="0">
      <w:lvlJc w:val="left"/>
      <w:lvlText w:val="(%1)"/>
      <w:numFmt w:val="lowerLetter"/>
      <w:start w:val="1"/>
    </w:lvl>
  </w:abstractNum>
  <w:abstractNum w:abstractNumId="392">
    <w:nsid w:val="7013CDB7"/>
    <w:multiLevelType w:val="hybridMultilevel"/>
    <w:lvl w:ilvl="0">
      <w:lvlJc w:val="left"/>
      <w:lvlText w:val="%1."/>
      <w:numFmt w:val="decimal"/>
      <w:start w:val="2"/>
    </w:lvl>
  </w:abstractNum>
  <w:abstractNum w:abstractNumId="393">
    <w:nsid w:val="188BFB19"/>
    <w:multiLevelType w:val="hybridMultilevel"/>
    <w:lvl w:ilvl="0">
      <w:lvlJc w:val="left"/>
      <w:lvlText w:val="(%1)"/>
      <w:numFmt w:val="lowerLetter"/>
      <w:start w:val="1"/>
    </w:lvl>
  </w:abstractNum>
  <w:abstractNum w:abstractNumId="394">
    <w:nsid w:val="75F096DF"/>
    <w:multiLevelType w:val="hybridMultilevel"/>
    <w:lvl w:ilvl="0">
      <w:lvlJc w:val="left"/>
      <w:lvlText w:val="%1"/>
      <w:numFmt w:val="lowerLetter"/>
      <w:start w:val="1"/>
    </w:lvl>
    <w:lvl w:ilvl="1">
      <w:lvlJc w:val="left"/>
      <w:lvlText w:val="(%2)"/>
      <w:numFmt w:val="lowerLetter"/>
      <w:start w:val="2"/>
    </w:lvl>
  </w:abstractNum>
  <w:abstractNum w:abstractNumId="395">
    <w:nsid w:val="76DEE918"/>
    <w:multiLevelType w:val="hybridMultilevel"/>
    <w:lvl w:ilvl="0">
      <w:lvlJc w:val="left"/>
      <w:lvlText w:val="(%1)"/>
      <w:numFmt w:val="lowerLetter"/>
      <w:start w:val="9"/>
    </w:lvl>
    <w:lvl w:ilvl="1">
      <w:lvlJc w:val="left"/>
      <w:lvlText w:val="%2"/>
      <w:numFmt w:val="lowerLetter"/>
      <w:start w:val="1"/>
    </w:lvl>
  </w:abstractNum>
  <w:abstractNum w:abstractNumId="396">
    <w:nsid w:val="B79D08D"/>
    <w:multiLevelType w:val="hybridMultilevel"/>
    <w:lvl w:ilvl="0">
      <w:lvlJc w:val="left"/>
      <w:lvlText w:val="(%1)"/>
      <w:numFmt w:val="lowerLetter"/>
      <w:start w:val="61"/>
    </w:lvl>
    <w:lvl w:ilvl="1">
      <w:lvlJc w:val="left"/>
      <w:lvlText w:val="%2"/>
      <w:numFmt w:val="lowerLetter"/>
      <w:start w:val="1"/>
    </w:lvl>
  </w:abstractNum>
  <w:abstractNum w:abstractNumId="397">
    <w:nsid w:val="69141769"/>
    <w:multiLevelType w:val="hybridMultilevel"/>
    <w:lvl w:ilvl="0">
      <w:lvlJc w:val="left"/>
      <w:lvlText w:val="%1."/>
      <w:numFmt w:val="decimal"/>
      <w:start w:val="3"/>
    </w:lvl>
  </w:abstractNum>
  <w:abstractNum w:abstractNumId="398">
    <w:nsid w:val="7BF45B8E"/>
    <w:multiLevelType w:val="hybridMultilevel"/>
    <w:lvl w:ilvl="0">
      <w:lvlJc w:val="left"/>
      <w:lvlText w:val="(%1)"/>
      <w:numFmt w:val="lowerLetter"/>
      <w:start w:val="1"/>
    </w:lvl>
  </w:abstractNum>
  <w:abstractNum w:abstractNumId="399">
    <w:nsid w:val="41205269"/>
    <w:multiLevelType w:val="hybridMultilevel"/>
    <w:lvl w:ilvl="0">
      <w:lvlJc w:val="left"/>
      <w:lvlText w:val="(%1)"/>
      <w:numFmt w:val="lowerLetter"/>
      <w:start w:val="3"/>
    </w:lvl>
  </w:abstractNum>
  <w:abstractNum w:abstractNumId="400">
    <w:nsid w:val="9AE0DD"/>
    <w:multiLevelType w:val="hybridMultilevel"/>
    <w:lvl w:ilvl="0">
      <w:lvlJc w:val="left"/>
      <w:lvlText w:val="(%1)"/>
      <w:numFmt w:val="lowerLetter"/>
      <w:start w:val="6"/>
    </w:lvl>
  </w:abstractNum>
  <w:abstractNum w:abstractNumId="401">
    <w:nsid w:val="1818832F"/>
    <w:multiLevelType w:val="hybridMultilevel"/>
    <w:lvl w:ilvl="0">
      <w:lvlJc w:val="left"/>
      <w:lvlText w:val="%1."/>
      <w:numFmt w:val="decimal"/>
      <w:start w:val="4"/>
    </w:lvl>
  </w:abstractNum>
  <w:abstractNum w:abstractNumId="402">
    <w:nsid w:val="24C29FD1"/>
    <w:multiLevelType w:val="hybridMultilevel"/>
    <w:lvl w:ilvl="0">
      <w:lvlJc w:val="left"/>
      <w:lvlText w:val="(%1)"/>
      <w:numFmt w:val="lowerLetter"/>
      <w:start w:val="1"/>
    </w:lvl>
  </w:abstractNum>
  <w:abstractNum w:abstractNumId="403">
    <w:nsid w:val="50528108"/>
    <w:multiLevelType w:val="hybridMultilevel"/>
    <w:lvl w:ilvl="0">
      <w:lvlJc w:val="left"/>
      <w:lvlText w:val="(%1)"/>
      <w:numFmt w:val="lowerLetter"/>
      <w:start w:val="2"/>
    </w:lvl>
  </w:abstractNum>
  <w:abstractNum w:abstractNumId="404">
    <w:nsid w:val="21857A57"/>
    <w:multiLevelType w:val="hybridMultilevel"/>
    <w:lvl w:ilvl="0">
      <w:lvlJc w:val="left"/>
      <w:lvlText w:val="%1."/>
      <w:numFmt w:val="decimal"/>
      <w:start w:val="5"/>
    </w:lvl>
  </w:abstractNum>
  <w:abstractNum w:abstractNumId="405">
    <w:nsid w:val="5FD4B154"/>
    <w:multiLevelType w:val="hybridMultilevel"/>
    <w:lvl w:ilvl="0">
      <w:lvlJc w:val="left"/>
      <w:lvlText w:val="(%1)"/>
      <w:numFmt w:val="lowerLetter"/>
      <w:start w:val="1"/>
    </w:lvl>
  </w:abstractNum>
  <w:abstractNum w:abstractNumId="406">
    <w:nsid w:val="4ABE597"/>
    <w:multiLevelType w:val="hybridMultilevel"/>
    <w:lvl w:ilvl="0">
      <w:lvlJc w:val="left"/>
      <w:lvlText w:val="(%1)"/>
      <w:numFmt w:val="lowerLetter"/>
      <w:start w:val="2"/>
    </w:lvl>
  </w:abstractNum>
  <w:abstractNum w:abstractNumId="407">
    <w:nsid w:val="5C64AD75"/>
    <w:multiLevelType w:val="hybridMultilevel"/>
    <w:lvl w:ilvl="0">
      <w:lvlJc w:val="left"/>
      <w:lvlText w:val="%1."/>
      <w:numFmt w:val="decimal"/>
      <w:start w:val="1"/>
    </w:lvl>
  </w:abstractNum>
  <w:abstractNum w:abstractNumId="408">
    <w:nsid w:val="2CDD5B39"/>
    <w:multiLevelType w:val="hybridMultilevel"/>
    <w:lvl w:ilvl="0">
      <w:lvlJc w:val="left"/>
      <w:lvlText w:val="(%1)"/>
      <w:numFmt w:val="lowerLetter"/>
      <w:start w:val="3"/>
    </w:lvl>
  </w:abstractNum>
  <w:abstractNum w:abstractNumId="409">
    <w:nsid w:val="6F9EA0D1"/>
    <w:multiLevelType w:val="hybridMultilevel"/>
    <w:lvl w:ilvl="0">
      <w:lvlJc w:val="left"/>
      <w:lvlText w:val="%1."/>
      <w:numFmt w:val="decimal"/>
      <w:start w:val="6"/>
    </w:lvl>
  </w:abstractNum>
  <w:abstractNum w:abstractNumId="410">
    <w:nsid w:val="247FC4AE"/>
    <w:multiLevelType w:val="hybridMultilevel"/>
    <w:lvl w:ilvl="0">
      <w:lvlJc w:val="left"/>
      <w:lvlText w:val="(%1)"/>
      <w:numFmt w:val="lowerLetter"/>
      <w:start w:val="1"/>
    </w:lvl>
  </w:abstractNum>
  <w:abstractNum w:abstractNumId="411">
    <w:nsid w:val="46C01B05"/>
    <w:multiLevelType w:val="hybridMultilevel"/>
    <w:lvl w:ilvl="0">
      <w:lvlJc w:val="left"/>
      <w:lvlText w:val="%1."/>
      <w:numFmt w:val="decimal"/>
      <w:start w:val="7"/>
    </w:lvl>
  </w:abstractNum>
  <w:abstractNum w:abstractNumId="412">
    <w:nsid w:val="566EC29B"/>
    <w:multiLevelType w:val="hybridMultilevel"/>
    <w:lvl w:ilvl="0">
      <w:lvlJc w:val="left"/>
      <w:lvlText w:val="(%1)"/>
      <w:numFmt w:val="lowerLetter"/>
      <w:start w:val="1"/>
    </w:lvl>
  </w:abstractNum>
  <w:abstractNum w:abstractNumId="413">
    <w:nsid w:val="7A963843"/>
    <w:multiLevelType w:val="hybridMultilevel"/>
    <w:lvl w:ilvl="0">
      <w:lvlJc w:val="left"/>
      <w:lvlText w:val="*"/>
      <w:numFmt w:val="bullet"/>
      <w:start w:val="1"/>
    </w:lvl>
  </w:abstractNum>
  <w:abstractNum w:abstractNumId="414">
    <w:nsid w:val="4FE12F61"/>
    <w:multiLevelType w:val="hybridMultilevel"/>
    <w:lvl w:ilvl="0">
      <w:lvlJc w:val="left"/>
      <w:lvlText w:val="%1."/>
      <w:numFmt w:val="decimal"/>
      <w:start w:val="1"/>
    </w:lvl>
  </w:abstractNum>
  <w:abstractNum w:abstractNumId="415">
    <w:nsid w:val="51A3A284"/>
    <w:multiLevelType w:val="hybridMultilevel"/>
    <w:lvl w:ilvl="0">
      <w:lvlJc w:val="left"/>
      <w:lvlText w:val="(%1)"/>
      <w:numFmt w:val="lowerLetter"/>
      <w:start w:val="1"/>
    </w:lvl>
  </w:abstractNum>
  <w:abstractNum w:abstractNumId="416">
    <w:nsid w:val="376863BC"/>
    <w:multiLevelType w:val="hybridMultilevel"/>
    <w:lvl w:ilvl="0">
      <w:lvlJc w:val="left"/>
      <w:lvlText w:val="(%1)"/>
      <w:numFmt w:val="decimal"/>
      <w:start w:val="9"/>
    </w:lvl>
  </w:abstractNum>
  <w:abstractNum w:abstractNumId="417">
    <w:nsid w:val="118C6C0"/>
    <w:multiLevelType w:val="hybridMultilevel"/>
    <w:lvl w:ilvl="0">
      <w:lvlJc w:val="left"/>
      <w:lvlText w:val="%1."/>
      <w:numFmt w:val="decimal"/>
      <w:start w:val="5"/>
    </w:lvl>
  </w:abstractNum>
  <w:abstractNum w:abstractNumId="418">
    <w:nsid w:val="7F7E4A15"/>
    <w:multiLevelType w:val="hybridMultilevel"/>
    <w:lvl w:ilvl="0">
      <w:lvlJc w:val="left"/>
      <w:lvlText w:val="%1."/>
      <w:numFmt w:val="decimal"/>
      <w:start w:val="6"/>
    </w:lvl>
  </w:abstractNum>
  <w:abstractNum w:abstractNumId="419">
    <w:nsid w:val="2E8E9F47"/>
    <w:multiLevelType w:val="hybridMultilevel"/>
    <w:lvl w:ilvl="0">
      <w:lvlJc w:val="left"/>
      <w:lvlText w:val="%1."/>
      <w:numFmt w:val="decimal"/>
      <w:start w:val="8"/>
    </w:lvl>
  </w:abstractNum>
  <w:abstractNum w:abstractNumId="420">
    <w:nsid w:val="76742596"/>
    <w:multiLevelType w:val="hybridMultilevel"/>
    <w:lvl w:ilvl="0">
      <w:lvlJc w:val="left"/>
      <w:lvlText w:val="(%1)"/>
      <w:numFmt w:val="decimal"/>
      <w:start w:val="1"/>
    </w:lvl>
  </w:abstractNum>
  <w:abstractNum w:abstractNumId="421">
    <w:nsid w:val="CB55FF3"/>
    <w:multiLevelType w:val="hybridMultilevel"/>
    <w:lvl w:ilvl="0">
      <w:lvlJc w:val="left"/>
      <w:lvlText w:val="(%1)"/>
      <w:numFmt w:val="lowerRoman"/>
      <w:start w:val="10"/>
    </w:lvl>
  </w:abstractNum>
  <w:abstractNum w:abstractNumId="422">
    <w:nsid w:val="21DF319E"/>
    <w:multiLevelType w:val="hybridMultilevel"/>
    <w:lvl w:ilvl="0">
      <w:lvlJc w:val="left"/>
      <w:lvlText w:val="(%1)"/>
      <w:numFmt w:val="lowerLetter"/>
      <w:start w:val="1"/>
    </w:lvl>
  </w:abstractNum>
  <w:abstractNum w:abstractNumId="423">
    <w:nsid w:val="6687F34D"/>
    <w:multiLevelType w:val="hybridMultilevel"/>
    <w:lvl w:ilvl="0">
      <w:lvlJc w:val="left"/>
      <w:lvlText w:val="%1."/>
      <w:numFmt w:val="decimal"/>
      <w:start w:val="9"/>
    </w:lvl>
  </w:abstractNum>
  <w:abstractNum w:abstractNumId="424">
    <w:nsid w:val="25415B0C"/>
    <w:multiLevelType w:val="hybridMultilevel"/>
    <w:lvl w:ilvl="0">
      <w:lvlJc w:val="left"/>
      <w:lvlText w:val="%1."/>
      <w:numFmt w:val="decimal"/>
      <w:start w:val="10"/>
    </w:lvl>
  </w:abstractNum>
  <w:abstractNum w:abstractNumId="425">
    <w:nsid w:val="17CFC87D"/>
    <w:multiLevelType w:val="hybridMultilevel"/>
    <w:lvl w:ilvl="0">
      <w:lvlJc w:val="left"/>
      <w:lvlText w:val="(%1)"/>
      <w:numFmt w:val="lowerLetter"/>
      <w:start w:val="1"/>
    </w:lvl>
  </w:abstractNum>
  <w:abstractNum w:abstractNumId="426">
    <w:nsid w:val="5D66DC65"/>
    <w:multiLevelType w:val="hybridMultilevel"/>
    <w:lvl w:ilvl="0">
      <w:lvlJc w:val="left"/>
      <w:lvlText w:val="(%1)"/>
      <w:numFmt w:val="lowerLetter"/>
      <w:start w:val="4"/>
    </w:lvl>
  </w:abstractNum>
  <w:abstractNum w:abstractNumId="427">
    <w:nsid w:val="30BB2B99"/>
    <w:multiLevelType w:val="hybridMultilevel"/>
    <w:lvl w:ilvl="0">
      <w:lvlJc w:val="left"/>
      <w:lvlText w:val="(%1)"/>
      <w:numFmt w:val="lowerLetter"/>
      <w:start w:val="1"/>
    </w:lvl>
  </w:abstractNum>
  <w:abstractNum w:abstractNumId="428">
    <w:nsid w:val="E3DFE6"/>
    <w:multiLevelType w:val="hybridMultilevel"/>
    <w:lvl w:ilvl="0">
      <w:lvlJc w:val="left"/>
      <w:lvlText w:val="%1."/>
      <w:numFmt w:val="decimal"/>
      <w:start w:val="11"/>
    </w:lvl>
  </w:abstractNum>
  <w:abstractNum w:abstractNumId="429">
    <w:nsid w:val="595B37F3"/>
    <w:multiLevelType w:val="hybridMultilevel"/>
    <w:lvl w:ilvl="0">
      <w:lvlJc w:val="left"/>
      <w:lvlText w:val="(%1)"/>
      <w:numFmt w:val="decimal"/>
      <w:start w:val="5"/>
    </w:lvl>
  </w:abstractNum>
  <w:abstractNum w:abstractNumId="430">
    <w:nsid w:val="71DB7E02"/>
    <w:multiLevelType w:val="hybridMultilevel"/>
    <w:lvl w:ilvl="0">
      <w:lvlJc w:val="left"/>
      <w:lvlText w:val="(%1)"/>
      <w:numFmt w:val="lowerLetter"/>
      <w:start w:val="1"/>
    </w:lvl>
  </w:abstractNum>
  <w:abstractNum w:abstractNumId="431">
    <w:nsid w:val="17EC0C4"/>
    <w:multiLevelType w:val="hybridMultilevel"/>
    <w:lvl w:ilvl="0">
      <w:lvlJc w:val="left"/>
      <w:lvlText w:val="(%1)"/>
      <w:numFmt w:val="lowerLetter"/>
      <w:start w:val="3"/>
    </w:lvl>
    <w:lvl w:ilvl="1">
      <w:lvlJc w:val="left"/>
      <w:lvlText w:val="%2."/>
      <w:numFmt w:val="decimal"/>
      <w:start w:val="12"/>
    </w:lvl>
  </w:abstractNum>
  <w:abstractNum w:abstractNumId="432">
    <w:nsid w:val="7173BB22"/>
    <w:multiLevelType w:val="hybridMultilevel"/>
    <w:lvl w:ilvl="0">
      <w:lvlJc w:val="left"/>
      <w:lvlText w:val="%1."/>
      <w:numFmt w:val="decimal"/>
      <w:start w:val="13"/>
    </w:lvl>
  </w:abstractNum>
  <w:abstractNum w:abstractNumId="433">
    <w:nsid w:val="169E1DD3"/>
    <w:multiLevelType w:val="hybridMultilevel"/>
    <w:lvl w:ilvl="0">
      <w:lvlJc w:val="left"/>
      <w:lvlText w:val="%1."/>
      <w:numFmt w:val="decimal"/>
      <w:start w:val="14"/>
    </w:lvl>
  </w:abstractNum>
  <w:abstractNum w:abstractNumId="434">
    <w:nsid w:val="51D141CC"/>
    <w:multiLevelType w:val="hybridMultilevel"/>
    <w:lvl w:ilvl="0">
      <w:lvlJc w:val="left"/>
      <w:lvlText w:val="%1."/>
      <w:numFmt w:val="decimal"/>
      <w:start w:val="15"/>
    </w:lvl>
  </w:abstractNum>
  <w:abstractNum w:abstractNumId="435">
    <w:nsid w:val="12F9357A"/>
    <w:multiLevelType w:val="hybridMultilevel"/>
    <w:lvl w:ilvl="0">
      <w:lvlJc w:val="left"/>
      <w:lvlText w:val="(%1)"/>
      <w:numFmt w:val="lowerLetter"/>
      <w:start w:val="2"/>
    </w:lvl>
  </w:abstractNum>
  <w:abstractNum w:abstractNumId="436">
    <w:nsid w:val="7672CF28"/>
    <w:multiLevelType w:val="hybridMultilevel"/>
    <w:lvl w:ilvl="0">
      <w:lvlJc w:val="left"/>
      <w:lvlText w:val="%1."/>
      <w:numFmt w:val="decimal"/>
      <w:start w:val="16"/>
    </w:lvl>
  </w:abstractNum>
  <w:abstractNum w:abstractNumId="437">
    <w:nsid w:val="567D2763"/>
    <w:multiLevelType w:val="hybridMultilevel"/>
    <w:lvl w:ilvl="0">
      <w:lvlJc w:val="left"/>
      <w:lvlText w:val="%1."/>
      <w:numFmt w:val="decimal"/>
      <w:start w:val="18"/>
    </w:lvl>
  </w:abstractNum>
  <w:abstractNum w:abstractNumId="438">
    <w:nsid w:val="6F5DE2EF"/>
    <w:multiLevelType w:val="hybridMultilevel"/>
    <w:lvl w:ilvl="0">
      <w:lvlJc w:val="left"/>
      <w:lvlText w:val="%1."/>
      <w:numFmt w:val="decimal"/>
      <w:start w:val="19"/>
    </w:lvl>
  </w:abstractNum>
  <w:abstractNum w:abstractNumId="439">
    <w:nsid w:val="23502A61"/>
    <w:multiLevelType w:val="hybridMultilevel"/>
    <w:lvl w:ilvl="0">
      <w:lvlJc w:val="left"/>
      <w:lvlText w:val="(%1)"/>
      <w:numFmt w:val="lowerLetter"/>
      <w:start w:val="4"/>
    </w:lvl>
  </w:abstractNum>
  <w:abstractNum w:abstractNumId="440">
    <w:nsid w:val="461BC834"/>
    <w:multiLevelType w:val="hybridMultilevel"/>
    <w:lvl w:ilvl="0">
      <w:lvlJc w:val="left"/>
      <w:lvlText w:val="(%1)"/>
      <w:numFmt w:val="decimal"/>
      <w:start w:val="2"/>
    </w:lvl>
    <w:lvl w:ilvl="1">
      <w:lvlJc w:val="left"/>
      <w:lvlText w:val="%2."/>
      <w:numFmt w:val="decimal"/>
      <w:start w:val="20"/>
    </w:lvl>
  </w:abstractNum>
  <w:abstractNum w:abstractNumId="441">
    <w:nsid w:val="13DDA79D"/>
    <w:multiLevelType w:val="hybridMultilevel"/>
    <w:lvl w:ilvl="0">
      <w:lvlJc w:val="left"/>
      <w:lvlText w:val="%1."/>
      <w:numFmt w:val="decimal"/>
      <w:start w:val="22"/>
    </w:lvl>
  </w:abstractNum>
  <w:abstractNum w:abstractNumId="442">
    <w:nsid w:val="6A104566"/>
    <w:multiLevelType w:val="hybridMultilevel"/>
    <w:lvl w:ilvl="0">
      <w:lvlJc w:val="left"/>
      <w:lvlText w:val="%1."/>
      <w:numFmt w:val="decimal"/>
      <w:start w:val="23"/>
    </w:lvl>
  </w:abstractNum>
  <w:abstractNum w:abstractNumId="443">
    <w:nsid w:val="1C8A8ACF"/>
    <w:multiLevelType w:val="hybridMultilevel"/>
    <w:lvl w:ilvl="0">
      <w:lvlJc w:val="left"/>
      <w:lvlText w:val="%1."/>
      <w:numFmt w:val="decimal"/>
      <w:start w:val="24"/>
    </w:lvl>
  </w:abstractNum>
  <w:abstractNum w:abstractNumId="444">
    <w:nsid w:val="E73DFE0"/>
    <w:multiLevelType w:val="hybridMultilevel"/>
    <w:lvl w:ilvl="0">
      <w:lvlJc w:val="left"/>
      <w:lvlText w:val="(%1)"/>
      <w:numFmt w:val="lowerLetter"/>
      <w:start w:val="1"/>
    </w:lvl>
  </w:abstractNum>
  <w:abstractNum w:abstractNumId="445">
    <w:nsid w:val="39F174C7"/>
    <w:multiLevelType w:val="hybridMultilevel"/>
    <w:lvl w:ilvl="0">
      <w:lvlJc w:val="left"/>
      <w:lvlText w:val="(%1)"/>
      <w:numFmt w:val="lowerLetter"/>
      <w:start w:val="1"/>
    </w:lvl>
  </w:abstractNum>
  <w:abstractNum w:abstractNumId="446">
    <w:nsid w:val="6E2E2D53"/>
    <w:multiLevelType w:val="hybridMultilevel"/>
    <w:lvl w:ilvl="0">
      <w:lvlJc w:val="left"/>
      <w:lvlText w:val="%1."/>
      <w:numFmt w:val="decimal"/>
      <w:start w:val="26"/>
    </w:lvl>
  </w:abstractNum>
  <w:abstractNum w:abstractNumId="447">
    <w:nsid w:val="45DC439D"/>
    <w:multiLevelType w:val="hybridMultilevel"/>
    <w:lvl w:ilvl="0">
      <w:lvlJc w:val="left"/>
      <w:lvlText w:val="%1."/>
      <w:numFmt w:val="decimal"/>
      <w:start w:val="1"/>
    </w:lvl>
  </w:abstractNum>
  <w:abstractNum w:abstractNumId="448">
    <w:nsid w:val="3B0A3B87"/>
    <w:multiLevelType w:val="hybridMultilevel"/>
    <w:lvl w:ilvl="0">
      <w:lvlJc w:val="left"/>
      <w:lvlText w:val="%1."/>
      <w:numFmt w:val="decimal"/>
      <w:start w:val="2"/>
    </w:lvl>
  </w:abstractNum>
  <w:abstractNum w:abstractNumId="449">
    <w:nsid w:val="6DAC7768"/>
    <w:multiLevelType w:val="hybridMultilevel"/>
    <w:lvl w:ilvl="0">
      <w:lvlJc w:val="left"/>
      <w:lvlText w:val="%1."/>
      <w:numFmt w:val="decimal"/>
      <w:start w:val="11"/>
    </w:lvl>
  </w:abstractNum>
  <w:abstractNum w:abstractNumId="450">
    <w:nsid w:val="746AE2E4"/>
    <w:multiLevelType w:val="hybridMultilevel"/>
    <w:lvl w:ilvl="0">
      <w:lvlJc w:val="left"/>
      <w:lvlText w:val="%1."/>
      <w:numFmt w:val="decimal"/>
      <w:start w:val="22"/>
    </w:lvl>
  </w:abstractNum>
  <w:abstractNum w:abstractNumId="451">
    <w:nsid w:val="317E611D"/>
    <w:multiLevelType w:val="hybridMultilevel"/>
    <w:lvl w:ilvl="0">
      <w:lvlJc w:val="left"/>
      <w:lvlText w:val="%1."/>
      <w:numFmt w:val="decimal"/>
      <w:start w:val="1"/>
    </w:lvl>
  </w:abstractNum>
  <w:abstractNum w:abstractNumId="452">
    <w:nsid w:val="7A61D75B"/>
    <w:multiLevelType w:val="hybridMultilevel"/>
    <w:lvl w:ilvl="0">
      <w:lvlJc w:val="left"/>
      <w:lvlText w:val="(%1)"/>
      <w:numFmt w:val="decimal"/>
      <w:start w:val="1"/>
    </w:lvl>
  </w:abstractNum>
  <w:abstractNum w:abstractNumId="453">
    <w:nsid w:val="164A1482"/>
    <w:multiLevelType w:val="hybridMultilevel"/>
    <w:lvl w:ilvl="0">
      <w:lvlJc w:val="left"/>
      <w:lvlText w:val="%1."/>
      <w:numFmt w:val="decimal"/>
      <w:start w:val="4"/>
    </w:lvl>
  </w:abstractNum>
  <w:abstractNum w:abstractNumId="454">
    <w:nsid w:val="1806546B"/>
    <w:multiLevelType w:val="hybridMultilevel"/>
    <w:lvl w:ilvl="0">
      <w:lvlJc w:val="left"/>
      <w:lvlText w:val="%1."/>
      <w:numFmt w:val="decimal"/>
      <w:start w:val="5"/>
    </w:lvl>
  </w:abstractNum>
  <w:abstractNum w:abstractNumId="455">
    <w:nsid w:val="1FA33267"/>
    <w:multiLevelType w:val="hybridMultilevel"/>
    <w:lvl w:ilvl="0">
      <w:lvlJc w:val="left"/>
      <w:lvlText w:val="%1."/>
      <w:numFmt w:val="decimal"/>
      <w:start w:val="7"/>
    </w:lvl>
  </w:abstractNum>
  <w:abstractNum w:abstractNumId="456">
    <w:nsid w:val="2E19DD00"/>
    <w:multiLevelType w:val="hybridMultilevel"/>
    <w:lvl w:ilvl="0">
      <w:lvlJc w:val="left"/>
      <w:lvlText w:val="%1."/>
      <w:numFmt w:val="decimal"/>
      <w:start w:val="11"/>
    </w:lvl>
  </w:abstractNum>
  <w:abstractNum w:abstractNumId="457">
    <w:nsid w:val="756D30D0"/>
    <w:multiLevelType w:val="hybridMultilevel"/>
    <w:lvl w:ilvl="0">
      <w:lvlJc w:val="left"/>
      <w:lvlText w:val="%1."/>
      <w:numFmt w:val="decimal"/>
      <w:start w:val="1"/>
    </w:lvl>
  </w:abstractNum>
  <w:abstractNum w:abstractNumId="458">
    <w:nsid w:val="505E5E01"/>
    <w:multiLevelType w:val="hybridMultilevel"/>
    <w:lvl w:ilvl="0">
      <w:lvlJc w:val="left"/>
      <w:lvlText w:val="%1"/>
      <w:numFmt w:val="lowerLetter"/>
      <w:start w:val="1"/>
    </w:lvl>
    <w:lvl w:ilvl="1">
      <w:lvlJc w:val="left"/>
      <w:lvlText w:val="%2."/>
      <w:numFmt w:val="decimal"/>
      <w:start w:val="5"/>
    </w:lvl>
  </w:abstractNum>
  <w:abstractNum w:abstractNumId="459">
    <w:nsid w:val="2EFDBCE6"/>
    <w:multiLevelType w:val="hybridMultilevel"/>
    <w:lvl w:ilvl="0">
      <w:lvlJc w:val="left"/>
      <w:lvlText w:val="(%1)"/>
      <w:numFmt w:val="lowerLetter"/>
      <w:start w:val="2"/>
    </w:lvl>
    <w:lvl w:ilvl="1">
      <w:lvlJc w:val="left"/>
      <w:lvlText w:val="%2."/>
      <w:numFmt w:val="decimal"/>
      <w:start w:val="6"/>
    </w:lvl>
  </w:abstractNum>
  <w:abstractNum w:abstractNumId="460">
    <w:nsid w:val="4EC868C4"/>
    <w:multiLevelType w:val="hybridMultilevel"/>
    <w:lvl w:ilvl="0">
      <w:lvlJc w:val="left"/>
      <w:lvlText w:val="%1."/>
      <w:numFmt w:val="decimal"/>
      <w:start w:val="2"/>
    </w:lvl>
  </w:abstractNum>
  <w:abstractNum w:abstractNumId="461">
    <w:nsid w:val="4239DC03"/>
    <w:multiLevelType w:val="hybridMultilevel"/>
    <w:lvl w:ilvl="0">
      <w:lvlJc w:val="left"/>
      <w:lvlText w:val="%1."/>
      <w:numFmt w:val="decimal"/>
      <w:start w:val="4"/>
    </w:lvl>
  </w:abstractNum>
  <w:abstractNum w:abstractNumId="462">
    <w:nsid w:val="307C7DAA"/>
    <w:multiLevelType w:val="hybridMultilevel"/>
    <w:lvl w:ilvl="0">
      <w:lvlJc w:val="left"/>
      <w:lvlText w:val="%1."/>
      <w:numFmt w:val="decimal"/>
      <w:start w:val="6"/>
    </w:lvl>
  </w:abstractNum>
  <w:abstractNum w:abstractNumId="463">
    <w:nsid w:val="403C23E6"/>
    <w:multiLevelType w:val="hybridMultilevel"/>
    <w:lvl w:ilvl="0">
      <w:lvlJc w:val="left"/>
      <w:lvlText w:val="(%1)"/>
      <w:numFmt w:val="lowerLetter"/>
      <w:start w:val="1"/>
    </w:lvl>
  </w:abstractNum>
  <w:abstractNum w:abstractNumId="464">
    <w:nsid w:val="58D7F9D7"/>
    <w:multiLevelType w:val="hybridMultilevel"/>
    <w:lvl w:ilvl="0">
      <w:lvlJc w:val="left"/>
      <w:lvlText w:val="%1."/>
      <w:numFmt w:val="upperLetter"/>
      <w:start w:val="1"/>
    </w:lvl>
  </w:abstractNum>
  <w:abstractNum w:abstractNumId="465">
    <w:nsid w:val="24DBF76"/>
    <w:multiLevelType w:val="hybridMultilevel"/>
    <w:lvl w:ilvl="0">
      <w:lvlJc w:val="left"/>
      <w:lvlText w:val="%1."/>
      <w:numFmt w:val="upperLetter"/>
      <w:start w:val="4"/>
    </w:lvl>
  </w:abstractNum>
  <w:abstractNum w:abstractNumId="466">
    <w:nsid w:val="53355960"/>
    <w:multiLevelType w:val="hybridMultilevel"/>
    <w:lvl w:ilvl="0">
      <w:lvlJc w:val="left"/>
      <w:lvlText w:val="%1."/>
      <w:numFmt w:val="decimal"/>
      <w:start w:val="1"/>
    </w:lvl>
  </w:abstractNum>
  <w:abstractNum w:abstractNumId="467">
    <w:nsid w:val="4F4AC8FF"/>
    <w:multiLevelType w:val="hybridMultilevel"/>
    <w:lvl w:ilvl="0">
      <w:lvlJc w:val="left"/>
      <w:lvlText w:val="%1."/>
      <w:numFmt w:val="decimal"/>
      <w:start w:val="2"/>
    </w:lvl>
  </w:abstractNum>
  <w:abstractNum w:abstractNumId="468">
    <w:nsid w:val="58CAE6D9"/>
    <w:multiLevelType w:val="hybridMultilevel"/>
    <w:lvl w:ilvl="0">
      <w:lvlJc w:val="left"/>
      <w:lvlText w:val="%1."/>
      <w:numFmt w:val="decimal"/>
      <w:start w:val="4"/>
    </w:lvl>
  </w:abstractNum>
  <w:abstractNum w:abstractNumId="469">
    <w:nsid w:val="42933C4F"/>
    <w:multiLevelType w:val="hybridMultilevel"/>
    <w:lvl w:ilvl="0">
      <w:lvlJc w:val="left"/>
      <w:lvlText w:val="%1."/>
      <w:numFmt w:val="decimal"/>
      <w:start w:val="5"/>
    </w:lvl>
  </w:abstractNum>
  <w:abstractNum w:abstractNumId="470">
    <w:nsid w:val="729AF360"/>
    <w:multiLevelType w:val="hybridMultilevel"/>
    <w:lvl w:ilvl="0">
      <w:lvlJc w:val="left"/>
      <w:lvlText w:val="%1."/>
      <w:numFmt w:val="decimal"/>
      <w:start w:val="6"/>
    </w:lvl>
  </w:abstractNum>
  <w:abstractNum w:abstractNumId="471">
    <w:nsid w:val="1EE6AF0D"/>
    <w:multiLevelType w:val="hybridMultilevel"/>
    <w:lvl w:ilvl="0">
      <w:lvlJc w:val="left"/>
      <w:lvlText w:val="%1."/>
      <w:numFmt w:val="decimal"/>
      <w:start w:val="8"/>
    </w:lvl>
  </w:abstractNum>
  <w:abstractNum w:abstractNumId="472">
    <w:nsid w:val="5670E3ED"/>
    <w:multiLevelType w:val="hybridMultilevel"/>
    <w:lvl w:ilvl="0">
      <w:lvlJc w:val="left"/>
      <w:lvlText w:val="1"/>
      <w:numFmt w:val="bullet"/>
      <w:start w:val="1"/>
    </w:lvl>
  </w:abstractNum>
  <w:abstractNum w:abstractNumId="473">
    <w:nsid w:val="5CAB38C6"/>
    <w:multiLevelType w:val="hybridMultilevel"/>
    <w:lvl w:ilvl="0">
      <w:lvlJc w:val="left"/>
      <w:lvlText w:val="2"/>
      <w:numFmt w:val="bullet"/>
      <w:start w:val="1"/>
    </w:lvl>
  </w:abstractNum>
  <w:abstractNum w:abstractNumId="474">
    <w:nsid w:val="3B7139DD"/>
    <w:multiLevelType w:val="hybridMultilevel"/>
    <w:lvl w:ilvl="0">
      <w:lvlJc w:val="left"/>
      <w:lvlText w:val="(%1)"/>
      <w:numFmt w:val="lowerLetter"/>
      <w:start w:val="1"/>
    </w:lvl>
  </w:abstractNum>
  <w:abstractNum w:abstractNumId="475">
    <w:nsid w:val="64E4C3CD"/>
    <w:multiLevelType w:val="hybridMultilevel"/>
    <w:lvl w:ilvl="0">
      <w:lvlJc w:val="left"/>
      <w:lvlText w:val="(%1)"/>
      <w:numFmt w:val="lowerLetter"/>
      <w:start w:val="1"/>
    </w:lvl>
    <w:lvl w:ilvl="1">
      <w:lvlJc w:val="left"/>
      <w:lvlText w:val="(%2)"/>
      <w:numFmt w:val="lowerLetter"/>
      <w:start w:val="9"/>
    </w:lvl>
  </w:abstractNum>
  <w:abstractNum w:abstractNumId="476">
    <w:nsid w:val="169CAD8D"/>
    <w:multiLevelType w:val="hybridMultilevel"/>
    <w:lvl w:ilvl="0">
      <w:lvlJc w:val="left"/>
      <w:lvlText w:val="(%1)"/>
      <w:numFmt w:val="lowerLetter"/>
      <w:start w:val="1"/>
    </w:lvl>
  </w:abstractNum>
  <w:abstractNum w:abstractNumId="477">
    <w:nsid w:val="299F6730"/>
    <w:multiLevelType w:val="hybridMultilevel"/>
    <w:lvl w:ilvl="0">
      <w:lvlJc w:val="left"/>
      <w:lvlText w:val="(%1)"/>
      <w:numFmt w:val="lowerLetter"/>
      <w:start w:val="4"/>
    </w:lvl>
  </w:abstractNum>
  <w:abstractNum w:abstractNumId="478">
    <w:nsid w:val="2AC1076A"/>
    <w:multiLevelType w:val="hybridMultilevel"/>
    <w:lvl w:ilvl="0">
      <w:lvlJc w:val="left"/>
      <w:lvlText w:val="(%1)"/>
      <w:numFmt w:val="lowerLetter"/>
      <w:start w:val="5"/>
    </w:lvl>
  </w:abstractNum>
  <w:abstractNum w:abstractNumId="479">
    <w:nsid w:val="51A6E915"/>
    <w:multiLevelType w:val="hybridMultilevel"/>
    <w:lvl w:ilvl="0">
      <w:lvlJc w:val="left"/>
      <w:lvlText w:val="(%1)"/>
      <w:numFmt w:val="lowerLetter"/>
      <w:start w:val="1"/>
    </w:lvl>
  </w:abstractNum>
  <w:abstractNum w:abstractNumId="480">
    <w:nsid w:val="174BDE99"/>
    <w:multiLevelType w:val="hybridMultilevel"/>
    <w:lvl w:ilvl="0">
      <w:lvlJc w:val="left"/>
      <w:lvlText w:val="3"/>
      <w:numFmt w:val="bullet"/>
      <w:start w:val="1"/>
    </w:lvl>
  </w:abstractNum>
  <w:abstractNum w:abstractNumId="481">
    <w:nsid w:val="1F2BEA4E"/>
    <w:multiLevelType w:val="hybridMultilevel"/>
    <w:lvl w:ilvl="0">
      <w:lvlJc w:val="left"/>
      <w:lvlText w:val="(%1)"/>
      <w:numFmt w:val="lowerLetter"/>
      <w:start w:val="1"/>
    </w:lvl>
  </w:abstractNum>
  <w:abstractNum w:abstractNumId="482">
    <w:nsid w:val="3254A32"/>
    <w:multiLevelType w:val="hybridMultilevel"/>
    <w:lvl w:ilvl="0">
      <w:lvlJc w:val="left"/>
      <w:lvlText w:val="(%1)"/>
      <w:numFmt w:val="lowerLetter"/>
      <w:start w:val="9"/>
    </w:lvl>
  </w:abstractNum>
  <w:abstractNum w:abstractNumId="483">
    <w:nsid w:val="11ADB5F4"/>
    <w:multiLevelType w:val="hybridMultilevel"/>
    <w:lvl w:ilvl="0">
      <w:lvlJc w:val="left"/>
      <w:lvlText w:val="(%1)"/>
      <w:numFmt w:val="lowerLetter"/>
      <w:start w:val="1"/>
    </w:lvl>
    <w:lvl w:ilvl="1">
      <w:lvlJc w:val="left"/>
      <w:lvlText w:val="(%2)"/>
      <w:numFmt w:val="lowerLetter"/>
      <w:start w:val="3"/>
    </w:lvl>
  </w:abstractNum>
  <w:abstractNum w:abstractNumId="484">
    <w:nsid w:val="3575FED1"/>
    <w:multiLevelType w:val="hybridMultilevel"/>
    <w:lvl w:ilvl="0">
      <w:lvlJc w:val="left"/>
      <w:lvlText w:val="4"/>
      <w:numFmt w:val="bullet"/>
      <w:start w:val="1"/>
    </w:lvl>
  </w:abstractNum>
  <w:abstractNum w:abstractNumId="485">
    <w:nsid w:val="1B2B9E9D"/>
    <w:multiLevelType w:val="hybridMultilevel"/>
    <w:lvl w:ilvl="0">
      <w:lvlJc w:val="left"/>
      <w:lvlText w:val="5"/>
      <w:numFmt w:val="bullet"/>
      <w:start w:val="1"/>
    </w:lvl>
  </w:abstractNum>
  <w:abstractNum w:abstractNumId="486">
    <w:nsid w:val="3150E85C"/>
    <w:multiLevelType w:val="hybridMultilevel"/>
    <w:lvl w:ilvl="0">
      <w:lvlJc w:val="left"/>
      <w:lvlText w:val="(%1)"/>
      <w:numFmt w:val="lowerRoman"/>
      <w:start w:val="3"/>
    </w:lvl>
  </w:abstractNum>
  <w:abstractNum w:abstractNumId="487">
    <w:nsid w:val="638FDBD1"/>
    <w:multiLevelType w:val="hybridMultilevel"/>
    <w:lvl w:ilvl="0">
      <w:lvlJc w:val="left"/>
      <w:lvlText w:val="6"/>
      <w:numFmt w:val="bullet"/>
      <w:start w:val="1"/>
    </w:lvl>
  </w:abstractNum>
  <w:abstractNum w:abstractNumId="488">
    <w:nsid w:val="1098CF6E"/>
    <w:multiLevelType w:val="hybridMultilevel"/>
    <w:lvl w:ilvl="0">
      <w:lvlJc w:val="left"/>
      <w:lvlText w:val="(%1)"/>
      <w:numFmt w:val="lowerLetter"/>
      <w:start w:val="1"/>
    </w:lvl>
  </w:abstractNum>
  <w:abstractNum w:abstractNumId="489">
    <w:nsid w:val="1AF465D"/>
    <w:multiLevelType w:val="hybridMultilevel"/>
    <w:lvl w:ilvl="0">
      <w:lvlJc w:val="left"/>
      <w:lvlText w:val="(%1)"/>
      <w:numFmt w:val="lowerLetter"/>
      <w:start w:val="1"/>
    </w:lvl>
  </w:abstractNum>
  <w:abstractNum w:abstractNumId="490">
    <w:nsid w:val="128D98B7"/>
    <w:multiLevelType w:val="hybridMultilevel"/>
    <w:lvl w:ilvl="0">
      <w:lvlJc w:val="left"/>
      <w:lvlText w:val="(%1)"/>
      <w:numFmt w:val="lowerLetter"/>
      <w:start w:val="7"/>
    </w:lvl>
  </w:abstractNum>
  <w:abstractNum w:abstractNumId="491">
    <w:nsid w:val="5F613832"/>
    <w:multiLevelType w:val="hybridMultilevel"/>
    <w:lvl w:ilvl="0">
      <w:lvlJc w:val="left"/>
      <w:lvlText w:val="(%1)"/>
      <w:numFmt w:val="lowerLetter"/>
      <w:start w:val="8"/>
    </w:lvl>
  </w:abstractNum>
  <w:abstractNum w:abstractNumId="492">
    <w:nsid w:val="43E92260"/>
    <w:multiLevelType w:val="hybridMultilevel"/>
    <w:lvl w:ilvl="0">
      <w:lvlJc w:val="left"/>
      <w:lvlText w:val="%1"/>
      <w:numFmt w:val="lowerLetter"/>
      <w:start w:val="1"/>
    </w:lvl>
    <w:lvl w:ilvl="1">
      <w:lvlJc w:val="left"/>
      <w:lvlText w:val="(%2)"/>
      <w:numFmt w:val="lowerLetter"/>
      <w:start w:val="1"/>
    </w:lvl>
  </w:abstractNum>
  <w:abstractNum w:abstractNumId="493">
    <w:nsid w:val="430A1662"/>
    <w:multiLevelType w:val="hybridMultilevel"/>
    <w:lvl w:ilvl="0">
      <w:lvlJc w:val="left"/>
      <w:lvlText w:val="(%1)"/>
      <w:numFmt w:val="lowerLetter"/>
      <w:start w:val="35"/>
    </w:lvl>
    <w:lvl w:ilvl="1">
      <w:lvlJc w:val="left"/>
      <w:lvlText w:val="(%2)"/>
      <w:numFmt w:val="lowerLetter"/>
      <w:start w:val="3"/>
    </w:lvl>
  </w:abstractNum>
  <w:abstractNum w:abstractNumId="494">
    <w:nsid w:val="1F9D5C18"/>
    <w:multiLevelType w:val="hybridMultilevel"/>
    <w:lvl w:ilvl="0">
      <w:lvlJc w:val="left"/>
      <w:lvlText w:val="(%1)"/>
      <w:numFmt w:val="lowerLetter"/>
      <w:start w:val="1"/>
    </w:lvl>
  </w:abstractNum>
  <w:abstractNum w:abstractNumId="495">
    <w:nsid w:val="1CC11C37"/>
    <w:multiLevelType w:val="hybridMultilevel"/>
    <w:lvl w:ilvl="0">
      <w:lvlJc w:val="left"/>
      <w:lvlText w:val="%1"/>
      <w:numFmt w:val="lowerLetter"/>
      <w:start w:val="1"/>
    </w:lvl>
    <w:lvl w:ilvl="1">
      <w:lvlJc w:val="left"/>
      <w:lvlText w:val="(%2)"/>
      <w:numFmt w:val="lowerLetter"/>
      <w:start w:val="1"/>
    </w:lvl>
  </w:abstractNum>
  <w:abstractNum w:abstractNumId="496">
    <w:nsid w:val="4557D5D8"/>
    <w:multiLevelType w:val="hybridMultilevel"/>
    <w:lvl w:ilvl="0">
      <w:lvlJc w:val="left"/>
      <w:lvlText w:val="(%1)"/>
      <w:numFmt w:val="lowerLetter"/>
      <w:start w:val="35"/>
    </w:lvl>
    <w:lvl w:ilvl="1">
      <w:lvlJc w:val="left"/>
      <w:lvlText w:val="%2"/>
      <w:numFmt w:val="lowerLetter"/>
      <w:start w:val="1"/>
    </w:lvl>
  </w:abstractNum>
  <w:abstractNum w:abstractNumId="497">
    <w:nsid w:val="72D2B579"/>
    <w:multiLevelType w:val="hybridMultilevel"/>
    <w:lvl w:ilvl="0">
      <w:lvlJc w:val="left"/>
      <w:lvlText w:val="(%1)"/>
      <w:numFmt w:val="lowerLetter"/>
      <w:start w:val="2"/>
    </w:lvl>
  </w:abstractNum>
  <w:abstractNum w:abstractNumId="498">
    <w:nsid w:val="6C0BE536"/>
    <w:multiLevelType w:val="hybridMultilevel"/>
    <w:lvl w:ilvl="0">
      <w:lvlJc w:val="left"/>
      <w:lvlText w:val="(%1)"/>
      <w:numFmt w:val="lowerLetter"/>
      <w:start w:val="1"/>
    </w:lvl>
  </w:abstractNum>
  <w:abstractNum w:abstractNumId="499">
    <w:nsid w:val="1E22BCB2"/>
    <w:multiLevelType w:val="hybridMultilevel"/>
    <w:lvl w:ilvl="0">
      <w:lvlJc w:val="left"/>
      <w:lvlText w:val="(%1)"/>
      <w:numFmt w:val="lowerLetter"/>
      <w:start w:val="3"/>
    </w:lvl>
  </w:abstractNum>
  <w:abstractNum w:abstractNumId="500">
    <w:nsid w:val="3565F1C8"/>
    <w:multiLevelType w:val="hybridMultilevel"/>
    <w:lvl w:ilvl="0">
      <w:lvlJc w:val="left"/>
      <w:lvlText w:val="7"/>
      <w:numFmt w:val="bullet"/>
      <w:start w:val="1"/>
    </w:lvl>
  </w:abstractNum>
  <w:abstractNum w:abstractNumId="501">
    <w:nsid w:val="5EA6D896"/>
    <w:multiLevelType w:val="hybridMultilevel"/>
    <w:lvl w:ilvl="0">
      <w:lvlJc w:val="left"/>
      <w:lvlText w:val="%1"/>
      <w:numFmt w:val="lowerLetter"/>
      <w:start w:val="1"/>
    </w:lvl>
    <w:lvl w:ilvl="1">
      <w:lvlJc w:val="left"/>
      <w:lvlText w:val="(%2)"/>
      <w:numFmt w:val="lowerLetter"/>
      <w:start w:val="1"/>
    </w:lvl>
  </w:abstractNum>
  <w:abstractNum w:abstractNumId="502">
    <w:nsid w:val="3D096BBF"/>
    <w:multiLevelType w:val="hybridMultilevel"/>
    <w:lvl w:ilvl="0">
      <w:lvlJc w:val="left"/>
      <w:lvlText w:val="(%1)"/>
      <w:numFmt w:val="lowerLetter"/>
      <w:start w:val="4"/>
    </w:lvl>
    <w:lvl w:ilvl="1">
      <w:lvlJc w:val="left"/>
      <w:lvlText w:val="%2"/>
      <w:numFmt w:val="lowerLetter"/>
      <w:start w:val="1"/>
    </w:lvl>
  </w:abstractNum>
  <w:abstractNum w:abstractNumId="503">
    <w:nsid w:val="BD6D5B5"/>
    <w:multiLevelType w:val="hybridMultilevel"/>
    <w:lvl w:ilvl="0">
      <w:lvlJc w:val="left"/>
      <w:lvlText w:val="8"/>
      <w:numFmt w:val="bullet"/>
      <w:start w:val="1"/>
    </w:lvl>
  </w:abstractNum>
  <w:abstractNum w:abstractNumId="504">
    <w:nsid w:val="3B52115C"/>
    <w:multiLevelType w:val="hybridMultilevel"/>
    <w:lvl w:ilvl="0">
      <w:lvlJc w:val="left"/>
      <w:lvlText w:val="(%1)"/>
      <w:numFmt w:val="lowerLetter"/>
      <w:start w:val="1"/>
    </w:lvl>
  </w:abstractNum>
  <w:abstractNum w:abstractNumId="505">
    <w:nsid w:val="787AA59C"/>
    <w:multiLevelType w:val="hybridMultilevel"/>
    <w:lvl w:ilvl="0">
      <w:lvlJc w:val="left"/>
      <w:lvlText w:val="(%1)"/>
      <w:numFmt w:val="lowerLetter"/>
      <w:start w:val="1"/>
    </w:lvl>
  </w:abstractNum>
  <w:abstractNum w:abstractNumId="506">
    <w:nsid w:val="70BB9983"/>
    <w:multiLevelType w:val="hybridMultilevel"/>
    <w:lvl w:ilvl="0">
      <w:lvlJc w:val="left"/>
      <w:lvlText w:val="(%1)"/>
      <w:numFmt w:val="lowerLetter"/>
      <w:start w:val="2"/>
    </w:lvl>
  </w:abstractNum>
  <w:abstractNum w:abstractNumId="507">
    <w:nsid w:val="51EEBEEA"/>
    <w:multiLevelType w:val="hybridMultilevel"/>
    <w:lvl w:ilvl="0">
      <w:lvlJc w:val="left"/>
      <w:lvlText w:val="9"/>
      <w:numFmt w:val="bullet"/>
      <w:start w:val="1"/>
    </w:lvl>
  </w:abstractNum>
  <w:abstractNum w:abstractNumId="508">
    <w:nsid w:val="221A0CCD"/>
    <w:multiLevelType w:val="hybridMultilevel"/>
    <w:lvl w:ilvl="0">
      <w:lvlJc w:val="left"/>
      <w:lvlText w:val="(%1)"/>
      <w:numFmt w:val="lowerLetter"/>
      <w:start w:val="1"/>
    </w:lvl>
  </w:abstractNum>
  <w:abstractNum w:abstractNumId="509">
    <w:nsid w:val="1B7CA0ED"/>
    <w:multiLevelType w:val="hybridMultilevel"/>
    <w:lvl w:ilvl="0">
      <w:lvlJc w:val="left"/>
      <w:lvlText w:val="(%1)"/>
      <w:numFmt w:val="lowerLetter"/>
      <w:start w:val="2"/>
    </w:lvl>
  </w:abstractNum>
  <w:abstractNum w:abstractNumId="510">
    <w:nsid w:val="2395A7FF"/>
    <w:multiLevelType w:val="hybridMultilevel"/>
    <w:lvl w:ilvl="0">
      <w:lvlJc w:val="left"/>
      <w:lvlText w:val="(%1)"/>
      <w:numFmt w:val="lowerLetter"/>
      <w:start w:val="3"/>
    </w:lvl>
  </w:abstractNum>
  <w:abstractNum w:abstractNumId="511">
    <w:nsid w:val="3965EB66"/>
    <w:multiLevelType w:val="hybridMultilevel"/>
    <w:lvl w:ilvl="0">
      <w:lvlJc w:val="left"/>
      <w:lvlText w:val="%1"/>
      <w:numFmt w:val="decimal"/>
      <w:start w:val="10"/>
    </w:lvl>
  </w:abstractNum>
  <w:abstractNum w:abstractNumId="512">
    <w:nsid w:val="3AA88B3C"/>
    <w:multiLevelType w:val="hybridMultilevel"/>
    <w:lvl w:ilvl="0">
      <w:lvlJc w:val="left"/>
      <w:lvlText w:val="%1"/>
      <w:numFmt w:val="decimal"/>
      <w:start w:val="11"/>
    </w:lvl>
  </w:abstractNum>
  <w:abstractNum w:abstractNumId="513">
    <w:nsid w:val="26BAF231"/>
    <w:multiLevelType w:val="hybridMultilevel"/>
    <w:lvl w:ilvl="0">
      <w:lvlJc w:val="left"/>
      <w:lvlText w:val="%1"/>
      <w:numFmt w:val="decimal"/>
      <w:start w:val="12"/>
    </w:lvl>
  </w:abstractNum>
  <w:abstractNum w:abstractNumId="514">
    <w:nsid w:val="4B13A15A"/>
    <w:multiLevelType w:val="hybridMultilevel"/>
    <w:lvl w:ilvl="0">
      <w:lvlJc w:val="left"/>
      <w:lvlText w:val="%1"/>
      <w:numFmt w:val="decimal"/>
      <w:start w:val="13"/>
    </w:lvl>
  </w:abstractNum>
  <w:abstractNum w:abstractNumId="515">
    <w:nsid w:val="701E8A0D"/>
    <w:multiLevelType w:val="hybridMultilevel"/>
    <w:lvl w:ilvl="0">
      <w:lvlJc w:val="left"/>
      <w:lvlText w:val="(%1)"/>
      <w:numFmt w:val="lowerLetter"/>
      <w:start w:val="3"/>
    </w:lvl>
  </w:abstractNum>
  <w:abstractNum w:abstractNumId="516">
    <w:nsid w:val="41E690CF"/>
    <w:multiLevelType w:val="hybridMultilevel"/>
    <w:lvl w:ilvl="0">
      <w:lvlJc w:val="left"/>
      <w:lvlText w:val="(%1)"/>
      <w:numFmt w:val="lowerLetter"/>
      <w:start w:val="1"/>
    </w:lvl>
  </w:abstractNum>
  <w:abstractNum w:abstractNumId="517">
    <w:nsid w:val="7C6489B6"/>
    <w:multiLevelType w:val="hybridMultilevel"/>
    <w:lvl w:ilvl="0">
      <w:lvlJc w:val="left"/>
      <w:lvlText w:val="(%1)"/>
      <w:numFmt w:val="lowerLetter"/>
      <w:start w:val="6"/>
    </w:lvl>
  </w:abstractNum>
  <w:abstractNum w:abstractNumId="518">
    <w:nsid w:val="53AE65DE"/>
    <w:multiLevelType w:val="hybridMultilevel"/>
    <w:lvl w:ilvl="0">
      <w:lvlJc w:val="left"/>
      <w:lvlText w:val="(%1)"/>
      <w:numFmt w:val="lowerLetter"/>
      <w:start w:val="2"/>
    </w:lvl>
  </w:abstractNum>
  <w:abstractNum w:abstractNumId="519">
    <w:nsid w:val="527F603D"/>
    <w:multiLevelType w:val="hybridMultilevel"/>
    <w:lvl w:ilvl="0">
      <w:lvlJc w:val="left"/>
      <w:lvlText w:val="(%1)"/>
      <w:numFmt w:val="lowerLetter"/>
      <w:start w:val="1"/>
    </w:lvl>
  </w:abstractNum>
  <w:abstractNum w:abstractNumId="520">
    <w:nsid w:val="7E13D013"/>
    <w:multiLevelType w:val="hybridMultilevel"/>
    <w:lvl w:ilvl="0">
      <w:lvlJc w:val="left"/>
      <w:lvlText w:val="(%1)"/>
      <w:numFmt w:val="lowerLetter"/>
      <w:start w:val="1"/>
    </w:lvl>
  </w:abstractNum>
  <w:abstractNum w:abstractNumId="521">
    <w:nsid w:val="663BFE95"/>
    <w:multiLevelType w:val="hybridMultilevel"/>
    <w:lvl w:ilvl="0">
      <w:lvlJc w:val="left"/>
      <w:lvlText w:val="(%1)"/>
      <w:numFmt w:val="lowerLetter"/>
      <w:start w:val="3"/>
    </w:lvl>
  </w:abstractNum>
  <w:abstractNum w:abstractNumId="522">
    <w:nsid w:val="31E0986F"/>
    <w:multiLevelType w:val="hybridMultilevel"/>
    <w:lvl w:ilvl="0">
      <w:lvlJc w:val="left"/>
      <w:lvlText w:val="(%1)"/>
      <w:numFmt w:val="lowerLetter"/>
      <w:start w:val="9"/>
    </w:lvl>
  </w:abstractNum>
  <w:abstractNum w:abstractNumId="523">
    <w:nsid w:val="41FCF274"/>
    <w:multiLevelType w:val="hybridMultilevel"/>
    <w:lvl w:ilvl="0">
      <w:lvlJc w:val="left"/>
      <w:lvlText w:val="(%1)"/>
      <w:numFmt w:val="lowerLetter"/>
      <w:start w:val="1"/>
    </w:lvl>
  </w:abstractNum>
  <w:abstractNum w:abstractNumId="524">
    <w:nsid w:val="294614F7"/>
    <w:multiLevelType w:val="hybridMultilevel"/>
    <w:lvl w:ilvl="0">
      <w:lvlJc w:val="left"/>
      <w:lvlText w:val="(%1)"/>
      <w:numFmt w:val="lowerLetter"/>
      <w:start w:val="3"/>
    </w:lvl>
  </w:abstractNum>
  <w:abstractNum w:abstractNumId="525">
    <w:nsid w:val="517DF487"/>
    <w:multiLevelType w:val="hybridMultilevel"/>
    <w:lvl w:ilvl="0">
      <w:lvlJc w:val="left"/>
      <w:lvlText w:val="(%1)"/>
      <w:numFmt w:val="lowerLetter"/>
      <w:start w:val="5"/>
    </w:lvl>
  </w:abstractNum>
  <w:abstractNum w:abstractNumId="526">
    <w:nsid w:val="5EBE0EAB"/>
    <w:multiLevelType w:val="hybridMultilevel"/>
    <w:lvl w:ilvl="0">
      <w:lvlJc w:val="left"/>
      <w:lvlText w:val="%1."/>
      <w:numFmt w:val="decimal"/>
      <w:start w:val="1"/>
    </w:lvl>
  </w:abstractNum>
  <w:abstractNum w:abstractNumId="527">
    <w:nsid w:val="6E9DEAD0"/>
    <w:multiLevelType w:val="hybridMultilevel"/>
    <w:lvl w:ilvl="0">
      <w:lvlJc w:val="left"/>
      <w:lvlText w:val="***"/>
      <w:numFmt w:val="bullet"/>
      <w:start w:val="1"/>
    </w:lvl>
  </w:abstractNum>
  <w:abstractNum w:abstractNumId="528">
    <w:nsid w:val="4450AA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29">
    <w:nsid w:val="4AC9F3E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30">
    <w:nsid w:val="CC0A78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531">
    <w:nsid w:val="79B69BC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532">
    <w:nsid w:val="2970CC78"/>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4)"/>
      <w:numFmt w:val="lowerLetter"/>
      <w:start w:val="3"/>
    </w:lvl>
    <w:lvl w:ilvl="4">
      <w:lvlJc w:val="left"/>
      <w:lvlText w:val="(%5)"/>
      <w:numFmt w:val="lowerLetter"/>
      <w:start w:val="3"/>
    </w:lvl>
    <w:lvl w:ilvl="5">
      <w:lvlJc w:val="left"/>
      <w:lvlText w:val="(%6)"/>
      <w:numFmt w:val="lowerRoman"/>
      <w:start w:val="1"/>
    </w:lvl>
  </w:abstractNum>
  <w:abstractNum w:abstractNumId="533">
    <w:nsid w:val="49CA1341"/>
    <w:multiLevelType w:val="hybridMultilevel"/>
    <w:lvl w:ilvl="0">
      <w:lvlJc w:val="left"/>
      <w:lvlText w:val="%1"/>
      <w:numFmt w:val="decimal"/>
      <w:start w:val="1"/>
    </w:lvl>
    <w:lvl w:ilvl="1">
      <w:lvlJc w:val="left"/>
      <w:lvlText w:val="(%2)"/>
      <w:numFmt w:val="lowerLetter"/>
      <w:start w:val="2"/>
    </w:lvl>
  </w:abstractNum>
  <w:abstractNum w:abstractNumId="534">
    <w:nsid w:val="58D717E"/>
    <w:multiLevelType w:val="hybridMultilevel"/>
    <w:lvl w:ilvl="0">
      <w:lvlJc w:val="left"/>
      <w:lvlText w:val="%1."/>
      <w:numFmt w:val="decimal"/>
      <w:start w:val="10"/>
    </w:lvl>
    <w:lvl w:ilvl="1">
      <w:lvlJc w:val="left"/>
      <w:lvlText w:val="%2"/>
      <w:numFmt w:val="lowerLetter"/>
      <w:start w:val="1"/>
    </w:lvl>
  </w:abstractNum>
  <w:abstractNum w:abstractNumId="535">
    <w:nsid w:val="64C2DDD5"/>
    <w:multiLevelType w:val="hybridMultilevel"/>
    <w:lvl w:ilvl="0">
      <w:lvlJc w:val="left"/>
      <w:lvlText w:val="%1."/>
      <w:numFmt w:val="decimal"/>
      <w:start w:val="13"/>
    </w:lvl>
  </w:abstractNum>
  <w:abstractNum w:abstractNumId="536">
    <w:nsid w:val="4244B8DE"/>
    <w:multiLevelType w:val="hybridMultilevel"/>
    <w:lvl w:ilvl="0">
      <w:lvlJc w:val="left"/>
      <w:lvlText w:val="%1."/>
      <w:numFmt w:val="decimal"/>
      <w:start w:val="14"/>
    </w:lvl>
  </w:abstractNum>
  <w:abstractNum w:abstractNumId="537">
    <w:nsid w:val="76490B01"/>
    <w:multiLevelType w:val="hybridMultilevel"/>
    <w:lvl w:ilvl="0">
      <w:lvlJc w:val="left"/>
      <w:lvlText w:val="%1."/>
      <w:numFmt w:val="decimal"/>
      <w:start w:val="22"/>
    </w:lvl>
  </w:abstractNum>
  <w:abstractNum w:abstractNumId="538">
    <w:nsid w:val="36B19CBF"/>
    <w:multiLevelType w:val="hybridMultilevel"/>
    <w:lvl w:ilvl="0">
      <w:lvlJc w:val="left"/>
      <w:lvlText w:val="%1."/>
      <w:numFmt w:val="decimal"/>
      <w:start w:val="24"/>
    </w:lvl>
  </w:abstractNum>
  <w:abstractNum w:abstractNumId="539">
    <w:nsid w:val="645EC5AB"/>
    <w:multiLevelType w:val="hybridMultilevel"/>
    <w:lvl w:ilvl="0">
      <w:lvlJc w:val="left"/>
      <w:lvlText w:val="%1."/>
      <w:numFmt w:val="decimal"/>
      <w:start w:val="1"/>
    </w:lvl>
  </w:abstractNum>
  <w:abstractNum w:abstractNumId="540">
    <w:nsid w:val="11C5ABEF"/>
    <w:multiLevelType w:val="hybridMultilevel"/>
    <w:lvl w:ilvl="0">
      <w:lvlJc w:val="left"/>
      <w:lvlText w:val="%1."/>
      <w:numFmt w:val="decimal"/>
      <w:start w:val="2"/>
    </w:lvl>
  </w:abstractNum>
  <w:abstractNum w:abstractNumId="541">
    <w:nsid w:val="5A4744BE"/>
    <w:multiLevelType w:val="hybridMultilevel"/>
    <w:lvl w:ilvl="0">
      <w:lvlJc w:val="left"/>
      <w:lvlText w:val="(%1)"/>
      <w:numFmt w:val="lowerRoman"/>
      <w:start w:val="1"/>
    </w:lvl>
  </w:abstractNum>
  <w:abstractNum w:abstractNumId="542">
    <w:nsid w:val="1DC4B111"/>
    <w:multiLevelType w:val="hybridMultilevel"/>
    <w:lvl w:ilvl="0">
      <w:lvlJc w:val="left"/>
      <w:lvlText w:val="%1."/>
      <w:numFmt w:val="decimal"/>
      <w:start w:val="4"/>
    </w:lvl>
    <w:lvl w:ilvl="1">
      <w:lvlJc w:val="left"/>
      <w:lvlText w:val="(%2)"/>
      <w:numFmt w:val="lowerLetter"/>
      <w:start w:val="1"/>
    </w:lvl>
  </w:abstractNum>
  <w:abstractNum w:abstractNumId="543">
    <w:nsid w:val="4C6E372B"/>
    <w:multiLevelType w:val="hybridMultilevel"/>
    <w:lvl w:ilvl="0">
      <w:lvlJc w:val="left"/>
      <w:lvlText w:val="%1"/>
      <w:numFmt w:val="decimal"/>
      <w:start w:val="1"/>
    </w:lvl>
    <w:lvl w:ilvl="1">
      <w:lvlJc w:val="left"/>
      <w:lvlText w:val="(%2)"/>
      <w:numFmt w:val="lowerLetter"/>
      <w:start w:val="5"/>
    </w:lvl>
  </w:abstractNum>
  <w:abstractNum w:abstractNumId="544">
    <w:nsid w:val="10236EF"/>
    <w:multiLevelType w:val="hybridMultilevel"/>
    <w:lvl w:ilvl="0">
      <w:lvlJc w:val="left"/>
      <w:lvlText w:val="%1."/>
      <w:numFmt w:val="decimal"/>
      <w:start w:val="5"/>
    </w:lvl>
    <w:lvl w:ilvl="1">
      <w:lvlJc w:val="left"/>
      <w:lvlText w:val="%2"/>
      <w:numFmt w:val="lowerLetter"/>
      <w:start w:val="1"/>
    </w:lvl>
  </w:abstractNum>
  <w:abstractNum w:abstractNumId="545">
    <w:nsid w:val="68D8526B"/>
    <w:multiLevelType w:val="hybridMultilevel"/>
    <w:lvl w:ilvl="0">
      <w:lvlJc w:val="left"/>
      <w:lvlText w:val="%1."/>
      <w:numFmt w:val="decimal"/>
      <w:start w:val="2"/>
    </w:lvl>
  </w:abstractNum>
  <w:abstractNum w:abstractNumId="546">
    <w:nsid w:val="3C8CC138"/>
    <w:multiLevelType w:val="hybridMultilevel"/>
    <w:lvl w:ilvl="0">
      <w:lvlJc w:val="left"/>
      <w:lvlText w:val="%1."/>
      <w:numFmt w:val="decimal"/>
      <w:start w:val="1"/>
    </w:lvl>
  </w:abstractNum>
  <w:abstractNum w:abstractNumId="547">
    <w:nsid w:val="42E8C7BE"/>
    <w:multiLevelType w:val="hybridMultilevel"/>
    <w:lvl w:ilvl="0">
      <w:lvlJc w:val="left"/>
      <w:lvlText w:val="%1."/>
      <w:numFmt w:val="decimal"/>
      <w:start w:val="1"/>
    </w:lvl>
  </w:abstractNum>
  <w:abstractNum w:abstractNumId="548">
    <w:nsid w:val="653CDC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49">
    <w:nsid w:val="103B27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550">
    <w:nsid w:val="156827F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51">
    <w:nsid w:val="6350AC3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52">
    <w:nsid w:val="767725AB"/>
    <w:multiLevelType w:val="hybridMultilevel"/>
    <w:lvl w:ilvl="0">
      <w:lvlJc w:val="left"/>
      <w:lvlText w:val="(%1)"/>
      <w:numFmt w:val="lowerRoman"/>
      <w:start w:val="3"/>
    </w:lvl>
  </w:abstractNum>
  <w:abstractNum w:abstractNumId="553">
    <w:nsid w:val="4748C06A"/>
    <w:multiLevelType w:val="hybridMultilevel"/>
    <w:lvl w:ilvl="0">
      <w:lvlJc w:val="left"/>
      <w:lvlText w:val="(%1)"/>
      <w:numFmt w:val="lowerLetter"/>
      <w:start w:val="3"/>
    </w:lvl>
  </w:abstractNum>
  <w:abstractNum w:abstractNumId="554">
    <w:nsid w:val="254D9EA9"/>
    <w:multiLevelType w:val="hybridMultilevel"/>
    <w:lvl w:ilvl="0">
      <w:lvlJc w:val="left"/>
      <w:lvlText w:val="%1"/>
      <w:numFmt w:val="decimal"/>
      <w:start w:val="1"/>
    </w:lvl>
    <w:lvl w:ilvl="1">
      <w:lvlJc w:val="left"/>
      <w:lvlText w:val="(%2)"/>
      <w:numFmt w:val="lowerLetter"/>
      <w:start w:val="4"/>
    </w:lvl>
  </w:abstractNum>
  <w:abstractNum w:abstractNumId="555">
    <w:nsid w:val="1FBD3AA3"/>
    <w:multiLevelType w:val="hybridMultilevel"/>
    <w:lvl w:ilvl="0">
      <w:lvlJc w:val="left"/>
      <w:lvlText w:val="%1."/>
      <w:numFmt w:val="decimal"/>
      <w:start w:val="4"/>
    </w:lvl>
    <w:lvl w:ilvl="1">
      <w:lvlJc w:val="left"/>
      <w:lvlText w:val="(%2)"/>
      <w:numFmt w:val="lowerLetter"/>
      <w:start w:val="1"/>
    </w:lvl>
  </w:abstractNum>
  <w:abstractNum w:abstractNumId="556">
    <w:nsid w:val="18C6B4F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57">
    <w:nsid w:val="40BAD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558">
    <w:nsid w:val="E5B257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559">
    <w:nsid w:val="5D175EF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60">
    <w:nsid w:val="4ED5A137"/>
    <w:multiLevelType w:val="hybridMultilevel"/>
    <w:lvl w:ilvl="0">
      <w:lvlJc w:val="left"/>
      <w:lvlText w:val="(%1)"/>
      <w:numFmt w:val="lowerLetter"/>
      <w:start w:val="2"/>
    </w:lvl>
  </w:abstractNum>
  <w:abstractNum w:abstractNumId="561">
    <w:nsid w:val="1B1BCCF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3"/>
    </w:lvl>
  </w:abstractNum>
  <w:abstractNum w:abstractNumId="562">
    <w:nsid w:val="56CDFA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6"/>
    </w:lvl>
  </w:abstractNum>
  <w:abstractNum w:abstractNumId="563">
    <w:nsid w:val="78466DAF"/>
    <w:multiLevelType w:val="hybridMultilevel"/>
    <w:lvl w:ilvl="0">
      <w:lvlJc w:val="left"/>
      <w:lvlText w:val="(%1)"/>
      <w:numFmt w:val="lowerLetter"/>
      <w:start w:val="2"/>
    </w:lvl>
    <w:lvl w:ilvl="1">
      <w:lvlJc w:val="left"/>
      <w:lvlText w:val="(%2)"/>
      <w:numFmt w:val="lowerLetter"/>
      <w:start w:val="9"/>
    </w:lvl>
  </w:abstractNum>
  <w:abstractNum w:abstractNumId="564">
    <w:nsid w:val="64E5E036"/>
    <w:multiLevelType w:val="hybridMultilevel"/>
    <w:lvl w:ilvl="0">
      <w:lvlJc w:val="left"/>
      <w:lvlText w:val="(%1)"/>
      <w:numFmt w:val="lowerRoman"/>
      <w:start w:val="2"/>
    </w:lvl>
  </w:abstractNum>
  <w:abstractNum w:abstractNumId="565">
    <w:nsid w:val="5C5B6C3A"/>
    <w:multiLevelType w:val="hybridMultilevel"/>
    <w:lvl w:ilvl="0">
      <w:lvlJc w:val="left"/>
      <w:lvlText w:val="%1"/>
      <w:numFmt w:val="decimal"/>
      <w:start w:val="1"/>
    </w:lvl>
    <w:lvl w:ilvl="1">
      <w:lvlJc w:val="left"/>
      <w:lvlText w:val="(%2)"/>
      <w:numFmt w:val="lowerLetter"/>
      <w:start w:val="3"/>
    </w:lvl>
  </w:abstractNum>
  <w:abstractNum w:abstractNumId="566">
    <w:nsid w:val="5D094B84"/>
    <w:multiLevelType w:val="hybridMultilevel"/>
    <w:lvl w:ilvl="0">
      <w:lvlJc w:val="left"/>
      <w:lvlText w:val="(%1)"/>
      <w:numFmt w:val="decimal"/>
      <w:start w:val="12"/>
    </w:lvl>
    <w:lvl w:ilvl="1">
      <w:lvlJc w:val="left"/>
      <w:lvlText w:val="%2"/>
      <w:numFmt w:val="lowerLetter"/>
      <w:start w:val="1"/>
    </w:lvl>
  </w:abstractNum>
  <w:abstractNum w:abstractNumId="567">
    <w:nsid w:val="272A991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8">
    <w:nsid w:val="52A4773B"/>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569">
    <w:nsid w:val="13BAE843"/>
    <w:multiLevelType w:val="hybridMultilevel"/>
    <w:lvl w:ilvl="0">
      <w:lvlJc w:val="left"/>
      <w:lvlText w:val="%1"/>
      <w:numFmt w:val="decimal"/>
      <w:start w:val="1"/>
    </w:lvl>
    <w:lvl w:ilvl="1">
      <w:lvlJc w:val="left"/>
      <w:lvlText w:val="(%2)"/>
      <w:numFmt w:val="lowerLetter"/>
      <w:start w:val="8"/>
    </w:lvl>
  </w:abstractNum>
  <w:abstractNum w:abstractNumId="570">
    <w:nsid w:val="B895EBF"/>
    <w:multiLevelType w:val="hybridMultilevel"/>
    <w:lvl w:ilvl="0">
      <w:lvlJc w:val="left"/>
      <w:lvlText w:val="%1."/>
      <w:numFmt w:val="decimal"/>
      <w:start w:val="7"/>
    </w:lvl>
    <w:lvl w:ilvl="1">
      <w:lvlJc w:val="left"/>
      <w:lvlText w:val="(%2)"/>
      <w:numFmt w:val="lowerLetter"/>
      <w:start w:val="1"/>
    </w:lvl>
  </w:abstractNum>
  <w:abstractNum w:abstractNumId="571">
    <w:nsid w:val="646A232A"/>
    <w:multiLevelType w:val="hybridMultilevel"/>
    <w:lvl w:ilvl="0">
      <w:lvlJc w:val="left"/>
      <w:lvlText w:val="(%1)"/>
      <w:numFmt w:val="lowerLetter"/>
      <w:start w:val="1"/>
    </w:lvl>
  </w:abstractNum>
  <w:abstractNum w:abstractNumId="572">
    <w:nsid w:val="6E022D01"/>
    <w:multiLevelType w:val="hybridMultilevel"/>
    <w:lvl w:ilvl="0">
      <w:lvlJc w:val="left"/>
      <w:lvlText w:val="%1."/>
      <w:numFmt w:val="decimal"/>
      <w:start w:val="9"/>
    </w:lvl>
    <w:lvl w:ilvl="1">
      <w:lvlJc w:val="left"/>
      <w:lvlText w:val="(%2)"/>
      <w:numFmt w:val="lowerLetter"/>
      <w:start w:val="1"/>
    </w:lvl>
  </w:abstractNum>
  <w:abstractNum w:abstractNumId="573">
    <w:nsid w:val="294E0FD0"/>
    <w:multiLevelType w:val="hybridMultilevel"/>
    <w:lvl w:ilvl="0">
      <w:lvlJc w:val="left"/>
      <w:lvlText w:val="%1"/>
      <w:numFmt w:val="decimal"/>
      <w:start w:val="1"/>
    </w:lvl>
    <w:lvl w:ilvl="1">
      <w:lvlJc w:val="left"/>
      <w:lvlText w:val="(%2)"/>
      <w:numFmt w:val="lowerLetter"/>
      <w:start w:val="4"/>
    </w:lvl>
  </w:abstractNum>
  <w:abstractNum w:abstractNumId="574">
    <w:nsid w:val="30D85A55"/>
    <w:multiLevelType w:val="hybridMultilevel"/>
    <w:lvl w:ilvl="0">
      <w:lvlJc w:val="left"/>
      <w:lvlText w:val="%1."/>
      <w:numFmt w:val="decimal"/>
      <w:start w:val="11"/>
    </w:lvl>
    <w:lvl w:ilvl="1">
      <w:lvlJc w:val="left"/>
      <w:lvlText w:val="(%2)"/>
      <w:numFmt w:val="lowerLetter"/>
      <w:start w:val="1"/>
    </w:lvl>
  </w:abstractNum>
  <w:abstractNum w:abstractNumId="575">
    <w:nsid w:val="6F0463F1"/>
    <w:multiLevelType w:val="hybridMultilevel"/>
    <w:lvl w:ilvl="0">
      <w:lvlJc w:val="left"/>
      <w:lvlText w:val="(%1)"/>
      <w:numFmt w:val="lowerLetter"/>
      <w:start w:val="2"/>
    </w:lvl>
  </w:abstractNum>
  <w:abstractNum w:abstractNumId="576">
    <w:nsid w:val="1226623C"/>
    <w:multiLevelType w:val="hybridMultilevel"/>
    <w:lvl w:ilvl="0">
      <w:lvlJc w:val="left"/>
      <w:lvlText w:val="(%1)"/>
      <w:numFmt w:val="lowerLetter"/>
      <w:start w:val="4"/>
    </w:lvl>
  </w:abstractNum>
  <w:abstractNum w:abstractNumId="577">
    <w:nsid w:val="6D651B8D"/>
    <w:multiLevelType w:val="hybridMultilevel"/>
    <w:lvl w:ilvl="0">
      <w:lvlJc w:val="left"/>
      <w:lvlText w:val="%1."/>
      <w:numFmt w:val="decimal"/>
      <w:start w:val="1"/>
    </w:lvl>
  </w:abstractNum>
  <w:abstractNum w:abstractNumId="578">
    <w:nsid w:val="31ED2BAF"/>
    <w:multiLevelType w:val="hybridMultilevel"/>
    <w:lvl w:ilvl="0">
      <w:lvlJc w:val="left"/>
      <w:lvlText w:val="%1."/>
      <w:numFmt w:val="decimal"/>
      <w:start w:val="3"/>
    </w:lvl>
    <w:lvl w:ilvl="1">
      <w:lvlJc w:val="left"/>
      <w:lvlText w:val="(%2)"/>
      <w:numFmt w:val="lowerLetter"/>
      <w:start w:val="1"/>
    </w:lvl>
  </w:abstractNum>
  <w:abstractNum w:abstractNumId="579">
    <w:nsid w:val="77633E5E"/>
    <w:multiLevelType w:val="hybridMultilevel"/>
    <w:lvl w:ilvl="0">
      <w:lvlJc w:val="left"/>
      <w:lvlText w:val="(%1)"/>
      <w:numFmt w:val="lowerLetter"/>
      <w:start w:val="5"/>
    </w:lvl>
  </w:abstractNum>
  <w:abstractNum w:abstractNumId="580">
    <w:nsid w:val="7DA042A3"/>
    <w:multiLevelType w:val="hybridMultilevel"/>
    <w:lvl w:ilvl="0">
      <w:lvlJc w:val="left"/>
      <w:lvlText w:val="%1"/>
      <w:numFmt w:val="decimal"/>
      <w:start w:val="1"/>
    </w:lvl>
    <w:lvl w:ilvl="1">
      <w:lvlJc w:val="left"/>
      <w:lvlText w:val="%2."/>
      <w:numFmt w:val="decimal"/>
      <w:start w:val="4"/>
    </w:lvl>
  </w:abstractNum>
  <w:abstractNum w:abstractNumId="581">
    <w:nsid w:val="475553AB"/>
    <w:multiLevelType w:val="hybridMultilevel"/>
    <w:lvl w:ilvl="0">
      <w:lvlJc w:val="left"/>
      <w:lvlText w:val="(%1)"/>
      <w:numFmt w:val="decimal"/>
      <w:start w:val="1"/>
    </w:lvl>
    <w:lvl w:ilvl="1">
      <w:lvlJc w:val="left"/>
      <w:lvlText w:val="%2"/>
      <w:numFmt w:val="decimal"/>
      <w:start w:val="1"/>
    </w:lvl>
  </w:abstractNum>
  <w:abstractNum w:abstractNumId="582">
    <w:nsid w:val="5AB3EA93"/>
    <w:multiLevelType w:val="hybridMultilevel"/>
    <w:lvl w:ilvl="0">
      <w:lvlJc w:val="left"/>
      <w:lvlText w:val="%1."/>
      <w:numFmt w:val="decimal"/>
      <w:start w:val="5"/>
    </w:lvl>
  </w:abstractNum>
  <w:abstractNum w:abstractNumId="583">
    <w:nsid w:val="7417684F"/>
    <w:multiLevelType w:val="hybridMultilevel"/>
    <w:lvl w:ilvl="0">
      <w:lvlJc w:val="left"/>
      <w:lvlText w:val="%1"/>
      <w:numFmt w:val="decimal"/>
      <w:start w:val="1"/>
    </w:lvl>
    <w:lvl w:ilvl="1">
      <w:lvlJc w:val="left"/>
      <w:lvlText w:val="%2."/>
      <w:numFmt w:val="decimal"/>
      <w:start w:val="6"/>
    </w:lvl>
  </w:abstractNum>
  <w:abstractNum w:abstractNumId="584">
    <w:nsid w:val="E9E1415"/>
    <w:multiLevelType w:val="hybridMultilevel"/>
    <w:lvl w:ilvl="0">
      <w:lvlJc w:val="left"/>
      <w:lvlText w:val="(%1)"/>
      <w:numFmt w:val="decimal"/>
      <w:start w:val="2"/>
    </w:lvl>
    <w:lvl w:ilvl="1">
      <w:lvlJc w:val="left"/>
      <w:lvlText w:val="%2"/>
      <w:numFmt w:val="decimal"/>
      <w:start w:val="1"/>
    </w:lvl>
  </w:abstractNum>
  <w:abstractNum w:abstractNumId="585">
    <w:nsid w:val="1893D"/>
    <w:multiLevelType w:val="hybridMultilevel"/>
    <w:lvl w:ilvl="0">
      <w:lvlJc w:val="left"/>
      <w:lvlText w:val="%1."/>
      <w:numFmt w:val="decimal"/>
      <w:start w:val="7"/>
    </w:lvl>
  </w:abstractNum>
  <w:abstractNum w:abstractNumId="586">
    <w:nsid w:val="13D4A2F2"/>
    <w:multiLevelType w:val="hybridMultilevel"/>
    <w:lvl w:ilvl="0">
      <w:lvlJc w:val="left"/>
      <w:lvlText w:val="%1."/>
      <w:numFmt w:val="decimal"/>
      <w:start w:val="9"/>
    </w:lvl>
  </w:abstractNum>
  <w:abstractNum w:abstractNumId="587">
    <w:nsid w:val="2764C907"/>
    <w:multiLevelType w:val="hybridMultilevel"/>
    <w:lvl w:ilvl="0">
      <w:lvlJc w:val="left"/>
      <w:lvlText w:val="%1"/>
      <w:numFmt w:val="lowerLetter"/>
      <w:start w:val="1"/>
    </w:lvl>
    <w:lvl w:ilvl="1">
      <w:lvlJc w:val="left"/>
      <w:lvlText w:val="%2."/>
      <w:numFmt w:val="decimal"/>
      <w:start w:val="11"/>
    </w:lvl>
  </w:abstractNum>
  <w:abstractNum w:abstractNumId="588">
    <w:nsid w:val="40D3692"/>
    <w:multiLevelType w:val="hybridMultilevel"/>
    <w:lvl w:ilvl="0">
      <w:lvlJc w:val="left"/>
      <w:lvlText w:val="(%1)"/>
      <w:numFmt w:val="lowerLetter"/>
      <w:start w:val="2"/>
    </w:lvl>
    <w:lvl w:ilvl="1">
      <w:lvlJc w:val="left"/>
      <w:lvlText w:val="%2."/>
      <w:numFmt w:val="decimal"/>
      <w:start w:val="14"/>
    </w:lvl>
  </w:abstractNum>
  <w:abstractNum w:abstractNumId="589">
    <w:nsid w:val="222FC865"/>
    <w:multiLevelType w:val="hybridMultilevel"/>
    <w:lvl w:ilvl="0">
      <w:lvlJc w:val="left"/>
      <w:lvlText w:val="%1."/>
      <w:numFmt w:val="decimal"/>
      <w:start w:val="16"/>
    </w:lvl>
  </w:abstractNum>
  <w:abstractNum w:abstractNumId="590">
    <w:nsid w:val="47C27FA"/>
    <w:multiLevelType w:val="hybridMultilevel"/>
    <w:lvl w:ilvl="0">
      <w:lvlJc w:val="left"/>
      <w:lvlText w:val="%1"/>
      <w:numFmt w:val="decimal"/>
      <w:start w:val="1"/>
    </w:lvl>
    <w:lvl w:ilvl="1">
      <w:lvlJc w:val="left"/>
      <w:lvlText w:val="%2."/>
      <w:numFmt w:val="decimal"/>
      <w:start w:val="20"/>
    </w:lvl>
  </w:abstractNum>
  <w:abstractNum w:abstractNumId="591">
    <w:nsid w:val="52E2D7C9"/>
    <w:multiLevelType w:val="hybridMultilevel"/>
    <w:lvl w:ilvl="0">
      <w:lvlJc w:val="left"/>
      <w:lvlText w:val="(%1)"/>
      <w:numFmt w:val="decimal"/>
      <w:start w:val="4"/>
    </w:lvl>
    <w:lvl w:ilvl="1">
      <w:lvlJc w:val="left"/>
      <w:lvlText w:val="%2"/>
      <w:numFmt w:val="decimal"/>
      <w:start w:val="1"/>
    </w:lvl>
  </w:abstractNum>
  <w:abstractNum w:abstractNumId="592">
    <w:nsid w:val="3D4B955A"/>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lvl w:ilvl="3">
      <w:lvlJc w:val="left"/>
      <w:lvlText w:val="*"/>
      <w:numFmt w:val="bullet"/>
      <w:start w:val="1"/>
    </w:lvl>
  </w:abstractNum>
  <w:abstractNum w:abstractNumId="593">
    <w:nsid w:val="5B4A22B5"/>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94">
    <w:nsid w:val="4B294578"/>
    <w:multiLevelType w:val="hybridMultilevel"/>
    <w:lvl w:ilvl="0">
      <w:lvlJc w:val="left"/>
      <w:lvlText w:val="%1"/>
      <w:numFmt w:val="lowerRoman"/>
      <w:start w:val="1"/>
    </w:lvl>
    <w:lvl w:ilvl="1">
      <w:lvlJc w:val="left"/>
      <w:lvlText w:val="%2."/>
      <w:numFmt w:val="decimal"/>
      <w:start w:val="1"/>
    </w:lvl>
  </w:abstractNum>
  <w:abstractNum w:abstractNumId="595">
    <w:nsid w:val="22317590"/>
    <w:multiLevelType w:val="hybridMultilevel"/>
    <w:lvl w:ilvl="0">
      <w:lvlJc w:val="left"/>
      <w:lvlText w:val="(%1)"/>
      <w:numFmt w:val="lowerRoman"/>
      <w:start w:val="2"/>
    </w:lvl>
    <w:lvl w:ilvl="1">
      <w:lvlJc w:val="left"/>
      <w:lvlText w:val="%2."/>
      <w:numFmt w:val="decimal"/>
      <w:start w:val="2"/>
    </w:lvl>
  </w:abstractNum>
  <w:abstractNum w:abstractNumId="596">
    <w:nsid w:val="37A58EEF"/>
    <w:multiLevelType w:val="hybridMultilevel"/>
    <w:lvl w:ilvl="0">
      <w:lvlJc w:val="left"/>
      <w:lvlText w:val="%1."/>
      <w:numFmt w:val="decimal"/>
      <w:start w:val="1"/>
    </w:lvl>
  </w:abstractNum>
  <w:abstractNum w:abstractNumId="597">
    <w:nsid w:val="283290F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598">
    <w:nsid w:val="495C0EA5"/>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99">
    <w:nsid w:val="A4A062B"/>
    <w:multiLevelType w:val="hybridMultilevel"/>
    <w:lvl w:ilvl="0">
      <w:lvlJc w:val="left"/>
      <w:lvlText w:val="%1"/>
      <w:numFmt w:val="decimal"/>
      <w:start w:val="1"/>
    </w:lvl>
    <w:lvl w:ilvl="1">
      <w:lvlJc w:val="left"/>
      <w:lvlText w:val="(%2)"/>
      <w:numFmt w:val="lowerRoman"/>
      <w:start w:val="1"/>
    </w:lvl>
  </w:abstractNum>
  <w:abstractNum w:abstractNumId="600">
    <w:nsid w:val="3BED7940"/>
    <w:multiLevelType w:val="hybridMultilevel"/>
    <w:lvl w:ilvl="0">
      <w:lvlJc w:val="left"/>
      <w:lvlText w:val="(%1)"/>
      <w:numFmt w:val="decimal"/>
      <w:start w:val="6"/>
    </w:lvl>
    <w:lvl w:ilvl="1">
      <w:lvlJc w:val="left"/>
      <w:lvlText w:val="(%2)"/>
      <w:numFmt w:val="lowerRoman"/>
      <w:start w:val="3"/>
    </w:lvl>
  </w:abstractNum>
  <w:abstractNum w:abstractNumId="601">
    <w:nsid w:val="54E56D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02">
    <w:nsid w:val="6EB4295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3">
    <w:nsid w:val="29EFA64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4">
    <w:nsid w:val="7E337D35"/>
    <w:multiLevelType w:val="hybridMultilevel"/>
    <w:lvl w:ilvl="0">
      <w:lvlJc w:val="left"/>
      <w:lvlText w:val="(%1)"/>
      <w:numFmt w:val="lowerLetter"/>
      <w:start w:val="2"/>
    </w:lvl>
    <w:lvl w:ilvl="1">
      <w:lvlJc w:val="left"/>
      <w:lvlText w:val="(%2)"/>
      <w:numFmt w:val="lowerRoman"/>
      <w:start w:val="1"/>
    </w:lvl>
  </w:abstractNum>
  <w:abstractNum w:abstractNumId="605">
    <w:nsid w:val="1F8C83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606">
    <w:nsid w:val="18F40A3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07">
    <w:nsid w:val="1059DF7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08">
    <w:nsid w:val="CF19F3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9">
    <w:nsid w:val="4AE135E2"/>
    <w:multiLevelType w:val="hybridMultilevel"/>
    <w:lvl w:ilvl="0">
      <w:lvlJc w:val="left"/>
      <w:lvlText w:val="(%1)"/>
      <w:numFmt w:val="lowerLetter"/>
      <w:start w:val="2"/>
    </w:lvl>
    <w:lvl w:ilvl="1">
      <w:lvlJc w:val="left"/>
      <w:lvlText w:val="(%2)"/>
      <w:numFmt w:val="lowerRoman"/>
      <w:start w:val="1"/>
    </w:lvl>
  </w:abstractNum>
  <w:abstractNum w:abstractNumId="610">
    <w:nsid w:val="7BD1DC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1">
    <w:nsid w:val="A91E1DC"/>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612">
    <w:nsid w:val="1236898D"/>
    <w:multiLevelType w:val="hybridMultilevel"/>
    <w:lvl w:ilvl="0">
      <w:lvlJc w:val="left"/>
      <w:lvlText w:val="(%1)"/>
      <w:numFmt w:val="lowerRoman"/>
      <w:start w:val="4"/>
    </w:lvl>
  </w:abstractNum>
  <w:abstractNum w:abstractNumId="613">
    <w:nsid w:val="62710862"/>
    <w:multiLevelType w:val="hybridMultilevel"/>
    <w:lvl w:ilvl="0">
      <w:lvlJc w:val="left"/>
      <w:lvlText w:val="%1"/>
      <w:numFmt w:val="decimal"/>
      <w:start w:val="1"/>
    </w:lvl>
    <w:lvl w:ilvl="1">
      <w:lvlJc w:val="left"/>
      <w:lvlText w:val="(%2)"/>
      <w:numFmt w:val="lowerLetter"/>
      <w:start w:val="8"/>
    </w:lvl>
  </w:abstractNum>
  <w:abstractNum w:abstractNumId="614">
    <w:nsid w:val="7EA94A2B"/>
    <w:multiLevelType w:val="hybridMultilevel"/>
    <w:lvl w:ilvl="0">
      <w:lvlJc w:val="left"/>
      <w:lvlText w:val="%1."/>
      <w:numFmt w:val="decimal"/>
      <w:start w:val="7"/>
    </w:lvl>
    <w:lvl w:ilvl="1">
      <w:lvlJc w:val="left"/>
      <w:lvlText w:val="(%2)"/>
      <w:numFmt w:val="lowerLetter"/>
      <w:start w:val="1"/>
    </w:lvl>
  </w:abstractNum>
  <w:abstractNum w:abstractNumId="615">
    <w:nsid w:val="20D49DA3"/>
    <w:multiLevelType w:val="hybridMultilevel"/>
    <w:lvl w:ilvl="0">
      <w:lvlJc w:val="left"/>
      <w:lvlText w:val="(%1)"/>
      <w:numFmt w:val="lowerLetter"/>
      <w:start w:val="2"/>
    </w:lvl>
  </w:abstractNum>
  <w:abstractNum w:abstractNumId="616">
    <w:nsid w:val="6272919F"/>
    <w:multiLevelType w:val="hybridMultilevel"/>
    <w:lvl w:ilvl="0">
      <w:lvlJc w:val="left"/>
      <w:lvlText w:val="%1."/>
      <w:numFmt w:val="decimal"/>
      <w:start w:val="9"/>
    </w:lvl>
    <w:lvl w:ilvl="1">
      <w:lvlJc w:val="left"/>
      <w:lvlText w:val="(%2)"/>
      <w:numFmt w:val="lowerLetter"/>
      <w:start w:val="1"/>
    </w:lvl>
  </w:abstractNum>
  <w:abstractNum w:abstractNumId="617">
    <w:nsid w:val="127DED1D"/>
    <w:multiLevelType w:val="hybridMultilevel"/>
    <w:lvl w:ilvl="0">
      <w:lvlJc w:val="left"/>
      <w:lvlText w:val="(%1)"/>
      <w:numFmt w:val="lowerLetter"/>
      <w:start w:val="3"/>
    </w:lvl>
  </w:abstractNum>
  <w:abstractNum w:abstractNumId="618">
    <w:nsid w:val="483966AA"/>
    <w:multiLevelType w:val="hybridMultilevel"/>
    <w:lvl w:ilvl="0">
      <w:lvlJc w:val="left"/>
      <w:lvlText w:val="%1."/>
      <w:numFmt w:val="decimal"/>
      <w:start w:val="11"/>
    </w:lvl>
    <w:lvl w:ilvl="1">
      <w:lvlJc w:val="left"/>
      <w:lvlText w:val="(%2)"/>
      <w:numFmt w:val="lowerLetter"/>
      <w:start w:val="1"/>
    </w:lvl>
  </w:abstractNum>
  <w:abstractNum w:abstractNumId="619">
    <w:nsid w:val="667FC831"/>
    <w:multiLevelType w:val="hybridMultilevel"/>
    <w:lvl w:ilvl="0">
      <w:lvlJc w:val="left"/>
      <w:lvlText w:val="(%1)"/>
      <w:numFmt w:val="lowerLetter"/>
      <w:start w:val="5"/>
    </w:lvl>
  </w:abstractNum>
  <w:abstractNum w:abstractNumId="620">
    <w:nsid w:val="34ADB582"/>
    <w:multiLevelType w:val="hybridMultilevel"/>
    <w:lvl w:ilvl="0">
      <w:lvlJc w:val="left"/>
      <w:lvlText w:val="(%1)"/>
      <w:numFmt w:val="lowerLetter"/>
      <w:start w:val="8"/>
    </w:lvl>
  </w:abstractNum>
  <w:abstractNum w:abstractNumId="621">
    <w:nsid w:val="4CB58EA4"/>
    <w:multiLevelType w:val="hybridMultilevel"/>
    <w:lvl w:ilvl="0">
      <w:lvlJc w:val="left"/>
      <w:lvlText w:val="%1."/>
      <w:numFmt w:val="decimal"/>
      <w:start w:val="1"/>
    </w:lvl>
  </w:abstractNum>
  <w:abstractNum w:abstractNumId="622">
    <w:nsid w:val="39629FFA"/>
    <w:multiLevelType w:val="hybridMultilevel"/>
    <w:lvl w:ilvl="0">
      <w:lvlJc w:val="left"/>
      <w:lvlText w:val="%1."/>
      <w:numFmt w:val="decimal"/>
      <w:start w:val="3"/>
    </w:lvl>
    <w:lvl w:ilvl="1">
      <w:lvlJc w:val="left"/>
      <w:lvlText w:val="(%2)"/>
      <w:numFmt w:val="lowerLetter"/>
      <w:start w:val="1"/>
    </w:lvl>
  </w:abstractNum>
  <w:abstractNum w:abstractNumId="623">
    <w:nsid w:val="71F94ADC"/>
    <w:multiLevelType w:val="hybridMultilevel"/>
    <w:lvl w:ilvl="0">
      <w:lvlJc w:val="left"/>
      <w:lvlText w:val="(%1)"/>
      <w:numFmt w:val="lowerLetter"/>
      <w:start w:val="5"/>
    </w:lvl>
  </w:abstractNum>
  <w:abstractNum w:abstractNumId="624">
    <w:nsid w:val="27FFB15A"/>
    <w:multiLevelType w:val="hybridMultilevel"/>
    <w:lvl w:ilvl="0">
      <w:lvlJc w:val="left"/>
      <w:lvlText w:val="%1."/>
      <w:numFmt w:val="decimal"/>
      <w:start w:val="4"/>
    </w:lvl>
  </w:abstractNum>
  <w:abstractNum w:abstractNumId="625">
    <w:nsid w:val="48BE573"/>
    <w:multiLevelType w:val="hybridMultilevel"/>
    <w:lvl w:ilvl="0">
      <w:lvlJc w:val="left"/>
      <w:lvlText w:val="(%1)"/>
      <w:numFmt w:val="decimal"/>
      <w:start w:val="1"/>
    </w:lvl>
  </w:abstractNum>
  <w:abstractNum w:abstractNumId="626">
    <w:nsid w:val="142AC06C"/>
    <w:multiLevelType w:val="hybridMultilevel"/>
    <w:lvl w:ilvl="0">
      <w:lvlJc w:val="left"/>
      <w:lvlText w:val="%1."/>
      <w:numFmt w:val="decimal"/>
      <w:start w:val="5"/>
    </w:lvl>
  </w:abstractNum>
  <w:abstractNum w:abstractNumId="627">
    <w:nsid w:val="5FA54049"/>
    <w:multiLevelType w:val="hybridMultilevel"/>
    <w:lvl w:ilvl="0">
      <w:lvlJc w:val="left"/>
      <w:lvlText w:val="%1"/>
      <w:numFmt w:val="decimal"/>
      <w:start w:val="1"/>
    </w:lvl>
    <w:lvl w:ilvl="1">
      <w:lvlJc w:val="left"/>
      <w:lvlText w:val="%2."/>
      <w:numFmt w:val="decimal"/>
      <w:start w:val="6"/>
    </w:lvl>
  </w:abstractNum>
  <w:abstractNum w:abstractNumId="628">
    <w:nsid w:val="2CBE7670"/>
    <w:multiLevelType w:val="hybridMultilevel"/>
    <w:lvl w:ilvl="0">
      <w:lvlJc w:val="left"/>
      <w:lvlText w:val="(%1)"/>
      <w:numFmt w:val="decimal"/>
      <w:start w:val="2"/>
    </w:lvl>
    <w:lvl w:ilvl="1">
      <w:lvlJc w:val="left"/>
      <w:lvlText w:val="%2"/>
      <w:numFmt w:val="decimal"/>
      <w:start w:val="1"/>
    </w:lvl>
  </w:abstractNum>
  <w:abstractNum w:abstractNumId="629">
    <w:nsid w:val="5D86CF11"/>
    <w:multiLevelType w:val="hybridMultilevel"/>
    <w:lvl w:ilvl="0">
      <w:lvlJc w:val="left"/>
      <w:lvlText w:val="%1."/>
      <w:numFmt w:val="decimal"/>
      <w:start w:val="7"/>
    </w:lvl>
  </w:abstractNum>
  <w:abstractNum w:abstractNumId="630">
    <w:nsid w:val="69EF4674"/>
    <w:multiLevelType w:val="hybridMultilevel"/>
    <w:lvl w:ilvl="0">
      <w:lvlJc w:val="left"/>
      <w:lvlText w:val="%1"/>
      <w:numFmt w:val="lowerLetter"/>
      <w:start w:val="1"/>
    </w:lvl>
    <w:lvl w:ilvl="1">
      <w:lvlJc w:val="left"/>
      <w:lvlText w:val="%2."/>
      <w:numFmt w:val="decimal"/>
      <w:start w:val="11"/>
    </w:lvl>
  </w:abstractNum>
  <w:abstractNum w:abstractNumId="631">
    <w:nsid w:val="68ABEFB0"/>
    <w:multiLevelType w:val="hybridMultilevel"/>
    <w:lvl w:ilvl="0">
      <w:lvlJc w:val="left"/>
      <w:lvlText w:val="(%1)"/>
      <w:numFmt w:val="lowerLetter"/>
      <w:start w:val="2"/>
    </w:lvl>
    <w:lvl w:ilvl="1">
      <w:lvlJc w:val="left"/>
      <w:lvlText w:val="%2."/>
      <w:numFmt w:val="decimal"/>
      <w:start w:val="14"/>
    </w:lvl>
  </w:abstractNum>
  <w:abstractNum w:abstractNumId="632">
    <w:nsid w:val="326C3C76"/>
    <w:multiLevelType w:val="hybridMultilevel"/>
    <w:lvl w:ilvl="0">
      <w:lvlJc w:val="left"/>
      <w:lvlText w:val="%1"/>
      <w:numFmt w:val="decimal"/>
      <w:start w:val="1"/>
    </w:lvl>
    <w:lvl w:ilvl="1">
      <w:lvlJc w:val="left"/>
      <w:lvlText w:val="%2."/>
      <w:numFmt w:val="decimal"/>
      <w:start w:val="16"/>
    </w:lvl>
  </w:abstractNum>
  <w:abstractNum w:abstractNumId="633">
    <w:nsid w:val="58A36FCA"/>
    <w:multiLevelType w:val="hybridMultilevel"/>
    <w:lvl w:ilvl="0">
      <w:lvlJc w:val="left"/>
      <w:lvlText w:val="(%1)"/>
      <w:numFmt w:val="decimal"/>
      <w:start w:val="4"/>
    </w:lvl>
    <w:lvl w:ilvl="1">
      <w:lvlJc w:val="left"/>
      <w:lvlText w:val="%2"/>
      <w:numFmt w:val="decimal"/>
      <w:start w:val="1"/>
    </w:lvl>
  </w:abstractNum>
  <w:abstractNum w:abstractNumId="634">
    <w:nsid w:val="129B95F2"/>
    <w:multiLevelType w:val="hybridMultilevel"/>
    <w:lvl w:ilvl="0">
      <w:lvlJc w:val="left"/>
      <w:lvlText w:val="(%1)"/>
      <w:numFmt w:val="decimal"/>
      <w:start w:val="5"/>
    </w:lvl>
  </w:abstractNum>
  <w:abstractNum w:abstractNumId="635">
    <w:nsid w:val="309FB9AB"/>
    <w:multiLevelType w:val="hybridMultilevel"/>
    <w:lvl w:ilvl="0">
      <w:lvlJc w:val="left"/>
      <w:lvlText w:val="%1."/>
      <w:numFmt w:val="decimal"/>
      <w:start w:val="22"/>
    </w:lvl>
    <w:lvl w:ilvl="1">
      <w:lvlJc w:val="left"/>
      <w:lvlText w:val="(%2)"/>
      <w:numFmt w:val="lowerLetter"/>
      <w:start w:val="1"/>
    </w:lvl>
  </w:abstractNum>
  <w:abstractNum w:abstractNumId="636">
    <w:nsid w:val="782FF375"/>
    <w:multiLevelType w:val="hybridMultilevel"/>
    <w:lvl w:ilvl="0">
      <w:lvlJc w:val="left"/>
      <w:lvlText w:val="(%1)"/>
      <w:numFmt w:val="decimal"/>
      <w:start w:val="6"/>
    </w:lvl>
  </w:abstractNum>
  <w:abstractNum w:abstractNumId="637">
    <w:nsid w:val="2B8FA025"/>
    <w:multiLevelType w:val="hybridMultilevel"/>
    <w:lvl w:ilvl="0">
      <w:lvlJc w:val="left"/>
      <w:lvlText w:val="%1."/>
      <w:numFmt w:val="decimal"/>
      <w:start w:val="1"/>
    </w:lvl>
  </w:abstractNum>
  <w:abstractNum w:abstractNumId="638">
    <w:nsid w:val="40F9991C"/>
    <w:multiLevelType w:val="hybridMultilevel"/>
    <w:lvl w:ilvl="0">
      <w:lvlJc w:val="left"/>
      <w:lvlText w:val="%1."/>
      <w:numFmt w:val="decimal"/>
      <w:start w:val="1"/>
    </w:lvl>
  </w:abstractNum>
  <w:abstractNum w:abstractNumId="639">
    <w:nsid w:val="52192A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640">
    <w:nsid w:val="7670D60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41">
    <w:nsid w:val="48B6B6EB"/>
    <w:multiLevelType w:val="hybridMultilevel"/>
    <w:lvl w:ilvl="0">
      <w:lvlJc w:val="left"/>
      <w:lvlText w:val="%1"/>
      <w:numFmt w:val="decimal"/>
      <w:start w:val="1"/>
    </w:lvl>
    <w:lvl w:ilvl="1">
      <w:lvlJc w:val="left"/>
      <w:lvlText w:val="(%2)"/>
      <w:numFmt w:val="lowerRoman"/>
      <w:start w:val="1"/>
    </w:lvl>
  </w:abstractNum>
  <w:abstractNum w:abstractNumId="642">
    <w:nsid w:val="FB37489"/>
    <w:multiLevelType w:val="hybridMultilevel"/>
    <w:lvl w:ilvl="0">
      <w:lvlJc w:val="left"/>
      <w:lvlText w:val="(%1)"/>
      <w:numFmt w:val="decimal"/>
      <w:start w:val="6"/>
    </w:lvl>
    <w:lvl w:ilvl="1">
      <w:lvlJc w:val="left"/>
      <w:lvlText w:val="(%2)"/>
      <w:numFmt w:val="lowerRoman"/>
      <w:start w:val="3"/>
    </w:lvl>
  </w:abstractNum>
  <w:abstractNum w:abstractNumId="643">
    <w:nsid w:val="8A75F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44">
    <w:nsid w:val="2B27BF4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5">
    <w:nsid w:val="E5CBE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6">
    <w:nsid w:val="297BFD38"/>
    <w:multiLevelType w:val="hybridMultilevel"/>
    <w:lvl w:ilvl="0">
      <w:lvlJc w:val="left"/>
      <w:lvlText w:val="(%1)"/>
      <w:numFmt w:val="lowerLetter"/>
      <w:start w:val="2"/>
    </w:lvl>
    <w:lvl w:ilvl="1">
      <w:lvlJc w:val="left"/>
      <w:lvlText w:val="(%2)"/>
      <w:numFmt w:val="lowerRoman"/>
      <w:start w:val="1"/>
    </w:lvl>
  </w:abstractNum>
  <w:abstractNum w:abstractNumId="647">
    <w:nsid w:val="D9A50E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648">
    <w:nsid w:val="20DAABD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49">
    <w:nsid w:val="71B563E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50">
    <w:nsid w:val="741A19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51">
    <w:nsid w:val="55886153"/>
    <w:multiLevelType w:val="hybridMultilevel"/>
    <w:lvl w:ilvl="0">
      <w:lvlJc w:val="left"/>
      <w:lvlText w:val="(%1)"/>
      <w:numFmt w:val="lowerLetter"/>
      <w:start w:val="2"/>
    </w:lvl>
    <w:lvl w:ilvl="1">
      <w:lvlJc w:val="left"/>
      <w:lvlText w:val="(%2)"/>
      <w:numFmt w:val="lowerRoman"/>
      <w:start w:val="1"/>
    </w:lvl>
  </w:abstractNum>
  <w:abstractNum w:abstractNumId="652">
    <w:nsid w:val="3E6AF287"/>
    <w:multiLevelType w:val="hybridMultilevel"/>
    <w:lvl w:ilvl="0">
      <w:lvlJc w:val="left"/>
      <w:lvlText w:val="%1"/>
      <w:numFmt w:val="decimal"/>
      <w:start w:val="1"/>
    </w:lvl>
    <w:lvl w:ilvl="1">
      <w:lvlJc w:val="left"/>
      <w:lvlText w:val="(%2)"/>
      <w:numFmt w:val="lowerLetter"/>
      <w:start w:val="3"/>
    </w:lvl>
  </w:abstractNum>
  <w:abstractNum w:abstractNumId="653">
    <w:nsid w:val="2D7CB919"/>
    <w:multiLevelType w:val="hybridMultilevel"/>
    <w:lvl w:ilvl="0">
      <w:lvlJc w:val="left"/>
      <w:lvlText w:val="(%1)"/>
      <w:numFmt w:val="decimal"/>
      <w:start w:val="12"/>
    </w:lvl>
    <w:lvl w:ilvl="1">
      <w:lvlJc w:val="left"/>
      <w:lvlText w:val="%2"/>
      <w:numFmt w:val="lowerLetter"/>
      <w:start w:val="1"/>
    </w:lvl>
  </w:abstractNum>
  <w:abstractNum w:abstractNumId="654">
    <w:nsid w:val="4781AC2F"/>
    <w:multiLevelType w:val="hybridMultilevel"/>
    <w:lvl w:ilvl="0">
      <w:lvlJc w:val="left"/>
      <w:lvlText w:val="(%1)"/>
      <w:numFmt w:val="lowerLetter"/>
      <w:start w:val="4"/>
    </w:lvl>
    <w:lvl w:ilvl="1">
      <w:lvlJc w:val="left"/>
      <w:lvlText w:val="(%2)"/>
      <w:numFmt w:val="lowerRoman"/>
      <w:start w:val="1"/>
    </w:lvl>
  </w:abstractNum>
  <w:abstractNum w:abstractNumId="655">
    <w:nsid w:val="666AA3E1"/>
    <w:multiLevelType w:val="hybridMultilevel"/>
    <w:lvl w:ilvl="0">
      <w:lvlJc w:val="left"/>
      <w:lvlText w:val="(%1)"/>
      <w:numFmt w:val="lowerRoman"/>
      <w:start w:val="4"/>
    </w:lvl>
  </w:abstractNum>
  <w:abstractNum w:abstractNumId="656">
    <w:nsid w:val="32089E8C"/>
    <w:multiLevelType w:val="hybridMultilevel"/>
    <w:lvl w:ilvl="0">
      <w:lvlJc w:val="left"/>
      <w:lvlText w:val="%1"/>
      <w:numFmt w:val="decimal"/>
      <w:start w:val="1"/>
    </w:lvl>
    <w:lvl w:ilvl="1">
      <w:lvlJc w:val="left"/>
      <w:lvlText w:val="(%2)"/>
      <w:numFmt w:val="lowerLetter"/>
      <w:start w:val="8"/>
    </w:lvl>
  </w:abstractNum>
  <w:abstractNum w:abstractNumId="657">
    <w:nsid w:val="5BAC6C9C"/>
    <w:multiLevelType w:val="hybridMultilevel"/>
    <w:lvl w:ilvl="0">
      <w:lvlJc w:val="left"/>
      <w:lvlText w:val="%1."/>
      <w:numFmt w:val="decimal"/>
      <w:start w:val="7"/>
    </w:lvl>
    <w:lvl w:ilvl="1">
      <w:lvlJc w:val="left"/>
      <w:lvlText w:val="(%2)"/>
      <w:numFmt w:val="lowerLetter"/>
      <w:start w:val="1"/>
    </w:lvl>
  </w:abstractNum>
  <w:abstractNum w:abstractNumId="658">
    <w:nsid w:val="460FE42B"/>
    <w:multiLevelType w:val="hybridMultilevel"/>
    <w:lvl w:ilvl="0">
      <w:lvlJc w:val="left"/>
      <w:lvlText w:val="(%1)"/>
      <w:numFmt w:val="lowerLetter"/>
      <w:start w:val="2"/>
    </w:lvl>
  </w:abstractNum>
  <w:abstractNum w:abstractNumId="659">
    <w:nsid w:val="5EC714FC"/>
    <w:multiLevelType w:val="hybridMultilevel"/>
    <w:lvl w:ilvl="0">
      <w:lvlJc w:val="left"/>
      <w:lvlText w:val="%1."/>
      <w:numFmt w:val="decimal"/>
      <w:start w:val="9"/>
    </w:lvl>
    <w:lvl w:ilvl="1">
      <w:lvlJc w:val="left"/>
      <w:lvlText w:val="(%2)"/>
      <w:numFmt w:val="lowerLetter"/>
      <w:start w:val="1"/>
    </w:lvl>
  </w:abstractNum>
  <w:abstractNum w:abstractNumId="660">
    <w:nsid w:val="39333BAD"/>
    <w:multiLevelType w:val="hybridMultilevel"/>
    <w:lvl w:ilvl="0">
      <w:lvlJc w:val="left"/>
      <w:lvlText w:val="%1"/>
      <w:numFmt w:val="lowerLetter"/>
      <w:start w:val="1"/>
    </w:lvl>
    <w:lvl w:ilvl="1">
      <w:lvlJc w:val="left"/>
      <w:lvlText w:val="(%2)"/>
      <w:numFmt w:val="lowerLetter"/>
      <w:start w:val="3"/>
    </w:lvl>
  </w:abstractNum>
  <w:abstractNum w:abstractNumId="661">
    <w:nsid w:val="2FFF2A9F"/>
    <w:multiLevelType w:val="hybridMultilevel"/>
    <w:lvl w:ilvl="0">
      <w:lvlJc w:val="left"/>
      <w:lvlText w:val="(%1)"/>
      <w:numFmt w:val="lowerLetter"/>
      <w:start w:val="4"/>
    </w:lvl>
    <w:lvl w:ilvl="1">
      <w:lvlJc w:val="left"/>
      <w:lvlText w:val="%2"/>
      <w:numFmt w:val="lowerLetter"/>
      <w:start w:val="1"/>
    </w:lvl>
  </w:abstractNum>
  <w:abstractNum w:abstractNumId="662">
    <w:nsid w:val="477304AC"/>
    <w:multiLevelType w:val="hybridMultilevel"/>
    <w:lvl w:ilvl="0">
      <w:lvlJc w:val="left"/>
      <w:lvlText w:val="%1."/>
      <w:numFmt w:val="decimal"/>
      <w:start w:val="11"/>
    </w:lvl>
    <w:lvl w:ilvl="1">
      <w:lvlJc w:val="left"/>
      <w:lvlText w:val="(%2)"/>
      <w:numFmt w:val="lowerLetter"/>
      <w:start w:val="1"/>
    </w:lvl>
  </w:abstractNum>
  <w:abstractNum w:abstractNumId="663">
    <w:nsid w:val="6B9F7823"/>
    <w:multiLevelType w:val="hybridMultilevel"/>
    <w:lvl w:ilvl="0">
      <w:lvlJc w:val="left"/>
      <w:lvlText w:val="(%1)"/>
      <w:numFmt w:val="lowerLetter"/>
      <w:start w:val="5"/>
    </w:lvl>
  </w:abstractNum>
  <w:abstractNum w:abstractNumId="664">
    <w:nsid w:val="8A29A69"/>
    <w:multiLevelType w:val="hybridMultilevel"/>
    <w:lvl w:ilvl="0">
      <w:lvlJc w:val="left"/>
      <w:lvlText w:val="%1."/>
      <w:numFmt w:val="decimal"/>
      <w:start w:val="1"/>
    </w:lvl>
  </w:abstractNum>
  <w:abstractNum w:abstractNumId="665">
    <w:nsid w:val="5A0E9A9F"/>
    <w:multiLevelType w:val="hybridMultilevel"/>
    <w:lvl w:ilvl="0">
      <w:lvlJc w:val="left"/>
      <w:lvlText w:val="%1."/>
      <w:numFmt w:val="decimal"/>
      <w:start w:val="2"/>
    </w:lvl>
  </w:abstractNum>
  <w:abstractNum w:abstractNumId="666">
    <w:nsid w:val="1C3F31CE"/>
    <w:multiLevelType w:val="hybridMultilevel"/>
    <w:lvl w:ilvl="0">
      <w:lvlJc w:val="left"/>
      <w:lvlText w:val="%1."/>
      <w:numFmt w:val="decimal"/>
      <w:start w:val="3"/>
    </w:lvl>
    <w:lvl w:ilvl="1">
      <w:lvlJc w:val="left"/>
      <w:lvlText w:val="(%2)"/>
      <w:numFmt w:val="lowerLetter"/>
      <w:start w:val="1"/>
    </w:lvl>
  </w:abstractNum>
  <w:abstractNum w:abstractNumId="667">
    <w:nsid w:val="D28DDE"/>
    <w:multiLevelType w:val="hybridMultilevel"/>
    <w:lvl w:ilvl="0">
      <w:lvlJc w:val="left"/>
      <w:lvlText w:val="(%1)"/>
      <w:numFmt w:val="lowerLetter"/>
      <w:start w:val="5"/>
    </w:lvl>
  </w:abstractNum>
  <w:abstractNum w:abstractNumId="668">
    <w:nsid w:val="59E3AC4"/>
    <w:multiLevelType w:val="hybridMultilevel"/>
    <w:lvl w:ilvl="0">
      <w:lvlJc w:val="left"/>
      <w:lvlText w:val="%1"/>
      <w:numFmt w:val="decimal"/>
      <w:start w:val="1"/>
    </w:lvl>
    <w:lvl w:ilvl="1">
      <w:lvlJc w:val="left"/>
      <w:lvlText w:val="%2."/>
      <w:numFmt w:val="decimal"/>
      <w:start w:val="4"/>
    </w:lvl>
  </w:abstractNum>
  <w:abstractNum w:abstractNumId="669">
    <w:nsid w:val="5D38CAEA"/>
    <w:multiLevelType w:val="hybridMultilevel"/>
    <w:lvl w:ilvl="0">
      <w:lvlJc w:val="left"/>
      <w:lvlText w:val="(%1)"/>
      <w:numFmt w:val="decimal"/>
      <w:start w:val="1"/>
    </w:lvl>
    <w:lvl w:ilvl="1">
      <w:lvlJc w:val="left"/>
      <w:lvlText w:val="%2"/>
      <w:numFmt w:val="decimal"/>
      <w:start w:val="1"/>
    </w:lvl>
  </w:abstractNum>
  <w:abstractNum w:abstractNumId="670">
    <w:nsid w:val="5F4208C"/>
    <w:multiLevelType w:val="hybridMultilevel"/>
    <w:lvl w:ilvl="0">
      <w:lvlJc w:val="left"/>
      <w:lvlText w:val="(%1)"/>
      <w:numFmt w:val="lowerLetter"/>
      <w:start w:val="3"/>
    </w:lvl>
    <w:lvl w:ilvl="1">
      <w:lvlJc w:val="left"/>
      <w:lvlText w:val="%2."/>
      <w:numFmt w:val="decimal"/>
      <w:start w:val="5"/>
    </w:lvl>
  </w:abstractNum>
  <w:abstractNum w:abstractNumId="671">
    <w:nsid w:val="7C0F10CC"/>
    <w:multiLevelType w:val="hybridMultilevel"/>
    <w:lvl w:ilvl="0">
      <w:lvlJc w:val="left"/>
      <w:lvlText w:val="(%1)"/>
      <w:numFmt w:val="decimal"/>
      <w:start w:val="2"/>
    </w:lvl>
  </w:abstractNum>
  <w:abstractNum w:abstractNumId="672">
    <w:nsid w:val="25EF81D5"/>
    <w:multiLevelType w:val="hybridMultilevel"/>
    <w:lvl w:ilvl="0">
      <w:lvlJc w:val="left"/>
      <w:lvlText w:val="%1."/>
      <w:numFmt w:val="decimal"/>
      <w:start w:val="6"/>
    </w:lvl>
  </w:abstractNum>
  <w:abstractNum w:abstractNumId="673">
    <w:nsid w:val="15A79515"/>
    <w:multiLevelType w:val="hybridMultilevel"/>
    <w:lvl w:ilvl="0">
      <w:lvlJc w:val="left"/>
      <w:lvlText w:val="%1."/>
      <w:numFmt w:val="decimal"/>
      <w:start w:val="11"/>
    </w:lvl>
  </w:abstractNum>
  <w:abstractNum w:abstractNumId="674">
    <w:nsid w:val="4B67062"/>
    <w:multiLevelType w:val="hybridMultilevel"/>
    <w:lvl w:ilvl="0">
      <w:lvlJc w:val="left"/>
      <w:lvlText w:val="%1"/>
      <w:numFmt w:val="lowerLetter"/>
      <w:start w:val="1"/>
    </w:lvl>
    <w:lvl w:ilvl="1">
      <w:lvlJc w:val="left"/>
      <w:lvlText w:val="%2."/>
      <w:numFmt w:val="decimal"/>
      <w:start w:val="13"/>
    </w:lvl>
  </w:abstractNum>
  <w:abstractNum w:abstractNumId="675">
    <w:nsid w:val="51174123"/>
    <w:multiLevelType w:val="hybridMultilevel"/>
    <w:lvl w:ilvl="0">
      <w:lvlJc w:val="left"/>
      <w:lvlText w:val="(%1)"/>
      <w:numFmt w:val="lowerLetter"/>
      <w:start w:val="2"/>
    </w:lvl>
    <w:lvl w:ilvl="1">
      <w:lvlJc w:val="left"/>
      <w:lvlText w:val="%2."/>
      <w:numFmt w:val="decimal"/>
      <w:start w:val="14"/>
    </w:lvl>
  </w:abstractNum>
  <w:abstractNum w:abstractNumId="676">
    <w:nsid w:val="240453CA"/>
    <w:multiLevelType w:val="hybridMultilevel"/>
    <w:lvl w:ilvl="0">
      <w:lvlJc w:val="left"/>
      <w:lvlText w:val="%1"/>
      <w:numFmt w:val="decimal"/>
      <w:start w:val="1"/>
    </w:lvl>
    <w:lvl w:ilvl="1">
      <w:lvlJc w:val="left"/>
      <w:lvlText w:val="%2."/>
      <w:numFmt w:val="decimal"/>
      <w:start w:val="16"/>
    </w:lvl>
  </w:abstractNum>
  <w:abstractNum w:abstractNumId="677">
    <w:nsid w:val="2E326D9A"/>
    <w:multiLevelType w:val="hybridMultilevel"/>
    <w:lvl w:ilvl="0">
      <w:lvlJc w:val="left"/>
      <w:lvlText w:val="(%1)"/>
      <w:numFmt w:val="decimal"/>
      <w:start w:val="4"/>
    </w:lvl>
    <w:lvl w:ilvl="1">
      <w:lvlJc w:val="left"/>
      <w:lvlText w:val="%2"/>
      <w:numFmt w:val="decimal"/>
      <w:start w:val="1"/>
    </w:lvl>
  </w:abstractNum>
  <w:abstractNum w:abstractNumId="678">
    <w:nsid w:val="5EB19210"/>
    <w:multiLevelType w:val="hybridMultilevel"/>
    <w:lvl w:ilvl="0">
      <w:lvlJc w:val="left"/>
      <w:lvlText w:val="%1."/>
      <w:numFmt w:val="decimal"/>
      <w:start w:val="21"/>
    </w:lvl>
  </w:abstractNum>
  <w:abstractNum w:abstractNumId="679">
    <w:nsid w:val="44DEFF9B"/>
    <w:multiLevelType w:val="hybridMultilevel"/>
    <w:lvl w:ilvl="0">
      <w:lvlJc w:val="left"/>
      <w:lvlText w:val="%1"/>
      <w:numFmt w:val="decimal"/>
      <w:start w:val="1"/>
    </w:lvl>
    <w:lvl w:ilvl="1">
      <w:lvlJc w:val="left"/>
      <w:lvlText w:val="%2."/>
      <w:numFmt w:val="decimal"/>
      <w:start w:val="24"/>
    </w:lvl>
    <w:lvl w:ilvl="2">
      <w:lvlJc w:val="left"/>
      <w:lvlText w:val="(%3)"/>
      <w:numFmt w:val="lowerLetter"/>
      <w:start w:val="1"/>
    </w:lvl>
    <w:lvl w:ilvl="3">
      <w:lvlJc w:val="left"/>
      <w:lvlText w:val="*"/>
      <w:numFmt w:val="bullet"/>
      <w:start w:val="1"/>
    </w:lvl>
  </w:abstractNum>
  <w:abstractNum w:abstractNumId="680">
    <w:nsid w:val="1FE7D17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81">
    <w:nsid w:val="52CBAB2E"/>
    <w:multiLevelType w:val="hybridMultilevel"/>
    <w:lvl w:ilvl="0">
      <w:lvlJc w:val="left"/>
      <w:lvlText w:val="%1."/>
      <w:numFmt w:val="upperLetter"/>
      <w:start w:val="9"/>
    </w:lvl>
  </w:abstractNum>
  <w:abstractNum w:abstractNumId="682">
    <w:nsid w:val="1A6760EF"/>
    <w:multiLevelType w:val="hybridMultilevel"/>
    <w:lvl w:ilvl="0">
      <w:lvlJc w:val="left"/>
      <w:lvlText w:val="%1."/>
      <w:numFmt w:val="upperLetter"/>
      <w:start w:val="35"/>
    </w:lvl>
  </w:abstractNum>
  <w:abstractNum w:abstractNumId="683">
    <w:nsid w:val="5E52C405"/>
    <w:multiLevelType w:val="hybridMultilevel"/>
    <w:lvl w:ilvl="0">
      <w:lvlJc w:val="left"/>
      <w:lvlText w:val="%1."/>
      <w:numFmt w:val="upperLetter"/>
      <w:start w:val="1"/>
    </w:lvl>
    <w:lvl w:ilvl="1">
      <w:lvlJc w:val="left"/>
      <w:lvlText w:val="%2."/>
      <w:numFmt w:val="decimal"/>
      <w:start w:val="1"/>
    </w:lvl>
  </w:abstractNum>
  <w:abstractNum w:abstractNumId="684">
    <w:nsid w:val="486447"/>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2019-12-07T15:40:10Z</dcterms:created>
  <dcterms:modified xsi:type="dcterms:W3CDTF">2019-12-07T15:40:10Z</dcterms:modified>
</cp:coreProperties>
</file>