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February 4,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VERACYTE,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2"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36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001-36156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20-5455398</w:t>
      </w:r>
    </w:p>
    <w:p>
      <w:pPr>
        <w:spacing w:after="0" w:line="24" w:lineRule="exact"/>
        <w:rPr>
          <w:sz w:val="24"/>
          <w:szCs w:val="24"/>
          <w:color w:val="auto"/>
        </w:rPr>
      </w:pPr>
    </w:p>
    <w:p>
      <w:pPr>
        <w:sectPr>
          <w:pgSz w:w="11900" w:h="16838" w:orient="portrait"/>
          <w:cols w:equalWidth="0" w:num="3">
            <w:col w:w="4504" w:space="720"/>
            <w:col w:w="2880" w:space="720"/>
            <w:col w:w="2200"/>
          </w:cols>
          <w:pgMar w:left="436" w:top="362" w:right="439" w:bottom="1440" w:gutter="0" w:footer="0" w:header="0"/>
          <w:type w:val="continuous"/>
        </w:sectPr>
      </w:pPr>
    </w:p>
    <w:p>
      <w:pPr>
        <w:jc w:val="center"/>
        <w:ind w:right="77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7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504" w:space="720"/>
            <w:col w:w="2740" w:space="720"/>
            <w:col w:w="2340"/>
          </w:cols>
          <w:pgMar w:left="436" w:top="362" w:right="439" w:bottom="1440" w:gutter="0" w:footer="0" w:header="0"/>
          <w:type w:val="continuous"/>
        </w:sectPr>
      </w:pPr>
    </w:p>
    <w:p>
      <w:pPr>
        <w:spacing w:after="0" w:line="1" w:lineRule="exact"/>
        <w:rPr>
          <w:sz w:val="24"/>
          <w:szCs w:val="24"/>
          <w:color w:val="auto"/>
        </w:rPr>
      </w:pPr>
    </w:p>
    <w:p>
      <w:pPr>
        <w:ind w:left="284"/>
        <w:spacing w:after="0"/>
        <w:rPr>
          <w:sz w:val="20"/>
          <w:szCs w:val="20"/>
          <w:color w:val="auto"/>
        </w:rPr>
      </w:pPr>
      <w:r>
        <w:rPr>
          <w:rFonts w:ascii="Times New Roman" w:cs="Times New Roman" w:eastAsia="Times New Roman" w:hAnsi="Times New Roman"/>
          <w:sz w:val="17"/>
          <w:szCs w:val="17"/>
          <w:b w:val="1"/>
          <w:bCs w:val="1"/>
          <w:color w:val="auto"/>
        </w:rPr>
        <w:t>6000 Shoreline Court, Suite 300, South San Francisco, California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94080</w:t>
      </w:r>
    </w:p>
    <w:p>
      <w:pPr>
        <w:spacing w:after="0" w:line="43" w:lineRule="exact"/>
        <w:rPr>
          <w:sz w:val="24"/>
          <w:szCs w:val="24"/>
          <w:color w:val="auto"/>
        </w:rPr>
      </w:pPr>
    </w:p>
    <w:p>
      <w:pPr>
        <w:sectPr>
          <w:pgSz w:w="11900" w:h="16838" w:orient="portrait"/>
          <w:cols w:equalWidth="0" w:num="2">
            <w:col w:w="7404" w:space="720"/>
            <w:col w:w="2900"/>
          </w:cols>
          <w:pgMar w:left="436" w:top="362"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41" w:lineRule="exact"/>
        <w:rPr>
          <w:sz w:val="24"/>
          <w:szCs w:val="24"/>
          <w:color w:val="auto"/>
        </w:rPr>
      </w:pPr>
    </w:p>
    <w:p>
      <w:pPr>
        <w:sectPr>
          <w:pgSz w:w="11900" w:h="16838" w:orient="portrait"/>
          <w:cols w:equalWidth="0" w:num="2">
            <w:col w:w="7284" w:space="720"/>
            <w:col w:w="3020"/>
          </w:cols>
          <w:pgMar w:left="436" w:top="362"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(650) 243-6300</w:t>
      </w:r>
    </w:p>
    <w:p>
      <w:pPr>
        <w:spacing w:after="0" w:line="18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210820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VCYT</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bl>
    <w:p>
      <w:pPr>
        <w:spacing w:after="0" w:line="148" w:lineRule="exact"/>
        <w:rPr>
          <w:sz w:val="24"/>
          <w:szCs w:val="24"/>
          <w:color w:val="auto"/>
        </w:rPr>
      </w:pPr>
    </w:p>
    <w:p>
      <w:pPr>
        <w:ind w:left="4" w:right="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92"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3"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2" w:right="439" w:bottom="1440" w:gutter="0" w:footer="0" w:header="0"/>
          <w:type w:val="continuous"/>
        </w:sectPr>
      </w:pPr>
    </w:p>
    <w:bookmarkStart w:id="1" w:name="page2"/>
    <w:bookmarkEnd w:id="1"/>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Equity Offering</w:t>
      </w:r>
    </w:p>
    <w:p>
      <w:pPr>
        <w:spacing w:after="0" w:line="117" w:lineRule="exact"/>
        <w:rPr>
          <w:sz w:val="20"/>
          <w:szCs w:val="20"/>
          <w:color w:val="auto"/>
        </w:rPr>
      </w:pPr>
    </w:p>
    <w:p>
      <w:pPr>
        <w:ind w:left="4" w:firstLine="440"/>
        <w:spacing w:after="0" w:line="273" w:lineRule="auto"/>
        <w:rPr>
          <w:sz w:val="20"/>
          <w:szCs w:val="20"/>
          <w:color w:val="auto"/>
        </w:rPr>
      </w:pPr>
      <w:r>
        <w:rPr>
          <w:rFonts w:ascii="Times New Roman" w:cs="Times New Roman" w:eastAsia="Times New Roman" w:hAnsi="Times New Roman"/>
          <w:sz w:val="17"/>
          <w:szCs w:val="17"/>
          <w:color w:val="auto"/>
        </w:rPr>
        <w:t>On February 4, 2021, Veracyte, Inc. (the “Company”) entered into an underwriting agreement (the “Underwriting Agreement”) with Goldman Sachs &amp; Co. LLC and SVB Leerink LLC, as representatives of the several underwriters named therein (collectively, the “Underwriters”), relating to the public offering of 7,432,433 shares of the Company’s common stock, par value $0.001 per share (the “Shares”), at a public offering price of $74.00 per share (the “Offering”). The Offering is expected to close on or about February 9, 2021, subject to customary closing conditions. The Company has granted the Underwriters an option, exercisable within 30 days from the date of the Underwriting Agreement, to purchase up to 1,114,864 additional Shares. The Offering is being made pursuant to the Company’s effective shelf registration statement on Form S-3 (File No. 333-252681) previously filed with the Securities and Exchange Commission, including the related prospectus dated February 3, 2021, as supplemented by a prospectus supplement.</w:t>
      </w:r>
    </w:p>
    <w:p>
      <w:pPr>
        <w:spacing w:after="0" w:line="171" w:lineRule="exact"/>
        <w:rPr>
          <w:sz w:val="20"/>
          <w:szCs w:val="20"/>
          <w:color w:val="auto"/>
        </w:rPr>
      </w:pPr>
    </w:p>
    <w:p>
      <w:pPr>
        <w:ind w:left="4" w:right="60" w:firstLine="440"/>
        <w:spacing w:after="0" w:line="256" w:lineRule="auto"/>
        <w:rPr>
          <w:sz w:val="20"/>
          <w:szCs w:val="20"/>
          <w:color w:val="auto"/>
        </w:rPr>
      </w:pPr>
      <w:r>
        <w:rPr>
          <w:rFonts w:ascii="Times New Roman" w:cs="Times New Roman" w:eastAsia="Times New Roman" w:hAnsi="Times New Roman"/>
          <w:sz w:val="18"/>
          <w:szCs w:val="18"/>
          <w:color w:val="auto"/>
        </w:rPr>
        <w:t>The Company estimates that net proceeds from the Offering will be approximately $516.3 million, after deducting underwriting discounts and commissions and estimated Offering expenses, and assuming no exercise of the Underwriters’ option to purchase additional shares. The Company intends to use a portion of the net proceeds from the Offering, together with its existing cash and cash equivalents, to finance its acquisition of Decipher Biosciences, Inc. (“Decipher”). The Company intends to use the remaining net proceeds of the offering for working capital and other general corporate purposes. The Company may also use a portion of the net proceeds from the Offering to acquire or invest in complementary businesses, technologies or other assets, although it has no present commitments or agreements to do so (other than with respect to Decipher).</w:t>
      </w:r>
    </w:p>
    <w:p>
      <w:pPr>
        <w:spacing w:after="0" w:line="187" w:lineRule="exact"/>
        <w:rPr>
          <w:sz w:val="20"/>
          <w:szCs w:val="20"/>
          <w:color w:val="auto"/>
        </w:rPr>
      </w:pPr>
    </w:p>
    <w:p>
      <w:pPr>
        <w:ind w:left="4" w:right="220" w:firstLine="44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Underwriting Agreement does not purport to be complete and is qualified in its entirety by reference to the full text of the Underwriting Agreement. A copy of the Underwriting Agreement is filed with this Current Report on Form 8-K as Exhibit 1.1 and is incorporated herein by reference.</w:t>
      </w:r>
    </w:p>
    <w:p>
      <w:pPr>
        <w:spacing w:after="0" w:line="176" w:lineRule="exact"/>
        <w:rPr>
          <w:sz w:val="20"/>
          <w:szCs w:val="20"/>
          <w:color w:val="auto"/>
        </w:rPr>
      </w:pPr>
    </w:p>
    <w:p>
      <w:pPr>
        <w:ind w:left="4" w:right="360" w:firstLine="440"/>
        <w:spacing w:after="0" w:line="282" w:lineRule="auto"/>
        <w:rPr>
          <w:sz w:val="20"/>
          <w:szCs w:val="20"/>
          <w:color w:val="auto"/>
        </w:rPr>
      </w:pPr>
      <w:r>
        <w:rPr>
          <w:rFonts w:ascii="Times New Roman" w:cs="Times New Roman" w:eastAsia="Times New Roman" w:hAnsi="Times New Roman"/>
          <w:sz w:val="18"/>
          <w:szCs w:val="18"/>
          <w:color w:val="auto"/>
        </w:rPr>
        <w:t>A copy of the opinion of Fenwick &amp; West LLP, relating to the validity of the Shares in connection with the Offering, is filed with this Current Report on Form 8-K as Exhibit 5.1.</w:t>
      </w:r>
    </w:p>
    <w:p>
      <w:pPr>
        <w:spacing w:after="0" w:line="162" w:lineRule="exact"/>
        <w:rPr>
          <w:sz w:val="20"/>
          <w:szCs w:val="20"/>
          <w:color w:val="auto"/>
        </w:rPr>
      </w:pPr>
    </w:p>
    <w:p>
      <w:pPr>
        <w:ind w:left="4" w:right="840" w:firstLine="440"/>
        <w:spacing w:after="0" w:line="282" w:lineRule="auto"/>
        <w:rPr>
          <w:sz w:val="20"/>
          <w:szCs w:val="20"/>
          <w:color w:val="auto"/>
        </w:rPr>
      </w:pPr>
      <w:r>
        <w:rPr>
          <w:rFonts w:ascii="Times New Roman" w:cs="Times New Roman" w:eastAsia="Times New Roman" w:hAnsi="Times New Roman"/>
          <w:sz w:val="18"/>
          <w:szCs w:val="18"/>
          <w:color w:val="auto"/>
        </w:rPr>
        <w:t>On February 4, 2021, the Company issued a press release announcing the pricing of the Offering. A copy of the press release is filed as Exhibit 99.1 to this Current Report on Form 8-K and is incorporated by reference herein.</w:t>
      </w:r>
    </w:p>
    <w:p>
      <w:pPr>
        <w:spacing w:after="0" w:line="27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Merger Consideration</w:t>
      </w:r>
    </w:p>
    <w:p>
      <w:pPr>
        <w:spacing w:after="0" w:line="117" w:lineRule="exact"/>
        <w:rPr>
          <w:sz w:val="20"/>
          <w:szCs w:val="20"/>
          <w:color w:val="auto"/>
        </w:rPr>
      </w:pPr>
    </w:p>
    <w:p>
      <w:pPr>
        <w:ind w:left="4" w:right="80" w:firstLine="440"/>
        <w:spacing w:after="0" w:line="254" w:lineRule="auto"/>
        <w:rPr>
          <w:sz w:val="20"/>
          <w:szCs w:val="20"/>
          <w:color w:val="auto"/>
        </w:rPr>
      </w:pPr>
      <w:r>
        <w:rPr>
          <w:rFonts w:ascii="Times New Roman" w:cs="Times New Roman" w:eastAsia="Times New Roman" w:hAnsi="Times New Roman"/>
          <w:sz w:val="18"/>
          <w:szCs w:val="18"/>
          <w:color w:val="auto"/>
        </w:rPr>
        <w:t>Following the closing of the Offering, the Company intends to exercise its option under its previously-disclosed Agreement and Plan of Merger with Delight Merger Sub I, Inc., a Delaware corporation and wholly owned subsidiary of Veracyte (“Delight Merger Sub I”), Delight Merger Sub II, LLC, a Delaware limited liability company and wholly owned subsidiary of Veracyte, and Decipher, to substitute cash in lieu of shares of the Company’s common stock up to the full amount of the $350 million stock portion of the merger consideration, resulting in an all-cash transaction for $600 million, subject to purchase price adjustments, as previously disclosed. As a result of this election, the acquisition will be effected by a single-step merger of Delight Merger Sub I with and into Decipher, with Decipher surviving the merger and becoming a wholly-owned subsidiary of the Company, the Company does not intend file a Registration Statement on Form S-4 in connection with the transaction, and the Company now expects the transaction to close in March 2021, subject to regulatory approval and the satisfaction of other customary conditions.</w:t>
      </w:r>
    </w:p>
    <w:p>
      <w:pPr>
        <w:spacing w:after="0" w:line="336"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35" w:lineRule="exact"/>
        <w:rPr>
          <w:sz w:val="20"/>
          <w:szCs w:val="20"/>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33"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44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No.</w:t>
            </w:r>
          </w:p>
        </w:tc>
        <w:tc>
          <w:tcPr>
            <w:tcW w:w="420" w:type="dxa"/>
            <w:vAlign w:val="bottom"/>
          </w:tcPr>
          <w:p>
            <w:pPr>
              <w:spacing w:after="0"/>
              <w:rPr>
                <w:sz w:val="15"/>
                <w:szCs w:val="15"/>
                <w:color w:val="auto"/>
              </w:rPr>
            </w:pPr>
          </w:p>
        </w:tc>
        <w:tc>
          <w:tcPr>
            <w:tcW w:w="1360" w:type="dxa"/>
            <w:vAlign w:val="bottom"/>
            <w:tcBorders>
              <w:bottom w:val="single" w:sz="8" w:color="auto"/>
            </w:tcBorders>
            <w:vMerge w:val="continue"/>
          </w:tcPr>
          <w:p>
            <w:pPr>
              <w:spacing w:after="0"/>
              <w:rPr>
                <w:sz w:val="15"/>
                <w:szCs w:val="15"/>
                <w:color w:val="auto"/>
              </w:rPr>
            </w:pPr>
          </w:p>
        </w:tc>
        <w:tc>
          <w:tcPr>
            <w:tcW w:w="4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4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1.1</w:t>
            </w:r>
          </w:p>
        </w:tc>
        <w:tc>
          <w:tcPr>
            <w:tcW w:w="420" w:type="dxa"/>
            <w:vAlign w:val="bottom"/>
          </w:tcPr>
          <w:p>
            <w:pPr>
              <w:spacing w:after="0"/>
              <w:rPr>
                <w:sz w:val="24"/>
                <w:szCs w:val="24"/>
                <w:color w:val="auto"/>
              </w:rPr>
            </w:pPr>
          </w:p>
        </w:tc>
        <w:tc>
          <w:tcPr>
            <w:tcW w:w="5760" w:type="dxa"/>
            <w:vAlign w:val="bottom"/>
            <w:gridSpan w:val="2"/>
          </w:tcPr>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Underwriting Agreement dated February 4, 2021.</w:t>
              </w:r>
            </w:hyperlink>
          </w:p>
        </w:tc>
        <w:tc>
          <w:tcPr>
            <w:tcW w:w="0" w:type="dxa"/>
            <w:vAlign w:val="bottom"/>
          </w:tcPr>
          <w:p>
            <w:pPr>
              <w:spacing w:after="0"/>
              <w:rPr>
                <w:sz w:val="1"/>
                <w:szCs w:val="1"/>
                <w:color w:val="auto"/>
              </w:rPr>
            </w:pPr>
          </w:p>
        </w:tc>
      </w:tr>
      <w:tr>
        <w:trPr>
          <w:trHeight w:val="324"/>
        </w:trPr>
        <w:tc>
          <w:tcPr>
            <w:tcW w:w="4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5.1</w:t>
            </w:r>
          </w:p>
        </w:tc>
        <w:tc>
          <w:tcPr>
            <w:tcW w:w="420" w:type="dxa"/>
            <w:vAlign w:val="bottom"/>
          </w:tcPr>
          <w:p>
            <w:pPr>
              <w:spacing w:after="0"/>
              <w:rPr>
                <w:sz w:val="24"/>
                <w:szCs w:val="24"/>
                <w:color w:val="auto"/>
              </w:rPr>
            </w:pPr>
          </w:p>
        </w:tc>
        <w:tc>
          <w:tcPr>
            <w:tcW w:w="5760" w:type="dxa"/>
            <w:vAlign w:val="bottom"/>
            <w:gridSpan w:val="2"/>
          </w:tcPr>
          <w:p>
            <w:pPr>
              <w:spacing w:after="0"/>
              <w:rPr>
                <w:rFonts w:ascii="Times New Roman" w:cs="Times New Roman" w:eastAsia="Times New Roman" w:hAnsi="Times New Roman"/>
                <w:sz w:val="18"/>
                <w:szCs w:val="18"/>
                <w:u w:val="single" w:color="auto"/>
                <w:color w:val="0000EE"/>
              </w:rPr>
            </w:pPr>
            <w:hyperlink w:anchor="page42">
              <w:r>
                <w:rPr>
                  <w:rFonts w:ascii="Times New Roman" w:cs="Times New Roman" w:eastAsia="Times New Roman" w:hAnsi="Times New Roman"/>
                  <w:sz w:val="18"/>
                  <w:szCs w:val="18"/>
                  <w:u w:val="single" w:color="auto"/>
                  <w:color w:val="0000EE"/>
                </w:rPr>
                <w:t>Opinion of Fenwick &amp; West LLP.</w:t>
              </w:r>
            </w:hyperlink>
          </w:p>
        </w:tc>
        <w:tc>
          <w:tcPr>
            <w:tcW w:w="0" w:type="dxa"/>
            <w:vAlign w:val="bottom"/>
          </w:tcPr>
          <w:p>
            <w:pPr>
              <w:spacing w:after="0"/>
              <w:rPr>
                <w:sz w:val="1"/>
                <w:szCs w:val="1"/>
                <w:color w:val="auto"/>
              </w:rPr>
            </w:pPr>
          </w:p>
        </w:tc>
      </w:tr>
      <w:tr>
        <w:trPr>
          <w:trHeight w:val="324"/>
        </w:trPr>
        <w:tc>
          <w:tcPr>
            <w:tcW w:w="4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w w:val="95"/>
              </w:rPr>
              <w:t>23.1</w:t>
            </w:r>
          </w:p>
        </w:tc>
        <w:tc>
          <w:tcPr>
            <w:tcW w:w="420" w:type="dxa"/>
            <w:vAlign w:val="bottom"/>
          </w:tcPr>
          <w:p>
            <w:pPr>
              <w:spacing w:after="0"/>
              <w:rPr>
                <w:sz w:val="24"/>
                <w:szCs w:val="24"/>
                <w:color w:val="auto"/>
              </w:rPr>
            </w:pPr>
          </w:p>
        </w:tc>
        <w:tc>
          <w:tcPr>
            <w:tcW w:w="5760" w:type="dxa"/>
            <w:vAlign w:val="bottom"/>
            <w:gridSpan w:val="2"/>
          </w:tcPr>
          <w:p>
            <w:pPr>
              <w:spacing w:after="0"/>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u w:val="single" w:color="auto"/>
                  <w:color w:val="0000EE"/>
                </w:rPr>
                <w:t>Consent of Fenwick &amp; West LLP (included in Exhibit 5.1)</w:t>
              </w:r>
              <w:r>
                <w:rPr>
                  <w:rFonts w:ascii="Times New Roman" w:cs="Times New Roman" w:eastAsia="Times New Roman" w:hAnsi="Times New Roman"/>
                  <w:sz w:val="18"/>
                  <w:szCs w:val="18"/>
                  <w:color w:val="0000EE"/>
                </w:rPr>
                <w:t>.</w:t>
              </w:r>
            </w:hyperlink>
          </w:p>
        </w:tc>
        <w:tc>
          <w:tcPr>
            <w:tcW w:w="0" w:type="dxa"/>
            <w:vAlign w:val="bottom"/>
          </w:tcPr>
          <w:p>
            <w:pPr>
              <w:spacing w:after="0"/>
              <w:rPr>
                <w:sz w:val="1"/>
                <w:szCs w:val="1"/>
                <w:color w:val="auto"/>
              </w:rPr>
            </w:pPr>
          </w:p>
        </w:tc>
      </w:tr>
      <w:tr>
        <w:trPr>
          <w:trHeight w:val="324"/>
        </w:trPr>
        <w:tc>
          <w:tcPr>
            <w:tcW w:w="4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w w:val="95"/>
              </w:rPr>
              <w:t>99.1</w:t>
            </w:r>
          </w:p>
        </w:tc>
        <w:tc>
          <w:tcPr>
            <w:tcW w:w="420" w:type="dxa"/>
            <w:vAlign w:val="bottom"/>
          </w:tcPr>
          <w:p>
            <w:pPr>
              <w:spacing w:after="0"/>
              <w:rPr>
                <w:sz w:val="24"/>
                <w:szCs w:val="24"/>
                <w:color w:val="auto"/>
              </w:rPr>
            </w:pPr>
          </w:p>
        </w:tc>
        <w:tc>
          <w:tcPr>
            <w:tcW w:w="5760" w:type="dxa"/>
            <w:vAlign w:val="bottom"/>
            <w:gridSpan w:val="2"/>
          </w:tcPr>
          <w:p>
            <w:pPr>
              <w:spacing w:after="0"/>
              <w:rPr>
                <w:rFonts w:ascii="Times New Roman" w:cs="Times New Roman" w:eastAsia="Times New Roman" w:hAnsi="Times New Roman"/>
                <w:sz w:val="18"/>
                <w:szCs w:val="18"/>
                <w:u w:val="single" w:color="auto"/>
                <w:color w:val="0000EE"/>
              </w:rPr>
            </w:pPr>
            <w:hyperlink w:anchor="page45">
              <w:r>
                <w:rPr>
                  <w:rFonts w:ascii="Times New Roman" w:cs="Times New Roman" w:eastAsia="Times New Roman" w:hAnsi="Times New Roman"/>
                  <w:sz w:val="18"/>
                  <w:szCs w:val="18"/>
                  <w:u w:val="single" w:color="auto"/>
                  <w:color w:val="0000EE"/>
                </w:rPr>
                <w:t>Press Release dated February 4, 2021.</w:t>
              </w:r>
            </w:hyperlink>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20" w:type="dxa"/>
            <w:vAlign w:val="bottom"/>
          </w:tcPr>
          <w:p>
            <w:pPr>
              <w:spacing w:after="0"/>
              <w:rPr>
                <w:sz w:val="24"/>
                <w:szCs w:val="24"/>
                <w:color w:val="auto"/>
              </w:rPr>
            </w:pPr>
          </w:p>
        </w:tc>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1004"/>
          </w:cols>
          <w:pgMar w:left="436" w:top="293" w:right="4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42545"/>
                    </a:xfrm>
                    <a:prstGeom prst="rect">
                      <a:avLst/>
                    </a:prstGeom>
                    <a:noFill/>
                  </pic:spPr>
                </pic:pic>
              </a:graphicData>
            </a:graphic>
          </wp:anchor>
        </w:drawing>
        <w:t>SIGNATURE</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Dated: February 5, 2021</w:t>
      </w:r>
    </w:p>
    <w:p>
      <w:pPr>
        <w:spacing w:after="0" w:line="22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VERACYTE, INC.</w:t>
      </w:r>
    </w:p>
    <w:p>
      <w:pPr>
        <w:spacing w:after="0" w:line="225" w:lineRule="exact"/>
        <w:rPr>
          <w:sz w:val="20"/>
          <w:szCs w:val="20"/>
          <w:color w:val="auto"/>
        </w:rPr>
      </w:pPr>
    </w:p>
    <w:tbl>
      <w:tblPr>
        <w:tblLayout w:type="fixed"/>
        <w:tblInd w:w="552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Keith Kennedy</w:t>
            </w:r>
          </w:p>
        </w:tc>
      </w:tr>
      <w:tr>
        <w:trPr>
          <w:trHeight w:val="203"/>
        </w:trPr>
        <w:tc>
          <w:tcPr>
            <w:tcW w:w="6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Keith Kennedy</w:t>
            </w:r>
          </w:p>
        </w:tc>
      </w:tr>
      <w:tr>
        <w:trPr>
          <w:trHeight w:val="216"/>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 and Chief Operating Officer</w:t>
            </w:r>
          </w:p>
        </w:tc>
      </w:tr>
      <w:tr>
        <w:trPr>
          <w:trHeight w:val="236"/>
        </w:trPr>
        <w:tc>
          <w:tcPr>
            <w:tcW w:w="64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bl>
    <w:p>
      <w:pPr>
        <w:sectPr>
          <w:pgSz w:w="11900" w:h="16838" w:orient="portrait"/>
          <w:cols w:equalWidth="0" w:num="1">
            <w:col w:w="11020"/>
          </w:cols>
          <w:pgMar w:left="440" w:top="293"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PAR VALUE $0.001 PER SHARE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UNDERWRITING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4, 2021</w:t>
      </w:r>
    </w:p>
    <w:p>
      <w:pPr>
        <w:sectPr>
          <w:pgSz w:w="11900" w:h="16838" w:orient="portrait"/>
          <w:cols w:equalWidth="0" w:num="1">
            <w:col w:w="11020"/>
          </w:cols>
          <w:pgMar w:left="440" w:top="117" w:right="4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February 4,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SVB Leerink LLC</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the Managers named in Schedule I hereto</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the Underwriters named in Schedule II hereto</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 Goldman Sachs &amp; Co. LLC</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200 West Street</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New York, New York 10282</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 SVB Leerink LLC</w:t>
      </w:r>
    </w:p>
    <w:p>
      <w:pPr>
        <w:spacing w:after="0" w:line="2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1301 Avenue of the Americas, 12</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Floor</w:t>
      </w:r>
    </w:p>
    <w:p>
      <w:pPr>
        <w:spacing w:after="0" w:line="1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Veracyte,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proposes to issue and sell to the several underwriters named in Schedule II hereto (the “</w:t>
      </w:r>
      <w:r>
        <w:rPr>
          <w:rFonts w:ascii="Times New Roman" w:cs="Times New Roman" w:eastAsia="Times New Roman" w:hAnsi="Times New Roman"/>
          <w:sz w:val="18"/>
          <w:szCs w:val="18"/>
          <w:b w:val="1"/>
          <w:bCs w:val="1"/>
          <w:color w:val="auto"/>
        </w:rPr>
        <w:t>Underwriters</w:t>
      </w:r>
      <w:r>
        <w:rPr>
          <w:rFonts w:ascii="Times New Roman" w:cs="Times New Roman" w:eastAsia="Times New Roman" w:hAnsi="Times New Roman"/>
          <w:sz w:val="18"/>
          <w:szCs w:val="18"/>
          <w:color w:val="auto"/>
        </w:rPr>
        <w:t>”), for whom you are acting as managers (the “</w:t>
      </w:r>
      <w:r>
        <w:rPr>
          <w:rFonts w:ascii="Times New Roman" w:cs="Times New Roman" w:eastAsia="Times New Roman" w:hAnsi="Times New Roman"/>
          <w:sz w:val="18"/>
          <w:szCs w:val="18"/>
          <w:b w:val="1"/>
          <w:bCs w:val="1"/>
          <w:color w:val="auto"/>
        </w:rPr>
        <w:t>Managers</w:t>
      </w:r>
      <w:r>
        <w:rPr>
          <w:rFonts w:ascii="Times New Roman" w:cs="Times New Roman" w:eastAsia="Times New Roman" w:hAnsi="Times New Roman"/>
          <w:sz w:val="18"/>
          <w:szCs w:val="18"/>
          <w:color w:val="auto"/>
        </w:rPr>
        <w:t>”), the number of shares of its common stock, $0.001 par value per share, set forth in Schedule I hereto (the “</w:t>
      </w:r>
      <w:r>
        <w:rPr>
          <w:rFonts w:ascii="Times New Roman" w:cs="Times New Roman" w:eastAsia="Times New Roman" w:hAnsi="Times New Roman"/>
          <w:sz w:val="18"/>
          <w:szCs w:val="18"/>
          <w:b w:val="1"/>
          <w:bCs w:val="1"/>
          <w:color w:val="auto"/>
        </w:rPr>
        <w:t>Firm Shares</w:t>
      </w:r>
      <w:r>
        <w:rPr>
          <w:rFonts w:ascii="Times New Roman" w:cs="Times New Roman" w:eastAsia="Times New Roman" w:hAnsi="Times New Roman"/>
          <w:sz w:val="18"/>
          <w:szCs w:val="18"/>
          <w:color w:val="auto"/>
        </w:rPr>
        <w:t>”). The Company also proposes to issue and sell to the several Underwriters not more than the number of additional shares of its common stock, $0.001 par value per share, set forth in Schedule I hereto (the “</w:t>
      </w:r>
      <w:r>
        <w:rPr>
          <w:rFonts w:ascii="Times New Roman" w:cs="Times New Roman" w:eastAsia="Times New Roman" w:hAnsi="Times New Roman"/>
          <w:sz w:val="18"/>
          <w:szCs w:val="18"/>
          <w:b w:val="1"/>
          <w:bCs w:val="1"/>
          <w:color w:val="auto"/>
        </w:rPr>
        <w:t>Additional Shares</w:t>
      </w:r>
      <w:r>
        <w:rPr>
          <w:rFonts w:ascii="Times New Roman" w:cs="Times New Roman" w:eastAsia="Times New Roman" w:hAnsi="Times New Roman"/>
          <w:sz w:val="18"/>
          <w:szCs w:val="18"/>
          <w:color w:val="auto"/>
        </w:rPr>
        <w:t>”) if and to the extent that the Managers shall have determined to exercise, on behalf of the Underwriters, the right to purchase such shares of common stock granted to the Underwriters in Section 2 hereof. The Firm Shares and the Additional Shares are hereinafter collectively referred to as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The shares of common stock, $0.001 par value per share, of the Company to be outstanding after giving effect to the sales contemplated hereby are hereinafter referred to as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If the firm or firms listed in Schedule II hereto include only the Managers listed in Schedule I hereto, then the terms “Underwriters” and “Managers” as used herein shall each be deemed to refer to such firm or firms.</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 February 3, 2021, the Company entered into an agreement and plan of merger (the “</w:t>
      </w:r>
      <w:r>
        <w:rPr>
          <w:rFonts w:ascii="Times New Roman" w:cs="Times New Roman" w:eastAsia="Times New Roman" w:hAnsi="Times New Roman"/>
          <w:sz w:val="18"/>
          <w:szCs w:val="18"/>
          <w:b w:val="1"/>
          <w:bCs w:val="1"/>
          <w:color w:val="auto"/>
        </w:rPr>
        <w:t>Merger Agreement</w:t>
      </w:r>
      <w:r>
        <w:rPr>
          <w:rFonts w:ascii="Times New Roman" w:cs="Times New Roman" w:eastAsia="Times New Roman" w:hAnsi="Times New Roman"/>
          <w:sz w:val="18"/>
          <w:szCs w:val="18"/>
          <w:color w:val="auto"/>
        </w:rPr>
        <w:t>”) with Decipher Biosciences, Inc., 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corporation (the “</w:t>
      </w:r>
      <w:r>
        <w:rPr>
          <w:rFonts w:ascii="Times New Roman" w:cs="Times New Roman" w:eastAsia="Times New Roman" w:hAnsi="Times New Roman"/>
          <w:sz w:val="18"/>
          <w:szCs w:val="18"/>
          <w:b w:val="1"/>
          <w:bCs w:val="1"/>
          <w:color w:val="auto"/>
        </w:rPr>
        <w:t>Acquired Company</w:t>
      </w:r>
      <w:r>
        <w:rPr>
          <w:rFonts w:ascii="Times New Roman" w:cs="Times New Roman" w:eastAsia="Times New Roman" w:hAnsi="Times New Roman"/>
          <w:sz w:val="18"/>
          <w:szCs w:val="18"/>
          <w:color w:val="auto"/>
        </w:rPr>
        <w:t>”), Delight Merger Sub I, Inc. , a Delaware corporation and wholly owned subsidiary of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 Sub I</w:t>
      </w:r>
      <w:r>
        <w:rPr>
          <w:rFonts w:ascii="Times New Roman" w:cs="Times New Roman" w:eastAsia="Times New Roman" w:hAnsi="Times New Roman"/>
          <w:sz w:val="18"/>
          <w:szCs w:val="18"/>
          <w:color w:val="auto"/>
        </w:rPr>
        <w:t>”), Delight Merger Sub II, LLC, a Delaware limited liability company and a direct and wholly owned subsidiary of Merger Sub 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Merger Sub II</w:t>
      </w:r>
      <w:r>
        <w:rPr>
          <w:rFonts w:ascii="Times New Roman" w:cs="Times New Roman" w:eastAsia="Times New Roman" w:hAnsi="Times New Roman"/>
          <w:sz w:val="17"/>
          <w:szCs w:val="17"/>
          <w:color w:val="auto"/>
        </w:rPr>
        <w:t>”), and Fortis Advisors LLC, a Delaware limited liability company, pursuant to which the Acquired Company shall merge with and into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Merger Sub I, with the Acquired Company continuing as the surviving corporation and becoming a wholly owned subsidiary of the Company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surviving entity, the “</w:t>
      </w:r>
      <w:r>
        <w:rPr>
          <w:rFonts w:ascii="Times New Roman" w:cs="Times New Roman" w:eastAsia="Times New Roman" w:hAnsi="Times New Roman"/>
          <w:sz w:val="18"/>
          <w:szCs w:val="18"/>
          <w:b w:val="1"/>
          <w:bCs w:val="1"/>
          <w:color w:val="auto"/>
        </w:rPr>
        <w:t>First Merger Surviving Entity</w:t>
      </w:r>
      <w:r>
        <w:rPr>
          <w:rFonts w:ascii="Times New Roman" w:cs="Times New Roman" w:eastAsia="Times New Roman" w:hAnsi="Times New Roman"/>
          <w:sz w:val="18"/>
          <w:szCs w:val="18"/>
          <w:color w:val="auto"/>
        </w:rPr>
        <w:t>”) and, thereafter, the First Merger Surviving Entity shall merge with and into Merger Sub II,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Merger Sub II continuing as the surviving entity and a wholly owned subsidiary of the Company (such surviving entity, the “</w:t>
      </w:r>
      <w:r>
        <w:rPr>
          <w:rFonts w:ascii="Times New Roman" w:cs="Times New Roman" w:eastAsia="Times New Roman" w:hAnsi="Times New Roman"/>
          <w:sz w:val="18"/>
          <w:szCs w:val="18"/>
          <w:b w:val="1"/>
          <w:bCs w:val="1"/>
          <w:color w:val="auto"/>
        </w:rPr>
        <w:t>Surviving Entity</w:t>
      </w:r>
      <w:r>
        <w:rPr>
          <w:rFonts w:ascii="Times New Roman" w:cs="Times New Roman" w:eastAsia="Times New Roman" w:hAnsi="Times New Roman"/>
          <w:sz w:val="18"/>
          <w:szCs w:val="18"/>
          <w:color w:val="auto"/>
        </w:rPr>
        <w:t>”).</w:t>
      </w:r>
    </w:p>
    <w:p>
      <w:pPr>
        <w:sectPr>
          <w:pgSz w:w="11900" w:h="16838" w:orient="portrait"/>
          <w:cols w:equalWidth="0" w:num="1">
            <w:col w:w="11020"/>
          </w:cols>
          <w:pgMar w:left="440" w:top="270" w:right="439" w:bottom="1440" w:gutter="0" w:footer="0" w:header="0"/>
        </w:sectPr>
      </w:pPr>
    </w:p>
    <w:bookmarkStart w:id="5" w:name="page6"/>
    <w:bookmarkEnd w:id="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Company has filed with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a registration statement, including a prospectus,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 number of which is set forth in Schedule I hereto) on Form S-3, relating to the securities (the “</w:t>
      </w:r>
      <w:r>
        <w:rPr>
          <w:rFonts w:ascii="Times New Roman" w:cs="Times New Roman" w:eastAsia="Times New Roman" w:hAnsi="Times New Roman"/>
          <w:sz w:val="18"/>
          <w:szCs w:val="18"/>
          <w:b w:val="1"/>
          <w:bCs w:val="1"/>
          <w:color w:val="auto"/>
        </w:rPr>
        <w:t>Shelf Securities</w:t>
      </w:r>
      <w:r>
        <w:rPr>
          <w:rFonts w:ascii="Times New Roman" w:cs="Times New Roman" w:eastAsia="Times New Roman" w:hAnsi="Times New Roman"/>
          <w:sz w:val="18"/>
          <w:szCs w:val="18"/>
          <w:color w:val="auto"/>
        </w:rPr>
        <w:t>”), including the Shares, to be issued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from time to time by the Company. The registration statement as amended to the date of this Agreement, including the information (if any) deemed to be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 of the registration statement at the time of effectiveness pursuant to Rule 430A or Rule 430B under the Securities Act of 1933, as amended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is hereinafter referred to as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and the related prospectus covering the Shelf Securities dated February 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 in the form first used to confirm sales of the Shares (or in the form first made available to the Underwriters by the Company to meet requests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purchasers pursuant to Rule 173 under the Securities Act) is hereinafter referred to as the “</w:t>
      </w:r>
      <w:r>
        <w:rPr>
          <w:rFonts w:ascii="Times New Roman" w:cs="Times New Roman" w:eastAsia="Times New Roman" w:hAnsi="Times New Roman"/>
          <w:sz w:val="18"/>
          <w:szCs w:val="18"/>
          <w:b w:val="1"/>
          <w:bCs w:val="1"/>
          <w:color w:val="auto"/>
        </w:rPr>
        <w:t>Basic Prospectus</w:t>
      </w:r>
      <w:r>
        <w:rPr>
          <w:rFonts w:ascii="Times New Roman" w:cs="Times New Roman" w:eastAsia="Times New Roman" w:hAnsi="Times New Roman"/>
          <w:sz w:val="18"/>
          <w:szCs w:val="18"/>
          <w:color w:val="auto"/>
        </w:rPr>
        <w:t>.” The Basic Prospectus, as supplemented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prospectus supplement specifically relating to the Shares in the form first used to confirm sales of the Shares (or in the form first made available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Underwriters by the Company to meet requests of purchasers pursuant to Rule 173 under the Securities Act) is hereinafter referred to as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and the term “</w:t>
      </w:r>
      <w:r>
        <w:rPr>
          <w:rFonts w:ascii="Times New Roman" w:cs="Times New Roman" w:eastAsia="Times New Roman" w:hAnsi="Times New Roman"/>
          <w:sz w:val="18"/>
          <w:szCs w:val="18"/>
          <w:b w:val="1"/>
          <w:bCs w:val="1"/>
          <w:color w:val="auto"/>
        </w:rPr>
        <w:t>preliminary prospectus</w:t>
      </w:r>
      <w:r>
        <w:rPr>
          <w:rFonts w:ascii="Times New Roman" w:cs="Times New Roman" w:eastAsia="Times New Roman" w:hAnsi="Times New Roman"/>
          <w:sz w:val="18"/>
          <w:szCs w:val="18"/>
          <w:color w:val="auto"/>
        </w:rPr>
        <w:t>” means any preliminary form of the Prospectus. For purposes of this Agreement, “</w:t>
      </w:r>
      <w:r>
        <w:rPr>
          <w:rFonts w:ascii="Times New Roman" w:cs="Times New Roman" w:eastAsia="Times New Roman" w:hAnsi="Times New Roman"/>
          <w:sz w:val="18"/>
          <w:szCs w:val="18"/>
          <w:b w:val="1"/>
          <w:bCs w:val="1"/>
          <w:color w:val="auto"/>
        </w:rPr>
        <w:t>free writing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has the meaning set forth in Rule 405 under the Securities Act, “</w:t>
      </w:r>
      <w:r>
        <w:rPr>
          <w:rFonts w:ascii="Times New Roman" w:cs="Times New Roman" w:eastAsia="Times New Roman" w:hAnsi="Times New Roman"/>
          <w:sz w:val="18"/>
          <w:szCs w:val="18"/>
          <w:b w:val="1"/>
          <w:bCs w:val="1"/>
          <w:color w:val="auto"/>
        </w:rPr>
        <w:t>Time of Sale Prospectus</w:t>
      </w:r>
      <w:r>
        <w:rPr>
          <w:rFonts w:ascii="Times New Roman" w:cs="Times New Roman" w:eastAsia="Times New Roman" w:hAnsi="Times New Roman"/>
          <w:sz w:val="18"/>
          <w:szCs w:val="18"/>
          <w:color w:val="auto"/>
        </w:rPr>
        <w:t>” means the documents and pricing information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 forth opposite the caption “Time of Sale Prospectus” in Schedule I hereto, and “</w:t>
      </w:r>
      <w:r>
        <w:rPr>
          <w:rFonts w:ascii="Times New Roman" w:cs="Times New Roman" w:eastAsia="Times New Roman" w:hAnsi="Times New Roman"/>
          <w:sz w:val="18"/>
          <w:szCs w:val="18"/>
          <w:b w:val="1"/>
          <w:bCs w:val="1"/>
          <w:color w:val="auto"/>
        </w:rPr>
        <w:t>broadly available road show</w:t>
      </w:r>
      <w:r>
        <w:rPr>
          <w:rFonts w:ascii="Times New Roman" w:cs="Times New Roman" w:eastAsia="Times New Roman" w:hAnsi="Times New Roman"/>
          <w:sz w:val="18"/>
          <w:szCs w:val="18"/>
          <w:color w:val="auto"/>
        </w:rPr>
        <w:t>” means a “bona fide electronic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show” as defined in Rule 433(h)(5) under the Securities Act that has been made available without restriction to any person. As used herein, the terms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“Registration Statement,” “Basic Prospectus,” “preliminary prospectus,” “Time of Sale Prospectus” and “Prospectus” shall include the documents, if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incorporated by reference therein as of the date hereof. The terms “</w:t>
      </w:r>
      <w:r>
        <w:rPr>
          <w:rFonts w:ascii="Times New Roman" w:cs="Times New Roman" w:eastAsia="Times New Roman" w:hAnsi="Times New Roman"/>
          <w:sz w:val="18"/>
          <w:szCs w:val="18"/>
          <w:b w:val="1"/>
          <w:bCs w:val="1"/>
          <w:color w:val="auto"/>
        </w:rPr>
        <w:t>supplement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amend</w:t>
      </w:r>
      <w:r>
        <w:rPr>
          <w:rFonts w:ascii="Times New Roman" w:cs="Times New Roman" w:eastAsia="Times New Roman" w:hAnsi="Times New Roman"/>
          <w:sz w:val="18"/>
          <w:szCs w:val="18"/>
          <w:color w:val="auto"/>
        </w:rPr>
        <w:t>” as used herein with respect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Registration Statement, the Basic Prospectus, the Time of Sale Prospectus, any preliminary prospectus or the Prospectus shall include all documents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subsequently filed by the Company with the Commission pursuant to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that 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deemed to be incorporated by reference therein.</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i w:val="1"/>
          <w:iCs w:val="1"/>
          <w:color w:val="auto"/>
        </w:rPr>
        <w:t>Representations and Warranties</w:t>
      </w:r>
      <w:r>
        <w:rPr>
          <w:rFonts w:ascii="Times New Roman" w:cs="Times New Roman" w:eastAsia="Times New Roman" w:hAnsi="Times New Roman"/>
          <w:sz w:val="18"/>
          <w:szCs w:val="18"/>
          <w:color w:val="auto"/>
        </w:rPr>
        <w:t>. The Company represents and warrants to and agrees with each of the Underwriters that:</w:t>
      </w:r>
    </w:p>
    <w:p>
      <w:pPr>
        <w:spacing w:after="0" w:line="119" w:lineRule="exact"/>
        <w:rPr>
          <w:sz w:val="20"/>
          <w:szCs w:val="20"/>
          <w:color w:val="auto"/>
        </w:rPr>
      </w:pPr>
    </w:p>
    <w:p>
      <w:pPr>
        <w:ind w:right="40" w:firstLine="436"/>
        <w:spacing w:after="0" w:line="258" w:lineRule="auto"/>
        <w:tabs>
          <w:tab w:leader="none" w:pos="68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has become effective; no stop order suspending the effectiveness of the Registration Statement is in effect, and no proceedings for such purpose are pending before or, to the Company’s knowledge, threatened by the Commission. If the Registration Statement is an automatic shelf registration statement as defined in Rule 405 under the Securities Act, the Company is a well-known seasoned issuer (as defined in Rule 405 under the Securities Act) eligible to use the Registration Statement as an automatic shelf registration statement and the Company has not received notice that the Commission objects to the use of the Registration Statement as an automatic shelf registration statement.</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6" w:right="459" w:bottom="1440" w:gutter="0" w:footer="0" w:header="0"/>
        </w:sectPr>
      </w:pPr>
    </w:p>
    <w:bookmarkStart w:id="6" w:name="page7"/>
    <w:bookmarkEnd w:id="6"/>
    <w:p>
      <w:pPr>
        <w:ind w:left="4" w:firstLine="436"/>
        <w:spacing w:after="0" w:line="252" w:lineRule="auto"/>
        <w:tabs>
          <w:tab w:leader="none" w:pos="699"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 Each document, if any, filed or to be filed pursuant to the Exchange Act and incorporated by reference in the Time of Sale Prospectus or the Prospectus complied or will comply when so filed in all material respects with the Exchange Act and the applicable rules and regulations of the Commission thereunder, (ii) the Registration Statement, when it became effective, did not contain, and, as amended or supplemented, if applicable, will not contain, as of the date of such amendment or supplement, any untrue statement of a material fact or omit to state a material fact required to be stated therein or necessary to make the statements therein not misleading, (iii) the Registration Statement and the Prospectus comply, and as amended or supplemented, if applicable, will, as of the date of such amendment or supplement, comply in all material respects with the Securities Act and the applicable rules and regulations of the Commission thereunder, (iv) the Time of Sale Prospectus does not, and at the time of each sale of the Shares in connection with the offering when the Prospectus is not yet available to prospective purchasers and at the Closing Date (as defined in Section 4), the Time of Sale Prospectus, as then amended or supplemented by the Company, if applicable, will not, contain any untrue statement of a material fact or omit to state a material fact necessary to make the statements therein, in the light of the circumstances under which they were made, not misleading,</w:t>
      </w:r>
    </w:p>
    <w:p>
      <w:pPr>
        <w:spacing w:after="0" w:line="5" w:lineRule="exact"/>
        <w:rPr>
          <w:rFonts w:ascii="Times New Roman" w:cs="Times New Roman" w:eastAsia="Times New Roman" w:hAnsi="Times New Roman"/>
          <w:sz w:val="18"/>
          <w:szCs w:val="18"/>
          <w:color w:val="auto"/>
        </w:rPr>
      </w:pPr>
    </w:p>
    <w:p>
      <w:pPr>
        <w:ind w:left="4" w:hanging="4"/>
        <w:spacing w:after="0" w:line="252" w:lineRule="auto"/>
        <w:tabs>
          <w:tab w:leader="none" w:pos="25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broadly available road show, if any, when considered together with the Time of Sale Prospectus, does not contain any untrue statement of a material fact or omit to state a material fact necessary to make the statements therein, in the light of the circumstances under which they were made, not misleading and (vi) the Prospectus, as of its date and as of the Closing Date and any Option Closing Date (as defined below) does not contain and, as amended or supplemented, if applicable, will not contain any untrue statement of a material fact or omit to state a material fact necessary to make the statements therein, in the light of the circumstances under which they were made, not misleading, except that the representations and warranties set forth in this paragraph do not apply to statements or omissions in the Registration Statement, the Time of Sale Prospectus or the Prospectus based upon the Underwriter Information (as defined below).</w:t>
      </w:r>
    </w:p>
    <w:p>
      <w:pPr>
        <w:spacing w:after="0" w:line="188" w:lineRule="exact"/>
        <w:rPr>
          <w:rFonts w:ascii="Times New Roman" w:cs="Times New Roman" w:eastAsia="Times New Roman" w:hAnsi="Times New Roman"/>
          <w:sz w:val="18"/>
          <w:szCs w:val="18"/>
          <w:color w:val="auto"/>
        </w:rPr>
      </w:pPr>
    </w:p>
    <w:p>
      <w:pPr>
        <w:ind w:left="4" w:right="20" w:firstLine="436"/>
        <w:spacing w:after="0" w:line="254" w:lineRule="auto"/>
        <w:tabs>
          <w:tab w:leader="none" w:pos="689"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an “ineligible issuer” in connection with the offering pursuant to Rules 164, 405 and 433 under the Securities Act. Any free writing prospectus that the Company is required to file pursuant to Rule 433(d) under the Securities Act has been, or will be, filed with the Commission in accordance with the requirements of the Securities Act and the applicable rules and regulations of the Commission thereunder. Each free writing prospectus that the Company has filed, or is required to file, pursuant to Rule 433(d) under the Securities Act or that was prepared by or on behalf of or used or referred to by the Company complies or will, as of the time of such filing, comply in all material respects with the requirements of the Securities Act and the applicable rules and regulations of the Commission thereunder. Except for the free writing prospectuses, if any, identified in Schedule I hereto forming part of the Time of Sale Prospectus, and electronic road shows, if any, each furnished to the Managers before first use, the Company has not prepared, used or referred to, and will not, without the Managers’ prior consent, prepare, use or refer to, any free writing prospectus.</w:t>
      </w:r>
    </w:p>
    <w:p>
      <w:pPr>
        <w:spacing w:after="0" w:line="12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4"/>
          </w:cols>
          <w:pgMar w:left="436" w:top="270" w:right="479" w:bottom="1440" w:gutter="0" w:footer="0" w:header="0"/>
        </w:sectPr>
      </w:pPr>
    </w:p>
    <w:bookmarkStart w:id="7" w:name="page8"/>
    <w:bookmarkEnd w:id="7"/>
    <w:p>
      <w:pPr>
        <w:ind w:firstLine="436"/>
        <w:spacing w:after="0" w:line="277" w:lineRule="auto"/>
        <w:tabs>
          <w:tab w:leader="none" w:pos="69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 has been duly incorporated, is validly existing as a corporation in good standing under the laws of the jurisdiction of its incorporation, has the corporate power and authority to own its property and to conduct its business as described in the Registration Statement, the Time of Sale Prospectus and the Prospectus and to enter into this Agreement; and the Company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have a material adverse effect on the Company. The Company does not have any subsidiaries.</w:t>
      </w:r>
    </w:p>
    <w:p>
      <w:pPr>
        <w:spacing w:after="0" w:line="167" w:lineRule="exact"/>
        <w:rPr>
          <w:rFonts w:ascii="Times New Roman" w:cs="Times New Roman" w:eastAsia="Times New Roman" w:hAnsi="Times New Roman"/>
          <w:sz w:val="17"/>
          <w:szCs w:val="17"/>
          <w:color w:val="auto"/>
        </w:rPr>
      </w:pPr>
    </w:p>
    <w:p>
      <w:pPr>
        <w:ind w:left="680" w:hanging="244"/>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authorized, executed and delivered by the Company.</w:t>
      </w:r>
    </w:p>
    <w:p>
      <w:pPr>
        <w:spacing w:after="0" w:line="225" w:lineRule="exact"/>
        <w:rPr>
          <w:rFonts w:ascii="Times New Roman" w:cs="Times New Roman" w:eastAsia="Times New Roman" w:hAnsi="Times New Roman"/>
          <w:sz w:val="18"/>
          <w:szCs w:val="18"/>
          <w:color w:val="auto"/>
        </w:rPr>
      </w:pPr>
    </w:p>
    <w:p>
      <w:pPr>
        <w:ind w:firstLine="436"/>
        <w:spacing w:after="0" w:line="266" w:lineRule="auto"/>
        <w:tabs>
          <w:tab w:leader="none" w:pos="66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Closing Date and each Option Closing Date, the authorized capital stock of the Company will conform as to legal matters to the description thereof contained in each of the Registration Statement, the Time of Sale Prospectus and the Prospectus and such description conforms to the rights set forth in the instruments defining the same.</w:t>
      </w:r>
    </w:p>
    <w:p>
      <w:pPr>
        <w:spacing w:after="0" w:line="175" w:lineRule="exact"/>
        <w:rPr>
          <w:rFonts w:ascii="Times New Roman" w:cs="Times New Roman" w:eastAsia="Times New Roman" w:hAnsi="Times New Roman"/>
          <w:sz w:val="18"/>
          <w:szCs w:val="18"/>
          <w:color w:val="auto"/>
        </w:rPr>
      </w:pPr>
    </w:p>
    <w:p>
      <w:pPr>
        <w:jc w:val="both"/>
        <w:ind w:right="160" w:firstLine="436"/>
        <w:spacing w:after="0" w:line="266" w:lineRule="auto"/>
        <w:tabs>
          <w:tab w:leader="none" w:pos="6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Common Stock outstanding prior to the issuance of the Shares have been duly authorized and are validly issued, fully paid and non-assessable. None of the outstanding shares of capital stock of the Company was issued in violation of the preemptive or other similar rights of any securityholder of the Company.</w:t>
      </w:r>
    </w:p>
    <w:p>
      <w:pPr>
        <w:spacing w:after="0" w:line="175" w:lineRule="exact"/>
        <w:rPr>
          <w:rFonts w:ascii="Times New Roman" w:cs="Times New Roman" w:eastAsia="Times New Roman" w:hAnsi="Times New Roman"/>
          <w:sz w:val="18"/>
          <w:szCs w:val="18"/>
          <w:color w:val="auto"/>
        </w:rPr>
      </w:pPr>
    </w:p>
    <w:p>
      <w:pPr>
        <w:ind w:right="140" w:firstLine="436"/>
        <w:spacing w:after="0" w:line="282" w:lineRule="auto"/>
        <w:tabs>
          <w:tab w:leader="none" w:pos="6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have been duly authorized and, when issued and delivered in accordance with the terms of this Agreement, will be validly issued, fully paid and non-assessable, and the issuance of such Shares will not be subject to any preemptive or similar rights.</w:t>
      </w:r>
    </w:p>
    <w:p>
      <w:pPr>
        <w:spacing w:after="0" w:line="161" w:lineRule="exact"/>
        <w:rPr>
          <w:rFonts w:ascii="Times New Roman" w:cs="Times New Roman" w:eastAsia="Times New Roman" w:hAnsi="Times New Roman"/>
          <w:sz w:val="18"/>
          <w:szCs w:val="18"/>
          <w:color w:val="auto"/>
        </w:rPr>
      </w:pPr>
    </w:p>
    <w:p>
      <w:pPr>
        <w:ind w:right="20" w:firstLine="436"/>
        <w:spacing w:after="0" w:line="254"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by the Company of, and the performance by the Company of its obligations under, this Agreement will not contravene any provision of (i) applicable law, (ii) the certificate of incorporation or by-laws of the Company, (iii) any agreement or other instrument binding upon the Company that is material to the Company or (iv) any judgment, order or decree of any governmental body, agency or court having jurisdiction over the Company, except that in the case of clauses (i), (iii) and (iv) as would not, individually or in the aggregate, have a material adverse effect on the Company or on the power and ability of the Company to perform its obligations under this Agreement, and no consent, approval, authorization or order of, or qualification with, any governmental body or agency is required for the performance by the Company of its obligations under this Agreement, except such as may have been previously obtained or may be required by the securities or Blue Sky laws of the various states or foreign jurisdictions or the rules and regulations of the Financial Industry Regulatory Authority, Inc. (“</w:t>
      </w:r>
      <w:r>
        <w:rPr>
          <w:rFonts w:ascii="Times New Roman" w:cs="Times New Roman" w:eastAsia="Times New Roman" w:hAnsi="Times New Roman"/>
          <w:sz w:val="18"/>
          <w:szCs w:val="18"/>
          <w:b w:val="1"/>
          <w:bCs w:val="1"/>
          <w:color w:val="auto"/>
        </w:rPr>
        <w:t>FINRA</w:t>
      </w:r>
      <w:r>
        <w:rPr>
          <w:rFonts w:ascii="Times New Roman" w:cs="Times New Roman" w:eastAsia="Times New Roman" w:hAnsi="Times New Roman"/>
          <w:sz w:val="18"/>
          <w:szCs w:val="18"/>
          <w:color w:val="auto"/>
        </w:rPr>
        <w:t>”) in connection with the offer and sale of the Securities</w:t>
      </w:r>
    </w:p>
    <w:p>
      <w:pPr>
        <w:spacing w:after="0" w:line="188" w:lineRule="exact"/>
        <w:rPr>
          <w:rFonts w:ascii="Times New Roman" w:cs="Times New Roman" w:eastAsia="Times New Roman" w:hAnsi="Times New Roman"/>
          <w:sz w:val="18"/>
          <w:szCs w:val="18"/>
          <w:color w:val="auto"/>
        </w:rPr>
      </w:pPr>
    </w:p>
    <w:p>
      <w:pPr>
        <w:jc w:val="both"/>
        <w:ind w:right="160" w:firstLine="436"/>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not occurred any material adverse change, or any development reasonably likely to result in a prospective material adverse change, in the condition, financial or otherwise, or in the earnings, business or operations of the Company, whether or not arising out of the ordinary course of business, from that set forth in the Time of Sale Prospectus.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8" w:name="page9"/>
    <w:bookmarkEnd w:id="8"/>
    <w:p>
      <w:pPr>
        <w:ind w:right="240" w:firstLine="436"/>
        <w:spacing w:after="0" w:line="289" w:lineRule="auto"/>
        <w:tabs>
          <w:tab w:leader="none" w:pos="69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accountants who certified the financial statements and supporting schedules included in the Registration Statement, the Time of Sale Prospectus and the Prospectus are independent public accountants as required by the Securities Act, the Exchange Act, the applicable rules and regulations of the Commission under the Securities Act and the Exchange Act, and the Public Company Accounting Oversight Board (United States).</w:t>
      </w:r>
    </w:p>
    <w:p>
      <w:pPr>
        <w:spacing w:after="0" w:line="157" w:lineRule="exact"/>
        <w:rPr>
          <w:rFonts w:ascii="Times New Roman" w:cs="Times New Roman" w:eastAsia="Times New Roman" w:hAnsi="Times New Roman"/>
          <w:sz w:val="17"/>
          <w:szCs w:val="17"/>
          <w:color w:val="auto"/>
        </w:rPr>
      </w:pPr>
    </w:p>
    <w:p>
      <w:pPr>
        <w:ind w:right="20" w:firstLine="436"/>
        <w:spacing w:after="0" w:line="255"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legal or governmental proceedings pending or, to the Company’s knowledge, threatened to which the Company is a party or to which any of the properties of the Company is subject (i) other than proceedings accurately described in all material respects in the Time of Sale Prospectus and proceedings that would not reasonably be expected to have a material adverse effect on the Company, or on the power or ability of the Company to perform its obligations under this Agreement or to consummate the transactions contemplated by the Time of Sale Prospectus or (ii) that are required to be described in the Registration Statement or the Prospectus and are not so described in all material respects; and there are no statutes, regulations, contracts or other documents that are required to be described in the Registration Statement or the Prospectus or to be filed as exhibits to the Registration Statement that are not described in all material respects or filed as required.</w:t>
      </w:r>
    </w:p>
    <w:p>
      <w:pPr>
        <w:spacing w:after="0" w:line="188" w:lineRule="exact"/>
        <w:rPr>
          <w:rFonts w:ascii="Times New Roman" w:cs="Times New Roman" w:eastAsia="Times New Roman" w:hAnsi="Times New Roman"/>
          <w:sz w:val="18"/>
          <w:szCs w:val="18"/>
          <w:color w:val="auto"/>
        </w:rPr>
      </w:pPr>
    </w:p>
    <w:p>
      <w:pPr>
        <w:jc w:val="both"/>
        <w:ind w:right="560" w:firstLine="436"/>
        <w:spacing w:after="0" w:line="266" w:lineRule="auto"/>
        <w:tabs>
          <w:tab w:leader="none" w:pos="74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preliminary prospectus filed as part of the Registration Statement as originally filed or as part of any amendment thereto, or filed pursuant to Rule 424 under the Securities Act, complied when so filed in all material respects with the Securities Act and the applicable rules and regulations of the Commission thereunder.</w:t>
      </w:r>
    </w:p>
    <w:p>
      <w:pPr>
        <w:spacing w:after="0" w:line="175" w:lineRule="exact"/>
        <w:rPr>
          <w:rFonts w:ascii="Times New Roman" w:cs="Times New Roman" w:eastAsia="Times New Roman" w:hAnsi="Times New Roman"/>
          <w:sz w:val="18"/>
          <w:szCs w:val="18"/>
          <w:color w:val="auto"/>
        </w:rPr>
      </w:pPr>
    </w:p>
    <w:p>
      <w:pPr>
        <w:ind w:firstLine="436"/>
        <w:spacing w:after="0" w:line="312" w:lineRule="auto"/>
        <w:tabs>
          <w:tab w:leader="none" w:pos="69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is not, and after giving effect to the offering and sale of the Shares and the application of the proceeds thereof as described in the Prospectus will not be, required to register as an “investment company” as such term is defined in the Investment Company Act of 1940, as amended.</w:t>
      </w:r>
    </w:p>
    <w:p>
      <w:pPr>
        <w:spacing w:after="0" w:line="139" w:lineRule="exact"/>
        <w:rPr>
          <w:rFonts w:ascii="Times New Roman" w:cs="Times New Roman" w:eastAsia="Times New Roman" w:hAnsi="Times New Roman"/>
          <w:sz w:val="17"/>
          <w:szCs w:val="17"/>
          <w:color w:val="auto"/>
        </w:rPr>
      </w:pPr>
    </w:p>
    <w:p>
      <w:pPr>
        <w:ind w:right="80" w:firstLine="436"/>
        <w:spacing w:after="0" w:line="253" w:lineRule="auto"/>
        <w:tabs>
          <w:tab w:leader="none" w:pos="6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described in the Registration Statement, the Time of Sale Prospectus and the Prospectus, or would not, singly or in the aggregate, reasonably be expected to result in a material adverse effect on the Company, (i) the Company is not in violation of any 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asbestos-containing materials or mold (collectively, “</w:t>
      </w:r>
      <w:r>
        <w:rPr>
          <w:rFonts w:ascii="Times New Roman" w:cs="Times New Roman" w:eastAsia="Times New Roman" w:hAnsi="Times New Roman"/>
          <w:sz w:val="18"/>
          <w:szCs w:val="18"/>
          <w:b w:val="1"/>
          <w:bCs w:val="1"/>
          <w:color w:val="auto"/>
        </w:rPr>
        <w:t>Hazardous Materials</w:t>
      </w:r>
      <w:r>
        <w:rPr>
          <w:rFonts w:ascii="Times New Roman" w:cs="Times New Roman" w:eastAsia="Times New Roman" w:hAnsi="Times New Roman"/>
          <w:sz w:val="18"/>
          <w:szCs w:val="18"/>
          <w:color w:val="auto"/>
        </w:rPr>
        <w:t>”) or to the manufacture, processing, distribution, use, treatment, storage, disposal, transport or handling of Hazardous Materials (collectively, “</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(ii) the Company has all permits, authorizations and approvals required under any applicable Environmental Laws and is in compliance with their requirements, (iii) there are no pending or, to the knowledge of the Company threatened, administrative, regulatory or judicial actions, suits, demands,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0"/>
          </w:cols>
          <w:pgMar w:left="440" w:top="270" w:right="439" w:bottom="1440" w:gutter="0" w:footer="0" w:header="0"/>
        </w:sectPr>
      </w:pPr>
    </w:p>
    <w:bookmarkStart w:id="9" w:name="page10"/>
    <w:bookmarkEnd w:id="9"/>
    <w:p>
      <w:pPr>
        <w:ind w:right="2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demand letters, claims, liens, notices of noncompliance or violation, investigation or proceedings relating to any Environmental Law against the Company and (iv) to the Company’s knowledge, there are no events or circumstances that would reasonably be expected to form the basis of an order for clean-up or remediation, or an action, suit or proceeding by any private party or governmental entity, against or affecting the Company relating to Hazardous Materials or any Environmental Laws.</w:t>
      </w:r>
    </w:p>
    <w:p>
      <w:pPr>
        <w:spacing w:after="0" w:line="180" w:lineRule="exact"/>
        <w:rPr>
          <w:sz w:val="20"/>
          <w:szCs w:val="20"/>
          <w:color w:val="auto"/>
        </w:rPr>
      </w:pPr>
    </w:p>
    <w:p>
      <w:pPr>
        <w:ind w:right="460" w:firstLine="436"/>
        <w:spacing w:after="0" w:line="261" w:lineRule="auto"/>
        <w:tabs>
          <w:tab w:leader="none" w:pos="6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costs or liabilities associated with Environmental Laws (including, without limitation, any capital or operating expenditures required for clean-up, closure of properties or compliance with Environmental Laws or any permit, license or approval, any related constraints on operating activities and any potential liabilities to third parties) which would, singly or in the aggregate, reasonably be expected to have a material adverse effect on the Company.</w:t>
      </w:r>
    </w:p>
    <w:p>
      <w:pPr>
        <w:spacing w:after="0" w:line="179" w:lineRule="exact"/>
        <w:rPr>
          <w:rFonts w:ascii="Times New Roman" w:cs="Times New Roman" w:eastAsia="Times New Roman" w:hAnsi="Times New Roman"/>
          <w:sz w:val="18"/>
          <w:szCs w:val="18"/>
          <w:color w:val="auto"/>
        </w:rPr>
      </w:pPr>
    </w:p>
    <w:p>
      <w:pPr>
        <w:ind w:right="160" w:firstLine="436"/>
        <w:spacing w:after="0" w:line="289" w:lineRule="auto"/>
        <w:tabs>
          <w:tab w:leader="none" w:pos="69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described in the Time of Sale Prospectus and the Prospectus, there are no contracts, agreements or understandings between the Company and any person granting such person the right to require the Company to file a registration statement under the Securities Act with respect to any securities of the Company or to require the Company to include such securities with the Shares registered pursuant to the Registration Statement.</w:t>
      </w:r>
    </w:p>
    <w:p>
      <w:pPr>
        <w:spacing w:after="0" w:line="157" w:lineRule="exact"/>
        <w:rPr>
          <w:rFonts w:ascii="Times New Roman" w:cs="Times New Roman" w:eastAsia="Times New Roman" w:hAnsi="Times New Roman"/>
          <w:sz w:val="17"/>
          <w:szCs w:val="17"/>
          <w:color w:val="auto"/>
        </w:rPr>
      </w:pPr>
    </w:p>
    <w:p>
      <w:pPr>
        <w:ind w:right="40" w:firstLine="436"/>
        <w:spacing w:after="0" w:line="253" w:lineRule="auto"/>
        <w:tabs>
          <w:tab w:leader="none" w:pos="66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None of the Company or any director or officer thereof, or, to the Company’s knowledge, any affiliate, employee, agent or representative of the Company or of any of its affiliates, has taken or has any plans to take any action in furtherance of an offer, payment, promise to pay, or authorization or approval of the payment, giving or receipt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in order to influence official action, or to any person in violation of any applicable anti-corruption laws; (ii) the Company and its affiliates have conducted their businesses in compliance with applicable anti-corruption laws and have instituted and maintained and will continue to maintain policies and procedures reasonably designed to promote and achieve compliance with such laws and with the representations and warranties contained herein; and (iii) the Company will not use, directly or indirectly, the proceeds of the offering in furtherance of an offer, payment, promise to pay, or authorization of the payment or giving of money, or anything else of value, to any person in violation of any applicable anti-corruption laws.</w:t>
      </w:r>
    </w:p>
    <w:p>
      <w:pPr>
        <w:spacing w:after="0" w:line="194" w:lineRule="exact"/>
        <w:rPr>
          <w:rFonts w:ascii="Times New Roman" w:cs="Times New Roman" w:eastAsia="Times New Roman" w:hAnsi="Times New Roman"/>
          <w:sz w:val="18"/>
          <w:szCs w:val="18"/>
          <w:color w:val="auto"/>
        </w:rPr>
      </w:pPr>
    </w:p>
    <w:p>
      <w:pPr>
        <w:ind w:firstLine="436"/>
        <w:spacing w:after="0" w:line="258" w:lineRule="auto"/>
        <w:tabs>
          <w:tab w:leader="none" w:pos="6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or any director or officer thereof, or, to the Company’s knowledge, any affiliate, employee, agent or representative of the Company is aware of or has taken any action, directly or indirectly, that would result in a violation by such persons of the Foreign Corrupt Practices Act of 1977, as amended, and the rules and regulations thereunder (the “</w:t>
      </w:r>
      <w:r>
        <w:rPr>
          <w:rFonts w:ascii="Times New Roman" w:cs="Times New Roman" w:eastAsia="Times New Roman" w:hAnsi="Times New Roman"/>
          <w:sz w:val="18"/>
          <w:szCs w:val="18"/>
          <w:b w:val="1"/>
          <w:bCs w:val="1"/>
          <w:color w:val="auto"/>
        </w:rPr>
        <w:t>FCPA</w:t>
      </w:r>
      <w:r>
        <w:rPr>
          <w:rFonts w:ascii="Times New Roman" w:cs="Times New Roman" w:eastAsia="Times New Roman" w:hAnsi="Times New Roman"/>
          <w:sz w:val="18"/>
          <w:szCs w:val="18"/>
          <w:color w:val="auto"/>
        </w:rPr>
        <w:t>”),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10" w:name="page11"/>
    <w:bookmarkEnd w:id="10"/>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any “foreign official” (as such term is defined in the FCPA) or any foreign political party or official thereof or any candidate for foreign political office, in contravention of the FCPA and the Company has conducted its businesses in compliance with the FCPA and have instituted and maintain policies and procedures designed to ensure, and which are reasonably expected to continue to ensure, continued compliance therewith.</w:t>
      </w:r>
    </w:p>
    <w:p>
      <w:pPr>
        <w:spacing w:after="0" w:line="176" w:lineRule="exact"/>
        <w:rPr>
          <w:sz w:val="20"/>
          <w:szCs w:val="20"/>
          <w:color w:val="auto"/>
        </w:rPr>
      </w:pPr>
    </w:p>
    <w:p>
      <w:pPr>
        <w:ind w:firstLine="436"/>
        <w:spacing w:after="0" w:line="255"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of the Company are and have been conducted at all times in material compliance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applicable anti-money laundering statutes of jurisdictions where the Company conducts business, the rules and regulations thereunder and any related or similar rules, regulations or guidelines, issued, administered or enforced by any governmental agency (collectively, the “</w:t>
      </w:r>
      <w:r>
        <w:rPr>
          <w:rFonts w:ascii="Times New Roman" w:cs="Times New Roman" w:eastAsia="Times New Roman" w:hAnsi="Times New Roman"/>
          <w:sz w:val="18"/>
          <w:szCs w:val="18"/>
          <w:b w:val="1"/>
          <w:bCs w:val="1"/>
          <w:color w:val="auto"/>
        </w:rPr>
        <w:t>Anti-Money Laundering Laws</w:t>
      </w:r>
      <w:r>
        <w:rPr>
          <w:rFonts w:ascii="Times New Roman" w:cs="Times New Roman" w:eastAsia="Times New Roman" w:hAnsi="Times New Roman"/>
          <w:sz w:val="18"/>
          <w:szCs w:val="18"/>
          <w:color w:val="auto"/>
        </w:rPr>
        <w:t>”), and no action, suit or proceeding by or before any court or governmental agency, authority or body or any arbitrator involving the Company with respect to the Anti-Money Laundering Laws is pending or, to the best knowledge of the Company, threatened.</w:t>
      </w:r>
    </w:p>
    <w:p>
      <w:pPr>
        <w:spacing w:after="0" w:line="188" w:lineRule="exact"/>
        <w:rPr>
          <w:rFonts w:ascii="Times New Roman" w:cs="Times New Roman" w:eastAsia="Times New Roman" w:hAnsi="Times New Roman"/>
          <w:sz w:val="18"/>
          <w:szCs w:val="18"/>
          <w:color w:val="auto"/>
        </w:rPr>
      </w:pPr>
    </w:p>
    <w:p>
      <w:pPr>
        <w:ind w:right="140" w:firstLine="436"/>
        <w:spacing w:after="0" w:line="282" w:lineRule="auto"/>
        <w:tabs>
          <w:tab w:leader="none" w:pos="6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None of the Company any director or officer thereof, nor, to the Company’s knowledge, any employee, agent, affiliate or representative of the Company, is an individual or entity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that is, or is owned or controlled by one or more Persons that are:</w:t>
      </w:r>
    </w:p>
    <w:p>
      <w:pPr>
        <w:spacing w:after="0" w:line="53" w:lineRule="exact"/>
        <w:rPr>
          <w:rFonts w:ascii="Times New Roman" w:cs="Times New Roman" w:eastAsia="Times New Roman" w:hAnsi="Times New Roman"/>
          <w:sz w:val="18"/>
          <w:szCs w:val="18"/>
          <w:color w:val="auto"/>
        </w:rPr>
      </w:pPr>
    </w:p>
    <w:p>
      <w:pPr>
        <w:ind w:left="980" w:right="20" w:firstLine="408"/>
        <w:spacing w:after="0" w:line="266" w:lineRule="auto"/>
        <w:tabs>
          <w:tab w:leader="none" w:pos="1676"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subject of any sanctions administered or enforced by the U.S. Department of Treasury’s Office of Foreign Assets Control, the United Nations Security Council, the European Union, Her Majesty’s Treasury, or other relevant sanctions authority (collectively, “</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or</w:t>
      </w:r>
    </w:p>
    <w:p>
      <w:pPr>
        <w:spacing w:after="0" w:line="67" w:lineRule="exact"/>
        <w:rPr>
          <w:rFonts w:ascii="Times New Roman" w:cs="Times New Roman" w:eastAsia="Times New Roman" w:hAnsi="Times New Roman"/>
          <w:sz w:val="18"/>
          <w:szCs w:val="18"/>
          <w:color w:val="auto"/>
        </w:rPr>
      </w:pPr>
    </w:p>
    <w:p>
      <w:pPr>
        <w:ind w:left="980" w:right="400" w:firstLine="408"/>
        <w:spacing w:after="0" w:line="282" w:lineRule="auto"/>
        <w:tabs>
          <w:tab w:leader="none" w:pos="1666"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located, organized or resident in a country or territory that is the subject of Sanctions (including, without limitation, Crimea, Cuba, Iran, North Korea and Syria).</w:t>
      </w:r>
    </w:p>
    <w:p>
      <w:pPr>
        <w:spacing w:after="0" w:line="161" w:lineRule="exact"/>
        <w:rPr>
          <w:rFonts w:ascii="Times New Roman" w:cs="Times New Roman" w:eastAsia="Times New Roman" w:hAnsi="Times New Roman"/>
          <w:sz w:val="18"/>
          <w:szCs w:val="18"/>
          <w:color w:val="auto"/>
        </w:rPr>
      </w:pPr>
    </w:p>
    <w:p>
      <w:pPr>
        <w:ind w:right="340" w:firstLine="987"/>
        <w:spacing w:after="0" w:line="282" w:lineRule="auto"/>
        <w:tabs>
          <w:tab w:leader="none" w:pos="1256"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 directly or indirectly, use the proceeds of the offering, or lend, contribute or otherwise make available such proceeds to any subsidiary, joint venture partner or other Person:</w:t>
      </w:r>
    </w:p>
    <w:p>
      <w:pPr>
        <w:spacing w:after="0" w:line="53" w:lineRule="exact"/>
        <w:rPr>
          <w:rFonts w:ascii="Times New Roman" w:cs="Times New Roman" w:eastAsia="Times New Roman" w:hAnsi="Times New Roman"/>
          <w:sz w:val="18"/>
          <w:szCs w:val="18"/>
          <w:color w:val="auto"/>
        </w:rPr>
      </w:pPr>
    </w:p>
    <w:p>
      <w:pPr>
        <w:ind w:left="980" w:right="40" w:firstLine="408"/>
        <w:spacing w:after="0" w:line="282" w:lineRule="auto"/>
        <w:tabs>
          <w:tab w:leader="none" w:pos="1676"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fund or facilitate any activities or business of or with any Person or in any country or territory that, at the time of such funding or facilitation, is the subject of Sanctions; or</w:t>
      </w:r>
    </w:p>
    <w:p>
      <w:pPr>
        <w:spacing w:after="0" w:line="53" w:lineRule="exact"/>
        <w:rPr>
          <w:rFonts w:ascii="Times New Roman" w:cs="Times New Roman" w:eastAsia="Times New Roman" w:hAnsi="Times New Roman"/>
          <w:sz w:val="18"/>
          <w:szCs w:val="18"/>
          <w:color w:val="auto"/>
        </w:rPr>
      </w:pPr>
    </w:p>
    <w:p>
      <w:pPr>
        <w:ind w:left="980" w:right="100" w:firstLine="408"/>
        <w:spacing w:after="0" w:line="282" w:lineRule="auto"/>
        <w:tabs>
          <w:tab w:leader="none" w:pos="1666"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manner that will result in a violation of Sanctions by any Person (including any Person participating in the offering, whether as underwriter, advisor, investor or otherwise).</w:t>
      </w:r>
    </w:p>
    <w:p>
      <w:pPr>
        <w:spacing w:after="0" w:line="161" w:lineRule="exact"/>
        <w:rPr>
          <w:rFonts w:ascii="Times New Roman" w:cs="Times New Roman" w:eastAsia="Times New Roman" w:hAnsi="Times New Roman"/>
          <w:sz w:val="18"/>
          <w:szCs w:val="18"/>
          <w:color w:val="auto"/>
        </w:rPr>
      </w:pPr>
    </w:p>
    <w:p>
      <w:pPr>
        <w:ind w:right="240" w:firstLine="987"/>
        <w:spacing w:after="0" w:line="312" w:lineRule="auto"/>
        <w:tabs>
          <w:tab w:leader="none" w:pos="1306"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past 5 years, the Company has not knowingly engaged in, are not now knowingly engaged in, and will not engage in, any dealings or transactions with any Person, or in any country or territory, that at the time of the dealing or transaction is or was the subject of Sanctions.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11" w:name="page12"/>
    <w:bookmarkEnd w:id="11"/>
    <w:p>
      <w:pPr>
        <w:ind w:right="60" w:firstLine="436"/>
        <w:spacing w:after="0" w:line="255" w:lineRule="auto"/>
        <w:tabs>
          <w:tab w:leader="none" w:pos="6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Subsequent to the respective dates as of which information is given in each of the Registration Statement, the Time of Sale Prospectus and the Prospectus, (i) the Company has not incurred any material liability or obligation, direct or contingent, nor entered into any material transaction; (ii) the Company has not purchased any of its outstanding capital stock (other than pursuant to agreements that permit the Company to repurchase Common Stock upon an employee or service provider’s termination of employment or services or in exercise of the Company’s right of first refusal upon a proposed transfer), nor declared, paid or otherwise made any dividend or distribution of any kind on its capital stock other than ordinary and customary dividends; and (iii) there has not been any material change in the capital stock, short-term debt or long-term debt of the Company, except in each case as described in each of the Registration Statement, the Time of Sale Prospectus and the Prospectus, respectively.</w:t>
      </w:r>
    </w:p>
    <w:p>
      <w:pPr>
        <w:spacing w:after="0" w:line="188" w:lineRule="exact"/>
        <w:rPr>
          <w:rFonts w:ascii="Times New Roman" w:cs="Times New Roman" w:eastAsia="Times New Roman" w:hAnsi="Times New Roman"/>
          <w:sz w:val="18"/>
          <w:szCs w:val="18"/>
          <w:color w:val="auto"/>
        </w:rPr>
      </w:pPr>
    </w:p>
    <w:p>
      <w:pPr>
        <w:ind w:right="40" w:firstLine="436"/>
        <w:spacing w:after="0" w:line="256" w:lineRule="auto"/>
        <w:tabs>
          <w:tab w:leader="none" w:pos="7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own any real property. The Company has good and marketable title to all personal property owned by it that is material to the business of the Company, in each case free and clear of all liens, encumbrances and defects except such as are described in the Time of Sale Prospectus or such as do not materially affect the value of such property and do not materially interfere with the use made and proposed to be made of such property by the Company; and any real property and buildings held under lease by the Company are held by it under valid, subsisting and, to the Company’s knowledge, enforceable leases with such exceptions as are not material and do not materially interfere with the use made and proposed to be made of such property and buildings by the Company, in each case except as described in the Time of Sale Prospectus.</w:t>
      </w:r>
    </w:p>
    <w:p>
      <w:pPr>
        <w:spacing w:after="0" w:line="187" w:lineRule="exact"/>
        <w:rPr>
          <w:rFonts w:ascii="Times New Roman" w:cs="Times New Roman" w:eastAsia="Times New Roman" w:hAnsi="Times New Roman"/>
          <w:sz w:val="18"/>
          <w:szCs w:val="18"/>
          <w:color w:val="auto"/>
        </w:rPr>
      </w:pPr>
    </w:p>
    <w:p>
      <w:pPr>
        <w:ind w:firstLine="436"/>
        <w:spacing w:after="0" w:line="269" w:lineRule="auto"/>
        <w:tabs>
          <w:tab w:leader="none" w:pos="69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owns or possesses, or can acquire on commercially reasonable terms, valid and enforceable rights to use all material patents, patent rights, licenses, inventions, copyrights, know-how (including trade secrets and other unpatented and/or unpatentable proprietary or confidential information, systems or procedures), software, databases, domain names, trademarks, service marks, trade names, and other intellectual property and similar rights (collectively, “</w:t>
      </w:r>
      <w:r>
        <w:rPr>
          <w:rFonts w:ascii="Times New Roman" w:cs="Times New Roman" w:eastAsia="Times New Roman" w:hAnsi="Times New Roman"/>
          <w:sz w:val="17"/>
          <w:szCs w:val="17"/>
          <w:b w:val="1"/>
          <w:bCs w:val="1"/>
          <w:color w:val="auto"/>
        </w:rPr>
        <w:t>Intellectual Property</w:t>
      </w:r>
      <w:r>
        <w:rPr>
          <w:rFonts w:ascii="Times New Roman" w:cs="Times New Roman" w:eastAsia="Times New Roman" w:hAnsi="Times New Roman"/>
          <w:sz w:val="17"/>
          <w:szCs w:val="17"/>
          <w:color w:val="auto"/>
        </w:rPr>
        <w:t>”) reasonably necessary for the conduct of its business as currently conducted or as currently proposed to be conducted. Except as described in the Time of Sale Prospectus, (i) the Company has not received any notice of infringement of or conflict with asserted rights of others with respect to any of the foregoing and (ii) to the Company’s knowledge, the conduct of the Company’s business as currently conducted does not, and the Company’s business as currently proposed to be conducted would not reasonably be expected to, infringe, misappropriate or otherwise violate any such rights of others, which in either case, singly or in the aggregate, if the subject of an unfavorable decision, ruling or finding, would reasonably be expected to have a material adverse effect on the Company. The Company has taken reasonable steps to protect, maintain and safeguard the Intellectual Property owned by or, to the extent the Company has rights to do so, licensed to the Company, including, without limitation, the execution of appropriate nondisclosure and invention assignment agreements. There are no rights of third parties to any of the Intellectual</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20"/>
          </w:cols>
          <w:pgMar w:left="440" w:top="270" w:right="439" w:bottom="1440" w:gutter="0" w:footer="0" w:header="0"/>
        </w:sectPr>
      </w:pPr>
    </w:p>
    <w:bookmarkStart w:id="12" w:name="page13"/>
    <w:bookmarkEnd w:id="12"/>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Property owned by the Company, and there is no infringement by third parties of any Intellectual Property owned by or, to the Company’s knowledge, licensed to the Company, except as would not reasonably be expected to have a material adverse effect on the Company. There is no pending or to the Company’s knowledge threatened action, suit, proceeding or claim by others challenging the Company’s rights in or to any Intellectual Property, and the Company is unaware of any facts which could form a reasonable basis for any such action, suit, proceeding or claim.</w:t>
      </w:r>
    </w:p>
    <w:p>
      <w:pPr>
        <w:spacing w:after="0" w:line="180" w:lineRule="exact"/>
        <w:rPr>
          <w:sz w:val="20"/>
          <w:szCs w:val="20"/>
          <w:color w:val="auto"/>
        </w:rPr>
      </w:pPr>
    </w:p>
    <w:p>
      <w:pPr>
        <w:ind w:right="80" w:firstLine="436"/>
        <w:spacing w:after="0" w:line="261" w:lineRule="auto"/>
        <w:tabs>
          <w:tab w:leader="none" w:pos="6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material labor dispute with the employees of the Company exists, except as described in the Time of Sale Prospectus, or, to the knowledge of the Company, is imminent; and the Company is not aware of any existing, threatened or imminent labor disturbance by the employees of any of its principal suppliers, manufacturers or contractors (including, without limitation, Thyroid Cytopathology Partners, P.A. (“</w:t>
      </w:r>
      <w:r>
        <w:rPr>
          <w:rFonts w:ascii="Times New Roman" w:cs="Times New Roman" w:eastAsia="Times New Roman" w:hAnsi="Times New Roman"/>
          <w:sz w:val="18"/>
          <w:szCs w:val="18"/>
          <w:b w:val="1"/>
          <w:bCs w:val="1"/>
          <w:color w:val="auto"/>
        </w:rPr>
        <w:t>TCP</w:t>
      </w:r>
      <w:r>
        <w:rPr>
          <w:rFonts w:ascii="Times New Roman" w:cs="Times New Roman" w:eastAsia="Times New Roman" w:hAnsi="Times New Roman"/>
          <w:sz w:val="18"/>
          <w:szCs w:val="18"/>
          <w:color w:val="auto"/>
        </w:rPr>
        <w:t>”)) that would reasonably be expected to have a material adverse effect on the Company.</w:t>
      </w:r>
    </w:p>
    <w:p>
      <w:pPr>
        <w:spacing w:after="0" w:line="179" w:lineRule="exact"/>
        <w:rPr>
          <w:rFonts w:ascii="Times New Roman" w:cs="Times New Roman" w:eastAsia="Times New Roman" w:hAnsi="Times New Roman"/>
          <w:sz w:val="18"/>
          <w:szCs w:val="18"/>
          <w:color w:val="auto"/>
        </w:rPr>
      </w:pPr>
    </w:p>
    <w:p>
      <w:pPr>
        <w:ind w:right="60" w:firstLine="436"/>
        <w:spacing w:after="0" w:line="258" w:lineRule="auto"/>
        <w:tabs>
          <w:tab w:leader="none" w:pos="68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insured by insurers of recognized financial responsibility against such losses and risks and in such amounts as are, in the reasonable judgment of the Company, prudent and customary in the business in which it is engaged; the Company has not been refused any insurance coverage sought or applied for; and the Company does not have any reason to believe that it will not be able to renew its existing insurance coverage as and when such coverage expires or to obtain similar coverage from similar insurers as may be necessary to continue its business at a cost that would not have a material adverse effect on the Company, except as described in the Time of Sale Prospectus.</w:t>
      </w:r>
    </w:p>
    <w:p>
      <w:pPr>
        <w:spacing w:after="0" w:line="183" w:lineRule="exact"/>
        <w:rPr>
          <w:sz w:val="20"/>
          <w:szCs w:val="20"/>
          <w:color w:val="auto"/>
        </w:rPr>
      </w:pPr>
    </w:p>
    <w:p>
      <w:pPr>
        <w:ind w:firstLine="436"/>
        <w:spacing w:after="0" w:line="254" w:lineRule="auto"/>
        <w:tabs>
          <w:tab w:leader="none" w:pos="76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possesses and, to the knowledge of the Company, TCP possesses all licenses, certificates, authorizations, registrations, clearances, approvals, exemptions, certifications, accreditations, provider or supplier numbers and permits (“</w:t>
      </w:r>
      <w:r>
        <w:rPr>
          <w:rFonts w:ascii="Times New Roman" w:cs="Times New Roman" w:eastAsia="Times New Roman" w:hAnsi="Times New Roman"/>
          <w:sz w:val="18"/>
          <w:szCs w:val="18"/>
          <w:b w:val="1"/>
          <w:bCs w:val="1"/>
          <w:color w:val="auto"/>
        </w:rPr>
        <w:t>Permits</w:t>
      </w:r>
      <w:r>
        <w:rPr>
          <w:rFonts w:ascii="Times New Roman" w:cs="Times New Roman" w:eastAsia="Times New Roman" w:hAnsi="Times New Roman"/>
          <w:sz w:val="18"/>
          <w:szCs w:val="18"/>
          <w:color w:val="auto"/>
        </w:rPr>
        <w:t>”) issued by the appropriate federal, state or foreign governmental or regulatory authorities (“</w:t>
      </w:r>
      <w:r>
        <w:rPr>
          <w:rFonts w:ascii="Times New Roman" w:cs="Times New Roman" w:eastAsia="Times New Roman" w:hAnsi="Times New Roman"/>
          <w:sz w:val="18"/>
          <w:szCs w:val="18"/>
          <w:b w:val="1"/>
          <w:bCs w:val="1"/>
          <w:color w:val="auto"/>
        </w:rPr>
        <w:t>Regulatory Authority</w:t>
      </w:r>
      <w:r>
        <w:rPr>
          <w:rFonts w:ascii="Times New Roman" w:cs="Times New Roman" w:eastAsia="Times New Roman" w:hAnsi="Times New Roman"/>
          <w:sz w:val="18"/>
          <w:szCs w:val="18"/>
          <w:color w:val="auto"/>
        </w:rPr>
        <w:t>”) necessary to conduct its business, including, without limitation, all such Permits required by any Regulatory Authority, except where the failure to obtain such Permits would not, singly or in the aggregate, be reasonably expected to have a material adverse effect on the Company; and the Company and, to the knowledge of the Company, TCP, have not received any notice of proceedings relating to the revocation, suspension, limitation or modification of any such Permit nor does the Company have any reason to believe that any such Permit will not be renewed in the future, which, singly or in the aggregate, if the subject of an unfavorable decision, ruling or finding, would reasonably be expected to have a material adverse effect on the Company, except as described in Time of Sale Prospectus.</w:t>
      </w:r>
    </w:p>
    <w:p>
      <w:pPr>
        <w:spacing w:after="0" w:line="191" w:lineRule="exact"/>
        <w:rPr>
          <w:rFonts w:ascii="Times New Roman" w:cs="Times New Roman" w:eastAsia="Times New Roman" w:hAnsi="Times New Roman"/>
          <w:sz w:val="18"/>
          <w:szCs w:val="18"/>
          <w:color w:val="auto"/>
        </w:rPr>
      </w:pPr>
    </w:p>
    <w:p>
      <w:pPr>
        <w:jc w:val="both"/>
        <w:ind w:right="20" w:firstLine="436"/>
        <w:spacing w:after="0" w:line="261" w:lineRule="auto"/>
        <w:tabs>
          <w:tab w:leader="none" w:pos="78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statements included or incorporated by reference in the Registration Statement, the Time of Sale Prospectus and the Prospectus, together with the related schedules and notes, comply as to form in all material respects with Regulation S-X under the Securities Act and present fairly, in all material respects, the financial position of the Company at the dates indicated and the statement of operations, stockholders’ equity and cash flows of the Company for the periods specified; said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13" w:name="page14"/>
    <w:bookmarkEnd w:id="13"/>
    <w:p>
      <w:pPr>
        <w:ind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financial statements have been prepared in conformity with U.S. generally accepted accounting principles (“</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applied on a consistent basis throughout the periods involved, except as may be set forth in the related notes included or incorporated by reference in the Time of Sale Prospectus or in the case of unaudited, interim financial statements, subject to the normal year-end adjustments and the exclusion of certain footnotes. The supporting schedules, if any, present fairly, in all material respects, in accordance with GAAP the information required to be stated therein. Except as included therein, no historical or pro forma financial statements or supporting schedules are required to be included or incorporated by reference in the Registration Statement, the Time of Sale Prospectus and the Prospectus under the Securities Act or the rules and regulations thereunder. All disclosures contained in the Registration Statement, the Time of Sale Prospectus or the Prospectus, or incorporated by reference therein, regarding “non-GAAP financial measures” (as such term is defined by the rules and regulations of the Commission) comply with Regulation G of the Exchange Act, and Item 10 of Regulation S-K, to the extent applicable. The interactive data in eXtensible Business Reporting Language included or incorporated by reference in the Registration Statement fairly presents the information called for in all material respects and has been prepared in accordance with the Commission’s rules and guidelines applicable thereto.</w:t>
      </w:r>
    </w:p>
    <w:p>
      <w:pPr>
        <w:spacing w:after="0" w:line="186" w:lineRule="exact"/>
        <w:rPr>
          <w:sz w:val="20"/>
          <w:szCs w:val="20"/>
          <w:color w:val="auto"/>
        </w:rPr>
      </w:pPr>
    </w:p>
    <w:p>
      <w:pPr>
        <w:ind w:firstLine="436"/>
        <w:spacing w:after="0" w:line="254" w:lineRule="auto"/>
        <w:tabs>
          <w:tab w:leader="none" w:pos="76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maintains a system of internal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(iv) the recorded accountability for assets is compared with the existing assets at reasonable intervals and appropriate action is taken with respect to any differences; and (v) the interactive data in eXtensible Business Reporting Language included or incorporated by reference in the Registration Statement is accurate. Except as described in the Registration Statement, the Time of Sale Prospectus or the Prospectus, since the end of the Company’s most recent audited fiscal year, there has been (A) no material weakness in the Company’s internal control over financial reporting (whether or not remediated) and (B) no change in the Company’s internal control over financial reporting that has materially affected, or is reasonably likely to materially affect, the Company’s internal control over financial reporting.</w:t>
      </w:r>
    </w:p>
    <w:p>
      <w:pPr>
        <w:spacing w:after="0" w:line="188" w:lineRule="exact"/>
        <w:rPr>
          <w:rFonts w:ascii="Times New Roman" w:cs="Times New Roman" w:eastAsia="Times New Roman" w:hAnsi="Times New Roman"/>
          <w:sz w:val="18"/>
          <w:szCs w:val="18"/>
          <w:color w:val="auto"/>
        </w:rPr>
      </w:pPr>
    </w:p>
    <w:p>
      <w:pPr>
        <w:ind w:right="80" w:firstLine="436"/>
        <w:spacing w:after="0" w:line="261" w:lineRule="auto"/>
        <w:tabs>
          <w:tab w:leader="none" w:pos="78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described in the Time of Sale Prospectus, the Company has not sold, issued or distributed any shares of Common Stock during the six-month period preceding the date hereof, including any sales pursuant to Rule 144A under, or Regulation D or S of, the Securities Act, other than shares issued pursuant to employee benefit plans, stock option plans or other employee compensation plans or pursuant to outstanding options, rights or warrants.</w:t>
      </w:r>
    </w:p>
    <w:p>
      <w:pPr>
        <w:spacing w:after="0" w:line="179" w:lineRule="exact"/>
        <w:rPr>
          <w:rFonts w:ascii="Times New Roman" w:cs="Times New Roman" w:eastAsia="Times New Roman" w:hAnsi="Times New Roman"/>
          <w:sz w:val="18"/>
          <w:szCs w:val="18"/>
          <w:color w:val="auto"/>
        </w:rPr>
      </w:pPr>
    </w:p>
    <w:p>
      <w:pPr>
        <w:ind w:right="400" w:firstLine="436"/>
        <w:spacing w:after="0" w:line="282" w:lineRule="auto"/>
        <w:tabs>
          <w:tab w:leader="none" w:pos="76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have any securities rated by any “nationally recognized statistical rating organization,” as such term is defined in Section 3(a)(62) of the Exchange Act.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66" w:right="459" w:bottom="1440" w:gutter="0" w:footer="0" w:header="0"/>
        </w:sectPr>
      </w:pPr>
    </w:p>
    <w:bookmarkStart w:id="14" w:name="page15"/>
    <w:bookmarkEnd w:id="14"/>
    <w:p>
      <w:pPr>
        <w:jc w:val="both"/>
        <w:ind w:left="4" w:right="40" w:firstLine="436"/>
        <w:spacing w:after="0" w:line="255" w:lineRule="auto"/>
        <w:tabs>
          <w:tab w:leader="none" w:pos="726"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Company has filed all federal, state, local and foreign tax returns required to be filed through the date of this Agreement or has requested extensions thereof (except where the failure to file would not, individually or in the aggregate, be reasonably expected to have a material adverse effect on the Company) and have paid all taxes required to be paid thereon (except for cases in which the failure to pay would not be reasonably expected to have a material adverse effect on the Company or except as are currently being contested in good faith and for which reserves required by GAAP have been created in the financial statements of the Company), and no unpaid tax deficiency has been determined adversely to the Company which has had (nor does the Company have any notice or knowledge of any unpaid tax deficiency which could reasonably be expected to be determined adversely to the Company and which would reasonably be expected to have) a material adverse effect on the Company.</w:t>
      </w:r>
    </w:p>
    <w:p>
      <w:pPr>
        <w:spacing w:after="0" w:line="188" w:lineRule="exact"/>
        <w:rPr>
          <w:rFonts w:ascii="Times New Roman" w:cs="Times New Roman" w:eastAsia="Times New Roman" w:hAnsi="Times New Roman"/>
          <w:sz w:val="18"/>
          <w:szCs w:val="18"/>
          <w:color w:val="auto"/>
        </w:rPr>
      </w:pPr>
    </w:p>
    <w:p>
      <w:pPr>
        <w:ind w:left="4" w:right="140" w:firstLine="436"/>
        <w:spacing w:after="0" w:line="261" w:lineRule="auto"/>
        <w:tabs>
          <w:tab w:leader="none" w:pos="789"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time of each sale of the Shares in connection with the offering when the Prospectus is not yet available to prospective purchasers, none of (i) the Time of Sale Prospectus and (ii) any free writing prospectus, when considered together with the Time of Sale Prospectus, included, includes or will include an untrue statement of a material fact or omitted, omits or will omit to state a material fact necessary in order to make the statements therein, in the light of the circumstances under which they were made, not misleading.</w:t>
      </w:r>
    </w:p>
    <w:p>
      <w:pPr>
        <w:spacing w:after="0" w:line="179" w:lineRule="exact"/>
        <w:rPr>
          <w:rFonts w:ascii="Times New Roman" w:cs="Times New Roman" w:eastAsia="Times New Roman" w:hAnsi="Times New Roman"/>
          <w:sz w:val="18"/>
          <w:szCs w:val="18"/>
          <w:color w:val="auto"/>
        </w:rPr>
      </w:pPr>
    </w:p>
    <w:p>
      <w:pPr>
        <w:jc w:val="both"/>
        <w:ind w:left="4" w:firstLine="436"/>
        <w:spacing w:after="0" w:line="276" w:lineRule="auto"/>
        <w:tabs>
          <w:tab w:leader="none" w:pos="789"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and, to the knowledge of the Company, TCP, have operated and currently are in material compliance with all applicable health care laws, including, without limitation, the federal Anti-Kickback Statute (42 U.S.C. § 1320a-7b(b)), the Physician Payments Sunshine Act (42 U.S.C.</w:t>
      </w:r>
    </w:p>
    <w:p>
      <w:pPr>
        <w:ind w:left="4" w:right="80" w:hanging="4"/>
        <w:spacing w:after="0" w:line="251" w:lineRule="auto"/>
        <w:tabs>
          <w:tab w:leader="none" w:pos="13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1320a-7h), the Civil Monetary Penalties Law (42 U.S.C. § 1320a-7a), the civil False Claims Act (31 U.S.C. §§ 3729 et seq.), the criminal False Claims Law (42 U.S.C. § 1320a-7b(a)), the Stark Law (42 U.S.C. § 1395nn), all applicable criminal laws relating to healthcare fraud and abuse, including but not limited to 18 U.S.C. sections 286 and 287, the healthcare fraud criminal provisions under the U.S. Health Insurance Portability and Accountability Act of 1996 (“</w:t>
      </w:r>
      <w:r>
        <w:rPr>
          <w:rFonts w:ascii="Times New Roman" w:cs="Times New Roman" w:eastAsia="Times New Roman" w:hAnsi="Times New Roman"/>
          <w:sz w:val="18"/>
          <w:szCs w:val="18"/>
          <w:b w:val="1"/>
          <w:bCs w:val="1"/>
          <w:color w:val="auto"/>
        </w:rPr>
        <w:t>HIPAA</w:t>
      </w:r>
      <w:r>
        <w:rPr>
          <w:rFonts w:ascii="Times New Roman" w:cs="Times New Roman" w:eastAsia="Times New Roman" w:hAnsi="Times New Roman"/>
          <w:sz w:val="18"/>
          <w:szCs w:val="18"/>
          <w:color w:val="auto"/>
        </w:rPr>
        <w:t>”) (42 U.S.C. §§ 1320d et seq.), HIPAA, as amended by the Health Information Technology for Economic and Clinical Health Act (42 U.S.C. §§ 17921 et seq.), the exclusion laws (42 U.S.C. § 1320a-7), the Federal Food, Drug, and Cosmetic Act (21 U.S.C. §§ 301 et seq.), Medicare (Title XVIII of the Social Security Act), Medicaid (Title XIX of the Social Security Act), the Clinical Laboratory Improvement Amendments of 1998 (42 U.S.C. § 263a et seq.), and any other applicable similar local, state or federal laws or other applicable laws of federal, state and foreign governmental agencies or bodies engaged in regulation of clinical laboratories, and the applicable regulations promulgated pursuant to all such laws, each as amended from time to time (“</w:t>
      </w:r>
      <w:r>
        <w:rPr>
          <w:rFonts w:ascii="Times New Roman" w:cs="Times New Roman" w:eastAsia="Times New Roman" w:hAnsi="Times New Roman"/>
          <w:sz w:val="18"/>
          <w:szCs w:val="18"/>
          <w:b w:val="1"/>
          <w:bCs w:val="1"/>
          <w:color w:val="auto"/>
        </w:rPr>
        <w:t>Health Care Laws</w:t>
      </w:r>
      <w:r>
        <w:rPr>
          <w:rFonts w:ascii="Times New Roman" w:cs="Times New Roman" w:eastAsia="Times New Roman" w:hAnsi="Times New Roman"/>
          <w:sz w:val="18"/>
          <w:szCs w:val="18"/>
          <w:color w:val="auto"/>
        </w:rPr>
        <w:t>”). To the knowledge of the Company, neither the Company nor any of its officers, directors, employees or agents has engaged in activities which are, as applicable, cause for false claims liability, civil penalties, or mandatory or permissive exclusion from Medicare, Medicaid, or any other state or federal healthcare program (collectively, the “</w:t>
      </w:r>
      <w:r>
        <w:rPr>
          <w:rFonts w:ascii="Times New Roman" w:cs="Times New Roman" w:eastAsia="Times New Roman" w:hAnsi="Times New Roman"/>
          <w:sz w:val="18"/>
          <w:szCs w:val="18"/>
          <w:b w:val="1"/>
          <w:bCs w:val="1"/>
          <w:color w:val="auto"/>
        </w:rPr>
        <w:t>Programs</w:t>
      </w:r>
      <w:r>
        <w:rPr>
          <w:rFonts w:ascii="Times New Roman" w:cs="Times New Roman" w:eastAsia="Times New Roman" w:hAnsi="Times New Roman"/>
          <w:sz w:val="18"/>
          <w:szCs w:val="18"/>
          <w:color w:val="auto"/>
        </w:rPr>
        <w:t>”). Except as disclosed in the Time of Sale Prospectus, neither the Company nor, to the knowledge of the Company, TCP, has received any notice, correspondence or other communication, including notification of any pending or threatened claim, action, suit, audit, survey, proceeding, hearing, enforcement, investigation, arbitration or other</w:t>
      </w:r>
    </w:p>
    <w:p>
      <w:pPr>
        <w:spacing w:after="0" w:line="124"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44"/>
          </w:cols>
          <w:pgMar w:left="436" w:top="270" w:right="519" w:bottom="1440" w:gutter="0" w:footer="0" w:header="0"/>
        </w:sectPr>
      </w:pPr>
    </w:p>
    <w:bookmarkStart w:id="15" w:name="page16"/>
    <w:bookmarkEnd w:id="15"/>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action (“</w:t>
      </w:r>
      <w:r>
        <w:rPr>
          <w:rFonts w:ascii="Times New Roman" w:cs="Times New Roman" w:eastAsia="Times New Roman" w:hAnsi="Times New Roman"/>
          <w:sz w:val="18"/>
          <w:szCs w:val="18"/>
          <w:b w:val="1"/>
          <w:bCs w:val="1"/>
          <w:color w:val="auto"/>
        </w:rPr>
        <w:t>Action</w:t>
      </w:r>
      <w:r>
        <w:rPr>
          <w:rFonts w:ascii="Times New Roman" w:cs="Times New Roman" w:eastAsia="Times New Roman" w:hAnsi="Times New Roman"/>
          <w:sz w:val="18"/>
          <w:szCs w:val="18"/>
          <w:color w:val="auto"/>
        </w:rPr>
        <w:t>”) from any Regulatory Authority, of potential or actual non-compliance by, or liability of, the Company or TCP under any Health Care Laws, including, without limitation, FDA Form 483s, Warning Letters, untitled letters, or similar written correspondence from the FDA. To the knowledge of the Company, there are no facts or circumstances that would reasonably be expected to give rise to material liability of the Company under any Health Care Laws. The Company is not party to or has any ongoing reporting obligations pursuant to any corporate integrity agreement, deferred prosecution agreement, monitoring agreement, consent decree, settlement order, plan of correction or similar agreement imposed by any Regulatory Authority. None of the Company or, to the knowledge of the Company, TCP, or the Company’s employees, officers or directors, or, to the knowledge of the Company, TCP’s employees, officers or directors, has been excluded, suspended or debarred from participation in any Program or, to the knowledge of the Company, is subject to a governmental inquiry, investigation, proceeding, or other similar action that could reasonably be expected to result in debarment, suspension, or exclusion.</w:t>
      </w:r>
    </w:p>
    <w:p>
      <w:pPr>
        <w:spacing w:after="0" w:line="192" w:lineRule="exact"/>
        <w:rPr>
          <w:sz w:val="20"/>
          <w:szCs w:val="20"/>
          <w:color w:val="auto"/>
        </w:rPr>
      </w:pPr>
    </w:p>
    <w:p>
      <w:pPr>
        <w:ind w:right="60" w:firstLine="436"/>
        <w:spacing w:after="0" w:line="254" w:lineRule="auto"/>
        <w:tabs>
          <w:tab w:leader="none" w:pos="70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received, and is not aware of, any notice from any Regulatory Authority requiring the termination, suspension, clinical hold or material modification of any tests, studies or trials conducted by or on behalf of the Company or in which the Company’s products have participated. The clinical studies and tests and clinical trials conducted by on behalf of the Company or in which the Company’s products participated were and are being conducted in all material respects in accordance with experimental protocols, procedures and controls pursuant to any applicable professional and scientific standards for products and product candidates comparable to those being developed by the Company and all applicable laws, rules, and regulations, and the description of such studies, tests or trials, and the results thereof included in the Registration Statement, the Time of Sale Prospectus and the Prospectus are accurate and complete in all material respects. The Company is not aware of any tests, studies or trials not described in the Registration Statement, the Time of Sale Prospectus and the Prospectus, the results of which reasonably call into question the results of the tests, studies and trials described in the Registration Statement, the Time of Sale Prospectus and the Prospectus.</w:t>
      </w:r>
    </w:p>
    <w:p>
      <w:pPr>
        <w:spacing w:after="0" w:line="188" w:lineRule="exact"/>
        <w:rPr>
          <w:rFonts w:ascii="Times New Roman" w:cs="Times New Roman" w:eastAsia="Times New Roman" w:hAnsi="Times New Roman"/>
          <w:sz w:val="18"/>
          <w:szCs w:val="18"/>
          <w:color w:val="auto"/>
        </w:rPr>
      </w:pPr>
    </w:p>
    <w:p>
      <w:pPr>
        <w:ind w:firstLine="436"/>
        <w:spacing w:after="0" w:line="254" w:lineRule="auto"/>
        <w:tabs>
          <w:tab w:leader="none" w:pos="70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meets all Program requirements and conditions of participation and is a party to valid participation or other agreements required for payment by such Programs and other third-party payor programs. There are no material suspensions, offsets or recoupments of any Program or third-party payor payments being sought, requested or claimed, or to the Company’s knowledge, threatened against the Company. As of the date of this Agreement, the Company has not received any notice of denial of payment or overpayment from any Program or other third-party payor that would, individually or in the aggregate, reasonably be expected to have a material adverse effect on the Company. There is no Action pending or, to the knowledge of the Company, threatened, against the Company which relates to a violation of any applicable legal requirement pertaining to the Programs or which would reasonably be expected to result in the imposition of material penalties, termination or the exclusion of the Company from participation in any Programs.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0"/>
          </w:cols>
          <w:pgMar w:left="440" w:top="266" w:right="479" w:bottom="1440" w:gutter="0" w:footer="0" w:header="0"/>
        </w:sectPr>
      </w:pPr>
    </w:p>
    <w:bookmarkStart w:id="16" w:name="page17"/>
    <w:bookmarkEnd w:id="16"/>
    <w:p>
      <w:pPr>
        <w:ind w:right="80" w:firstLine="436"/>
        <w:spacing w:after="0" w:line="256" w:lineRule="auto"/>
        <w:tabs>
          <w:tab w:leader="none" w:pos="78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 has complied, and is presently in compliance with its privacy policies regarding the collection, use, transfer, storage, protection, disposal and disclosure by the Company of personally identifiable information. The Company has taken commercially reasonable steps to protect its information technology systems and the data used in the operation of its business. The Company has used commercially reasonable efforts to establish, and has established, commercially reasonable disaster recovery and security plans and procedures for its business, including, without limitation, for its information technology systems. To its knowledge, the Company has not experienced a security breach or other compromise of its information technology systems or data requiring notice to any third party under applicable state or federal law.</w:t>
      </w:r>
    </w:p>
    <w:p>
      <w:pPr>
        <w:spacing w:after="0" w:line="187" w:lineRule="exact"/>
        <w:rPr>
          <w:rFonts w:ascii="Times New Roman" w:cs="Times New Roman" w:eastAsia="Times New Roman" w:hAnsi="Times New Roman"/>
          <w:sz w:val="18"/>
          <w:szCs w:val="18"/>
          <w:color w:val="auto"/>
        </w:rPr>
      </w:pPr>
    </w:p>
    <w:p>
      <w:pPr>
        <w:ind w:firstLine="436"/>
        <w:spacing w:after="0" w:line="255" w:lineRule="auto"/>
        <w:tabs>
          <w:tab w:leader="none" w:pos="70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required under applicable rules, the Company maintains an effective system of disclosure controls and procedures (as defined in Rule 13a-15 under the Exchange Act and the rules and regulations thereunder), that comply with the requirements of the Exchange Act and the rules and regulations thereunder; such disclosure controls and procedures have been designed to ensure that information required to be disclosed by the Company in the reports that it files or submits under the Exchange Act is recorded, processed, summarized and reported, within the time periods specified in the Commission’s rules and forms, and is accumulated and communicated to the Company’s management, including its principal executive officer or officers and principal financial officer or officers, as appropriate, to allow timely decisions regarding disclosure; and such disclosure controls and procedures are effective in all material respects.</w:t>
      </w:r>
    </w:p>
    <w:p>
      <w:pPr>
        <w:spacing w:after="0" w:line="188" w:lineRule="exact"/>
        <w:rPr>
          <w:rFonts w:ascii="Times New Roman" w:cs="Times New Roman" w:eastAsia="Times New Roman" w:hAnsi="Times New Roman"/>
          <w:sz w:val="18"/>
          <w:szCs w:val="18"/>
          <w:color w:val="auto"/>
        </w:rPr>
      </w:pPr>
    </w:p>
    <w:p>
      <w:pPr>
        <w:ind w:right="120" w:firstLine="436"/>
        <w:spacing w:after="0" w:line="261" w:lineRule="auto"/>
        <w:tabs>
          <w:tab w:leader="none" w:pos="88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and has been no failure on the part of the Company, and to the Company’s knowledge, any of the Company’s directors or officers, in their capacities as such, to comply in all material respects with the provisions of the Sarbanes-Oxley Act of 2002 and the rules and regulations promulgated in connection therewith (the “</w:t>
      </w:r>
      <w:r>
        <w:rPr>
          <w:rFonts w:ascii="Times New Roman" w:cs="Times New Roman" w:eastAsia="Times New Roman" w:hAnsi="Times New Roman"/>
          <w:sz w:val="18"/>
          <w:szCs w:val="18"/>
          <w:b w:val="1"/>
          <w:bCs w:val="1"/>
          <w:color w:val="auto"/>
        </w:rPr>
        <w:t>Sarbanes-Oxley Act</w:t>
      </w:r>
      <w:r>
        <w:rPr>
          <w:rFonts w:ascii="Times New Roman" w:cs="Times New Roman" w:eastAsia="Times New Roman" w:hAnsi="Times New Roman"/>
          <w:sz w:val="18"/>
          <w:szCs w:val="18"/>
          <w:color w:val="auto"/>
        </w:rPr>
        <w:t>”) currently applicable to it, and the Company is taking steps to ensure that it will be in compliance with the provisions of the Sarbanes-Oxley Act that are, or will become, applicable to the Company after the date hereof.</w:t>
      </w:r>
    </w:p>
    <w:p>
      <w:pPr>
        <w:spacing w:after="0" w:line="179" w:lineRule="exact"/>
        <w:rPr>
          <w:rFonts w:ascii="Times New Roman" w:cs="Times New Roman" w:eastAsia="Times New Roman" w:hAnsi="Times New Roman"/>
          <w:sz w:val="18"/>
          <w:szCs w:val="18"/>
          <w:color w:val="auto"/>
        </w:rPr>
      </w:pPr>
    </w:p>
    <w:p>
      <w:pPr>
        <w:ind w:firstLine="436"/>
        <w:spacing w:after="0" w:line="261" w:lineRule="auto"/>
        <w:tabs>
          <w:tab w:leader="none" w:pos="78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statements of the Company filed with the Commission as part of the Registration Statement and included in each of the Registration Statement, the Time of Sale Prospectus and the Prospectus present fairly the financial position of the Company as of the dates indicated therein and the results of its operations and cash flows for the periods specified therein. Such financial statements have been prepared in conformity with GAAP and applied on a consistent basis throughout the periods involved.</w:t>
      </w:r>
    </w:p>
    <w:p>
      <w:pPr>
        <w:spacing w:after="0" w:line="179" w:lineRule="exact"/>
        <w:rPr>
          <w:rFonts w:ascii="Times New Roman" w:cs="Times New Roman" w:eastAsia="Times New Roman" w:hAnsi="Times New Roman"/>
          <w:sz w:val="18"/>
          <w:szCs w:val="18"/>
          <w:color w:val="auto"/>
        </w:rPr>
      </w:pPr>
    </w:p>
    <w:p>
      <w:pPr>
        <w:ind w:left="780" w:hanging="344"/>
        <w:spacing w:after="0"/>
        <w:tabs>
          <w:tab w:leader="none" w:pos="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statistical, industry related and market related data included in the Registration Statement, the Time of Sale Prospectus and the</w:t>
      </w:r>
    </w:p>
    <w:p>
      <w:pPr>
        <w:spacing w:after="0" w:line="27" w:lineRule="exact"/>
        <w:rPr>
          <w:rFonts w:ascii="Times New Roman" w:cs="Times New Roman" w:eastAsia="Times New Roman" w:hAnsi="Times New Roman"/>
          <w:sz w:val="18"/>
          <w:szCs w:val="18"/>
          <w:color w:val="auto"/>
        </w:rPr>
      </w:pP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Prospectus are based on or derived from sources which the Company reasonably and in good faith believes are reliable and are accurate, and such data is consistent with the sources from which they are derived.</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17" w:name="page18"/>
    <w:bookmarkEnd w:id="17"/>
    <w:p>
      <w:pPr>
        <w:ind w:right="260" w:firstLine="436"/>
        <w:spacing w:after="0" w:line="282" w:lineRule="auto"/>
        <w:tabs>
          <w:tab w:leader="none" w:pos="78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There are no contracts or documents which are required to be described in the Registration Statement, the Time of Sale Prospectus and the Prospectus or to be filed as exhibits to the Registration Statement which have not been so described and filed as required.</w:t>
      </w:r>
    </w:p>
    <w:p>
      <w:pPr>
        <w:spacing w:after="0" w:line="161" w:lineRule="exact"/>
        <w:rPr>
          <w:rFonts w:ascii="Times New Roman" w:cs="Times New Roman" w:eastAsia="Times New Roman" w:hAnsi="Times New Roman"/>
          <w:sz w:val="18"/>
          <w:szCs w:val="18"/>
          <w:color w:val="auto"/>
        </w:rPr>
      </w:pPr>
    </w:p>
    <w:p>
      <w:pPr>
        <w:ind w:left="780" w:hanging="344"/>
        <w:spacing w:after="0"/>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have been approved for listing, subject to notice of issuance, on The Nasdaq Global Market.</w:t>
      </w:r>
    </w:p>
    <w:p>
      <w:pPr>
        <w:spacing w:after="0" w:line="225" w:lineRule="exact"/>
        <w:rPr>
          <w:rFonts w:ascii="Times New Roman" w:cs="Times New Roman" w:eastAsia="Times New Roman" w:hAnsi="Times New Roman"/>
          <w:sz w:val="18"/>
          <w:szCs w:val="18"/>
          <w:color w:val="auto"/>
        </w:rPr>
      </w:pPr>
    </w:p>
    <w:p>
      <w:pPr>
        <w:jc w:val="both"/>
        <w:ind w:right="180" w:firstLine="436"/>
        <w:spacing w:after="0" w:line="261" w:lineRule="auto"/>
        <w:tabs>
          <w:tab w:leader="none" w:pos="72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to the Company’s knowledge, any affiliate of the Company has taken, nor will the Company or, to the Company’s knowledge, any affiliate take, directly or indirectly, any action which is designed, or would be expected, to cause or result in, or which constitutes, the stabilization or manipulation of the price of any security of the Company to facilitate the sale or resale of the Shares or to result in a violation of Regulation M under the Exchange Act.</w:t>
      </w:r>
    </w:p>
    <w:p>
      <w:pPr>
        <w:spacing w:after="0" w:line="179" w:lineRule="exact"/>
        <w:rPr>
          <w:rFonts w:ascii="Times New Roman" w:cs="Times New Roman" w:eastAsia="Times New Roman" w:hAnsi="Times New Roman"/>
          <w:sz w:val="18"/>
          <w:szCs w:val="18"/>
          <w:color w:val="auto"/>
        </w:rPr>
      </w:pPr>
    </w:p>
    <w:p>
      <w:pPr>
        <w:ind w:right="200" w:firstLine="436"/>
        <w:spacing w:after="0" w:line="266" w:lineRule="auto"/>
        <w:tabs>
          <w:tab w:leader="none" w:pos="74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the Registration Statement, the Time of Sale Prospectus and the Prospectus, the Company (i) does not have any material lending or other relationship with any banking or lending affiliate of any Underwriter and (ii) does not intend to use any of the proceeds from the sale of the Shares to repay any outstanding debt owed to any affiliate of any Underwriter.</w:t>
      </w:r>
    </w:p>
    <w:p>
      <w:pPr>
        <w:spacing w:after="0" w:line="175" w:lineRule="exact"/>
        <w:rPr>
          <w:rFonts w:ascii="Times New Roman" w:cs="Times New Roman" w:eastAsia="Times New Roman" w:hAnsi="Times New Roman"/>
          <w:sz w:val="18"/>
          <w:szCs w:val="18"/>
          <w:color w:val="auto"/>
        </w:rPr>
      </w:pPr>
    </w:p>
    <w:p>
      <w:pPr>
        <w:ind w:right="160" w:firstLine="436"/>
        <w:spacing w:after="0" w:line="266" w:lineRule="auto"/>
        <w:tabs>
          <w:tab w:leader="none" w:pos="70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the Time of Sale Prospectus, there are no contracts, agreements or understandings between the Company and any person that would give rise to a valid claim against the Company or any Underwriter for a brokerage commission, finder’s fee or other like payment in connection with the offering of the Shares contemplated hereby.</w:t>
      </w:r>
    </w:p>
    <w:p>
      <w:pPr>
        <w:spacing w:after="0" w:line="175" w:lineRule="exact"/>
        <w:rPr>
          <w:rFonts w:ascii="Times New Roman" w:cs="Times New Roman" w:eastAsia="Times New Roman" w:hAnsi="Times New Roman"/>
          <w:sz w:val="18"/>
          <w:szCs w:val="18"/>
          <w:color w:val="auto"/>
        </w:rPr>
      </w:pPr>
    </w:p>
    <w:p>
      <w:pPr>
        <w:ind w:firstLine="436"/>
        <w:spacing w:after="0" w:line="271" w:lineRule="auto"/>
        <w:tabs>
          <w:tab w:leader="none" w:pos="785"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Merger Agreement has been duly authorized, executed and delivered by the Company, and is in full force and effect as of the date hereof. The representations and warranties of the Company set forth in the Merger Agreement are true and correct in all material respects (and in all respects if any such representation or warranty is already qualified by materiality) as of the date of the Merger Agreement. To the knowledge of the Company, the representations and warranties of the Acquired Company set forth in the Merger Agreement, as qualified by the Company Disclosure Letter delivered therewith, are true and correct as of the date of the Merger Agreement (other than representations and warranties made as of a specific date, which shall be true and correct as of such date), except where the failure of any such representation or warranty to be true and correct would not have individually or in the aggregate, a Material Adverse Effect on the condition, financial or otherwise, of the Acquired Company or on the ability of the Acquired Company to consummate the transactions contemplated by the Merger Agreement, substantially in accordance with the terms of the Merger Agreement and as described in the Time of Sale Prospectus. Defined terms used in this paragraph shall have the meanings set forth in the Merger Agreement.</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18" w:name="page19"/>
    <w:bookmarkEnd w:id="18"/>
    <w:p>
      <w:pPr>
        <w:ind w:firstLine="436"/>
        <w:spacing w:after="0" w:line="261" w:lineRule="auto"/>
        <w:tabs>
          <w:tab w:leader="none" w:pos="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Agreements to Sell and Purchase. </w:t>
      </w:r>
      <w:r>
        <w:rPr>
          <w:rFonts w:ascii="Times New Roman" w:cs="Times New Roman" w:eastAsia="Times New Roman" w:hAnsi="Times New Roman"/>
          <w:sz w:val="18"/>
          <w:szCs w:val="18"/>
          <w:color w:val="auto"/>
        </w:rPr>
        <w:t>The Company hereby agrees to sell to the several Underwriters, and each Underwriter, upon the basis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representations and warranties herein contained, but subject to the conditions hereinafter stated, agrees, severally and not jointly, to purchase from the Company the respective numbers of Firm Shares set forth in Schedule II hereto opposite its name at the purchase price set forth in Schedule I hereto (the “</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On the basis of the representations and warranties contained in this Agreement, and subject to its terms and conditions, the Company agrees to sell to the Underwriters the Additional Shares, and the Underwriters shall have the right to purchase, severally and not jointly, up to the number of Additional Shares set forth in Schedule I hereto at the Purchase Price, provided, however, that the amount paid by the Underwriters for any Additional Shares shall be reduced by an amount per share equal to any dividends declared by the Company and payable on the Firm Shares but not payable on such Additional Shares. The Managers may exercise this right on behalf of the Underwriters in whole or from time to time in part by giving written notice not later than 30 days after the date of the Prospectus. Any exercise notice shall specify the number of Additional Shares to be purchased by the Underwriters and the date on which such shares are to be purchased. Each purchase date must be at least one business day after the written notice is given and may not be earlier than the closing date for the Firm Shares nor later than ten business days after the date of such notice. Additional Shares may be purchased as provided in Section 4 hereof solely for the purpose of covering sales of shares in excess of the number of the Firm Shares. On each day, if any, that Additional Shares are to be purchased (an “</w:t>
      </w:r>
      <w:r>
        <w:rPr>
          <w:rFonts w:ascii="Times New Roman" w:cs="Times New Roman" w:eastAsia="Times New Roman" w:hAnsi="Times New Roman"/>
          <w:sz w:val="18"/>
          <w:szCs w:val="18"/>
          <w:b w:val="1"/>
          <w:bCs w:val="1"/>
          <w:color w:val="auto"/>
        </w:rPr>
        <w:t>Option Closing Date</w:t>
      </w:r>
      <w:r>
        <w:rPr>
          <w:rFonts w:ascii="Times New Roman" w:cs="Times New Roman" w:eastAsia="Times New Roman" w:hAnsi="Times New Roman"/>
          <w:sz w:val="18"/>
          <w:szCs w:val="18"/>
          <w:color w:val="auto"/>
        </w:rPr>
        <w:t>”), each Underwriter agrees, severally and not jointly, to purchase the number of Additional Shares (subject to such adjustments to eliminate fractional shares as the Managers may determine) that bears the same proportion to the total number of Additional Shares to be purchased on such Option Closing Date as the number of Firm Shares set forth in Schedule II hereto opposite the name of such Underwriter bears to the total number of Firm Shares.</w:t>
      </w:r>
    </w:p>
    <w:p>
      <w:pPr>
        <w:spacing w:after="0" w:line="185" w:lineRule="exact"/>
        <w:rPr>
          <w:sz w:val="20"/>
          <w:szCs w:val="20"/>
          <w:color w:val="auto"/>
        </w:rPr>
      </w:pPr>
    </w:p>
    <w:p>
      <w:pPr>
        <w:ind w:right="100" w:firstLine="436"/>
        <w:spacing w:after="0" w:line="267" w:lineRule="auto"/>
        <w:tabs>
          <w:tab w:leader="none" w:pos="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Public Offering</w:t>
      </w:r>
      <w:r>
        <w:rPr>
          <w:rFonts w:ascii="Times New Roman" w:cs="Times New Roman" w:eastAsia="Times New Roman" w:hAnsi="Times New Roman"/>
          <w:sz w:val="18"/>
          <w:szCs w:val="18"/>
          <w:color w:val="auto"/>
        </w:rPr>
        <w:t>. The Company is advised by the Managers that the Underwriters propose to make a public offering of their respective portions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Shares as soon after the Registration Statement and this Agreement have become effective as in the Managers’ judgment is advisable. The Company is further advised by the Managers that the Shares are to be offered to the public upon the terms set forth in the Prospectus.</w:t>
      </w:r>
    </w:p>
    <w:p>
      <w:pPr>
        <w:spacing w:after="0" w:line="173" w:lineRule="exact"/>
        <w:rPr>
          <w:rFonts w:ascii="Times New Roman" w:cs="Times New Roman" w:eastAsia="Times New Roman" w:hAnsi="Times New Roman"/>
          <w:sz w:val="18"/>
          <w:szCs w:val="18"/>
          <w:color w:val="auto"/>
        </w:rPr>
      </w:pPr>
    </w:p>
    <w:p>
      <w:pPr>
        <w:ind w:right="60" w:firstLine="436"/>
        <w:spacing w:after="0" w:line="261" w:lineRule="auto"/>
        <w:tabs>
          <w:tab w:leader="none" w:pos="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Payment and Delivery. </w:t>
      </w:r>
      <w:r>
        <w:rPr>
          <w:rFonts w:ascii="Times New Roman" w:cs="Times New Roman" w:eastAsia="Times New Roman" w:hAnsi="Times New Roman"/>
          <w:sz w:val="18"/>
          <w:szCs w:val="18"/>
          <w:color w:val="auto"/>
        </w:rPr>
        <w:t>Payment for the Firm Shares shall be made to the Company in Federal or other funds immediately available in 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York City on the closing date and time set forth in Schedule I hereto, or at such other time on the same or such other date, not later than the fifth business day thereafter, as may be designated in writing by the Managers. The time and date of such payment are hereinafter referred to as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Payment for any Additional Shares shall be made to the Company in Federal or other funds immediately available in New York City on the date specified in the corresponding notice described in Section 2 or at such other time on the same or on such other date, in any event not later than the tenth business day thereafter, as may be designated in writing by the Managers.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0"/>
          </w:cols>
          <w:pgMar w:left="440" w:top="268" w:right="479" w:bottom="1440" w:gutter="0" w:footer="0" w:header="0"/>
        </w:sectPr>
      </w:pPr>
    </w:p>
    <w:bookmarkStart w:id="19" w:name="page20"/>
    <w:bookmarkEnd w:id="19"/>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Firm Shares and the Additional Shares shall be registered in such names and in such denominations as the Managers shall request in writing not later than one full business day prior to the Closing Date or the applicable Option Closing Date, as the case may be, for the respective accounts of the several Underwriters, with any transfer taxes payable in connection with the transfer of the Shares to the Underwriters duly paid, against payment of the Purchase Price therefor.</w:t>
      </w:r>
    </w:p>
    <w:p>
      <w:pPr>
        <w:spacing w:after="0" w:line="178" w:lineRule="exact"/>
        <w:rPr>
          <w:sz w:val="20"/>
          <w:szCs w:val="20"/>
          <w:color w:val="auto"/>
        </w:rPr>
      </w:pPr>
    </w:p>
    <w:p>
      <w:pPr>
        <w:ind w:right="300" w:firstLine="436"/>
        <w:spacing w:after="0" w:line="267" w:lineRule="auto"/>
        <w:tabs>
          <w:tab w:leader="none" w:pos="6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Conditions to the Underwriters’ Obligations</w:t>
      </w:r>
      <w:r>
        <w:rPr>
          <w:rFonts w:ascii="Times New Roman" w:cs="Times New Roman" w:eastAsia="Times New Roman" w:hAnsi="Times New Roman"/>
          <w:sz w:val="18"/>
          <w:szCs w:val="18"/>
          <w:color w:val="auto"/>
        </w:rPr>
        <w:t>. The obligations of the several Underwriters hereunder are subject to the accuracy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representations and warranties of the Company contained herein or in certificates of any officer of the Company delivered pursuant to the provisions hereof, to the performance by the Company of its covenants and other obligations hereunder, and to the following further conditions:</w:t>
      </w:r>
    </w:p>
    <w:p>
      <w:pPr>
        <w:spacing w:after="0" w:line="65" w:lineRule="exact"/>
        <w:rPr>
          <w:sz w:val="20"/>
          <w:szCs w:val="20"/>
          <w:color w:val="auto"/>
        </w:rPr>
      </w:pPr>
    </w:p>
    <w:p>
      <w:pPr>
        <w:ind w:firstLine="436"/>
        <w:spacing w:after="0" w:line="255" w:lineRule="auto"/>
        <w:tabs>
          <w:tab w:leader="none" w:pos="68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Effectiveness of Registration Statement</w:t>
      </w:r>
      <w:r>
        <w:rPr>
          <w:rFonts w:ascii="Times New Roman" w:cs="Times New Roman" w:eastAsia="Times New Roman" w:hAnsi="Times New Roman"/>
          <w:sz w:val="18"/>
          <w:szCs w:val="18"/>
          <w:color w:val="auto"/>
        </w:rPr>
        <w:t>. The Registration Statement has become effective and, as of the Closing Date, no stop order suspending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effectiveness of the Registration Statement or any post-effective amendment thereto has been issued under the Securities Act, no order preventing or suspending the use of any preliminary prospectus or the Prospectus has been issued and no proceedings for any of those purposes have been instituted or are pending or, to the Company’s knowledge, contemplated; and the Company has complied with each request (if any) from the Commission for additional information to the reasonable satisfaction of counsel to the Underwriters. A prospectus containing the information omitted pursuant to Rule 430B under the Securities Act shall have been filed with the Commission in the manner and within the time frame required by Rule 424(b) without reliance on Rule 424(b)(8) or a post-effective amendment providing such information shall have been filed with, and declared effective by, the Commission in accordance with the requirements of Rule 430.</w:t>
      </w:r>
    </w:p>
    <w:p>
      <w:pPr>
        <w:spacing w:after="0" w:line="184" w:lineRule="exact"/>
        <w:rPr>
          <w:rFonts w:ascii="Times New Roman" w:cs="Times New Roman" w:eastAsia="Times New Roman" w:hAnsi="Times New Roman"/>
          <w:sz w:val="18"/>
          <w:szCs w:val="18"/>
          <w:color w:val="auto"/>
        </w:rPr>
      </w:pPr>
    </w:p>
    <w:p>
      <w:pPr>
        <w:ind w:right="280" w:firstLine="436"/>
        <w:spacing w:after="0" w:line="267" w:lineRule="auto"/>
        <w:tabs>
          <w:tab w:leader="none" w:pos="6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Opinion of Counsel for Company</w:t>
      </w:r>
      <w:r>
        <w:rPr>
          <w:rFonts w:ascii="Times New Roman" w:cs="Times New Roman" w:eastAsia="Times New Roman" w:hAnsi="Times New Roman"/>
          <w:sz w:val="18"/>
          <w:szCs w:val="18"/>
          <w:color w:val="auto"/>
        </w:rPr>
        <w:t>. The Managers shall have received the opinion and negative assurance letter, each dated as of the Closing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of Fenwick &amp; West LLP, counsel for the Company, in form and substance satisfactory to counsel for the Underwriters, together with signed or reproduced copies of such letter for each of the other Underwriters.</w:t>
      </w:r>
    </w:p>
    <w:p>
      <w:pPr>
        <w:spacing w:after="0" w:line="173" w:lineRule="exact"/>
        <w:rPr>
          <w:rFonts w:ascii="Times New Roman" w:cs="Times New Roman" w:eastAsia="Times New Roman" w:hAnsi="Times New Roman"/>
          <w:sz w:val="18"/>
          <w:szCs w:val="18"/>
          <w:color w:val="auto"/>
        </w:rPr>
      </w:pPr>
    </w:p>
    <w:p>
      <w:pPr>
        <w:ind w:right="340" w:firstLine="436"/>
        <w:spacing w:after="0" w:line="267" w:lineRule="auto"/>
        <w:tabs>
          <w:tab w:leader="none" w:pos="68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Opinion of Intellectual Property Counsel for the Company</w:t>
      </w:r>
      <w:r>
        <w:rPr>
          <w:rFonts w:ascii="Times New Roman" w:cs="Times New Roman" w:eastAsia="Times New Roman" w:hAnsi="Times New Roman"/>
          <w:sz w:val="18"/>
          <w:szCs w:val="18"/>
          <w:color w:val="auto"/>
        </w:rPr>
        <w:t>. The Managers shall have received the opinion, dated as of the Closing Date,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Wilson, Sonsini, Goodrich &amp; Rosati, P.C., intellectual property counsel for the Company, in form and substance satisfactory to counsel for the Underwriters, together with signed or reproduced copies of such letter for each of the other Underwriters.</w:t>
      </w:r>
    </w:p>
    <w:p>
      <w:pPr>
        <w:spacing w:after="0" w:line="173" w:lineRule="exact"/>
        <w:rPr>
          <w:rFonts w:ascii="Times New Roman" w:cs="Times New Roman" w:eastAsia="Times New Roman" w:hAnsi="Times New Roman"/>
          <w:sz w:val="18"/>
          <w:szCs w:val="18"/>
          <w:color w:val="auto"/>
        </w:rPr>
      </w:pPr>
    </w:p>
    <w:p>
      <w:pPr>
        <w:ind w:right="40" w:firstLine="436"/>
        <w:spacing w:after="0" w:line="258" w:lineRule="auto"/>
        <w:tabs>
          <w:tab w:leader="none" w:pos="6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Opinion of Counsel for Underwriters</w:t>
      </w:r>
      <w:r>
        <w:rPr>
          <w:rFonts w:ascii="Times New Roman" w:cs="Times New Roman" w:eastAsia="Times New Roman" w:hAnsi="Times New Roman"/>
          <w:sz w:val="18"/>
          <w:szCs w:val="18"/>
          <w:color w:val="auto"/>
        </w:rPr>
        <w:t>. The Managers shall have received the opinion, and negative assurance letter, each dated as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Closing Date, of Latham &amp; Watkins LLP, counsel for the Underwriters, together with signed or reproduced copies of such letter for each of the other Underwriters with respect to such matters as the Managers may reasonably request. In giving such opinion such counsel may rely, as to all matters governed by the laws of jurisdictions other than the law of the State of New York, the General Corporation Law of the State of Delaware and the federal securities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20" w:name="page21"/>
    <w:bookmarkEnd w:id="20"/>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laws of the United States, upon the opinions of counsel satisfactory to the Managers. Such counsel may also state that, insofar as such opinion involves factual matters, they have relied, to the extent they deem proper, upon certificates of officers and other representatives of the Company and certificates of public officials.</w:t>
      </w:r>
    </w:p>
    <w:p>
      <w:pPr>
        <w:spacing w:after="0" w:line="174" w:lineRule="exact"/>
        <w:rPr>
          <w:sz w:val="20"/>
          <w:szCs w:val="20"/>
          <w:color w:val="auto"/>
        </w:rPr>
      </w:pPr>
    </w:p>
    <w:p>
      <w:pPr>
        <w:ind w:right="20" w:firstLine="436"/>
        <w:spacing w:after="0" w:line="254" w:lineRule="auto"/>
        <w:tabs>
          <w:tab w:leader="none" w:pos="68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Officers’ Certificate</w:t>
      </w:r>
      <w:r>
        <w:rPr>
          <w:rFonts w:ascii="Times New Roman" w:cs="Times New Roman" w:eastAsia="Times New Roman" w:hAnsi="Times New Roman"/>
          <w:sz w:val="18"/>
          <w:szCs w:val="18"/>
          <w:color w:val="auto"/>
        </w:rPr>
        <w:t>. There shall not have been, since the date hereof or since the respective dates as of which information is given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Registration Statement or the Time of Sale Prospectus, any material adverse change in the condition, financial or otherwise, or in the earnings, business affairs or business prospects of the Company, whether or not arising in the ordinary course of business, and the Managers shall have received a certificate of the principal executive officer of the Company and of the principal financial officer of the Company, dated as of the Closing Date, to the effect that (i) there has been no such material adverse change, (ii) the representations and warranties of the Company in this Agreement are true and correct with the same force and effect as though expressly made as of the Closing Date, (iii) the Company has complied with all agreements and satisfied all conditions on its part to be performed or satisfied on or prior to the Closing Date, and (iv) no stop order suspending the effectiveness of the Registration Statement under the Securities Act has been issued, no order preventing or suspending the use of any preliminary prospectus or the Prospectus has been issued and no proceedings for any of those purposes have been instituted or are pending or, to their knowledge, contemplated.</w:t>
      </w:r>
    </w:p>
    <w:p>
      <w:pPr>
        <w:spacing w:after="0" w:line="188" w:lineRule="exact"/>
        <w:rPr>
          <w:rFonts w:ascii="Times New Roman" w:cs="Times New Roman" w:eastAsia="Times New Roman" w:hAnsi="Times New Roman"/>
          <w:sz w:val="18"/>
          <w:szCs w:val="18"/>
          <w:color w:val="auto"/>
        </w:rPr>
      </w:pPr>
    </w:p>
    <w:p>
      <w:pPr>
        <w:ind w:firstLine="436"/>
        <w:spacing w:after="0" w:line="261" w:lineRule="auto"/>
        <w:tabs>
          <w:tab w:leader="none" w:pos="66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Accountant’s Comfort Letter</w:t>
      </w:r>
      <w:r>
        <w:rPr>
          <w:rFonts w:ascii="Times New Roman" w:cs="Times New Roman" w:eastAsia="Times New Roman" w:hAnsi="Times New Roman"/>
          <w:sz w:val="18"/>
          <w:szCs w:val="18"/>
          <w:color w:val="auto"/>
        </w:rPr>
        <w:t>. At the time of the execution of this Agreement, the Managers shall have received from Ernst &amp; Young LLP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letter, dated such date, in form and substance satisfactory to the Managers, together with signed or reproduced copies of such letter for each of the other Underwriters containing statements and information of the type ordinarily included in accountants’ “comfort letters” to underwriters with respect to the financial statements and certain financial information contained in the Registration Statement and the Time of Sale Prospectus.</w:t>
      </w:r>
    </w:p>
    <w:p>
      <w:pPr>
        <w:spacing w:after="0" w:line="179" w:lineRule="exact"/>
        <w:rPr>
          <w:rFonts w:ascii="Times New Roman" w:cs="Times New Roman" w:eastAsia="Times New Roman" w:hAnsi="Times New Roman"/>
          <w:sz w:val="18"/>
          <w:szCs w:val="18"/>
          <w:color w:val="auto"/>
        </w:rPr>
      </w:pPr>
    </w:p>
    <w:p>
      <w:pPr>
        <w:ind w:right="120" w:firstLine="436"/>
        <w:spacing w:after="0" w:line="267" w:lineRule="auto"/>
        <w:tabs>
          <w:tab w:leader="none" w:pos="6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Bring-down Comfort Letter</w:t>
      </w:r>
      <w:r>
        <w:rPr>
          <w:rFonts w:ascii="Times New Roman" w:cs="Times New Roman" w:eastAsia="Times New Roman" w:hAnsi="Times New Roman"/>
          <w:sz w:val="18"/>
          <w:szCs w:val="18"/>
          <w:color w:val="auto"/>
        </w:rPr>
        <w:t>. The Managers shall have received from Ernst &amp; Young LLP a letter, dated as of the Closing Date, to the effect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they reaffirm the statements made in the letter furnished pursuant to subsection (f) of this Section 5, except that the specified date referred to shall be a date not more than three business days prior to the Closing Date.</w:t>
      </w:r>
    </w:p>
    <w:p>
      <w:pPr>
        <w:spacing w:after="0" w:line="173"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Approval of Listing</w:t>
      </w:r>
      <w:r>
        <w:rPr>
          <w:rFonts w:ascii="Times New Roman" w:cs="Times New Roman" w:eastAsia="Times New Roman" w:hAnsi="Times New Roman"/>
          <w:sz w:val="17"/>
          <w:szCs w:val="17"/>
          <w:color w:val="auto"/>
        </w:rPr>
        <w:t>. The Shares shall have been approved for listing on The Nasdaq Global Market, subject only to official notice of issuance.</w:t>
      </w:r>
    </w:p>
    <w:p>
      <w:pPr>
        <w:spacing w:after="0" w:line="236" w:lineRule="exact"/>
        <w:rPr>
          <w:rFonts w:ascii="Times New Roman" w:cs="Times New Roman" w:eastAsia="Times New Roman" w:hAnsi="Times New Roman"/>
          <w:sz w:val="17"/>
          <w:szCs w:val="17"/>
          <w:color w:val="auto"/>
        </w:rPr>
      </w:pPr>
    </w:p>
    <w:p>
      <w:pPr>
        <w:ind w:firstLine="436"/>
        <w:spacing w:after="0" w:line="267"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Objection</w:t>
      </w:r>
      <w:r>
        <w:rPr>
          <w:rFonts w:ascii="Times New Roman" w:cs="Times New Roman" w:eastAsia="Times New Roman" w:hAnsi="Times New Roman"/>
          <w:sz w:val="18"/>
          <w:szCs w:val="18"/>
          <w:color w:val="auto"/>
        </w:rPr>
        <w:t>. If any filing with FINRA under FINRA Rule 5110 is required with respect to the offering of the Shares, FINRA has confirmed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it has not raised any objection with respect to the fairness and reasonableness of the underwriting terms and arrangements relating to the offering of the Shares.</w:t>
      </w:r>
    </w:p>
    <w:p>
      <w:pPr>
        <w:spacing w:after="0" w:line="173" w:lineRule="exact"/>
        <w:rPr>
          <w:rFonts w:ascii="Times New Roman" w:cs="Times New Roman" w:eastAsia="Times New Roman" w:hAnsi="Times New Roman"/>
          <w:sz w:val="18"/>
          <w:szCs w:val="18"/>
          <w:color w:val="auto"/>
        </w:rPr>
      </w:pPr>
    </w:p>
    <w:p>
      <w:pPr>
        <w:ind w:right="320" w:firstLine="436"/>
        <w:spacing w:after="0" w:line="284"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Lock-up Agreements</w:t>
      </w:r>
      <w:r>
        <w:rPr>
          <w:rFonts w:ascii="Times New Roman" w:cs="Times New Roman" w:eastAsia="Times New Roman" w:hAnsi="Times New Roman"/>
          <w:sz w:val="18"/>
          <w:szCs w:val="18"/>
          <w:color w:val="auto"/>
        </w:rPr>
        <w:t>. At the date of this Agreement, the Managers shall have received an agreement substantially in the form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hereto signed by certain stockholders and all of the Company’s directors and executive officers.</w:t>
      </w:r>
    </w:p>
    <w:p>
      <w:pPr>
        <w:spacing w:after="0" w:line="9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20"/>
          </w:cols>
          <w:pgMar w:left="440" w:top="270" w:right="539" w:bottom="1440" w:gutter="0" w:footer="0" w:header="0"/>
        </w:sectPr>
      </w:pPr>
    </w:p>
    <w:bookmarkStart w:id="21" w:name="page22"/>
    <w:bookmarkEnd w:id="21"/>
    <w:p>
      <w:pPr>
        <w:ind w:right="80" w:firstLine="436"/>
        <w:spacing w:after="0" w:line="267" w:lineRule="auto"/>
        <w:tabs>
          <w:tab w:leader="none" w:pos="6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Chief Financial Officer’s Certificates</w:t>
      </w:r>
      <w:r>
        <w:rPr>
          <w:rFonts w:ascii="Times New Roman" w:cs="Times New Roman" w:eastAsia="Times New Roman" w:hAnsi="Times New Roman"/>
          <w:sz w:val="18"/>
          <w:szCs w:val="18"/>
          <w:color w:val="auto"/>
        </w:rPr>
        <w:t>. At each of the date of this Agreement and the Closing Date, the Managers shall have received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certificate, signed on behalf of the Company by the Chief Financial Officer of the Company, dated as of the date of this Agreement or the Closing Date, as the case may be, in a form reasonably satisfactory to the Managers.</w:t>
      </w:r>
    </w:p>
    <w:p>
      <w:pPr>
        <w:spacing w:after="0" w:line="173" w:lineRule="exact"/>
        <w:rPr>
          <w:rFonts w:ascii="Times New Roman" w:cs="Times New Roman" w:eastAsia="Times New Roman" w:hAnsi="Times New Roman"/>
          <w:sz w:val="18"/>
          <w:szCs w:val="18"/>
          <w:color w:val="auto"/>
        </w:rPr>
      </w:pPr>
    </w:p>
    <w:p>
      <w:pPr>
        <w:ind w:right="40" w:firstLine="436"/>
        <w:spacing w:after="0" w:line="267"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Acquired Company Chief Financial Officer’s Certificates</w:t>
      </w:r>
      <w:r>
        <w:rPr>
          <w:rFonts w:ascii="Times New Roman" w:cs="Times New Roman" w:eastAsia="Times New Roman" w:hAnsi="Times New Roman"/>
          <w:sz w:val="18"/>
          <w:szCs w:val="18"/>
          <w:color w:val="auto"/>
        </w:rPr>
        <w:t>. At each of the date of this Agreement and the Closing Date, the Managers shall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received a certificate, signed on behalf of the Acquired Company by the Chief Financial Officer of the Acquired Company, dated as of the date of this Agreement or the Closing Date, as the case may be, in a form reasonably satisfactory to the Managers.</w:t>
      </w:r>
    </w:p>
    <w:p>
      <w:pPr>
        <w:spacing w:after="0" w:line="173" w:lineRule="exact"/>
        <w:rPr>
          <w:rFonts w:ascii="Times New Roman" w:cs="Times New Roman" w:eastAsia="Times New Roman" w:hAnsi="Times New Roman"/>
          <w:sz w:val="18"/>
          <w:szCs w:val="18"/>
          <w:color w:val="auto"/>
        </w:rPr>
      </w:pPr>
    </w:p>
    <w:p>
      <w:pPr>
        <w:ind w:right="60" w:firstLine="436"/>
        <w:spacing w:after="0" w:line="261" w:lineRule="auto"/>
        <w:tabs>
          <w:tab w:leader="none" w:pos="74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Conditions to Purchase of Additional Shares</w:t>
      </w:r>
      <w:r>
        <w:rPr>
          <w:rFonts w:ascii="Times New Roman" w:cs="Times New Roman" w:eastAsia="Times New Roman" w:hAnsi="Times New Roman"/>
          <w:sz w:val="18"/>
          <w:szCs w:val="18"/>
          <w:color w:val="auto"/>
        </w:rPr>
        <w:t>. In the event that the Underwriters exercise their option provided in Section 2 hereof to purchase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or any portion of the Additional Shares, the representations and warranties of the Company contained herein and the statements in any certificates furnished by the Company hereunder shall be true and correct as of each Option Closing Date and, on the relevant Option Closing Date, the Managers shall have received:</w:t>
      </w:r>
    </w:p>
    <w:p>
      <w:pPr>
        <w:spacing w:after="0" w:line="71" w:lineRule="exact"/>
        <w:rPr>
          <w:rFonts w:ascii="Times New Roman" w:cs="Times New Roman" w:eastAsia="Times New Roman" w:hAnsi="Times New Roman"/>
          <w:sz w:val="18"/>
          <w:szCs w:val="18"/>
          <w:color w:val="auto"/>
        </w:rPr>
      </w:pPr>
    </w:p>
    <w:p>
      <w:pPr>
        <w:ind w:left="440" w:firstLine="419"/>
        <w:spacing w:after="0" w:line="267" w:lineRule="auto"/>
        <w:tabs>
          <w:tab w:leader="none" w:pos="1078"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Officers’ Certificate</w:t>
      </w:r>
      <w:r>
        <w:rPr>
          <w:rFonts w:ascii="Times New Roman" w:cs="Times New Roman" w:eastAsia="Times New Roman" w:hAnsi="Times New Roman"/>
          <w:sz w:val="18"/>
          <w:szCs w:val="18"/>
          <w:color w:val="auto"/>
        </w:rPr>
        <w:t>. A certificate, dated such Option Closing Date, of the principal executive officer of the Company and of the principal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officer of the Company confirming that the certificate delivered on the Closing Date pursuant to Section 5(e) hereof remains true and correct as of such Option Closing Date.</w:t>
      </w:r>
    </w:p>
    <w:p>
      <w:pPr>
        <w:spacing w:after="0" w:line="65" w:lineRule="exact"/>
        <w:rPr>
          <w:rFonts w:ascii="Times New Roman" w:cs="Times New Roman" w:eastAsia="Times New Roman" w:hAnsi="Times New Roman"/>
          <w:sz w:val="18"/>
          <w:szCs w:val="18"/>
          <w:color w:val="auto"/>
        </w:rPr>
      </w:pPr>
    </w:p>
    <w:p>
      <w:pPr>
        <w:ind w:left="440" w:right="60" w:firstLine="419"/>
        <w:spacing w:after="0" w:line="261" w:lineRule="auto"/>
        <w:tabs>
          <w:tab w:leader="none" w:pos="1128"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Opinion of Counsel for Company</w:t>
      </w:r>
      <w:r>
        <w:rPr>
          <w:rFonts w:ascii="Times New Roman" w:cs="Times New Roman" w:eastAsia="Times New Roman" w:hAnsi="Times New Roman"/>
          <w:sz w:val="18"/>
          <w:szCs w:val="18"/>
          <w:color w:val="auto"/>
        </w:rPr>
        <w:t>. If requested by the Managers, the opinion and negative assurance letter, of Fenwick &amp; West LLP,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counsel for the Company, in form and substance reasonably satisfactory to counsel for the Underwriters, dated such Option Closing Date, relating to the Additional Shares to be purchased on such Option Closing Date and otherwise to the same effect as the opinion and negative assurance letter required by Section 5(b) hereof.</w:t>
      </w:r>
    </w:p>
    <w:p>
      <w:pPr>
        <w:spacing w:after="0" w:line="71" w:lineRule="exact"/>
        <w:rPr>
          <w:rFonts w:ascii="Times New Roman" w:cs="Times New Roman" w:eastAsia="Times New Roman" w:hAnsi="Times New Roman"/>
          <w:sz w:val="18"/>
          <w:szCs w:val="18"/>
          <w:color w:val="auto"/>
        </w:rPr>
      </w:pPr>
    </w:p>
    <w:p>
      <w:pPr>
        <w:ind w:left="440" w:right="100" w:firstLine="419"/>
        <w:spacing w:after="0" w:line="267" w:lineRule="auto"/>
        <w:tabs>
          <w:tab w:leader="none" w:pos="1178"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Opinion of Intellectual Property Counsel for the Company</w:t>
      </w:r>
      <w:r>
        <w:rPr>
          <w:rFonts w:ascii="Times New Roman" w:cs="Times New Roman" w:eastAsia="Times New Roman" w:hAnsi="Times New Roman"/>
          <w:sz w:val="18"/>
          <w:szCs w:val="18"/>
          <w:color w:val="auto"/>
        </w:rPr>
        <w:t>. If requested by the Managers, the opinion of Wilson, Sonsini, Goodrich &amp;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Rosati, P.C., intellectual property counsel for the Company, in form and substance satisfactory to counsel for the Underwriters, dated such Option Closing Date, to the same effect as the opinion required by Section 5(c) hereof.</w:t>
      </w:r>
    </w:p>
    <w:p>
      <w:pPr>
        <w:spacing w:after="0" w:line="65" w:lineRule="exact"/>
        <w:rPr>
          <w:rFonts w:ascii="Times New Roman" w:cs="Times New Roman" w:eastAsia="Times New Roman" w:hAnsi="Times New Roman"/>
          <w:sz w:val="18"/>
          <w:szCs w:val="18"/>
          <w:color w:val="auto"/>
        </w:rPr>
      </w:pPr>
    </w:p>
    <w:p>
      <w:pPr>
        <w:ind w:left="440" w:right="20" w:firstLine="419"/>
        <w:spacing w:after="0" w:line="267" w:lineRule="auto"/>
        <w:tabs>
          <w:tab w:leader="none" w:pos="1168"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Opinion of Counsel for Underwriters</w:t>
      </w:r>
      <w:r>
        <w:rPr>
          <w:rFonts w:ascii="Times New Roman" w:cs="Times New Roman" w:eastAsia="Times New Roman" w:hAnsi="Times New Roman"/>
          <w:sz w:val="18"/>
          <w:szCs w:val="18"/>
          <w:color w:val="auto"/>
        </w:rPr>
        <w:t>. If requested by the Managers, the opinion, and negative assurance letter, of Latham &amp; Watkins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LLP counsel for the Underwriters, each dated such Option Closing Date, relating to the Additional Shares to be purchased on such Option Closing Date and otherwise to the same effect as the opinion and negative assurance letter required by Section 5(d) hereof.</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68" w:right="459" w:bottom="1440" w:gutter="0" w:footer="0" w:header="0"/>
        </w:sectPr>
      </w:pPr>
    </w:p>
    <w:bookmarkStart w:id="22" w:name="page23"/>
    <w:bookmarkEnd w:id="22"/>
    <w:p>
      <w:pPr>
        <w:jc w:val="both"/>
        <w:ind w:left="420" w:right="220" w:firstLine="419"/>
        <w:spacing w:after="0" w:line="261" w:lineRule="auto"/>
        <w:tabs>
          <w:tab w:leader="none" w:pos="109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Bring-down Comfort Letter</w:t>
      </w:r>
      <w:r>
        <w:rPr>
          <w:rFonts w:ascii="Times New Roman" w:cs="Times New Roman" w:eastAsia="Times New Roman" w:hAnsi="Times New Roman"/>
          <w:sz w:val="18"/>
          <w:szCs w:val="18"/>
          <w:color w:val="auto"/>
        </w:rPr>
        <w:t>. If requested by the Managers, a letter from Ernst &amp; Young LLP, in form and substance satisfactory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Managers and dated such Option Closing Date, substantially in the same form and substance as the letter furnished to the Managers pursuant to Section 5(f), except that the “specified date” in the letter furnished pursuant to this paragraph shall be a date not more than three business days prior to such Option Closing Date.</w:t>
      </w:r>
    </w:p>
    <w:p>
      <w:pPr>
        <w:spacing w:after="0" w:line="71" w:lineRule="exact"/>
        <w:rPr>
          <w:rFonts w:ascii="Times New Roman" w:cs="Times New Roman" w:eastAsia="Times New Roman" w:hAnsi="Times New Roman"/>
          <w:sz w:val="18"/>
          <w:szCs w:val="18"/>
          <w:color w:val="auto"/>
        </w:rPr>
      </w:pPr>
    </w:p>
    <w:p>
      <w:pPr>
        <w:ind w:left="420" w:right="60" w:firstLine="419"/>
        <w:spacing w:after="0" w:line="267" w:lineRule="auto"/>
        <w:tabs>
          <w:tab w:leader="none" w:pos="114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Chief Financial Officer’s Certificate</w:t>
      </w:r>
      <w:r>
        <w:rPr>
          <w:rFonts w:ascii="Times New Roman" w:cs="Times New Roman" w:eastAsia="Times New Roman" w:hAnsi="Times New Roman"/>
          <w:sz w:val="18"/>
          <w:szCs w:val="18"/>
          <w:color w:val="auto"/>
        </w:rPr>
        <w:t>. If requested by the Managers, a certificate, signed on behalf of the Company by the 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Officer of the Company, dated as of such Option Closing Date, confirming that the certificate delivered on the Closing Date pursuant to Section 5(k) hereof remains true and correct as of such Option Closing Date.</w:t>
      </w:r>
    </w:p>
    <w:p>
      <w:pPr>
        <w:spacing w:after="0" w:line="65" w:lineRule="exact"/>
        <w:rPr>
          <w:rFonts w:ascii="Times New Roman" w:cs="Times New Roman" w:eastAsia="Times New Roman" w:hAnsi="Times New Roman"/>
          <w:sz w:val="18"/>
          <w:szCs w:val="18"/>
          <w:color w:val="auto"/>
        </w:rPr>
      </w:pPr>
    </w:p>
    <w:p>
      <w:pPr>
        <w:jc w:val="both"/>
        <w:ind w:left="420" w:firstLine="419"/>
        <w:spacing w:after="0" w:line="267" w:lineRule="auto"/>
        <w:tabs>
          <w:tab w:leader="none" w:pos="119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Acquired Company’s Chief Financial Officer’s Certificate</w:t>
      </w:r>
      <w:r>
        <w:rPr>
          <w:rFonts w:ascii="Times New Roman" w:cs="Times New Roman" w:eastAsia="Times New Roman" w:hAnsi="Times New Roman"/>
          <w:sz w:val="18"/>
          <w:szCs w:val="18"/>
          <w:color w:val="auto"/>
        </w:rPr>
        <w:t>. If requested by the Managers, a certificate, signed on behalf of the Acquired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by the Chief Financial Officer of the Acquired Company, dated as of such Option Closing Date, confirming that the certificate delivered on the Closing Date pursuant to Section 5(l) hereof remains true and correct as of such Option Closing Date.</w:t>
      </w:r>
    </w:p>
    <w:p>
      <w:pPr>
        <w:spacing w:after="0" w:line="173" w:lineRule="exact"/>
        <w:rPr>
          <w:sz w:val="20"/>
          <w:szCs w:val="20"/>
          <w:color w:val="auto"/>
        </w:rPr>
      </w:pPr>
    </w:p>
    <w:p>
      <w:pPr>
        <w:ind w:left="-20" w:right="80" w:firstLine="436"/>
        <w:spacing w:after="0" w:line="258" w:lineRule="auto"/>
        <w:tabs>
          <w:tab w:leader="none" w:pos="67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Additional Documents</w:t>
      </w:r>
      <w:r>
        <w:rPr>
          <w:rFonts w:ascii="Times New Roman" w:cs="Times New Roman" w:eastAsia="Times New Roman" w:hAnsi="Times New Roman"/>
          <w:sz w:val="18"/>
          <w:szCs w:val="18"/>
          <w:color w:val="auto"/>
        </w:rPr>
        <w:t>. On the Closing Date and each Option Closing Date (if any) counsel for the Underwriters shall have been furnished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such documents and opinions as they may reasonably require for the purpose of enabling them to pass upon the issuance and sale of the Shares as herein contemplated, or in order to evidence the accuracy of any of the representations or warranties, or the fulfillment of any of the conditions, herein contained; and all proceedings taken by the Company in connection with the issuance and sale of the Shares as herein contemplated shall be reasonably satisfactory in form and substance to the Managers and counsel for the Underwriters.</w:t>
      </w:r>
    </w:p>
    <w:p>
      <w:pPr>
        <w:spacing w:after="0" w:line="18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6. </w:t>
      </w:r>
      <w:r>
        <w:rPr>
          <w:rFonts w:ascii="Times New Roman" w:cs="Times New Roman" w:eastAsia="Times New Roman" w:hAnsi="Times New Roman"/>
          <w:sz w:val="18"/>
          <w:szCs w:val="18"/>
          <w:i w:val="1"/>
          <w:iCs w:val="1"/>
          <w:color w:val="auto"/>
        </w:rPr>
        <w:t>Covenants of the Company</w:t>
      </w:r>
      <w:r>
        <w:rPr>
          <w:rFonts w:ascii="Times New Roman" w:cs="Times New Roman" w:eastAsia="Times New Roman" w:hAnsi="Times New Roman"/>
          <w:sz w:val="18"/>
          <w:szCs w:val="18"/>
          <w:color w:val="auto"/>
        </w:rPr>
        <w:t>. The Company covenants with each Underwriter as follows:</w:t>
      </w:r>
    </w:p>
    <w:p>
      <w:pPr>
        <w:spacing w:after="0" w:line="119" w:lineRule="exact"/>
        <w:rPr>
          <w:sz w:val="20"/>
          <w:szCs w:val="20"/>
          <w:color w:val="auto"/>
        </w:rPr>
      </w:pPr>
    </w:p>
    <w:p>
      <w:pPr>
        <w:ind w:left="-20" w:right="20" w:firstLine="436"/>
        <w:spacing w:after="0" w:line="261" w:lineRule="auto"/>
        <w:tabs>
          <w:tab w:leader="none" w:pos="66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furnish to the Managers, without charge, a signed copy of the Registration Statement (including exhibits thereto and documents incorporated by reference therein) and to deliver to each of the Underwriters during the period mentioned in Section 6(e) or 6(f) below, as many copies of the Time of Sale Prospectus, the Prospectus, any documents incorporated by reference therein and any supplements and amendments thereto or to the Registration Statement as the Managers may reasonably request.</w:t>
      </w:r>
    </w:p>
    <w:p>
      <w:pPr>
        <w:spacing w:after="0" w:line="179" w:lineRule="exact"/>
        <w:rPr>
          <w:rFonts w:ascii="Times New Roman" w:cs="Times New Roman" w:eastAsia="Times New Roman" w:hAnsi="Times New Roman"/>
          <w:sz w:val="18"/>
          <w:szCs w:val="18"/>
          <w:color w:val="auto"/>
        </w:rPr>
      </w:pPr>
    </w:p>
    <w:p>
      <w:pPr>
        <w:ind w:left="-20" w:right="140" w:firstLine="436"/>
        <w:spacing w:after="0" w:line="266" w:lineRule="auto"/>
        <w:tabs>
          <w:tab w:leader="none" w:pos="67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amending or supplementing the Registration Statement, the Time of Sale Prospectus or the Prospectus, to furnish to the Managers a copy of each such proposed amendment or supplement and not to file any such proposed amendment or supplement to which the Managers reasonably object.</w:t>
      </w:r>
    </w:p>
    <w:p>
      <w:pPr>
        <w:spacing w:after="0" w:line="175" w:lineRule="exact"/>
        <w:rPr>
          <w:rFonts w:ascii="Times New Roman" w:cs="Times New Roman" w:eastAsia="Times New Roman" w:hAnsi="Times New Roman"/>
          <w:sz w:val="18"/>
          <w:szCs w:val="18"/>
          <w:color w:val="auto"/>
        </w:rPr>
      </w:pPr>
    </w:p>
    <w:p>
      <w:pPr>
        <w:ind w:left="-20" w:right="280" w:firstLine="436"/>
        <w:spacing w:after="0" w:line="282" w:lineRule="auto"/>
        <w:tabs>
          <w:tab w:leader="none" w:pos="66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furnish to the Managers a copy of each proposed free writing prospectus to be prepared by or on behalf of, used by, or referred to by the Company and not to use or refer to any proposed free writing prospectus to which the Managers reasonably object.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60"/>
          </w:cols>
          <w:pgMar w:left="460" w:top="268" w:right="479" w:bottom="1440" w:gutter="0" w:footer="0" w:header="0"/>
        </w:sectPr>
      </w:pPr>
    </w:p>
    <w:bookmarkStart w:id="23" w:name="page24"/>
    <w:bookmarkEnd w:id="23"/>
    <w:p>
      <w:pPr>
        <w:ind w:right="60" w:firstLine="436"/>
        <w:spacing w:after="0" w:line="266" w:lineRule="auto"/>
        <w:tabs>
          <w:tab w:leader="none" w:pos="6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 to take any action that would result in an Underwriter or the Company being required to file with the Commission pursuant to Rule 433(d) under the Securities Act a free writing prospectus prepared by or on behalf of the Underwriter that the Underwriter otherwise would not have been required to file thereunder.</w:t>
      </w:r>
    </w:p>
    <w:p>
      <w:pPr>
        <w:spacing w:after="0" w:line="175" w:lineRule="exact"/>
        <w:rPr>
          <w:rFonts w:ascii="Times New Roman" w:cs="Times New Roman" w:eastAsia="Times New Roman" w:hAnsi="Times New Roman"/>
          <w:sz w:val="18"/>
          <w:szCs w:val="18"/>
          <w:color w:val="auto"/>
        </w:rPr>
      </w:pPr>
    </w:p>
    <w:p>
      <w:pPr>
        <w:ind w:right="60" w:firstLine="436"/>
        <w:spacing w:after="0" w:line="253" w:lineRule="auto"/>
        <w:tabs>
          <w:tab w:leader="none" w:pos="68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Time of Sale Prospectus is being used to solicit offers to buy the Shares at a time when the Prospectus is not yet available to prospective purchasers and any event shall occur or condition exist as a result of which it is necessary to amend or supplement the Time of Sale Prospectus in order to make the statements therein, in the light of the circumstances, not misleading, or if any event shall occur or condition exist as a result of which the Time of Sale Prospectus conflicts with the information contained in the Registration Statement then on file, or if, in the opinion of counsel for the Underwriters, it is necessary to amend or supplement the Time of Sale Prospectus to comply with applicable law, forthwith to prepare, file with the Commission and furnish, at its own expense, to the Underwriters and to any dealer upon request, either amendments or supplements to the Time of Sale Prospectus so that the statements in the Time of Sale Prospectus as so amended or supplemented will not, in the light of the circumstances when the Time of Sale Prospectus is delivered to a prospective purchaser, be misleading or so that the Time of Sale Prospectus, as amended or supplemented, will no longer conflict with the Registration Statement, or so that the Time of Sale Prospectus, as amended or supplemented, will comply with applicable law.</w:t>
      </w:r>
    </w:p>
    <w:p>
      <w:pPr>
        <w:spacing w:after="0" w:line="194" w:lineRule="exact"/>
        <w:rPr>
          <w:rFonts w:ascii="Times New Roman" w:cs="Times New Roman" w:eastAsia="Times New Roman" w:hAnsi="Times New Roman"/>
          <w:sz w:val="18"/>
          <w:szCs w:val="18"/>
          <w:color w:val="auto"/>
        </w:rPr>
      </w:pPr>
    </w:p>
    <w:p>
      <w:pPr>
        <w:ind w:firstLine="436"/>
        <w:spacing w:after="0" w:line="253" w:lineRule="auto"/>
        <w:tabs>
          <w:tab w:leader="none" w:pos="66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during such period after the first date of the public offering of the Shares as in the opinion of counsel for the Underwriters the Prospectus (or in lieu thereof the notice referred to in Rule 173(a) of the Securities Act) is required by law to be delivered in connection with sales by an Underwriter or dealer, any event shall occur or condition exist as a result of which it is necessary to amend or supplement the Prospectus in order to make the statements therein, in the light of the circumstances when the Prospectus (or in lieu thereof the notice referred to in Rule 173(a) of the Securities Act) is delivered to a purchaser, not misleading, or if, in the opinion of counsel for the Underwriters, it is necessary to amend or supplement the Prospectus to comply with applicable law, forthwith to prepare, file with the Commission and furnish, at its own expense, to the Underwriters and to the dealers (whose names and addresses the Managers will furnish to the Company) to which Shares may have been sold by the Managers on behalf of the Underwriters and to any other dealers upon request, either amendments or supplements to the Prospectus so that the statements in the Prospectus as so amended or supplemented will not, in the light of the circumstances when the Prospectus (or in lieu thereof the notice referred to in Rule 173(a) of the Securities Act) is delivered to a purchaser, be misleading or so that the Prospectus, as amended or supplemented, will comply with applicable law.</w:t>
      </w:r>
    </w:p>
    <w:p>
      <w:pPr>
        <w:spacing w:after="0" w:line="194" w:lineRule="exact"/>
        <w:rPr>
          <w:rFonts w:ascii="Times New Roman" w:cs="Times New Roman" w:eastAsia="Times New Roman" w:hAnsi="Times New Roman"/>
          <w:sz w:val="18"/>
          <w:szCs w:val="18"/>
          <w:color w:val="auto"/>
        </w:rPr>
      </w:pPr>
    </w:p>
    <w:p>
      <w:pPr>
        <w:ind w:right="800" w:firstLine="436"/>
        <w:spacing w:after="0" w:line="282" w:lineRule="auto"/>
        <w:tabs>
          <w:tab w:leader="none" w:pos="6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endeavor to qualify the Shares for offer and sale under the securities or Blue Sky laws of such jurisdictions as the Managers shall reasonably request.</w:t>
      </w:r>
    </w:p>
    <w:p>
      <w:pPr>
        <w:spacing w:after="0" w:line="161" w:lineRule="exact"/>
        <w:rPr>
          <w:rFonts w:ascii="Times New Roman" w:cs="Times New Roman" w:eastAsia="Times New Roman" w:hAnsi="Times New Roman"/>
          <w:sz w:val="18"/>
          <w:szCs w:val="18"/>
          <w:color w:val="auto"/>
        </w:rPr>
      </w:pPr>
    </w:p>
    <w:p>
      <w:pPr>
        <w:ind w:right="80" w:firstLine="436"/>
        <w:spacing w:after="0" w:line="266" w:lineRule="auto"/>
        <w:tabs>
          <w:tab w:leader="none" w:pos="6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generally available to the Company’s security holders and to the Managers as soon as practicable an earning statement covering a period of at least twelve months beginning with the first fiscal quarter of the Company occurring after the date of this Agreement which shall satisfy the provisions of Section 11(a) of the Securities Act and the rules and regulations of the Commission thereunder.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20"/>
          </w:cols>
          <w:pgMar w:left="440" w:top="270" w:right="439" w:bottom="1440" w:gutter="0" w:footer="0" w:header="0"/>
        </w:sectPr>
      </w:pPr>
    </w:p>
    <w:bookmarkStart w:id="24" w:name="page25"/>
    <w:bookmarkEnd w:id="24"/>
    <w:p>
      <w:pPr>
        <w:ind w:left="-20" w:firstLine="436"/>
        <w:spacing w:after="0" w:line="251" w:lineRule="auto"/>
        <w:tabs>
          <w:tab w:leader="none" w:pos="6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Whether or not the transactions contemplated in this Agreement are consummated or this Agreement is terminated, to pay or cause to be paid all expenses incident to the performance of its obligations under this Agreement, including: (i) the preparation, printing and filing of the Registration Statement (including financial statements and exhibits) as originally filed and each amendment thereto, (ii) the preparation, printing and delivery to the Underwriters of copies of each preliminary prospectus, each free writing prospectus and the Prospectus and any amendments or supplements thereto and any costs associated with electronic delivery of any of the foregoing by the Underwriters to investors, (iii) the preparation, issuance and delivery of the certificates, if any, for the Shares to the Underwriters, including any stock or other transfer taxes and any stamp or other duties payable upon the sale, issuance or delivery of the Shares to the Underwriters, (iv) the fees and disbursements of the Company’s counsel, accountants and other advisors, (v) the qualification of the Shares under securities laws in accordance with the provisions of Section 6(g) hereof, including filing fees and the reasonable and documented fees and disbursements of counsel for the Underwriters in connection therewith and in connection with the preparation of a “Blue Sky Survey” and any supplement thereto (up to a maximum aggregate amount of $2,500 for the reasonable and documented fees and disbursements of counsel for the Underwriters), (vi) the fees and expenses of any transfer agent or registrar for the Shares, (vii) the costs and expenses of the Company relating to investor presentations on any “road show” undertaken in connection with the marketing of the Shares, including without limitation, expenses associated with the production of road show slides and graphics, fees and expenses of any consultants engaged by the Company in connection with the road show presentations, travel and lodging expenses of the representatives and officers of the Company and any such consultants, and one-half of the cost of aircraft and other transportation chartered in connection with the road show, (viii) the filing fees incident to, and the reasonable and documented fees and disbursements of counsel to the Underwriters in connection with, the review by FINRA of the terms of the sale of the Shares (up to a maximum aggregate amount of $15,000 for the reasonable and documented fees and disbursements of counsel for the Underwriters), (ix) the fees and expenses incurred in connection with the listing of the Shares on The Nasdaq Global Market, and (x) the other costs and expenses incident to the performance of the obligations of the Company hereunder for which provision is not otherwise made in this Section. It is understood, however, that except as provided in this Section, Section 8 entitled “Indemnity and Contribution” and the last paragraph of Section 10 below, the Underwriters will pay all of their costs and expenses, including fees and disbursements of their counsel, stock transfer taxes payable on resale of any of the Shares by them and any advertising expenses connected with any offers they may make.</w:t>
      </w:r>
    </w:p>
    <w:p>
      <w:pPr>
        <w:spacing w:after="0" w:line="205" w:lineRule="exact"/>
        <w:rPr>
          <w:rFonts w:ascii="Times New Roman" w:cs="Times New Roman" w:eastAsia="Times New Roman" w:hAnsi="Times New Roman"/>
          <w:sz w:val="18"/>
          <w:szCs w:val="18"/>
          <w:color w:val="auto"/>
        </w:rPr>
      </w:pPr>
    </w:p>
    <w:p>
      <w:pPr>
        <w:ind w:left="-20" w:right="80" w:firstLine="436"/>
        <w:spacing w:after="0" w:line="261" w:lineRule="auto"/>
        <w:tabs>
          <w:tab w:leader="none" w:pos="6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third anniversary of the initial effective date of the Registration Statement occurs before all the Shares have been sold by the Underwriters, prior to the third anniversary to file a new shelf registration statement and to take any other action necessary to permit the public offering of the Shares to continue without interruption; references herein to the Registration Statement shall include the new registration statement declared effective by the Commission or which goes effective automatically upon filing.</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60"/>
          </w:cols>
          <w:pgMar w:left="460" w:top="270" w:right="479" w:bottom="1440" w:gutter="0" w:footer="0" w:header="0"/>
        </w:sectPr>
      </w:pPr>
    </w:p>
    <w:bookmarkStart w:id="25" w:name="page26"/>
    <w:bookmarkEnd w:id="25"/>
    <w:p>
      <w:pPr>
        <w:ind w:right="60" w:firstLine="436"/>
        <w:spacing w:after="0" w:line="266" w:lineRule="auto"/>
        <w:tabs>
          <w:tab w:leader="none" w:pos="69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requested by the Managers, to prepare a final term sheet relating to the offering of the Shares, containing only information that describes the final terms of the offering in a form consented to by the Managers, and to file such final term sheet within the period required by Rule 433(d)(5)(ii) under the Securities Act following the date the final terms have been established for the offering of the Shares.</w:t>
      </w:r>
    </w:p>
    <w:p>
      <w:pPr>
        <w:spacing w:after="0" w:line="175" w:lineRule="exact"/>
        <w:rPr>
          <w:rFonts w:ascii="Times New Roman" w:cs="Times New Roman" w:eastAsia="Times New Roman" w:hAnsi="Times New Roman"/>
          <w:sz w:val="18"/>
          <w:szCs w:val="18"/>
          <w:color w:val="auto"/>
        </w:rPr>
      </w:pPr>
    </w:p>
    <w:p>
      <w:pPr>
        <w:ind w:right="480" w:firstLine="436"/>
        <w:spacing w:after="0" w:line="261"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requested by the Managers, the Company will deliver to each Underwriter (or its agent), on the date of execution of this Agreement, a properly completed and executed Certification Regarding Beneficial Owners of Legal Entity Customers, together with copies of identifying documentation, and the Company undertakes to provide such additional supporting documentation as each Underwriter may reasonably request in connection with the verification of the foregoing Certification.</w:t>
      </w:r>
    </w:p>
    <w:p>
      <w:pPr>
        <w:spacing w:after="0" w:line="179" w:lineRule="exact"/>
        <w:rPr>
          <w:rFonts w:ascii="Times New Roman" w:cs="Times New Roman" w:eastAsia="Times New Roman" w:hAnsi="Times New Roman"/>
          <w:sz w:val="18"/>
          <w:szCs w:val="18"/>
          <w:color w:val="auto"/>
        </w:rPr>
      </w:pPr>
    </w:p>
    <w:p>
      <w:pPr>
        <w:ind w:right="580" w:firstLine="436"/>
        <w:spacing w:after="0" w:line="282" w:lineRule="auto"/>
        <w:tabs>
          <w:tab w:leader="none" w:pos="74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use the net proceeds received by it from the sale of the Shares in all material respects in the manner specified in the Registration Statement and the Time of Sale Prospectus under the heading “Use of Proceeds.”</w:t>
      </w:r>
    </w:p>
    <w:p>
      <w:pPr>
        <w:spacing w:after="0" w:line="162"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The Company also covenants with each Underwriter that, without the prior written consent of the Managers identified in Schedule I with the authorization to release this lock-up on behalf of the Underwriters, it will not, during the restricted period set forth in Schedule I hereto (the “</w:t>
      </w:r>
      <w:r>
        <w:rPr>
          <w:rFonts w:ascii="Times New Roman" w:cs="Times New Roman" w:eastAsia="Times New Roman" w:hAnsi="Times New Roman"/>
          <w:sz w:val="18"/>
          <w:szCs w:val="18"/>
          <w:b w:val="1"/>
          <w:bCs w:val="1"/>
          <w:color w:val="auto"/>
        </w:rPr>
        <w:t>Restricted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Period</w:t>
      </w:r>
      <w:r>
        <w:rPr>
          <w:rFonts w:ascii="Times New Roman" w:cs="Times New Roman" w:eastAsia="Times New Roman" w:hAnsi="Times New Roman"/>
          <w:sz w:val="18"/>
          <w:szCs w:val="18"/>
          <w:color w:val="auto"/>
        </w:rPr>
        <w:t>”), (1) offer, pledge, sell, contract to sell, sell any option or contract to purchase, purchase any option or contract to sell, grant any option, right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warrant to purchase, lend, or otherwise transfer or dispose of, directly or indirectly, any shares of Common Stock or any securities convertible into or exercisable or exchangeable for Common Stock or (2) enter into any swap or other arrangement that transfers to another, in whole or in part, any of the economic consequences of ownership of the Common Stock, whether any such transaction described in clause (1) or (2) above is to be settled by delivery of Common Stock or such other securities, in cash or otherwise or (3) file any registration statement with the Commission relating to the offering of any shares of Common Stock or any securities convertible into or exercisable or exchangeable for Common Stock. The foregoing sentence shall not apply to (a) the Shares to be sold hereunder, (b) the issuance by the Company of shares of Common Stock upon the exercise of an option or warrant or the conversion of a security outstanding on the date hereof of which the Underwriters have been advised in writing, (c) any shares of Common Stock issued or options to purchase Common Stock or restricted stock units granted pursuant to existing employee benefit plans of the Company referred to in the Registration Statement or the Time of Sale Prospectus; (d) any shares of Common Stock issued pursuant to any existing non-employee director stock plan or dividend reinvestment plan referred to in the Registration Statement and the Time of Sale Prospectus; (e) the sale or issuance of or entry into an agreement providing for the issuance of shares of Common Stock or any security convertible into or exercisable for shares of Common Stock in connection with the acquisition by the Company of the securities, business or assets of another person or entity or pursuant to an employee benefit plan assumed by the Company in connection</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70" w:right="459" w:bottom="1440" w:gutter="0" w:footer="0" w:header="0"/>
        </w:sectPr>
      </w:pPr>
    </w:p>
    <w:bookmarkStart w:id="26" w:name="page27"/>
    <w:bookmarkEnd w:id="26"/>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with such acquisition, or in connection with joint ventures, commercial relationships or other strategic transactions;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aggregate number of shares of Common Stock that the Company may sell or issue or agree to sell or issue pursuant to this clause (e) shall not exceed 5% of the total number of shares of Common Stock issued and outstanding immediately following the completion of the transactions contemplated by this Agreement, and provided further, that the Company shall cause each recipient of such shares or other securities to execute and deliver to the Managers, on or prior to such issuance, a lock-up agreement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(f) the filing of any registration statement on Form S-8 relating to securities granted or to be granted pursuant to existing employee benefit plans of the Company referred to in the Registration Statement and the Time of Sale Prospectus; or (g) establishment of a trading plan pursuant to Rule 10b5-1 under the Exchange Act for the transfer of shares of Common Stock, provided that (i) such plan does not provide for the transfer of Common Stock during the Restricted Period and (ii) to the extent a public announcement or filing under the Exchange Act, if any, is required of or voluntarily made by the Company regarding the establishment of such plan, such announcement or filing shall include a statement to the effect that no transfer of Common Stock may be made under such plan during the Restricted Period.</w:t>
      </w:r>
    </w:p>
    <w:p>
      <w:pPr>
        <w:spacing w:after="0" w:line="192" w:lineRule="exact"/>
        <w:rPr>
          <w:sz w:val="20"/>
          <w:szCs w:val="20"/>
          <w:color w:val="auto"/>
        </w:rPr>
      </w:pPr>
    </w:p>
    <w:p>
      <w:pPr>
        <w:ind w:right="340" w:firstLine="436"/>
        <w:spacing w:after="0" w:line="267" w:lineRule="auto"/>
        <w:tabs>
          <w:tab w:leader="none" w:pos="6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Covenants of the Underwriters</w:t>
      </w:r>
      <w:r>
        <w:rPr>
          <w:rFonts w:ascii="Times New Roman" w:cs="Times New Roman" w:eastAsia="Times New Roman" w:hAnsi="Times New Roman"/>
          <w:sz w:val="18"/>
          <w:szCs w:val="18"/>
          <w:color w:val="auto"/>
        </w:rPr>
        <w:t>. Each Underwriter severally covenants with the Company not to take any action that would result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being required to file with the Commission under Rule 433(d) a free writing prospectus prepared by or on behalf of such Underwriter that otherwise would not be required to be filed by the Company thereunder, but for the action of the Underwriter.</w:t>
      </w:r>
    </w:p>
    <w:p>
      <w:pPr>
        <w:spacing w:after="0" w:line="173" w:lineRule="exact"/>
        <w:rPr>
          <w:rFonts w:ascii="Times New Roman" w:cs="Times New Roman" w:eastAsia="Times New Roman" w:hAnsi="Times New Roman"/>
          <w:sz w:val="18"/>
          <w:szCs w:val="18"/>
          <w:color w:val="auto"/>
        </w:rPr>
      </w:pPr>
    </w:p>
    <w:p>
      <w:pPr>
        <w:ind w:right="20" w:firstLine="436"/>
        <w:spacing w:after="0" w:line="253" w:lineRule="auto"/>
        <w:tabs>
          <w:tab w:leader="none" w:pos="6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Indemnity and Contribution. </w:t>
      </w:r>
      <w:r>
        <w:rPr>
          <w:rFonts w:ascii="Times New Roman" w:cs="Times New Roman" w:eastAsia="Times New Roman" w:hAnsi="Times New Roman"/>
          <w:sz w:val="18"/>
          <w:szCs w:val="18"/>
          <w:color w:val="auto"/>
        </w:rPr>
        <w:t>(a) The Company agrees to indemnify and hold harmless each Underwriter, each person, if any, who controls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Underwriter within the meaning of either Section 15 of the Securities Act or Section 20 of the Exchange Act and each affiliate of any Underwriter within the meaning of Rule 405 under the Securities Act from and against any and all losses, claims, damages and liabilities (including, without limitation, any legal or other expenses reasonably incurred in connection with defending or investigating any such action or claim) caused by any untrue statement or alleged untrue statement of a material fact contained in the Registration Statement or any amendment thereof, any preliminary prospectus, the Time of Sale Prospectus or any amendment or supplement thereto, any issuer free writing prospectus as defined in Rule 433(h) under the Securities Act, any Company information that the Company has filed, or is required to file, pursuant to Rule 433(d) under the Securities Act, any “road show” as defined in Rule 433(h) under the Securities Act (a “</w:t>
      </w:r>
      <w:r>
        <w:rPr>
          <w:rFonts w:ascii="Times New Roman" w:cs="Times New Roman" w:eastAsia="Times New Roman" w:hAnsi="Times New Roman"/>
          <w:sz w:val="18"/>
          <w:szCs w:val="18"/>
          <w:b w:val="1"/>
          <w:bCs w:val="1"/>
          <w:color w:val="auto"/>
        </w:rPr>
        <w:t>road show</w:t>
      </w:r>
      <w:r>
        <w:rPr>
          <w:rFonts w:ascii="Times New Roman" w:cs="Times New Roman" w:eastAsia="Times New Roman" w:hAnsi="Times New Roman"/>
          <w:sz w:val="18"/>
          <w:szCs w:val="18"/>
          <w:color w:val="auto"/>
        </w:rPr>
        <w:t>”), or the Prospectus or any amendment or supplement thereto, or caused by any omission or alleged omission to state therein a material fact required to be stated therein or necessary to make the statements therein not misleading, except insofar as such losses, claims, damages or liabilities are caused by any such untrue statement or omission or alleged untrue statement or omission based upon the Underwriter Information.</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440" w:top="268" w:right="459" w:bottom="1440" w:gutter="0" w:footer="0" w:header="0"/>
        </w:sectPr>
      </w:pPr>
    </w:p>
    <w:bookmarkStart w:id="27" w:name="page28"/>
    <w:bookmarkEnd w:id="27"/>
    <w:p>
      <w:pPr>
        <w:ind w:left="-20" w:firstLine="436"/>
        <w:spacing w:after="0" w:line="254" w:lineRule="auto"/>
        <w:tabs>
          <w:tab w:leader="none" w:pos="67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Each Underwriter agrees, severally and not jointly, to indemnify and hold harmless the Company, its directors, its officers who sign the Registration Statement and each person, if any, who controls the Company within the meaning of either Section 15 of the Securities Act or Section 20 of the Exchange Act to the same extent as the foregoing indemnity from the Company to such Underwriter, but only with reference to the written information furnished to the Company by such Underwriter through the Managers expressly for use in the Registration Statement, any preliminary prospectus, the Time of Sale Prospectus, any issuer free writing prospectus, road show, or the Prospectus or any amendment or supplement thereto (such information, the “</w:t>
      </w:r>
      <w:r>
        <w:rPr>
          <w:rFonts w:ascii="Times New Roman" w:cs="Times New Roman" w:eastAsia="Times New Roman" w:hAnsi="Times New Roman"/>
          <w:sz w:val="18"/>
          <w:szCs w:val="18"/>
          <w:b w:val="1"/>
          <w:bCs w:val="1"/>
          <w:color w:val="auto"/>
        </w:rPr>
        <w:t>Underwriter Information</w:t>
      </w:r>
      <w:r>
        <w:rPr>
          <w:rFonts w:ascii="Times New Roman" w:cs="Times New Roman" w:eastAsia="Times New Roman" w:hAnsi="Times New Roman"/>
          <w:sz w:val="18"/>
          <w:szCs w:val="18"/>
          <w:color w:val="auto"/>
        </w:rPr>
        <w:t>”); it being understood and agreed upon that the only such information furnished by any Underwriter consists of the following information in the Prospectus furnished on behalf of each Underwriter: the concession figure appearing in the fifth paragraph under the caption “Underwriting”, and the information contained in the ninth, tenth and eleventh paragraphs under the caption “Underwriting.”</w:t>
      </w:r>
    </w:p>
    <w:p>
      <w:pPr>
        <w:spacing w:after="0" w:line="191" w:lineRule="exact"/>
        <w:rPr>
          <w:rFonts w:ascii="Times New Roman" w:cs="Times New Roman" w:eastAsia="Times New Roman" w:hAnsi="Times New Roman"/>
          <w:sz w:val="18"/>
          <w:szCs w:val="18"/>
          <w:color w:val="auto"/>
        </w:rPr>
      </w:pPr>
    </w:p>
    <w:p>
      <w:pPr>
        <w:ind w:left="-20" w:right="40" w:firstLine="436"/>
        <w:spacing w:after="0" w:line="252" w:lineRule="auto"/>
        <w:tabs>
          <w:tab w:leader="none" w:pos="66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any proceeding (including any governmental investigation) shall be instituted involving any person in respect of which indemnity may be sought pursuant to Section 8(a) or 8(b), such person (the “</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 shall promptly notify the person against whom such indemnity may be sought (the “</w:t>
      </w:r>
      <w:r>
        <w:rPr>
          <w:rFonts w:ascii="Times New Roman" w:cs="Times New Roman" w:eastAsia="Times New Roman" w:hAnsi="Times New Roman"/>
          <w:sz w:val="18"/>
          <w:szCs w:val="18"/>
          <w:b w:val="1"/>
          <w:bCs w:val="1"/>
          <w:color w:val="auto"/>
        </w:rPr>
        <w:t>indemnifying party</w:t>
      </w:r>
      <w:r>
        <w:rPr>
          <w:rFonts w:ascii="Times New Roman" w:cs="Times New Roman" w:eastAsia="Times New Roman" w:hAnsi="Times New Roman"/>
          <w:sz w:val="18"/>
          <w:szCs w:val="18"/>
          <w:color w:val="auto"/>
        </w:rPr>
        <w:t>”) in writing and the indemnifying party, upon request of the indemnified party, shall retain counsel reasonably satisfactory to the indemnified party to represent the indemnified party and any others the indemnifying party may designate in such proceeding and shall pay the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or (ii)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respect of the legal expenses of any indemnified party in connection with any proceeding or related proceedings in the same jurisdiction, be liable for the fees and expenses of more than one separate firm (in addition to any local counsel) for all such indemnified parties and that all such fees and expenses shall be reimbursed as they are incurred. Such firm shall be designated in writing by the Managers authorized to appoint counsel under this Section set forth in Schedule I hereto, in the case of parties indemnified pursuant to Section 8(a), and by the Company, in the case of parties indemnified pursuant to Section 8(b).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Notwithstanding the foregoing sentence, if at any time an indemnified party shall have requested an indemnifying party to reimburse the indemnified party for fees and expenses of counsel as contemplated by the second and third sentences of this paragraph, the indemnifying party agrees that it shall be liable for any settlement of any proceeding effected without its written consent if (i) such settlement is entered into more than 30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60"/>
          </w:cols>
          <w:pgMar w:left="460" w:top="270" w:right="479" w:bottom="1440" w:gutter="0" w:footer="0" w:header="0"/>
        </w:sectPr>
      </w:pPr>
    </w:p>
    <w:bookmarkStart w:id="28" w:name="page29"/>
    <w:bookmarkEnd w:id="28"/>
    <w:p>
      <w:pPr>
        <w:ind w:right="1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w:t>
      </w:r>
    </w:p>
    <w:p>
      <w:pPr>
        <w:spacing w:after="0" w:line="176" w:lineRule="exact"/>
        <w:rPr>
          <w:sz w:val="20"/>
          <w:szCs w:val="20"/>
          <w:color w:val="auto"/>
        </w:rPr>
      </w:pPr>
    </w:p>
    <w:p>
      <w:pPr>
        <w:ind w:right="20" w:firstLine="436"/>
        <w:spacing w:after="0" w:line="252" w:lineRule="auto"/>
        <w:tabs>
          <w:tab w:leader="none" w:pos="69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the indemnification provided for in Section 8(a) or 8(b) is unavailable to an indemnified party or insufficient in respect of any losses, claims, damages or liabilities referred to therein, then each indemnifying party under such paragraph, in lieu of indemnifying such indemnified party thereunder, shall contribute to the amount paid or payable by such indemnified party as a result of such losses, claims, damages or liabilities (i) in such proportion as is appropriate to reflect the relative benefits received by the Company on the one hand and the Underwriters on the other hand from the offering of the Shares or (ii) if the allocation provided by clause 8(d)(i) above is not permitted by applicable law, in such proportion as is appropriate to reflect not only the relative benefits referred to in clause 8(d)(i) above but also the relative fault of the Company on the one hand and of the Underwriters on the other hand in connection with the statements or omissions that resulted in such losses, claims, damages or liabilities, as well as any other relevant equitable considerations. The relative benefits received by the Company on the one hand and the Underwriters on the other hand in connection with the offering of the Shares shall be deemed to be in the same respective proportions as the net proceeds from the offering of the Shares (before deducting expenses) received by the Company and the total underwriting discounts and commissions received by the Underwriters bear to the aggregate initial public offering price of the Shares set forth in the Prospectus. The relative fault of the Company on the one hand and the Underwriters on the other hand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 The Underwriters’ respective obligations to contribute pursuant to this Section 8 are several in proportion to the respective number of Shares they have purchased hereunder, and not joint.</w:t>
      </w:r>
    </w:p>
    <w:p>
      <w:pPr>
        <w:spacing w:after="0" w:line="195" w:lineRule="exact"/>
        <w:rPr>
          <w:rFonts w:ascii="Times New Roman" w:cs="Times New Roman" w:eastAsia="Times New Roman" w:hAnsi="Times New Roman"/>
          <w:sz w:val="18"/>
          <w:szCs w:val="18"/>
          <w:color w:val="auto"/>
        </w:rPr>
      </w:pPr>
    </w:p>
    <w:p>
      <w:pPr>
        <w:ind w:firstLine="436"/>
        <w:spacing w:after="0" w:line="254" w:lineRule="auto"/>
        <w:tabs>
          <w:tab w:leader="none" w:pos="68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and the Underwriters agree that it would not be just or equitable if contribution pursuant to this Section 8 were determined by </w:t>
      </w:r>
      <w:r>
        <w:rPr>
          <w:rFonts w:ascii="Times New Roman" w:cs="Times New Roman" w:eastAsia="Times New Roman" w:hAnsi="Times New Roman"/>
          <w:sz w:val="18"/>
          <w:szCs w:val="18"/>
          <w:i w:val="1"/>
          <w:iCs w:val="1"/>
          <w:color w:val="auto"/>
        </w:rPr>
        <w:t xml:space="preserve">pro rata </w:t>
      </w:r>
      <w:r>
        <w:rPr>
          <w:rFonts w:ascii="Times New Roman" w:cs="Times New Roman" w:eastAsia="Times New Roman" w:hAnsi="Times New Roman"/>
          <w:sz w:val="18"/>
          <w:szCs w:val="18"/>
          <w:color w:val="auto"/>
        </w:rPr>
        <w:t>allocation (even if the Underwriters were treated as one entity for such purpose) or by any other method of allocation that does not take account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equitable considerations referred to in Section 8(d). The amount paid or payable by an indemnified party as a result of the losses, claims, damages and liabilities referred to in Section 8(d) shall be deemed to include, subject to the limitations set forth above, any legal or other expenses reasonably incurred by such indemnified party in connection with investigating or defending any such action or claim. Notwithstanding the provisions of this Section 8, no Underwriter shall be required to contribute any amount in excess of the amount by which the total price at which the Shares underwritten by it and distributed to the public were offered to the public exceeds the amount of any damages that such Underwriter has otherwise been required to pay by reason of such untrue or alleged untrue statement or</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80"/>
          </w:cols>
          <w:pgMar w:left="440" w:top="270" w:right="479" w:bottom="1440" w:gutter="0" w:footer="0" w:header="0"/>
        </w:sectPr>
      </w:pPr>
    </w:p>
    <w:bookmarkStart w:id="29" w:name="page30"/>
    <w:bookmarkEnd w:id="29"/>
    <w:p>
      <w:pPr>
        <w:ind w:left="4" w:right="2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omission or alleged omission. No person guilty of fraudulent misrepresentation (within the meaning of Section 11(f) of the Securities Act) shall be entitled to contribution from any person who was not guilty of such fraudulent misrepresentation. The remedies provided for in this Section 8 are not exclusive and shall not limit any rights or remedies which may otherwise be available to any indemnified party at law or in equity.</w:t>
      </w:r>
    </w:p>
    <w:p>
      <w:pPr>
        <w:spacing w:after="0" w:line="176" w:lineRule="exact"/>
        <w:rPr>
          <w:sz w:val="20"/>
          <w:szCs w:val="20"/>
          <w:color w:val="auto"/>
        </w:rPr>
      </w:pPr>
    </w:p>
    <w:p>
      <w:pPr>
        <w:jc w:val="both"/>
        <w:ind w:left="4" w:right="20" w:firstLine="436"/>
        <w:spacing w:after="0" w:line="261" w:lineRule="auto"/>
        <w:tabs>
          <w:tab w:leader="none" w:pos="66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indemnity and contribution provisions contained in this Section 8 and the representations, warranties and other statements of the Company contained in this Agreement shall remain operative and in full force and effect regardless of (i) any termination of this Agreement, (ii) any investigation made by or on behalf of any Underwriter, any person controlling any Underwriter or any affiliate of any Underwriter or by or on behalf of the Company, its officers or directors or any person controlling the Company and (iii) acceptance of and payment for any of the Shares.</w:t>
      </w:r>
    </w:p>
    <w:p>
      <w:pPr>
        <w:spacing w:after="0" w:line="178" w:lineRule="exact"/>
        <w:rPr>
          <w:sz w:val="20"/>
          <w:szCs w:val="20"/>
          <w:color w:val="auto"/>
        </w:rPr>
      </w:pPr>
    </w:p>
    <w:p>
      <w:pPr>
        <w:ind w:left="4" w:right="40" w:firstLine="436"/>
        <w:spacing w:after="0" w:line="255" w:lineRule="auto"/>
        <w:tabs>
          <w:tab w:leader="none" w:pos="624"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w:t>
      </w:r>
      <w:r>
        <w:rPr>
          <w:rFonts w:ascii="Times New Roman" w:cs="Times New Roman" w:eastAsia="Times New Roman" w:hAnsi="Times New Roman"/>
          <w:sz w:val="18"/>
          <w:szCs w:val="18"/>
          <w:color w:val="auto"/>
        </w:rPr>
        <w:t>. The Underwriters may terminate this Agreement by notice given by the Managers to the Company, if after the execution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delivery of this Agreement and prior to the Closing Date (i) trading generally shall have been suspended or materially limited on, or by, as the case may be, any of the New York Stock Exchange, the NYSE MKT, or The Nasdaq Global Market, the Chicago Board of Options Exchange, the Chicago Mercantile Exchange or the Chicago Board of Trade, (ii) trading of any securities of the Company shall have been suspended on any exchange or in any over-the-counter market, (iii) a material disruption in securities settlement, payment or clearance services in the United States shall have occurred,</w:t>
      </w:r>
    </w:p>
    <w:p>
      <w:pPr>
        <w:ind w:left="4" w:hanging="4"/>
        <w:spacing w:after="0" w:line="273" w:lineRule="auto"/>
        <w:tabs>
          <w:tab w:leader="none" w:pos="309"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moratorium on commercial banking activities shall have been declared by Federal or New York State authorities or (v) there shall have occurred any outbreak or escalation of hostilities, or any change in financial markets, or any calamity or crisis that, in the Managers’ judgment, is material and adverse and which, singly or together with any other event specified in this clause (v), makes it, in the Managers’ judgment, impracticable or inadvisable to proceed with the offer, sale or delivery of the Shares on the terms and in the manner contemplated in the Time of Sale Prospectus or the Prospectus.</w:t>
      </w:r>
    </w:p>
    <w:p>
      <w:pPr>
        <w:spacing w:after="0" w:line="170" w:lineRule="exact"/>
        <w:rPr>
          <w:rFonts w:ascii="Times New Roman" w:cs="Times New Roman" w:eastAsia="Times New Roman" w:hAnsi="Times New Roman"/>
          <w:sz w:val="17"/>
          <w:szCs w:val="17"/>
          <w:color w:val="auto"/>
        </w:rPr>
      </w:pPr>
    </w:p>
    <w:p>
      <w:pPr>
        <w:ind w:left="704" w:hanging="264"/>
        <w:spacing w:after="0"/>
        <w:tabs>
          <w:tab w:leader="none" w:pos="704"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Effectiveness; Defaulting Underwriters</w:t>
      </w:r>
      <w:r>
        <w:rPr>
          <w:rFonts w:ascii="Times New Roman" w:cs="Times New Roman" w:eastAsia="Times New Roman" w:hAnsi="Times New Roman"/>
          <w:sz w:val="18"/>
          <w:szCs w:val="18"/>
          <w:color w:val="auto"/>
        </w:rPr>
        <w:t>. This Agreement shall become effective upon the execution and delivery hereof by the parties hereto.</w:t>
      </w:r>
    </w:p>
    <w:p>
      <w:pPr>
        <w:spacing w:after="0" w:line="227" w:lineRule="exact"/>
        <w:rPr>
          <w:sz w:val="20"/>
          <w:szCs w:val="20"/>
          <w:color w:val="auto"/>
        </w:rPr>
      </w:pPr>
    </w:p>
    <w:p>
      <w:pPr>
        <w:ind w:left="4"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If, on the Closing Date or an Option Closing Date, as the case may be, any one or more of the Underwriters shall fail or refuse to purchase Shares that it has or they have agreed to purchase hereunder on such date, and the aggregate number of Shares which such defaulting Underwriter or Underwriters agreed but failed or refused to purchase is not more than one-tenth of the aggregate number of the Shares to be purchased on such date, the other Underwriters shall be obligated severally in the proportions that the number of Firm Shares set forth opposite their respective names in Schedule II bears to the aggregate number of Firm Shares set forth opposite the names of all such non-defaulting Underwriters, or in such other proportions as the Managers may specify, to purchase the Shares which such defaulting Underwriter or Underwriters agreed but failed or refused to purchase on such date;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in no event shall the number of Shares that any Underwriter has agreed to purchase pursuant to this Agreement be increased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Section 10 by an amount in excess of one-ninth of such number</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4"/>
          </w:cols>
          <w:pgMar w:left="436" w:top="270" w:right="459" w:bottom="1440" w:gutter="0" w:footer="0" w:header="0"/>
        </w:sectPr>
      </w:pPr>
    </w:p>
    <w:bookmarkStart w:id="30" w:name="page31"/>
    <w:bookmarkEnd w:id="30"/>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of Shares without the written consent of such Underwriter. If, on the Closing Date, any Underwriter or Underwriters shall fail or refuse to purchase Firm Shares and the aggregate number of Firm Shares with respect to which such default occurs is more than one-tenth of the aggregate number of Firm Shares to be purchased on such date, and arrangements satisfactory to the Managers and the Company for the purchase of such Firm Shares are not made within 36 hours after such default, this Agreement shall terminate without liability on the part of any non-defaulting Underwriter or the Company. In any such case either the Managers or the Company shall have the right to postpone the Closing Date, but in no event for longer than seven days, in order that the required changes, if any, in the Registration Statement, in the Time of Sale Prospectus, in the Prospectus or in any other documents or arrangements may be effected. If, on an Option Closing Date, any Underwriter or Underwriters shall fail or refuse to purchase Additional Shares and the aggregate number of Additional Shares with respect to which such default occurs is more than one-tenth of the aggregate number of Additional Shares to be purchased on such Option Closing Date, the non-defaulting Underwriters shall have the option to (i) terminate their obligation hereunder to purchase the Additional Shares to be sold on such Option Closing Date or (ii) purchase not less than the number of Additional Shares that such non-defaulting Underwriters would have been obligated to purchase in the absence of such default. Any action taken under this paragraph shall not relieve any defaulting Underwriter from liability in respect of any default of such Underwriter under this Agreement.</w:t>
      </w:r>
    </w:p>
    <w:p>
      <w:pPr>
        <w:spacing w:after="0" w:line="190"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If this Agreement shall be terminated by the Underwriters, or any of them, because of any failure or refusal on the part of the Company to comply with the terms or to fulfill any of the conditions of this Agreement, or if for any reason the Company shall be unable to perform its obligations under this Agreement, the Company will reimburse the Underwriters or such Underwriters as have so terminated this Agreement with respect to themselves, severally, for all out-of-pocket expenses (including the fees and disbursements of their counsel) reasonably incurred by such Underwriters in connection with this Agreement or the offering contemplated hereunder.</w:t>
      </w:r>
    </w:p>
    <w:p>
      <w:pPr>
        <w:spacing w:after="0" w:line="181" w:lineRule="exact"/>
        <w:rPr>
          <w:sz w:val="20"/>
          <w:szCs w:val="20"/>
          <w:color w:val="auto"/>
        </w:rPr>
      </w:pPr>
    </w:p>
    <w:p>
      <w:pPr>
        <w:ind w:right="40" w:firstLine="436"/>
        <w:spacing w:after="0" w:line="261" w:lineRule="auto"/>
        <w:tabs>
          <w:tab w:leader="none" w:pos="70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Entire Agreement</w:t>
      </w:r>
      <w:r>
        <w:rPr>
          <w:rFonts w:ascii="Times New Roman" w:cs="Times New Roman" w:eastAsia="Times New Roman" w:hAnsi="Times New Roman"/>
          <w:sz w:val="18"/>
          <w:szCs w:val="18"/>
          <w:color w:val="auto"/>
        </w:rPr>
        <w:t>. (a) This Agreement, together with any contemporaneous written agreements and any prior written agreements (to the extent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superseded by this Agreement) that relate to the offering of the Shares, represents the entire agreement between the Company and the Underwriters with respect to the preparation of any preliminary prospectus, the Time of Sale Prospectus, the Prospectus, the conduct of the offering, and the purchase and sale of the Shares.</w:t>
      </w:r>
    </w:p>
    <w:p>
      <w:pPr>
        <w:spacing w:after="0" w:line="182" w:lineRule="exact"/>
        <w:rPr>
          <w:sz w:val="20"/>
          <w:szCs w:val="20"/>
          <w:color w:val="auto"/>
        </w:rPr>
      </w:pPr>
    </w:p>
    <w:p>
      <w:pPr>
        <w:ind w:right="100" w:firstLine="436"/>
        <w:spacing w:after="0" w:line="258" w:lineRule="auto"/>
        <w:tabs>
          <w:tab w:leader="none" w:pos="69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acknowledges that in connection with the offering of the Shares: (i) the Underwriters have acted at arms’ length, are not agents of, and owe no fiduciary duties to, the Company or any other person, (ii) the Underwriters owe the Company only those duties and obligations set forth in this Agreement and prior written agreements (to the extent not superseded by this Agreement), if any, and (iii) the Underwriters may have interests that differ from those of the Company. The Company waives to the full extent permitted by applicable law any claims it may have against the Underwriters arising from an alleged breach of fiduciary duty in connection with the offering of the Shares.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0"/>
          </w:cols>
          <w:pgMar w:left="440" w:top="270" w:right="459" w:bottom="1440" w:gutter="0" w:footer="0" w:header="0"/>
        </w:sectPr>
      </w:pPr>
    </w:p>
    <w:bookmarkStart w:id="31" w:name="page32"/>
    <w:bookmarkEnd w:id="31"/>
    <w:p>
      <w:pPr>
        <w:ind w:right="140" w:firstLine="436"/>
        <w:spacing w:after="0" w:line="261" w:lineRule="auto"/>
        <w:tabs>
          <w:tab w:leader="none" w:pos="71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Recognition of the U.S. Special Resolution Regimes. (a) 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w:t>
      </w:r>
    </w:p>
    <w:p>
      <w:pPr>
        <w:spacing w:after="0" w:line="74" w:lineRule="exact"/>
        <w:rPr>
          <w:sz w:val="20"/>
          <w:szCs w:val="20"/>
          <w:color w:val="auto"/>
        </w:rPr>
      </w:pPr>
    </w:p>
    <w:p>
      <w:pPr>
        <w:ind w:left="440" w:right="20" w:hanging="4"/>
        <w:spacing w:after="0" w:line="261" w:lineRule="auto"/>
        <w:tabs>
          <w:tab w:leader="none" w:pos="69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76"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For purposes of this Section a “</w:t>
      </w:r>
      <w:r>
        <w:rPr>
          <w:rFonts w:ascii="Times New Roman" w:cs="Times New Roman" w:eastAsia="Times New Roman" w:hAnsi="Times New Roman"/>
          <w:sz w:val="18"/>
          <w:szCs w:val="18"/>
          <w:b w:val="1"/>
          <w:bCs w:val="1"/>
          <w:color w:val="auto"/>
        </w:rPr>
        <w:t>BHC Act Affiliate</w:t>
      </w:r>
      <w:r>
        <w:rPr>
          <w:rFonts w:ascii="Times New Roman" w:cs="Times New Roman" w:eastAsia="Times New Roman" w:hAnsi="Times New Roman"/>
          <w:sz w:val="18"/>
          <w:szCs w:val="18"/>
          <w:color w:val="auto"/>
        </w:rPr>
        <w:t>” has the meaning assigned to the term “affiliate” in, and shall be interpreted in accordance with, 12 U.S.C. § 1841(k). “</w:t>
      </w:r>
      <w:r>
        <w:rPr>
          <w:rFonts w:ascii="Times New Roman" w:cs="Times New Roman" w:eastAsia="Times New Roman" w:hAnsi="Times New Roman"/>
          <w:sz w:val="18"/>
          <w:szCs w:val="18"/>
          <w:b w:val="1"/>
          <w:bCs w:val="1"/>
          <w:color w:val="auto"/>
        </w:rPr>
        <w:t>Covered Entity</w:t>
      </w:r>
      <w:r>
        <w:rPr>
          <w:rFonts w:ascii="Times New Roman" w:cs="Times New Roman" w:eastAsia="Times New Roman" w:hAnsi="Times New Roman"/>
          <w:sz w:val="18"/>
          <w:szCs w:val="18"/>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w:t>
      </w:r>
      <w:r>
        <w:rPr>
          <w:rFonts w:ascii="Times New Roman" w:cs="Times New Roman" w:eastAsia="Times New Roman" w:hAnsi="Times New Roman"/>
          <w:sz w:val="18"/>
          <w:szCs w:val="18"/>
          <w:b w:val="1"/>
          <w:bCs w:val="1"/>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 “</w:t>
      </w:r>
      <w:r>
        <w:rPr>
          <w:rFonts w:ascii="Times New Roman" w:cs="Times New Roman" w:eastAsia="Times New Roman" w:hAnsi="Times New Roman"/>
          <w:sz w:val="18"/>
          <w:szCs w:val="18"/>
          <w:b w:val="1"/>
          <w:bCs w:val="1"/>
          <w:color w:val="auto"/>
        </w:rPr>
        <w:t>U.S. Special Resolution Regime</w:t>
      </w:r>
      <w:r>
        <w:rPr>
          <w:rFonts w:ascii="Times New Roman" w:cs="Times New Roman" w:eastAsia="Times New Roman" w:hAnsi="Times New Roman"/>
          <w:sz w:val="18"/>
          <w:szCs w:val="18"/>
          <w:color w:val="auto"/>
        </w:rPr>
        <w:t>” means each of (i) the Federal Deposit Insurance Act and the regulations promulgated thereunder and (ii) Title II of the Dodd-Frank Wall Street Reform and Consumer Protection Act and the regulations promulgated thereunder.</w:t>
      </w:r>
    </w:p>
    <w:p>
      <w:pPr>
        <w:spacing w:after="0" w:line="185" w:lineRule="exact"/>
        <w:rPr>
          <w:sz w:val="20"/>
          <w:szCs w:val="20"/>
          <w:color w:val="auto"/>
        </w:rPr>
      </w:pPr>
    </w:p>
    <w:p>
      <w:pPr>
        <w:ind w:right="120" w:firstLine="436"/>
        <w:spacing w:after="0" w:line="258" w:lineRule="auto"/>
        <w:tabs>
          <w:tab w:leader="none" w:pos="71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Counterparts</w:t>
      </w:r>
      <w:r>
        <w:rPr>
          <w:rFonts w:ascii="Times New Roman" w:cs="Times New Roman" w:eastAsia="Times New Roman" w:hAnsi="Times New Roman"/>
          <w:sz w:val="18"/>
          <w:szCs w:val="18"/>
          <w:color w:val="auto"/>
        </w:rPr>
        <w:t>. This Agreement may be signed in two or more counterparts, each of which shall be an original, with the same effect as if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signatures thereto and hereto were upon the same instrument.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183"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Applicable Law</w:t>
      </w:r>
      <w:r>
        <w:rPr>
          <w:rFonts w:ascii="Times New Roman" w:cs="Times New Roman" w:eastAsia="Times New Roman" w:hAnsi="Times New Roman"/>
          <w:sz w:val="18"/>
          <w:szCs w:val="18"/>
          <w:color w:val="auto"/>
        </w:rPr>
        <w:t>. This Agreement shall be governed by and construed in accordance with the internal laws of the State of New York.</w:t>
      </w:r>
    </w:p>
    <w:p>
      <w:pPr>
        <w:spacing w:after="0" w:line="225" w:lineRule="exact"/>
        <w:rPr>
          <w:rFonts w:ascii="Times New Roman" w:cs="Times New Roman" w:eastAsia="Times New Roman" w:hAnsi="Times New Roman"/>
          <w:sz w:val="18"/>
          <w:szCs w:val="18"/>
          <w:color w:val="auto"/>
        </w:rPr>
      </w:pPr>
    </w:p>
    <w:p>
      <w:pPr>
        <w:ind w:right="40" w:firstLine="436"/>
        <w:spacing w:after="0" w:line="284" w:lineRule="auto"/>
        <w:tabs>
          <w:tab w:leader="none" w:pos="71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Headings</w:t>
      </w:r>
      <w:r>
        <w:rPr>
          <w:rFonts w:ascii="Times New Roman" w:cs="Times New Roman" w:eastAsia="Times New Roman" w:hAnsi="Times New Roman"/>
          <w:sz w:val="18"/>
          <w:szCs w:val="18"/>
          <w:color w:val="auto"/>
        </w:rPr>
        <w:t>. The headings of the sections of this Agreement have been inserted for convenience of reference only and shall not be deemed a part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Agreement.</w:t>
      </w:r>
    </w:p>
    <w:p>
      <w:pPr>
        <w:spacing w:after="0" w:line="158" w:lineRule="exact"/>
        <w:rPr>
          <w:rFonts w:ascii="Times New Roman" w:cs="Times New Roman" w:eastAsia="Times New Roman" w:hAnsi="Times New Roman"/>
          <w:sz w:val="18"/>
          <w:szCs w:val="18"/>
          <w:color w:val="auto"/>
        </w:rPr>
      </w:pPr>
    </w:p>
    <w:p>
      <w:pPr>
        <w:ind w:firstLine="436"/>
        <w:spacing w:after="0" w:line="267" w:lineRule="auto"/>
        <w:tabs>
          <w:tab w:leader="none" w:pos="71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All communications hereunder shall be in writing and effective only upon receipt and if to the Underwriters shall be delivered, mailed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sent to the Managers at the address set forth in Schedule I hereto; and if to the Company shall be delivered, mailed or sent to the address set forth in Schedule I hereto.</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0"/>
          </w:cols>
          <w:pgMar w:left="440" w:top="268" w:right="459" w:bottom="1440" w:gutter="0" w:footer="0" w:header="0"/>
        </w:sectPr>
      </w:pPr>
    </w:p>
    <w:bookmarkStart w:id="32" w:name="page33"/>
    <w:bookmarkEnd w:id="32"/>
    <w:p>
      <w:pPr>
        <w:ind w:left="6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Veracyte,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Bonnie H.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Bonnie H. Anderson</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Title: Chairman and Chief Executive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as of the date hereof</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SVB Leerink LLC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Acting severally on behalf of themselves and the several</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Underwriters named in Schedule II hereto.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Goldman Sachs &amp; Co.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Adam T. Greene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Adam T. Greene</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SVB Leerink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Ryan Lindquist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Ryan Lindquist</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5"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i w:val="1"/>
          <w:iCs w:val="1"/>
          <w:color w:val="auto"/>
        </w:rPr>
        <w:t>(Signature Page to Underwriting Agreement)</w:t>
      </w:r>
    </w:p>
    <w:p>
      <w:pPr>
        <w:sectPr>
          <w:pgSz w:w="11900" w:h="16838" w:orient="portrait"/>
          <w:cols w:equalWidth="0" w:num="1">
            <w:col w:w="10180"/>
          </w:cols>
          <w:pgMar w:left="440" w:top="270" w:right="127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8"/>
        </w:trPr>
        <w:tc>
          <w:tcPr>
            <w:tcW w:w="40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SCHEDULE I</w:t>
            </w:r>
          </w:p>
        </w:tc>
      </w:tr>
      <w:tr>
        <w:trPr>
          <w:trHeight w:val="441"/>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Managers:</w:t>
            </w:r>
          </w:p>
        </w:tc>
        <w:tc>
          <w:tcPr>
            <w:tcW w:w="620" w:type="dxa"/>
            <w:vAlign w:val="bottom"/>
          </w:tcPr>
          <w:p>
            <w:pPr>
              <w:spacing w:after="0"/>
              <w:rPr>
                <w:sz w:val="24"/>
                <w:szCs w:val="24"/>
                <w:color w:val="auto"/>
              </w:rPr>
            </w:pPr>
          </w:p>
        </w:tc>
        <w:tc>
          <w:tcPr>
            <w:tcW w:w="6400" w:type="dxa"/>
            <w:vAlign w:val="bottom"/>
          </w:tcPr>
          <w:p>
            <w:pPr>
              <w:spacing w:after="0"/>
              <w:rPr>
                <w:sz w:val="24"/>
                <w:szCs w:val="24"/>
                <w:color w:val="auto"/>
              </w:rPr>
            </w:pPr>
          </w:p>
        </w:tc>
      </w:tr>
      <w:tr>
        <w:trPr>
          <w:trHeight w:val="216"/>
        </w:trPr>
        <w:tc>
          <w:tcPr>
            <w:tcW w:w="4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Manager authorized to release lock-up under</w:t>
            </w:r>
          </w:p>
        </w:tc>
        <w:tc>
          <w:tcPr>
            <w:tcW w:w="70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Goldman Sachs &amp; Co. LLC</w:t>
            </w:r>
          </w:p>
        </w:tc>
      </w:tr>
      <w:tr>
        <w:trPr>
          <w:trHeight w:val="234"/>
        </w:trPr>
        <w:tc>
          <w:tcPr>
            <w:tcW w:w="40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6:</w:t>
            </w:r>
          </w:p>
        </w:tc>
        <w:tc>
          <w:tcPr>
            <w:tcW w:w="70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SVB Leerink LLC</w:t>
            </w:r>
          </w:p>
        </w:tc>
      </w:tr>
      <w:tr>
        <w:trPr>
          <w:trHeight w:val="319"/>
        </w:trPr>
        <w:tc>
          <w:tcPr>
            <w:tcW w:w="4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Manager authorized to appoint counsel under</w:t>
            </w:r>
          </w:p>
        </w:tc>
        <w:tc>
          <w:tcPr>
            <w:tcW w:w="70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Goldman Sachs &amp; Co. LLC</w:t>
            </w:r>
          </w:p>
        </w:tc>
      </w:tr>
      <w:tr>
        <w:trPr>
          <w:trHeight w:val="234"/>
        </w:trPr>
        <w:tc>
          <w:tcPr>
            <w:tcW w:w="40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Section 8(c):</w:t>
            </w:r>
          </w:p>
        </w:tc>
        <w:tc>
          <w:tcPr>
            <w:tcW w:w="70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SVB Leerink LLC</w:t>
            </w:r>
          </w:p>
        </w:tc>
      </w:tr>
      <w:tr>
        <w:trPr>
          <w:trHeight w:val="338"/>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Registration Statement File No.:</w:t>
            </w:r>
          </w:p>
        </w:tc>
        <w:tc>
          <w:tcPr>
            <w:tcW w:w="70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333-252681</w:t>
            </w:r>
          </w:p>
        </w:tc>
      </w:tr>
      <w:tr>
        <w:trPr>
          <w:trHeight w:val="32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Time of Sale Prospectus</w:t>
            </w:r>
          </w:p>
        </w:tc>
        <w:tc>
          <w:tcPr>
            <w:tcW w:w="70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1.   Prospectus dated February 3, 2021 relating to the Shelf Shares.</w:t>
            </w:r>
          </w:p>
        </w:tc>
      </w:tr>
      <w:tr>
        <w:trPr>
          <w:trHeight w:val="338"/>
        </w:trPr>
        <w:tc>
          <w:tcPr>
            <w:tcW w:w="4000" w:type="dxa"/>
            <w:vAlign w:val="bottom"/>
          </w:tcPr>
          <w:p>
            <w:pPr>
              <w:spacing w:after="0"/>
              <w:rPr>
                <w:sz w:val="24"/>
                <w:szCs w:val="24"/>
                <w:color w:val="auto"/>
              </w:rPr>
            </w:pPr>
          </w:p>
        </w:tc>
        <w:tc>
          <w:tcPr>
            <w:tcW w:w="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w:t>
            </w:r>
          </w:p>
        </w:tc>
        <w:tc>
          <w:tcPr>
            <w:tcW w:w="6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The preliminary prospectus supplement dated February 3, 2021 relating to the Shares.</w:t>
            </w:r>
          </w:p>
        </w:tc>
      </w:tr>
      <w:tr>
        <w:trPr>
          <w:trHeight w:val="338"/>
        </w:trPr>
        <w:tc>
          <w:tcPr>
            <w:tcW w:w="4000" w:type="dxa"/>
            <w:vAlign w:val="bottom"/>
          </w:tcPr>
          <w:p>
            <w:pPr>
              <w:spacing w:after="0"/>
              <w:rPr>
                <w:sz w:val="24"/>
                <w:szCs w:val="24"/>
                <w:color w:val="auto"/>
              </w:rPr>
            </w:pPr>
          </w:p>
        </w:tc>
        <w:tc>
          <w:tcPr>
            <w:tcW w:w="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3.</w:t>
            </w:r>
          </w:p>
        </w:tc>
        <w:tc>
          <w:tcPr>
            <w:tcW w:w="6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Orally communicated pricing information including price per share and size of offering</w:t>
            </w:r>
          </w:p>
        </w:tc>
      </w:tr>
      <w:tr>
        <w:trPr>
          <w:trHeight w:val="338"/>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Lock-up Restricted Period:</w:t>
            </w:r>
          </w:p>
        </w:tc>
        <w:tc>
          <w:tcPr>
            <w:tcW w:w="70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60 days</w:t>
            </w:r>
          </w:p>
        </w:tc>
      </w:tr>
      <w:tr>
        <w:trPr>
          <w:trHeight w:val="32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Title of Shares to be purchased:</w:t>
            </w:r>
          </w:p>
        </w:tc>
        <w:tc>
          <w:tcPr>
            <w:tcW w:w="70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Common Stock, $0.001 par value per share</w:t>
            </w:r>
          </w:p>
        </w:tc>
      </w:tr>
      <w:tr>
        <w:trPr>
          <w:trHeight w:val="32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Number of Firm Shares:</w:t>
            </w:r>
          </w:p>
        </w:tc>
        <w:tc>
          <w:tcPr>
            <w:tcW w:w="70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7,432,433</w:t>
            </w:r>
          </w:p>
        </w:tc>
      </w:tr>
      <w:tr>
        <w:trPr>
          <w:trHeight w:val="32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Number of Additional Shares</w:t>
            </w:r>
          </w:p>
        </w:tc>
        <w:tc>
          <w:tcPr>
            <w:tcW w:w="70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1,114,864</w:t>
            </w:r>
          </w:p>
        </w:tc>
      </w:tr>
      <w:tr>
        <w:trPr>
          <w:trHeight w:val="32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Purchase Price:</w:t>
            </w:r>
          </w:p>
        </w:tc>
        <w:tc>
          <w:tcPr>
            <w:tcW w:w="70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$69.56 per share</w:t>
            </w:r>
          </w:p>
        </w:tc>
      </w:tr>
      <w:tr>
        <w:trPr>
          <w:trHeight w:val="32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70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$74.00 per share</w:t>
            </w:r>
          </w:p>
        </w:tc>
      </w:tr>
      <w:tr>
        <w:trPr>
          <w:trHeight w:val="32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Selling Concession:</w:t>
            </w:r>
          </w:p>
        </w:tc>
        <w:tc>
          <w:tcPr>
            <w:tcW w:w="70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$2.664 per share</w:t>
            </w:r>
          </w:p>
        </w:tc>
      </w:tr>
      <w:tr>
        <w:trPr>
          <w:trHeight w:val="32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UW:</w:t>
            </w:r>
          </w:p>
        </w:tc>
        <w:tc>
          <w:tcPr>
            <w:tcW w:w="70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$0.888 per share</w:t>
            </w:r>
          </w:p>
        </w:tc>
      </w:tr>
      <w:tr>
        <w:trPr>
          <w:trHeight w:val="32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Mgmt:</w:t>
            </w:r>
          </w:p>
        </w:tc>
        <w:tc>
          <w:tcPr>
            <w:tcW w:w="70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$0.888 per share</w:t>
            </w:r>
          </w:p>
        </w:tc>
      </w:tr>
      <w:tr>
        <w:trPr>
          <w:trHeight w:val="32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Closing Date and Time:</w:t>
            </w:r>
          </w:p>
        </w:tc>
        <w:tc>
          <w:tcPr>
            <w:tcW w:w="70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February 9, 2021, 10:00 a.m. (Eastern Time)</w:t>
            </w:r>
          </w:p>
        </w:tc>
      </w:tr>
      <w:tr>
        <w:trPr>
          <w:trHeight w:val="30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Closing Location:</w:t>
            </w:r>
          </w:p>
        </w:tc>
        <w:tc>
          <w:tcPr>
            <w:tcW w:w="70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Latham &amp; Watkins LLP</w:t>
            </w:r>
          </w:p>
        </w:tc>
      </w:tr>
      <w:tr>
        <w:trPr>
          <w:trHeight w:val="216"/>
        </w:trPr>
        <w:tc>
          <w:tcPr>
            <w:tcW w:w="4000" w:type="dxa"/>
            <w:vAlign w:val="bottom"/>
          </w:tcPr>
          <w:p>
            <w:pPr>
              <w:spacing w:after="0"/>
              <w:rPr>
                <w:sz w:val="18"/>
                <w:szCs w:val="18"/>
                <w:color w:val="auto"/>
              </w:rPr>
            </w:pPr>
          </w:p>
        </w:tc>
        <w:tc>
          <w:tcPr>
            <w:tcW w:w="70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885 Third Avenue</w:t>
            </w:r>
          </w:p>
        </w:tc>
      </w:tr>
      <w:tr>
        <w:trPr>
          <w:trHeight w:val="234"/>
        </w:trPr>
        <w:tc>
          <w:tcPr>
            <w:tcW w:w="4000" w:type="dxa"/>
            <w:vAlign w:val="bottom"/>
          </w:tcPr>
          <w:p>
            <w:pPr>
              <w:spacing w:after="0"/>
              <w:rPr>
                <w:sz w:val="20"/>
                <w:szCs w:val="20"/>
                <w:color w:val="auto"/>
              </w:rPr>
            </w:pPr>
          </w:p>
        </w:tc>
        <w:tc>
          <w:tcPr>
            <w:tcW w:w="70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New York, New York 10022</w:t>
            </w:r>
          </w:p>
        </w:tc>
      </w:tr>
      <w:tr>
        <w:trPr>
          <w:trHeight w:val="378"/>
        </w:trPr>
        <w:tc>
          <w:tcPr>
            <w:tcW w:w="4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0" w:type="dxa"/>
            <w:vAlign w:val="bottom"/>
          </w:tcPr>
          <w:p>
            <w:pPr>
              <w:jc w:val="right"/>
              <w:ind w:right="5330"/>
              <w:spacing w:after="0"/>
              <w:rPr>
                <w:sz w:val="20"/>
                <w:szCs w:val="20"/>
                <w:color w:val="auto"/>
              </w:rPr>
            </w:pPr>
            <w:r>
              <w:rPr>
                <w:rFonts w:ascii="Times New Roman" w:cs="Times New Roman" w:eastAsia="Times New Roman" w:hAnsi="Times New Roman"/>
                <w:sz w:val="18"/>
                <w:szCs w:val="18"/>
                <w:color w:val="auto"/>
              </w:rPr>
              <w:t>I-1</w:t>
            </w:r>
          </w:p>
        </w:tc>
      </w:tr>
    </w:tbl>
    <w:p>
      <w:pPr>
        <w:jc w:val="right"/>
        <w:ind w:right="5330"/>
        <w:spacing w:after="0"/>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34" w:name="page35"/>
    <w:bookmarkEnd w:id="3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Address for Notices to Underwriters: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Notices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 West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10282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SVB Leerink LLC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1301 Avenue of the Americas, 12</w:t>
      </w:r>
      <w:r>
        <w:rPr>
          <w:rFonts w:ascii="Times New Roman" w:cs="Times New Roman" w:eastAsia="Times New Roman" w:hAnsi="Times New Roman"/>
          <w:sz w:val="14"/>
          <w:szCs w:val="14"/>
          <w:color w:val="auto"/>
        </w:rPr>
        <w:t>th</w:t>
      </w:r>
      <w:r>
        <w:rPr>
          <w:rFonts w:ascii="Times New Roman" w:cs="Times New Roman" w:eastAsia="Times New Roman" w:hAnsi="Times New Roman"/>
          <w:sz w:val="17"/>
          <w:szCs w:val="17"/>
          <w:color w:val="auto"/>
        </w:rPr>
        <w:t xml:space="preserve"> Floor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Stuart Nayman, Esq.</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Veracyte,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6000 Shoreline Court, Suite 300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 San Francisco, California 94080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Chief Financial Officer</w:t>
      </w:r>
    </w:p>
    <w:p>
      <w:pPr>
        <w:sectPr>
          <w:pgSz w:w="11900" w:h="16838" w:orient="portrait"/>
          <w:cols w:equalWidth="0" w:num="2">
            <w:col w:w="5600" w:space="140"/>
            <w:col w:w="4279"/>
          </w:cols>
          <w:pgMar w:left="440" w:top="270" w:right="1440"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8700" w:type="dxa"/>
            <w:vAlign w:val="bottom"/>
          </w:tcPr>
          <w:p>
            <w:pPr>
              <w:spacing w:after="0"/>
              <w:rPr>
                <w:sz w:val="20"/>
                <w:szCs w:val="20"/>
                <w:color w:val="auto"/>
              </w:rPr>
            </w:pPr>
          </w:p>
        </w:tc>
        <w:tc>
          <w:tcPr>
            <w:tcW w:w="154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w w:val="98"/>
              </w:rPr>
              <w:t>SCHEDULE II</w:t>
            </w:r>
          </w:p>
        </w:tc>
        <w:tc>
          <w:tcPr>
            <w:tcW w:w="0" w:type="dxa"/>
            <w:vAlign w:val="bottom"/>
          </w:tcPr>
          <w:p>
            <w:pPr>
              <w:spacing w:after="0"/>
              <w:rPr>
                <w:sz w:val="1"/>
                <w:szCs w:val="1"/>
                <w:color w:val="auto"/>
              </w:rPr>
            </w:pPr>
          </w:p>
        </w:tc>
      </w:tr>
      <w:tr>
        <w:trPr>
          <w:trHeight w:val="367"/>
        </w:trPr>
        <w:tc>
          <w:tcPr>
            <w:tcW w:w="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8700" w:type="dxa"/>
            <w:vAlign w:val="bottom"/>
            <w:vMerge w:val="restart"/>
          </w:tcPr>
          <w:p>
            <w:pPr>
              <w:spacing w:after="0"/>
              <w:rPr>
                <w:sz w:val="24"/>
                <w:szCs w:val="24"/>
                <w:color w:val="auto"/>
              </w:rPr>
            </w:pPr>
          </w:p>
        </w:tc>
        <w:tc>
          <w:tcPr>
            <w:tcW w:w="15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Number of Firm Shares</w:t>
            </w:r>
          </w:p>
        </w:tc>
        <w:tc>
          <w:tcPr>
            <w:tcW w:w="0" w:type="dxa"/>
            <w:vAlign w:val="bottom"/>
          </w:tcPr>
          <w:p>
            <w:pPr>
              <w:spacing w:after="0"/>
              <w:rPr>
                <w:sz w:val="1"/>
                <w:szCs w:val="1"/>
                <w:color w:val="auto"/>
              </w:rPr>
            </w:pPr>
          </w:p>
        </w:tc>
      </w:tr>
      <w:tr>
        <w:trPr>
          <w:trHeight w:val="180"/>
        </w:trPr>
        <w:tc>
          <w:tcPr>
            <w:tcW w:w="780" w:type="dxa"/>
            <w:vAlign w:val="bottom"/>
            <w:tcBorders>
              <w:bottom w:val="single" w:sz="8" w:color="auto"/>
            </w:tcBorders>
            <w:vMerge w:val="continue"/>
          </w:tcPr>
          <w:p>
            <w:pPr>
              <w:spacing w:after="0"/>
              <w:rPr>
                <w:sz w:val="15"/>
                <w:szCs w:val="15"/>
                <w:color w:val="auto"/>
              </w:rPr>
            </w:pPr>
          </w:p>
        </w:tc>
        <w:tc>
          <w:tcPr>
            <w:tcW w:w="8700" w:type="dxa"/>
            <w:vAlign w:val="bottom"/>
            <w:vMerge w:val="continue"/>
          </w:tcPr>
          <w:p>
            <w:pPr>
              <w:spacing w:after="0"/>
              <w:rPr>
                <w:sz w:val="15"/>
                <w:szCs w:val="15"/>
                <w:color w:val="auto"/>
              </w:rPr>
            </w:pPr>
          </w:p>
        </w:tc>
        <w:tc>
          <w:tcPr>
            <w:tcW w:w="154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To Be Purchased</w:t>
            </w:r>
          </w:p>
        </w:tc>
        <w:tc>
          <w:tcPr>
            <w:tcW w:w="0" w:type="dxa"/>
            <w:vAlign w:val="bottom"/>
          </w:tcPr>
          <w:p>
            <w:pPr>
              <w:spacing w:after="0"/>
              <w:rPr>
                <w:sz w:val="1"/>
                <w:szCs w:val="1"/>
                <w:color w:val="auto"/>
              </w:rPr>
            </w:pPr>
          </w:p>
        </w:tc>
      </w:tr>
      <w:tr>
        <w:trPr>
          <w:trHeight w:val="203"/>
        </w:trPr>
        <w:tc>
          <w:tcPr>
            <w:tcW w:w="94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Goldman Sachs &amp; Co. LLC</w:t>
            </w:r>
          </w:p>
        </w:tc>
        <w:tc>
          <w:tcPr>
            <w:tcW w:w="14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3,344,596</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SVB Leerink LLC</w:t>
            </w:r>
          </w:p>
        </w:tc>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2,527,028</w:t>
            </w:r>
          </w:p>
        </w:tc>
        <w:tc>
          <w:tcPr>
            <w:tcW w:w="0" w:type="dxa"/>
            <w:vAlign w:val="bottom"/>
          </w:tcPr>
          <w:p>
            <w:pPr>
              <w:spacing w:after="0"/>
              <w:rPr>
                <w:sz w:val="1"/>
                <w:szCs w:val="1"/>
                <w:color w:val="auto"/>
              </w:rPr>
            </w:pPr>
          </w:p>
        </w:tc>
      </w:tr>
      <w:tr>
        <w:trPr>
          <w:trHeight w:val="216"/>
        </w:trPr>
        <w:tc>
          <w:tcPr>
            <w:tcW w:w="9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Blair &amp; Company, L.L.C.</w:t>
            </w:r>
          </w:p>
        </w:tc>
        <w:tc>
          <w:tcPr>
            <w:tcW w:w="1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557,432</w:t>
            </w:r>
          </w:p>
        </w:tc>
        <w:tc>
          <w:tcPr>
            <w:tcW w:w="0" w:type="dxa"/>
            <w:vAlign w:val="bottom"/>
          </w:tcPr>
          <w:p>
            <w:pPr>
              <w:spacing w:after="0"/>
              <w:rPr>
                <w:sz w:val="1"/>
                <w:szCs w:val="1"/>
                <w:color w:val="auto"/>
              </w:rPr>
            </w:pPr>
          </w:p>
        </w:tc>
      </w:tr>
      <w:tr>
        <w:trPr>
          <w:trHeight w:val="216"/>
        </w:trPr>
        <w:tc>
          <w:tcPr>
            <w:tcW w:w="9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BTIG, LLC</w:t>
            </w:r>
          </w:p>
        </w:tc>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334,459</w:t>
            </w:r>
          </w:p>
        </w:tc>
        <w:tc>
          <w:tcPr>
            <w:tcW w:w="0" w:type="dxa"/>
            <w:vAlign w:val="bottom"/>
          </w:tcPr>
          <w:p>
            <w:pPr>
              <w:spacing w:after="0"/>
              <w:rPr>
                <w:sz w:val="1"/>
                <w:szCs w:val="1"/>
                <w:color w:val="auto"/>
              </w:rPr>
            </w:pPr>
          </w:p>
        </w:tc>
      </w:tr>
      <w:tr>
        <w:trPr>
          <w:trHeight w:val="216"/>
        </w:trPr>
        <w:tc>
          <w:tcPr>
            <w:tcW w:w="9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Needham &amp; Company, LLC</w:t>
            </w:r>
          </w:p>
        </w:tc>
        <w:tc>
          <w:tcPr>
            <w:tcW w:w="1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334,459</w:t>
            </w:r>
          </w:p>
        </w:tc>
        <w:tc>
          <w:tcPr>
            <w:tcW w:w="0" w:type="dxa"/>
            <w:vAlign w:val="bottom"/>
          </w:tcPr>
          <w:p>
            <w:pPr>
              <w:spacing w:after="0"/>
              <w:rPr>
                <w:sz w:val="1"/>
                <w:szCs w:val="1"/>
                <w:color w:val="auto"/>
              </w:rPr>
            </w:pPr>
          </w:p>
        </w:tc>
      </w:tr>
      <w:tr>
        <w:trPr>
          <w:trHeight w:val="223"/>
        </w:trPr>
        <w:tc>
          <w:tcPr>
            <w:tcW w:w="9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Lake Street Capital Markets, LLC</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334,459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7,432,433</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020"/>
          </w:cols>
          <w:pgMar w:left="440" w:top="266" w:right="4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LOCK-UP LETTER</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Lock-Up Agreement</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82804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2804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SVB Leerink LLC</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Managers for the several Underwriters</w:t>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 Goldman Sachs &amp; Co. LLC</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200 West Street</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New York, New York 10282</w:t>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 SVB Leerink LLC</w:t>
      </w:r>
    </w:p>
    <w:p>
      <w:pPr>
        <w:spacing w:after="0" w:line="2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1301 Avenue of the Americas, 12</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Floor</w:t>
      </w:r>
    </w:p>
    <w:p>
      <w:pPr>
        <w:spacing w:after="0" w:line="1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undersigned, a stockholder, officer and/or director of Veracyte,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understands that Goldman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Sachs &amp; Co. LLC and SVB Leerink LLC (the “</w:t>
      </w:r>
      <w:r>
        <w:rPr>
          <w:rFonts w:ascii="Times New Roman" w:cs="Times New Roman" w:eastAsia="Times New Roman" w:hAnsi="Times New Roman"/>
          <w:sz w:val="18"/>
          <w:szCs w:val="18"/>
          <w:b w:val="1"/>
          <w:bCs w:val="1"/>
          <w:color w:val="auto"/>
        </w:rPr>
        <w:t>Managers</w:t>
      </w:r>
      <w:r>
        <w:rPr>
          <w:rFonts w:ascii="Times New Roman" w:cs="Times New Roman" w:eastAsia="Times New Roman" w:hAnsi="Times New Roman"/>
          <w:sz w:val="18"/>
          <w:szCs w:val="18"/>
          <w:color w:val="auto"/>
        </w:rPr>
        <w:t>”) propose to enter into an Underwriting Agreement (the “</w:t>
      </w:r>
      <w:r>
        <w:rPr>
          <w:rFonts w:ascii="Times New Roman" w:cs="Times New Roman" w:eastAsia="Times New Roman" w:hAnsi="Times New Roman"/>
          <w:sz w:val="18"/>
          <w:szCs w:val="18"/>
          <w:b w:val="1"/>
          <w:bCs w:val="1"/>
          <w:color w:val="auto"/>
        </w:rPr>
        <w:t>Underwriting Agreement</w:t>
      </w:r>
      <w:r>
        <w:rPr>
          <w:rFonts w:ascii="Times New Roman" w:cs="Times New Roman" w:eastAsia="Times New Roman" w:hAnsi="Times New Roman"/>
          <w:sz w:val="18"/>
          <w:szCs w:val="18"/>
          <w:color w:val="auto"/>
        </w:rPr>
        <w:t>”)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providing for the public offering (the “</w:t>
      </w:r>
      <w:r>
        <w:rPr>
          <w:rFonts w:ascii="Times New Roman" w:cs="Times New Roman" w:eastAsia="Times New Roman" w:hAnsi="Times New Roman"/>
          <w:sz w:val="18"/>
          <w:szCs w:val="18"/>
          <w:b w:val="1"/>
          <w:bCs w:val="1"/>
          <w:color w:val="auto"/>
        </w:rPr>
        <w:t>Public Offering</w:t>
      </w:r>
      <w:r>
        <w:rPr>
          <w:rFonts w:ascii="Times New Roman" w:cs="Times New Roman" w:eastAsia="Times New Roman" w:hAnsi="Times New Roman"/>
          <w:sz w:val="18"/>
          <w:szCs w:val="18"/>
          <w:color w:val="auto"/>
        </w:rPr>
        <w:t>”) of shares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of the Company’s common stock, par value $0.001 per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In recognition of the benefit that such an offering will confer upon the undersigned as a stockholder, an officer and/or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of the Company, and for other good and valuable consideration, the receipt and sufficiency of which are hereby acknowledged, the undersigned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agrees with each underwriter to be named in the Underwriting Agreement (collectively, the “</w:t>
      </w:r>
      <w:r>
        <w:rPr>
          <w:rFonts w:ascii="Times New Roman" w:cs="Times New Roman" w:eastAsia="Times New Roman" w:hAnsi="Times New Roman"/>
          <w:sz w:val="18"/>
          <w:szCs w:val="18"/>
          <w:b w:val="1"/>
          <w:bCs w:val="1"/>
          <w:color w:val="auto"/>
        </w:rPr>
        <w:t>Underwriters</w:t>
      </w:r>
      <w:r>
        <w:rPr>
          <w:rFonts w:ascii="Times New Roman" w:cs="Times New Roman" w:eastAsia="Times New Roman" w:hAnsi="Times New Roman"/>
          <w:sz w:val="18"/>
          <w:szCs w:val="18"/>
          <w:color w:val="auto"/>
        </w:rPr>
        <w:t>”) that, during the period beginning 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hereof and ending on the date that is 60 days from the date of the Underwriting Agreement (the “</w:t>
      </w:r>
      <w:r>
        <w:rPr>
          <w:rFonts w:ascii="Times New Roman" w:cs="Times New Roman" w:eastAsia="Times New Roman" w:hAnsi="Times New Roman"/>
          <w:sz w:val="18"/>
          <w:szCs w:val="18"/>
          <w:b w:val="1"/>
          <w:bCs w:val="1"/>
          <w:color w:val="auto"/>
        </w:rPr>
        <w:t>Lock-Up Period</w:t>
      </w:r>
      <w:r>
        <w:rPr>
          <w:rFonts w:ascii="Times New Roman" w:cs="Times New Roman" w:eastAsia="Times New Roman" w:hAnsi="Times New Roman"/>
          <w:sz w:val="18"/>
          <w:szCs w:val="18"/>
          <w:color w:val="auto"/>
        </w:rPr>
        <w:t>”), the undersigned will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without the prior written consent of the Managers, on behalf of the Underwriters, directly or indirectly, (i) offer, pledge, sell, contract to sell, sell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 or contract to purchase, purchase any option or contract to sell, grant any option, right or warrant for the sale of, or otherwise dispose of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 any shares of Common Stock or any securities convertible into or exchangeable or exercisable for Common Stock, whether now owned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hereafter acquired by the undersigned or with respect to which the undersigned has or hereafter acquires the power of disposition (collectively,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Lock-Up Securities</w:t>
      </w:r>
      <w:r>
        <w:rPr>
          <w:rFonts w:ascii="Times New Roman" w:cs="Times New Roman" w:eastAsia="Times New Roman" w:hAnsi="Times New Roman"/>
          <w:sz w:val="18"/>
          <w:szCs w:val="18"/>
          <w:color w:val="auto"/>
        </w:rPr>
        <w:t>”), or exercise any right with respect to the registration of any of the Lock-Up Securities, or file or cause to be filed any registration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 in connection therewith, under the Securities Act of 1933, as amended,</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020"/>
          </w:cols>
          <w:pgMar w:left="440" w:top="266" w:right="439" w:bottom="1440" w:gutter="0" w:footer="0" w:header="0"/>
        </w:sectPr>
      </w:pPr>
    </w:p>
    <w:bookmarkStart w:id="37" w:name="page38"/>
    <w:bookmarkEnd w:id="37"/>
    <w:p>
      <w:pPr>
        <w:jc w:val="both"/>
        <w:ind w:left="4" w:right="140" w:hanging="4"/>
        <w:spacing w:after="0" w:line="266" w:lineRule="auto"/>
        <w:tabs>
          <w:tab w:leader="none" w:pos="269"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enter into any swap or any other agreement or any transaction that transfers, in whole or in part, directly or indirectly, the economic consequence of ownership of the Lock-Up Securities, whether any such swap or transaction is to be settled by delivery of Common Stock or other securities, in cash or otherwise, or (iii) publicly announce the intention to effect any of the transactions covered in clauses (i) and (ii) above.</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Notwithstanding the foregoing, the undersigned may transfer Lock-Up Securities without the prior written consent of the Managers as follows:</w:t>
      </w:r>
    </w:p>
    <w:p>
      <w:pPr>
        <w:spacing w:after="0" w:line="27" w:lineRule="exact"/>
        <w:rPr>
          <w:sz w:val="20"/>
          <w:szCs w:val="20"/>
          <w:color w:val="auto"/>
        </w:rPr>
      </w:pPr>
    </w:p>
    <w:p>
      <w:pPr>
        <w:ind w:left="4" w:hanging="4"/>
        <w:spacing w:after="0" w:line="250" w:lineRule="auto"/>
        <w:tabs>
          <w:tab w:leader="none" w:pos="24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transfers of shares of Common Stock or any security convertible into or exercisable or exchangeable for Common Stock (i) as a bona fide gift or for bona fide estate planning purposes, (ii) to an immediate family member or a trust for the direct or indirect benefit of the undersigned or such immediate family member of the undersigned, or (iii) by will or intestacy, (b) (i) if the undersigned is a partnership, limited liability company, a corporation or other business entity, distributions of shares of Common Stock or any security convertible into or exercisable or exchangeable for Common Stock to limited partners, limited liability company members, stockholders or other equity holders of the undersigned or transfers of shares of Common Stock or any security convertible into or exercisable or exchangeable for Common Stock to another corporation, partnership or other business entity that controls, is controlled by or is under common control with the undersigned or (ii) if the undersigned is a trust, transfers of shares of Common Stock or any security convertible into or exercisable or exchangeable for Common Stock to a trustor, trustee or beneficiary of the trust;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any transfer or distribution pursuant to clause (a) or (b), (1) each transferee, donee or distributee shall sign and deliver a lock up agreement substantially in the form of this lock-up agreement and (2) no filing under Section 16(a)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or other public announcement reporting a reduction in beneficial ownership shall be required or shall be voluntarily made during the Lock-Up Period,</w:t>
      </w:r>
    </w:p>
    <w:p>
      <w:pPr>
        <w:spacing w:after="0" w:line="4" w:lineRule="exact"/>
        <w:rPr>
          <w:rFonts w:ascii="Times New Roman" w:cs="Times New Roman" w:eastAsia="Times New Roman" w:hAnsi="Times New Roman"/>
          <w:sz w:val="18"/>
          <w:szCs w:val="18"/>
          <w:color w:val="auto"/>
        </w:rPr>
      </w:pPr>
    </w:p>
    <w:p>
      <w:pPr>
        <w:ind w:left="4" w:right="40" w:hanging="4"/>
        <w:spacing w:after="0" w:line="250" w:lineRule="auto"/>
        <w:tabs>
          <w:tab w:leader="none" w:pos="24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transfer of shares of Common Stock or any security convertible into Common Stock to the Company upon a vesting event of the Company’s securities or upon the exercise of options to purchase the Company’s securities, in each case on a “cashless” or “net exercise” basis or to cover tax withholding obligations of the undersigned in connection with such vesting or exercise; provided that, if the undersigned is required to file a report under Section 16(a) of the Exchange Act during the Lock-Up Period in connection with such vesting or exercise the undersigned shall clearly indicate in the footnotes thereto that the filing relates to the circumstances described in this clause (c) (for the avoidance of doubt, it being understood that any subsequent transfer or distribution of the shares of Common Stock or other securities issued upon any exercise, conversion or vesting event shall be subject to the restrictions set forth in this lock-up agreement), or (d) the transfer of shares of Common Stock or any security convertible into or exercisable or exchangeable for Common Stock that occurs pursuant to a qualified domestic order or in connection with a divorce settlement;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(1) each transferee shall sign and deliver a lock-up agreement substantially in the form of this lock-up agreement and (2) no filing under</w:t>
      </w:r>
    </w:p>
    <w:p>
      <w:pPr>
        <w:spacing w:after="0" w:line="3" w:lineRule="exact"/>
        <w:rPr>
          <w:rFonts w:ascii="Times New Roman" w:cs="Times New Roman" w:eastAsia="Times New Roman" w:hAnsi="Times New Roman"/>
          <w:sz w:val="18"/>
          <w:szCs w:val="18"/>
          <w:color w:val="auto"/>
        </w:rPr>
      </w:pPr>
    </w:p>
    <w:p>
      <w:pPr>
        <w:ind w:left="4" w:right="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16(a) of the Exchange Act reporting a reduction in beneficial ownership shall be voluntarily made during the Lock-Up Period and, if the undersigned is required to file a report under Section 16(a) of the Exchange Act during the Lock-Up Period, the undersigned shall clearly indicate in the footnotes thereto that the filing relates to the circumstances described in this clause (d).</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1024"/>
          </w:cols>
          <w:pgMar w:left="436" w:top="270" w:right="439" w:bottom="1440" w:gutter="0" w:footer="0" w:header="0"/>
        </w:sectPr>
      </w:pPr>
    </w:p>
    <w:bookmarkStart w:id="38" w:name="page39"/>
    <w:bookmarkEnd w:id="38"/>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Furthermore, no provision in this lock-up agreement shall be deemed to restrict or prohibit (1) the transfer of the undersigned’s Lock-Up Securities to the Company in connection with the termination of the undersigned’s services to the Company, provided that any filing under Section 16(a) of the Exchange Act made in connection with such transfer shall clearly indicate in the footnotes thereto that the filing relates to the circumstances described in this clause (1); (2) the transfer of Lock-Up Securities pursuant to a bona fide third-party tender offer, merger, consolidation or other similar transaction made to all holders of the Common Stock involving a change of control of the Company; provided, however, that in the event that such tender offer, merger, consolidation or other such transaction is not completed, such securities held by the undersigned shall remain subject to the restrictions on transfer set forth in this lock-up agreement; provided further, that for purposes of clause (2), “change of control” shall mean the consummation of any bona fide third party tender offer, merger, consolidation or other similar transaction the result of which is that any “person” (as defined in Section 13(d)(3) of the Exchange Act), or group of persons, other than the Company or its subsidiaries, becomes the beneficial owner (as defined in Rules 13d-3 and 13d-5 of the Exchange Act) of more than 50% of total voting power of the voting stock of the Company; and (3) the exercise by the undersigned of any option to purchase shares of Common Stock or the vesting and settlement of restricted stock units for shares of Common Stock, pursuant to any stock option or other stock plan or arrangement; provided, however, that the underlying shares of Common Stock shall continue to be subject to the restrictions on transfer set forth in this lock-up agreement.</w:t>
      </w:r>
    </w:p>
    <w:p>
      <w:pPr>
        <w:spacing w:after="0" w:line="187"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Notwithstanding anything herein to the contrary, nothing herein shall prevent the undersigned from establishing a 10b5-1 trading plan that complies with Rule 10b5-1 under the Exchange Act (“</w:t>
      </w:r>
      <w:r>
        <w:rPr>
          <w:rFonts w:ascii="Times New Roman" w:cs="Times New Roman" w:eastAsia="Times New Roman" w:hAnsi="Times New Roman"/>
          <w:sz w:val="18"/>
          <w:szCs w:val="18"/>
          <w:b w:val="1"/>
          <w:bCs w:val="1"/>
          <w:color w:val="auto"/>
        </w:rPr>
        <w:t>10b5-1 Trading Plan</w:t>
      </w:r>
      <w:r>
        <w:rPr>
          <w:rFonts w:ascii="Times New Roman" w:cs="Times New Roman" w:eastAsia="Times New Roman" w:hAnsi="Times New Roman"/>
          <w:sz w:val="18"/>
          <w:szCs w:val="18"/>
          <w:color w:val="auto"/>
        </w:rPr>
        <w:t>”) or from amending an existing 10b5-1 Trading Plan so long as there are no sales of Lock-Up Securities under any such 10b5-1 Trading Plan during the Lock-Up Period; and provided that, the establishment of a 10b5-1 Trading Plan or the amendment of a 10b5-1 Trading Plan shall only be permitted if (i) the establishment or amendment of such plan is not required to be reported in any public report or filing with the Securities and Exchange Commission, or otherwise and (ii) the undersigned does not otherwise voluntarily effect any public filing or report regarding the establishment or amendment of such plan during the Lock-Up Period.</w:t>
      </w:r>
    </w:p>
    <w:p>
      <w:pPr>
        <w:spacing w:after="0" w:line="187" w:lineRule="exact"/>
        <w:rPr>
          <w:sz w:val="20"/>
          <w:szCs w:val="20"/>
          <w:color w:val="auto"/>
        </w:rPr>
      </w:pPr>
    </w:p>
    <w:p>
      <w:pPr>
        <w:ind w:right="260" w:firstLine="440"/>
        <w:spacing w:after="0" w:line="261" w:lineRule="auto"/>
        <w:rPr>
          <w:sz w:val="20"/>
          <w:szCs w:val="20"/>
          <w:color w:val="auto"/>
        </w:rPr>
      </w:pPr>
      <w:r>
        <w:rPr>
          <w:rFonts w:ascii="Times New Roman" w:cs="Times New Roman" w:eastAsia="Times New Roman" w:hAnsi="Times New Roman"/>
          <w:sz w:val="18"/>
          <w:szCs w:val="18"/>
          <w:color w:val="auto"/>
        </w:rPr>
        <w:t>Notwithstanding anything herein to the contrary, nothing herein shall prevent the undersigned from sales of Common Stock made pursuant to a 10b5-1 Trading Plan entered into prior to the date of this lock-up agreement, provided that to the extent a public announcement or filing under the Exchange Act, if any, is required of or voluntary made by on or on behalf of the undersigned or the Company regarding any such sales, such announcement or filing shall include a statement to the effect that any sales were effected pursuant to such 10b5-1 Trading Plan.</w:t>
      </w:r>
    </w:p>
    <w:p>
      <w:pPr>
        <w:spacing w:after="0" w:line="180"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In addition, the undersigned agrees that, without the prior written consent of the Managers, on behalf of the Underwriters, it will not, during the Lock-Up Period, make any demand for or exercise any right with respect to, the registration of any Lock-Up Securities.</w:t>
      </w:r>
    </w:p>
    <w:p>
      <w:pPr>
        <w:spacing w:after="0" w:line="162"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The undersigned also agrees and consents to the entry of stop transfer instructions with the Company’s transfer agent and registrar against the transfer of Lock-Up Securities except in compliance with the foregoing restrictions.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1000"/>
          </w:cols>
          <w:pgMar w:left="440" w:top="270" w:right="459" w:bottom="1440" w:gutter="0" w:footer="0" w:header="0"/>
        </w:sectPr>
      </w:pPr>
    </w:p>
    <w:bookmarkStart w:id="39" w:name="page40"/>
    <w:bookmarkEnd w:id="39"/>
    <w:p>
      <w:pPr>
        <w:ind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the event that either of the Managers withdraws from or declines to participate in the Public Offering, all references to the Managers contained in this letter shall be deemed to refer to the sole Manager that continues to participate in the Public Offering (the “</w:t>
      </w:r>
      <w:r>
        <w:rPr>
          <w:rFonts w:ascii="Times New Roman" w:cs="Times New Roman" w:eastAsia="Times New Roman" w:hAnsi="Times New Roman"/>
          <w:sz w:val="18"/>
          <w:szCs w:val="18"/>
          <w:b w:val="1"/>
          <w:bCs w:val="1"/>
          <w:color w:val="auto"/>
        </w:rPr>
        <w:t>Sole Manager</w:t>
      </w:r>
      <w:r>
        <w:rPr>
          <w:rFonts w:ascii="Times New Roman" w:cs="Times New Roman" w:eastAsia="Times New Roman" w:hAnsi="Times New Roman"/>
          <w:sz w:val="18"/>
          <w:szCs w:val="18"/>
          <w:color w:val="auto"/>
        </w:rPr>
        <w:t>”) and this lock-up agreement shall remain in full force and effect. In such event, any written consent, waiver or notice given or delivered in connection with this letter by the Sole Manager shall be deemed to be sufficient and effective for all purposes under this lock-up agreement.</w:t>
      </w:r>
    </w:p>
    <w:p>
      <w:pPr>
        <w:spacing w:after="0" w:line="180"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This lock-up agreement shall automatically terminate, and the undersigned shall be released from the undersigned’s obligations hereunder, upon the earliest to occur, if any, of (i) prior to the execution of the Underwriting Agreement, the Company advises the Managers in writing that it has determined not to proceed with the Public Offering; (ii) the Underwriting Agreement is executed but is terminated prior to the closing of the Public Offering (other than the provisions thereof which survive termination), or (iii) February 28, 2021, in the event that the Underwriting Agreement has not been executed by such date.</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lock-up agreement shall be governed by, and construed in accordance with, the laws of the State of New York.</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0900"/>
          </w:cols>
          <w:pgMar w:left="440" w:top="270" w:right="559" w:bottom="1440" w:gutter="0" w:footer="0" w:header="0"/>
        </w:sectPr>
      </w:pPr>
    </w:p>
    <w:bookmarkStart w:id="40" w:name="page41"/>
    <w:bookmarkEnd w:id="40"/>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Very truly yours,</w:t>
      </w:r>
    </w:p>
    <w:p>
      <w:pPr>
        <w:spacing w:after="0" w:line="200" w:lineRule="exact"/>
        <w:rPr>
          <w:sz w:val="20"/>
          <w:szCs w:val="20"/>
          <w:color w:val="auto"/>
        </w:rPr>
      </w:pPr>
    </w:p>
    <w:p>
      <w:pPr>
        <w:spacing w:after="0" w:line="25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Name of Security Holder </w:t>
      </w:r>
      <w:r>
        <w:rPr>
          <w:rFonts w:ascii="Times New Roman" w:cs="Times New Roman" w:eastAsia="Times New Roman" w:hAnsi="Times New Roman"/>
          <w:sz w:val="18"/>
          <w:szCs w:val="18"/>
          <w:i w:val="1"/>
          <w:iCs w:val="1"/>
          <w:color w:val="auto"/>
        </w:rPr>
        <w:t>(Print exact name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-126365</wp:posOffset>
            </wp:positionV>
            <wp:extent cx="27946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Signature</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If not signing in an individual capacity:</w:t>
      </w:r>
    </w:p>
    <w:p>
      <w:pPr>
        <w:spacing w:after="0" w:line="200" w:lineRule="exact"/>
        <w:rPr>
          <w:sz w:val="20"/>
          <w:szCs w:val="20"/>
          <w:color w:val="auto"/>
        </w:rPr>
      </w:pPr>
    </w:p>
    <w:p>
      <w:pPr>
        <w:spacing w:after="0" w:line="26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Name of Authorized Signatory </w:t>
      </w:r>
      <w:r>
        <w:rPr>
          <w:rFonts w:ascii="Times New Roman" w:cs="Times New Roman" w:eastAsia="Times New Roman" w:hAnsi="Times New Roman"/>
          <w:sz w:val="18"/>
          <w:szCs w:val="18"/>
          <w:i w:val="1"/>
          <w:iCs w:val="1"/>
          <w:color w:val="auto"/>
        </w:rPr>
        <w:t>(Print)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-126365</wp:posOffset>
            </wp:positionV>
            <wp:extent cx="279463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Title of Authorized Signatory </w:t>
      </w:r>
      <w:r>
        <w:rPr>
          <w:rFonts w:ascii="Times New Roman" w:cs="Times New Roman" w:eastAsia="Times New Roman" w:hAnsi="Times New Roman"/>
          <w:sz w:val="18"/>
          <w:szCs w:val="18"/>
          <w:i w:val="1"/>
          <w:iCs w:val="1"/>
          <w:color w:val="auto"/>
        </w:rPr>
        <w:t>(Print)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-126365</wp:posOffset>
            </wp:positionV>
            <wp:extent cx="27946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1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i w:val="1"/>
          <w:iCs w:val="1"/>
          <w:color w:val="auto"/>
        </w:rPr>
        <w:t>(indicate capacity of person signing if signing as custodian,</w:t>
      </w:r>
    </w:p>
    <w:p>
      <w:pPr>
        <w:spacing w:after="0" w:line="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trustee, or on behalf of an entity)</w:t>
      </w:r>
    </w:p>
    <w:p>
      <w:pPr>
        <w:spacing w:after="0" w:line="153"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9920"/>
          </w:cols>
          <w:pgMar w:left="1440" w:top="270" w:right="5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7"/>
          <w:szCs w:val="17"/>
          <w:b w:val="1"/>
          <w:bCs w:val="1"/>
          <w:color w:val="auto"/>
        </w:rPr>
        <w:t>Exhibit 5.1</w:t>
      </w:r>
    </w:p>
    <w:p>
      <w:pPr>
        <w:sectPr>
          <w:pgSz w:w="11900" w:h="16838" w:orient="portrait"/>
          <w:cols w:equalWidth="0" w:num="1">
            <w:col w:w="11020"/>
          </w:cols>
          <w:pgMar w:left="440" w:top="117" w:right="439" w:bottom="1440" w:gutter="0" w:footer="0" w:header="0"/>
        </w:sectPr>
      </w:pPr>
    </w:p>
    <w:p>
      <w:pPr>
        <w:spacing w:after="0" w:line="200" w:lineRule="exact"/>
        <w:rPr>
          <w:sz w:val="20"/>
          <w:szCs w:val="20"/>
          <w:color w:val="auto"/>
        </w:rPr>
      </w:pPr>
    </w:p>
    <w:p>
      <w:pPr>
        <w:spacing w:after="0" w:line="31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555 California 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-119380</wp:posOffset>
            </wp:positionV>
            <wp:extent cx="1148715" cy="2228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148715" cy="222885"/>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12th Floor</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San Francisco, CA 94104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415.875.2300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Fenwick.com</w:t>
      </w:r>
    </w:p>
    <w:p>
      <w:pPr>
        <w:spacing w:after="0" w:line="415" w:lineRule="exact"/>
        <w:rPr>
          <w:sz w:val="20"/>
          <w:szCs w:val="20"/>
          <w:color w:val="auto"/>
        </w:rPr>
      </w:pPr>
    </w:p>
    <w:p>
      <w:pPr>
        <w:sectPr>
          <w:pgSz w:w="11900" w:h="16838" w:orient="portrait"/>
          <w:cols w:equalWidth="0" w:num="2">
            <w:col w:w="7760" w:space="720"/>
            <w:col w:w="2540"/>
          </w:cols>
          <w:pgMar w:left="440" w:top="117" w:right="439" w:bottom="1440" w:gutter="0" w:footer="0" w:header="0"/>
          <w:type w:val="continuous"/>
        </w:sectPr>
      </w:pPr>
    </w:p>
    <w:p>
      <w:pPr>
        <w:spacing w:after="0" w:line="2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February 4, 2021</w:t>
      </w:r>
    </w:p>
    <w:p>
      <w:pPr>
        <w:sectPr>
          <w:pgSz w:w="11900" w:h="16838" w:orient="portrait"/>
          <w:cols w:equalWidth="0" w:num="1">
            <w:col w:w="11020"/>
          </w:cols>
          <w:pgMar w:left="440" w:top="117" w:right="439" w:bottom="1440" w:gutter="0" w:footer="0" w:header="0"/>
          <w:type w:val="continuous"/>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Veracyte,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6000 Shoreline Court, Suite 300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 San Francisco, CA 94080</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We deliver this opinion with respect to certain matters in connection with the offering by Veracyte, Inc., a Delaware corporation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up to 8,547,297 shares of the Company’s Common Stock, par value $0.001 per share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to be issued pursuant to that certain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Underwriting Agreement (the “</w:t>
      </w:r>
      <w:r>
        <w:rPr>
          <w:rFonts w:ascii="Times New Roman" w:cs="Times New Roman" w:eastAsia="Times New Roman" w:hAnsi="Times New Roman"/>
          <w:sz w:val="17"/>
          <w:szCs w:val="17"/>
          <w:b w:val="1"/>
          <w:bCs w:val="1"/>
          <w:i w:val="1"/>
          <w:iCs w:val="1"/>
          <w:color w:val="auto"/>
        </w:rPr>
        <w:t>Underwriting Agreement</w:t>
      </w:r>
      <w:r>
        <w:rPr>
          <w:rFonts w:ascii="Times New Roman" w:cs="Times New Roman" w:eastAsia="Times New Roman" w:hAnsi="Times New Roman"/>
          <w:sz w:val="17"/>
          <w:szCs w:val="17"/>
          <w:color w:val="auto"/>
        </w:rPr>
        <w:t>”), dated as of even date herewith, by and among the Company and Goldman Sachs &amp; Co. LLC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and SVB Leerink LLC, as representatives of the underwriters named on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thereto. The Shares were registered pursuant to the Registration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 on Form S-3 (File No. 333-252681)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previously filed by the Company with the Securities and Exchange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on February 3, 2021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 the prospectus dated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3, 2021 included therein (the “</w:t>
      </w:r>
      <w:r>
        <w:rPr>
          <w:rFonts w:ascii="Times New Roman" w:cs="Times New Roman" w:eastAsia="Times New Roman" w:hAnsi="Times New Roman"/>
          <w:sz w:val="18"/>
          <w:szCs w:val="18"/>
          <w:b w:val="1"/>
          <w:bCs w:val="1"/>
          <w:i w:val="1"/>
          <w:iCs w:val="1"/>
          <w:color w:val="auto"/>
        </w:rPr>
        <w:t>Base Prospectus</w:t>
      </w:r>
      <w:r>
        <w:rPr>
          <w:rFonts w:ascii="Times New Roman" w:cs="Times New Roman" w:eastAsia="Times New Roman" w:hAnsi="Times New Roman"/>
          <w:sz w:val="18"/>
          <w:szCs w:val="18"/>
          <w:color w:val="auto"/>
        </w:rPr>
        <w:t>”), as supplemented by the preliminary prospectus supplement dated February 3, 2021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final prospectus supplement dated February 4, 2021, filed with the Commission pursuant to Rule 424(b) under the Securities Act (collectively,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Prospectus Supplements</w:t>
      </w:r>
      <w:r>
        <w:rPr>
          <w:rFonts w:ascii="Times New Roman" w:cs="Times New Roman" w:eastAsia="Times New Roman" w:hAnsi="Times New Roman"/>
          <w:sz w:val="18"/>
          <w:szCs w:val="18"/>
          <w:color w:val="auto"/>
        </w:rPr>
        <w:t>” and, together with the Base Prospectus, the “</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The Shares are to be sold by the Company as described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Registration Statement, the Prospectus and the Underwriting Agreement.</w:t>
      </w:r>
    </w:p>
    <w:p>
      <w:pPr>
        <w:spacing w:after="0" w:line="207" w:lineRule="exact"/>
        <w:rPr>
          <w:sz w:val="20"/>
          <w:szCs w:val="20"/>
          <w:color w:val="auto"/>
        </w:rPr>
      </w:pPr>
    </w:p>
    <w:p>
      <w:pPr>
        <w:ind w:right="80" w:firstLine="991"/>
        <w:spacing w:after="0" w:line="255" w:lineRule="auto"/>
        <w:rPr>
          <w:sz w:val="20"/>
          <w:szCs w:val="20"/>
          <w:color w:val="auto"/>
        </w:rPr>
      </w:pPr>
      <w:r>
        <w:rPr>
          <w:rFonts w:ascii="Times New Roman" w:cs="Times New Roman" w:eastAsia="Times New Roman" w:hAnsi="Times New Roman"/>
          <w:sz w:val="18"/>
          <w:szCs w:val="18"/>
          <w:color w:val="auto"/>
        </w:rPr>
        <w:t>In connection with our opinion expressed below we have examined originals or copies of the Company’s Restated Certificate of Incorporation filed with, and certified by, the Delaware Secretary of State (the “</w:t>
      </w:r>
      <w:r>
        <w:rPr>
          <w:rFonts w:ascii="Times New Roman" w:cs="Times New Roman" w:eastAsia="Times New Roman" w:hAnsi="Times New Roman"/>
          <w:sz w:val="18"/>
          <w:szCs w:val="18"/>
          <w:b w:val="1"/>
          <w:bCs w:val="1"/>
          <w:i w:val="1"/>
          <w:iCs w:val="1"/>
          <w:color w:val="auto"/>
        </w:rPr>
        <w:t>Restated Certificate</w:t>
      </w:r>
      <w:r>
        <w:rPr>
          <w:rFonts w:ascii="Times New Roman" w:cs="Times New Roman" w:eastAsia="Times New Roman" w:hAnsi="Times New Roman"/>
          <w:sz w:val="18"/>
          <w:szCs w:val="18"/>
          <w:color w:val="auto"/>
        </w:rPr>
        <w:t>”) and the Company’s Amended and Restated Bylaws (the “</w:t>
      </w:r>
      <w:r>
        <w:rPr>
          <w:rFonts w:ascii="Times New Roman" w:cs="Times New Roman" w:eastAsia="Times New Roman" w:hAnsi="Times New Roman"/>
          <w:sz w:val="18"/>
          <w:szCs w:val="18"/>
          <w:b w:val="1"/>
          <w:bCs w:val="1"/>
          <w:i w:val="1"/>
          <w:iCs w:val="1"/>
          <w:color w:val="auto"/>
        </w:rPr>
        <w:t>Restated Bylaws</w:t>
      </w:r>
      <w:r>
        <w:rPr>
          <w:rFonts w:ascii="Times New Roman" w:cs="Times New Roman" w:eastAsia="Times New Roman" w:hAnsi="Times New Roman"/>
          <w:sz w:val="18"/>
          <w:szCs w:val="18"/>
          <w:color w:val="auto"/>
        </w:rPr>
        <w:t>”), the Registration Statement, together with the Exhibits filed as a part thereof and all other documents incorporated therein by reference, the Prospectus, certain corporate proceedings of the Company’s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or a committee or committees thereof and the Company’s stockholders relating to the Registration Statement, and such other agreements, documents, certificates and statements of the Company, its transfer agent and public or government officials, as we have deemed advisable, and have examined such questions of law as we have considered necessary.</w:t>
      </w:r>
    </w:p>
    <w:p>
      <w:pPr>
        <w:spacing w:after="0" w:line="189"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We have assumed the authenticity of all documents submitted to us as originals, the genuineness of all signatures on documents submitted to us, the conformity to originals and completeness of all documents submitted to us as copies, the legal capacity of all persons or entities executing the same, the absence of any undisclosed termination, modification, waiver or amendment to any document reviewed by us, the absence of any other extrinsic agreements or documents that might change or affect the interpretation or terms of documents we have reviewed, and the due authorization, execution and delivery of all such documents where due authorization, execution and delivery are prerequisites to the effectiveness thereof. In giving our opinion, we have also relied upon a good standing certificate regarding the Company issued by the Delaware Secretary of State dated February 2, 2021 and a management certificate addressed to us and dated of even date herewith executed by the Company containing certain factual representations by the Company.</w:t>
      </w:r>
    </w:p>
    <w:p>
      <w:pPr>
        <w:sectPr>
          <w:pgSz w:w="11900" w:h="16838" w:orient="portrait"/>
          <w:cols w:equalWidth="0" w:num="1">
            <w:col w:w="11020"/>
          </w:cols>
          <w:pgMar w:left="440" w:top="117" w:right="439" w:bottom="1440" w:gutter="0" w:footer="0" w:header="0"/>
          <w:type w:val="continuous"/>
        </w:sectPr>
      </w:pPr>
    </w:p>
    <w:bookmarkStart w:id="42" w:name="page43"/>
    <w:bookmarkEnd w:id="42"/>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We render this opinion only with respect to, and express no opinion herein concerning the application or effect of any laws other than, the existing Delaware General Corporation Law.</w:t>
      </w:r>
    </w:p>
    <w:p>
      <w:pPr>
        <w:spacing w:after="0" w:line="16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In connection with our opinions expressed below, we have assumed that, (i) at or prior to the time of the issuance and delivery of any of the Shares, there will not have occurred any change in the law or the facts affecting the validity of the Shares, any change in actions of the Board or the Company’s stockholders, or any amendments to the Restated Certificate or Restated Bylaws, and (ii) at the time of the offer, issuance and sale of any Shares, no stop order suspending the Registration Statement’s effectiveness will have been issued and remain in effect, and that the Registration Statement will not have been modified or rescinded. We also have assumed that the issuance and delivery of the Shares subsequent to the date hereof and the compliance by the Company with the terms of such Shares will not result in a violation of the Restated Certificate or any provision of any instrument or agreement then binding upon the Company or any restriction imposed by any court or governmental body then having jurisdiction over the Company.</w:t>
      </w:r>
    </w:p>
    <w:p>
      <w:pPr>
        <w:spacing w:after="0" w:line="192"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Based upon the foregoing, we are of the opinion that when the Shares are issued, sold and delivered in the manner and for the consideration stated in the Registration Statement, the Prospectus and the resolutions adopted by the Board or a committee thereof referenced above, such Shares will be validly issued, fully paid and nonassessable.</w:t>
      </w:r>
    </w:p>
    <w:p>
      <w:pPr>
        <w:spacing w:after="0" w:line="176"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We consent to the use of this opinion as an exhibit to the Form 8-K and further consent to all references to us, if any, in the Registration Statement, the Prospectus and any amendments or supplements thereto.</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[Concluding Paragraph on Next Page]</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43" w:name="page44"/>
    <w:bookmarkEnd w:id="43"/>
    <w:p>
      <w:pPr>
        <w:ind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This opinion is intended solely for use in connection with the issuance and sale of the Shares subject to the Registration Statement and is not to be relied upon for any other purpose. This opinion is rendered as of the date first written above and based solely on our understanding of facts in existence as of such date after the aforementioned examination. We assume no obligation to advise you of any fact, circumstance, event or change in the law or the facts that may hereafter be brought to our attention whether or not such occurrence would affect or modify any of the opinions expressed herein.</w:t>
      </w:r>
    </w:p>
    <w:p>
      <w:pPr>
        <w:spacing w:after="0" w:line="21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/s/ Fenwick &amp; West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19685</wp:posOffset>
            </wp:positionV>
            <wp:extent cx="27946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FENWICK &amp; WEST LLP</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Signature Page to 5.1 Legal Opinion</w:t>
      </w:r>
    </w:p>
    <w:p>
      <w:pPr>
        <w:sectPr>
          <w:pgSz w:w="11900" w:h="16838" w:orient="portrait"/>
          <w:cols w:equalWidth="0" w:num="1">
            <w:col w:w="10960"/>
          </w:cols>
          <w:pgMar w:left="440" w:top="270" w:right="49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2014220</wp:posOffset>
            </wp:positionH>
            <wp:positionV relativeFrom="paragraph">
              <wp:posOffset>173990</wp:posOffset>
            </wp:positionV>
            <wp:extent cx="2966085" cy="6858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966085"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Veracyte Announces Pricing of Upsized Public Offering</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of 7,432,433 Shares of Common Stock</w:t>
      </w:r>
    </w:p>
    <w:p>
      <w:pPr>
        <w:spacing w:after="0" w:line="207" w:lineRule="exact"/>
        <w:rPr>
          <w:sz w:val="20"/>
          <w:szCs w:val="20"/>
          <w:color w:val="auto"/>
        </w:rPr>
      </w:pPr>
    </w:p>
    <w:p>
      <w:pPr>
        <w:ind w:left="4" w:right="60"/>
        <w:spacing w:after="0" w:line="255" w:lineRule="auto"/>
        <w:rPr>
          <w:sz w:val="20"/>
          <w:szCs w:val="20"/>
          <w:color w:val="auto"/>
        </w:rPr>
      </w:pPr>
      <w:r>
        <w:rPr>
          <w:rFonts w:ascii="Times New Roman" w:cs="Times New Roman" w:eastAsia="Times New Roman" w:hAnsi="Times New Roman"/>
          <w:sz w:val="18"/>
          <w:szCs w:val="18"/>
          <w:color w:val="auto"/>
        </w:rPr>
        <w:t>SOUTH SAN FRANCISCO, Calif.–(BUSINESS WIRE)–February 4, 2021–Veracyte, Inc. (Nasdaq: VCYT) (the “Company”) today announced the pricing of an underwritten public offering of 7,432,433 shares of its common stock at a public offering price of $74.00 per share. The gross proceeds to the Company from this offering, before deducting underwriting discounts and commissions and offering expenses payable by Veracyte, are expected to be approximately $550 million. The public offering was upsized from the previously announced size of $400 million in shares of common stock. All of the shares are being offered by the Company. The offering is expected to close on or about February 9, 2021, subject to customary closing conditions. In addition, the Company granted to the underwriters participating in the offering a 30-day option to purchase up to an additional 1,114,864 shares of its common stock at the public offering price, less underwriting discounts and commissions.</w:t>
      </w:r>
    </w:p>
    <w:p>
      <w:pPr>
        <w:spacing w:after="0" w:line="189" w:lineRule="exact"/>
        <w:rPr>
          <w:sz w:val="20"/>
          <w:szCs w:val="20"/>
          <w:color w:val="auto"/>
        </w:rPr>
      </w:pPr>
    </w:p>
    <w:p>
      <w:pPr>
        <w:ind w:left="4" w:right="320"/>
        <w:spacing w:after="0" w:line="261" w:lineRule="auto"/>
        <w:rPr>
          <w:sz w:val="20"/>
          <w:szCs w:val="20"/>
          <w:color w:val="auto"/>
        </w:rPr>
      </w:pPr>
      <w:r>
        <w:rPr>
          <w:rFonts w:ascii="Times New Roman" w:cs="Times New Roman" w:eastAsia="Times New Roman" w:hAnsi="Times New Roman"/>
          <w:sz w:val="18"/>
          <w:szCs w:val="18"/>
          <w:color w:val="auto"/>
        </w:rPr>
        <w:t>Veracyte intends to use the net proceeds from the offering, together with its existing cash and cash equivalents, to finance its acquisition of Decipher Biosciences, Inc. Veracyte intends to use the remaining net proceeds of this offering for working capital and other general corporate purposes, which may include acquisitions or investments in complementary businesses, technologies or other assets, although it has no present commitments or agreements to do so (other than with respect to Decipher Biosciences, Inc.).</w:t>
      </w:r>
    </w:p>
    <w:p>
      <w:pPr>
        <w:spacing w:after="0" w:line="180" w:lineRule="exact"/>
        <w:rPr>
          <w:sz w:val="20"/>
          <w:szCs w:val="20"/>
          <w:color w:val="auto"/>
        </w:rPr>
      </w:pPr>
    </w:p>
    <w:p>
      <w:pPr>
        <w:ind w:left="4" w:right="40"/>
        <w:spacing w:after="0" w:line="282" w:lineRule="auto"/>
        <w:rPr>
          <w:sz w:val="20"/>
          <w:szCs w:val="20"/>
          <w:color w:val="auto"/>
        </w:rPr>
      </w:pPr>
      <w:r>
        <w:rPr>
          <w:rFonts w:ascii="Times New Roman" w:cs="Times New Roman" w:eastAsia="Times New Roman" w:hAnsi="Times New Roman"/>
          <w:sz w:val="18"/>
          <w:szCs w:val="18"/>
          <w:color w:val="auto"/>
        </w:rPr>
        <w:t>Goldman Sachs &amp; Co. LLC and SVB Leerink LLC are acting as joint lead book-running managers for the offering, William Blair &amp; Company, L.L.C. is acting as a book-running manager and BTIG, LLC, Needham &amp; Company, LLC, and Lake Street Capital Markets, LLC are acting as co-managers.</w:t>
      </w:r>
    </w:p>
    <w:p>
      <w:pPr>
        <w:spacing w:after="0" w:line="162" w:lineRule="exact"/>
        <w:rPr>
          <w:sz w:val="20"/>
          <w:szCs w:val="20"/>
          <w:color w:val="auto"/>
        </w:rPr>
      </w:pPr>
    </w:p>
    <w:p>
      <w:pPr>
        <w:ind w:left="4" w:right="120"/>
        <w:spacing w:after="0" w:line="269" w:lineRule="auto"/>
        <w:rPr>
          <w:sz w:val="20"/>
          <w:szCs w:val="20"/>
          <w:color w:val="auto"/>
        </w:rPr>
      </w:pPr>
      <w:r>
        <w:rPr>
          <w:rFonts w:ascii="Times New Roman" w:cs="Times New Roman" w:eastAsia="Times New Roman" w:hAnsi="Times New Roman"/>
          <w:sz w:val="17"/>
          <w:szCs w:val="17"/>
          <w:color w:val="auto"/>
        </w:rPr>
        <w:t>The shares will be issued pursuant to an effective shelf registration statement filed with the Securities and Exchange Commission (the “SEC”) on February 3, 2021. A preliminary prospectus supplement and accompanying prospectus relating to the offering have been filed with the SEC and are available on the SEC’s website at www.sec.gov. A final prospectus supplement and accompanying prospectus will be filed with the SEC. A copy of the final prospectus supplement and accompanying prospectus relating to the offering, when available, may be obtained by contacting Goldman Sachs &amp; Co. LLC, Attention: Prospectus Department, 200 West Street, New York, NY 10282, by email at prospectus-ny@ny.email.gs.com, or by telephone at</w:t>
      </w:r>
    </w:p>
    <w:p>
      <w:pPr>
        <w:spacing w:after="0" w:line="3" w:lineRule="exact"/>
        <w:rPr>
          <w:sz w:val="20"/>
          <w:szCs w:val="20"/>
          <w:color w:val="auto"/>
        </w:rPr>
      </w:pPr>
    </w:p>
    <w:p>
      <w:pPr>
        <w:ind w:left="4" w:right="420" w:hanging="4"/>
        <w:spacing w:after="0" w:line="260" w:lineRule="auto"/>
        <w:tabs>
          <w:tab w:leader="none" w:pos="43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471-2526; or SVB Leerink LLC, Attention: Syndicate Department, One Federal Street, 37th Floor, Boston, Massachusetts 01220, by email at syndicate@svbleerink.com, or by telephone at (800) 808-7525, ext. 6105.</w:t>
      </w:r>
    </w:p>
    <w:p>
      <w:pPr>
        <w:spacing w:after="0" w:line="181" w:lineRule="exact"/>
        <w:rPr>
          <w:sz w:val="20"/>
          <w:szCs w:val="20"/>
          <w:color w:val="auto"/>
        </w:rPr>
      </w:pPr>
    </w:p>
    <w:p>
      <w:pPr>
        <w:ind w:left="4" w:right="100"/>
        <w:spacing w:after="0" w:line="261" w:lineRule="auto"/>
        <w:rPr>
          <w:sz w:val="20"/>
          <w:szCs w:val="20"/>
          <w:color w:val="auto"/>
        </w:rPr>
      </w:pPr>
      <w:r>
        <w:rPr>
          <w:rFonts w:ascii="Times New Roman" w:cs="Times New Roman" w:eastAsia="Times New Roman" w:hAnsi="Times New Roman"/>
          <w:sz w:val="18"/>
          <w:szCs w:val="18"/>
          <w:color w:val="auto"/>
        </w:rPr>
        <w:t>This press release does not and shall not constitute an offer to sell or the solicitation of an offer to buy any securities, nor shall there be any sale of these securities in any state or other jurisdiction in which such offer, solicitation or sale would be unlawful prior to registration or qualification under the securities laws of any such state or other jurisdiction. Any offer, if at all, will be made only by means of a prospectus, including a prospectus supplement, forming a part of the effective registration statement.</w:t>
      </w:r>
    </w:p>
    <w:p>
      <w:pPr>
        <w:spacing w:after="0" w:line="180" w:lineRule="exact"/>
        <w:rPr>
          <w:sz w:val="20"/>
          <w:szCs w:val="20"/>
          <w:color w:val="auto"/>
        </w:rPr>
      </w:pPr>
    </w:p>
    <w:p>
      <w:pPr>
        <w:ind w:left="4" w:right="200"/>
        <w:spacing w:after="0" w:line="282" w:lineRule="auto"/>
        <w:rPr>
          <w:sz w:val="20"/>
          <w:szCs w:val="20"/>
          <w:color w:val="auto"/>
        </w:rPr>
      </w:pPr>
      <w:r>
        <w:rPr>
          <w:rFonts w:ascii="Times New Roman" w:cs="Times New Roman" w:eastAsia="Times New Roman" w:hAnsi="Times New Roman"/>
          <w:sz w:val="18"/>
          <w:szCs w:val="18"/>
          <w:color w:val="auto"/>
        </w:rPr>
        <w:t>Veracyte, Afirma, Percepta, Envisia, Prosigna, LymphMark, and Know by Design, and the Veracyte, Afirma, Percepta, Envisia and Prosigna logos are trademarks of Veracyte, Inc.</w:t>
      </w:r>
    </w:p>
    <w:p>
      <w:pPr>
        <w:sectPr>
          <w:pgSz w:w="11900" w:h="16838" w:orient="portrait"/>
          <w:cols w:equalWidth="0" w:num="1">
            <w:col w:w="11024"/>
          </w:cols>
          <w:pgMar w:left="436" w:top="117" w:right="439" w:bottom="1440" w:gutter="0" w:footer="0" w:header="0"/>
        </w:sectPr>
      </w:pPr>
    </w:p>
    <w:bookmarkStart w:id="45" w:name="page46"/>
    <w:bookmarkEnd w:id="45"/>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Forward-Looking Statements</w:t>
      </w:r>
    </w:p>
    <w:p>
      <w:pPr>
        <w:spacing w:after="0" w:line="121" w:lineRule="exact"/>
        <w:rPr>
          <w:sz w:val="20"/>
          <w:szCs w:val="20"/>
          <w:color w:val="auto"/>
        </w:rPr>
      </w:pPr>
    </w:p>
    <w:p>
      <w:pPr>
        <w:ind w:left="4"/>
        <w:spacing w:after="0" w:line="253" w:lineRule="auto"/>
        <w:rPr>
          <w:sz w:val="20"/>
          <w:szCs w:val="20"/>
          <w:color w:val="auto"/>
        </w:rPr>
      </w:pPr>
      <w:r>
        <w:rPr>
          <w:rFonts w:ascii="Times New Roman" w:cs="Times New Roman" w:eastAsia="Times New Roman" w:hAnsi="Times New Roman"/>
          <w:sz w:val="18"/>
          <w:szCs w:val="18"/>
          <w:color w:val="auto"/>
        </w:rPr>
        <w:t>Certain of the statements made in this press release are forward looking, such as those, among others, relating to Veracyte’s expectations regarding the completion, timing and size of the proposed offering. Actual results or developments may differ materially from those projected or implied in these forward-looking statements. Factors that may cause such a difference include, without limitation, risks and uncertainties related to whether or not Veracyte will be able to raise capital through the sale of its securities, the final terms of the proposed offering, market and other conditions, and the satisfaction of customary closing conditions related to the proposed public offering. There can be no assurance that Veracyte will be able to complete the proposed public offering on the anticipated terms, or at all. You should not place undue reliance on these forward-looking statements, which apply only as of the date of this press release. Additional risks and uncertainties relating to the proposed public offering, the proposed acquisition of Decipher Biosciences, Inc., its timing and expected benefits, Veracyte and its business can be found under the heading “Risk Factors” in Veracyte’s Quarterly Report on Form 10-Q for the quarter ended September 30, 2020, and other filings with the SEC, and in the preliminary prospectus supplement related to the proposed public offering to be filed with the SEC on or about the date hereof. Except as otherwise required by law, Veracyte does not undertake any obligation to update forward-looking statements and expressly disclaims any obligation or undertaking to release publicly any updates or revisions to any forward-looking statements contained herein to reflect any change in its expectations with regard thereto or any change in events, conditions or circumstances on which any such statements are based.</w:t>
      </w:r>
    </w:p>
    <w:p>
      <w:pPr>
        <w:spacing w:after="0" w:line="29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Investor and Media Contacts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Keith Kennedy</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Chief Operating Officer &amp; Chief Financial Officer</w:t>
      </w:r>
    </w:p>
    <w:p>
      <w:pPr>
        <w:spacing w:after="0" w:line="9" w:lineRule="exact"/>
        <w:rPr>
          <w:sz w:val="20"/>
          <w:szCs w:val="20"/>
          <w:color w:val="auto"/>
        </w:rPr>
      </w:pPr>
    </w:p>
    <w:p>
      <w:pPr>
        <w:ind w:left="4" w:right="9500" w:hanging="4"/>
        <w:spacing w:after="0" w:line="290" w:lineRule="auto"/>
        <w:tabs>
          <w:tab w:leader="none" w:pos="439"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243-6357 </w:t>
      </w:r>
      <w:r>
        <w:rPr>
          <w:rFonts w:ascii="Times New Roman" w:cs="Times New Roman" w:eastAsia="Times New Roman" w:hAnsi="Times New Roman"/>
          <w:sz w:val="17"/>
          <w:szCs w:val="17"/>
          <w:u w:val="single" w:color="auto"/>
          <w:color w:val="auto"/>
        </w:rPr>
        <w:t>keith@veracyte.com</w:t>
      </w:r>
    </w:p>
    <w:p>
      <w:pPr>
        <w:spacing w:after="0" w:line="15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Tracy Morris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Vice President of Corporate Communications &amp; Investor Relations</w:t>
      </w:r>
    </w:p>
    <w:p>
      <w:pPr>
        <w:spacing w:after="0" w:line="9" w:lineRule="exact"/>
        <w:rPr>
          <w:sz w:val="20"/>
          <w:szCs w:val="20"/>
          <w:color w:val="auto"/>
        </w:rPr>
      </w:pPr>
    </w:p>
    <w:p>
      <w:pPr>
        <w:ind w:left="4" w:right="9000" w:hanging="4"/>
        <w:spacing w:after="0" w:line="290" w:lineRule="auto"/>
        <w:tabs>
          <w:tab w:leader="none" w:pos="439"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380-4413 </w:t>
      </w:r>
      <w:r>
        <w:rPr>
          <w:rFonts w:ascii="Times New Roman" w:cs="Times New Roman" w:eastAsia="Times New Roman" w:hAnsi="Times New Roman"/>
          <w:sz w:val="17"/>
          <w:szCs w:val="17"/>
          <w:u w:val="single" w:color="auto"/>
          <w:color w:val="auto"/>
        </w:rPr>
        <w:t>tracy.morris@veracyte.com</w:t>
      </w:r>
    </w:p>
    <w:sectPr>
      <w:pgSz w:w="11900" w:h="16838" w:orient="portrait"/>
      <w:cols w:equalWidth="0" w:num="1">
        <w:col w:w="10984"/>
      </w:cols>
      <w:pgMar w:left="436" w:top="266"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1)"/>
      <w:numFmt w:val="lowerLetter"/>
      <w:start w:val="4"/>
    </w:lvl>
  </w:abstractNum>
  <w:abstractNum w:abstractNumId="2">
    <w:nsid w:val="8EDBDAB"/>
    <w:multiLevelType w:val="hybridMultilevel"/>
    <w:lvl w:ilvl="0">
      <w:lvlJc w:val="left"/>
      <w:lvlText w:val="(%1)"/>
      <w:numFmt w:val="lowerLetter"/>
      <w:start w:val="1"/>
    </w:lvl>
  </w:abstractNum>
  <w:abstractNum w:abstractNumId="3">
    <w:nsid w:val="79838CB2"/>
    <w:multiLevelType w:val="hybridMultilevel"/>
    <w:lvl w:ilvl="0">
      <w:lvlJc w:val="left"/>
      <w:lvlText w:val="%1"/>
      <w:numFmt w:val="lowerLetter"/>
      <w:start w:val="1"/>
    </w:lvl>
    <w:lvl w:ilvl="1">
      <w:lvlJc w:val="left"/>
      <w:lvlText w:val="(%2)"/>
      <w:numFmt w:val="lowerLetter"/>
      <w:start w:val="2"/>
    </w:lvl>
  </w:abstractNum>
  <w:abstractNum w:abstractNumId="4">
    <w:nsid w:val="4353D0CD"/>
    <w:multiLevelType w:val="hybridMultilevel"/>
    <w:lvl w:ilvl="0">
      <w:lvlJc w:val="left"/>
      <w:lvlText w:val="(%1)"/>
      <w:numFmt w:val="lowerLetter"/>
      <w:start w:val="22"/>
    </w:lvl>
    <w:lvl w:ilvl="1">
      <w:lvlJc w:val="left"/>
      <w:lvlText w:val="(%2)"/>
      <w:numFmt w:val="lowerLetter"/>
      <w:start w:val="3"/>
    </w:lvl>
  </w:abstractNum>
  <w:abstractNum w:abstractNumId="5">
    <w:nsid w:val="B03E0C6"/>
    <w:multiLevelType w:val="hybridMultilevel"/>
    <w:lvl w:ilvl="0">
      <w:lvlJc w:val="left"/>
      <w:lvlText w:val="(%1)"/>
      <w:numFmt w:val="lowerLetter"/>
      <w:start w:val="4"/>
    </w:lvl>
  </w:abstractNum>
  <w:abstractNum w:abstractNumId="6">
    <w:nsid w:val="189A769B"/>
    <w:multiLevelType w:val="hybridMultilevel"/>
    <w:lvl w:ilvl="0">
      <w:lvlJc w:val="left"/>
      <w:lvlText w:val="(%1)"/>
      <w:numFmt w:val="lowerLetter"/>
      <w:start w:val="11"/>
    </w:lvl>
  </w:abstractNum>
  <w:abstractNum w:abstractNumId="7">
    <w:nsid w:val="54E49EB4"/>
    <w:multiLevelType w:val="hybridMultilevel"/>
    <w:lvl w:ilvl="0">
      <w:lvlJc w:val="left"/>
      <w:lvlText w:val="(%1)"/>
      <w:numFmt w:val="lowerLetter"/>
      <w:start w:val="16"/>
    </w:lvl>
  </w:abstractNum>
  <w:abstractNum w:abstractNumId="8">
    <w:nsid w:val="71F32454"/>
    <w:multiLevelType w:val="hybridMultilevel"/>
    <w:lvl w:ilvl="0">
      <w:lvlJc w:val="left"/>
      <w:lvlText w:val="(%1)"/>
      <w:numFmt w:val="lowerLetter"/>
      <w:start w:val="20"/>
    </w:lvl>
    <w:lvl w:ilvl="1">
      <w:lvlJc w:val="left"/>
      <w:lvlText w:val="(%2)"/>
      <w:numFmt w:val="lowerRoman"/>
      <w:start w:val="1"/>
    </w:lvl>
    <w:lvl w:ilvl="2">
      <w:lvlJc w:val="left"/>
      <w:lvlText w:val="(%3)"/>
      <w:numFmt w:val="upperLetter"/>
      <w:start w:val="1"/>
    </w:lvl>
  </w:abstractNum>
  <w:abstractNum w:abstractNumId="9">
    <w:nsid w:val="2CA88611"/>
    <w:multiLevelType w:val="hybridMultilevel"/>
    <w:lvl w:ilvl="0">
      <w:lvlJc w:val="left"/>
      <w:lvlText w:val="(%1)"/>
      <w:numFmt w:val="lowerLetter"/>
      <w:start w:val="22"/>
    </w:lvl>
  </w:abstractNum>
  <w:abstractNum w:abstractNumId="10">
    <w:nsid w:val="836C40E"/>
    <w:multiLevelType w:val="hybridMultilevel"/>
    <w:lvl w:ilvl="0">
      <w:lvlJc w:val="left"/>
      <w:lvlText w:val="(%1)"/>
      <w:numFmt w:val="lowerLetter"/>
      <w:start w:val="25"/>
    </w:lvl>
  </w:abstractNum>
  <w:abstractNum w:abstractNumId="11">
    <w:nsid w:val="2901D82"/>
    <w:multiLevelType w:val="hybridMultilevel"/>
    <w:lvl w:ilvl="0">
      <w:lvlJc w:val="left"/>
      <w:lvlText w:val="(%1)"/>
      <w:numFmt w:val="lowerLetter"/>
      <w:start w:val="27"/>
    </w:lvl>
  </w:abstractNum>
  <w:abstractNum w:abstractNumId="12">
    <w:nsid w:val="3A95F874"/>
    <w:multiLevelType w:val="hybridMultilevel"/>
    <w:lvl w:ilvl="0">
      <w:lvlJc w:val="left"/>
      <w:lvlText w:val="(%1)"/>
      <w:numFmt w:val="lowerLetter"/>
      <w:start w:val="29"/>
    </w:lvl>
  </w:abstractNum>
  <w:abstractNum w:abstractNumId="13">
    <w:nsid w:val="8138641"/>
    <w:multiLevelType w:val="hybridMultilevel"/>
    <w:lvl w:ilvl="0">
      <w:lvlJc w:val="left"/>
      <w:lvlText w:val="§"/>
      <w:numFmt w:val="bullet"/>
      <w:start w:val="1"/>
    </w:lvl>
    <w:lvl w:ilvl="1">
      <w:lvlJc w:val="left"/>
      <w:lvlText w:val="(%2)"/>
      <w:numFmt w:val="lowerLetter"/>
      <w:start w:val="32"/>
    </w:lvl>
  </w:abstractNum>
  <w:abstractNum w:abstractNumId="14">
    <w:nsid w:val="1E7FF521"/>
    <w:multiLevelType w:val="hybridMultilevel"/>
    <w:lvl w:ilvl="0">
      <w:lvlJc w:val="left"/>
      <w:lvlText w:val="(%1)"/>
      <w:numFmt w:val="lowerLetter"/>
      <w:start w:val="35"/>
    </w:lvl>
  </w:abstractNum>
  <w:abstractNum w:abstractNumId="15">
    <w:nsid w:val="7C3DBD3D"/>
    <w:multiLevelType w:val="hybridMultilevel"/>
    <w:lvl w:ilvl="0">
      <w:lvlJc w:val="left"/>
      <w:lvlText w:val="(%1)"/>
      <w:numFmt w:val="lowerLetter"/>
      <w:start w:val="37"/>
    </w:lvl>
  </w:abstractNum>
  <w:abstractNum w:abstractNumId="16">
    <w:nsid w:val="737B8DDC"/>
    <w:multiLevelType w:val="hybridMultilevel"/>
    <w:lvl w:ilvl="0">
      <w:lvlJc w:val="left"/>
      <w:lvlText w:val="(%1)"/>
      <w:numFmt w:val="lowerLetter"/>
      <w:start w:val="42"/>
    </w:lvl>
  </w:abstractNum>
  <w:abstractNum w:abstractNumId="17">
    <w:nsid w:val="6CEAF087"/>
    <w:multiLevelType w:val="hybridMultilevel"/>
    <w:lvl w:ilvl="0">
      <w:lvlJc w:val="left"/>
      <w:lvlText w:val="%1."/>
      <w:numFmt w:val="decimal"/>
      <w:start w:val="2"/>
    </w:lvl>
  </w:abstractNum>
  <w:abstractNum w:abstractNumId="18">
    <w:nsid w:val="22221A70"/>
    <w:multiLevelType w:val="hybridMultilevel"/>
    <w:lvl w:ilvl="0">
      <w:lvlJc w:val="left"/>
      <w:lvlText w:val="%1."/>
      <w:numFmt w:val="decimal"/>
      <w:start w:val="3"/>
    </w:lvl>
  </w:abstractNum>
  <w:abstractNum w:abstractNumId="19">
    <w:nsid w:val="4516DDE9"/>
    <w:multiLevelType w:val="hybridMultilevel"/>
    <w:lvl w:ilvl="0">
      <w:lvlJc w:val="left"/>
      <w:lvlText w:val="%1."/>
      <w:numFmt w:val="decimal"/>
      <w:start w:val="5"/>
    </w:lvl>
  </w:abstractNum>
  <w:abstractNum w:abstractNumId="20">
    <w:nsid w:val="3006C83E"/>
    <w:multiLevelType w:val="hybridMultilevel"/>
    <w:lvl w:ilvl="0">
      <w:lvlJc w:val="left"/>
      <w:lvlText w:val="(%1)"/>
      <w:numFmt w:val="lowerLetter"/>
      <w:start w:val="1"/>
    </w:lvl>
  </w:abstractNum>
  <w:abstractNum w:abstractNumId="21">
    <w:nsid w:val="614FD4A1"/>
    <w:multiLevelType w:val="hybridMultilevel"/>
    <w:lvl w:ilvl="0">
      <w:lvlJc w:val="left"/>
      <w:lvlText w:val="(%1)"/>
      <w:numFmt w:val="lowerLetter"/>
      <w:start w:val="5"/>
    </w:lvl>
  </w:abstractNum>
  <w:abstractNum w:abstractNumId="22">
    <w:nsid w:val="419AC241"/>
    <w:multiLevelType w:val="hybridMultilevel"/>
    <w:lvl w:ilvl="0">
      <w:lvlJc w:val="left"/>
      <w:lvlText w:val="(%1)"/>
      <w:numFmt w:val="lowerLetter"/>
      <w:start w:val="11"/>
    </w:lvl>
    <w:lvl w:ilvl="1">
      <w:lvlJc w:val="left"/>
      <w:lvlText w:val="(%2)"/>
      <w:numFmt w:val="lowerRoman"/>
      <w:start w:val="1"/>
    </w:lvl>
  </w:abstractNum>
  <w:abstractNum w:abstractNumId="23">
    <w:nsid w:val="5577F8E1"/>
    <w:multiLevelType w:val="hybridMultilevel"/>
    <w:lvl w:ilvl="0">
      <w:lvlJc w:val="left"/>
      <w:lvlText w:val="(%1)"/>
      <w:numFmt w:val="lowerRoman"/>
      <w:start w:val="5"/>
    </w:lvl>
  </w:abstractNum>
  <w:abstractNum w:abstractNumId="24">
    <w:nsid w:val="440BADFC"/>
    <w:multiLevelType w:val="hybridMultilevel"/>
    <w:lvl w:ilvl="0">
      <w:lvlJc w:val="left"/>
      <w:lvlText w:val="(%1)"/>
      <w:numFmt w:val="lowerLetter"/>
      <w:start w:val="14"/>
    </w:lvl>
  </w:abstractNum>
  <w:abstractNum w:abstractNumId="25">
    <w:nsid w:val="5072367"/>
    <w:multiLevelType w:val="hybridMultilevel"/>
    <w:lvl w:ilvl="0">
      <w:lvlJc w:val="left"/>
      <w:lvlText w:val="(%1)"/>
      <w:numFmt w:val="lowerLetter"/>
      <w:start w:val="1"/>
    </w:lvl>
  </w:abstractNum>
  <w:abstractNum w:abstractNumId="26">
    <w:nsid w:val="3804823E"/>
    <w:multiLevelType w:val="hybridMultilevel"/>
    <w:lvl w:ilvl="0">
      <w:lvlJc w:val="left"/>
      <w:lvlText w:val="(%1)"/>
      <w:numFmt w:val="lowerLetter"/>
      <w:start w:val="4"/>
    </w:lvl>
  </w:abstractNum>
  <w:abstractNum w:abstractNumId="27">
    <w:nsid w:val="77465F01"/>
    <w:multiLevelType w:val="hybridMultilevel"/>
    <w:lvl w:ilvl="0">
      <w:lvlJc w:val="left"/>
      <w:lvlText w:val="(%1)"/>
      <w:numFmt w:val="lowerLetter"/>
      <w:start w:val="9"/>
    </w:lvl>
  </w:abstractNum>
  <w:abstractNum w:abstractNumId="28">
    <w:nsid w:val="7724C67E"/>
    <w:multiLevelType w:val="hybridMultilevel"/>
    <w:lvl w:ilvl="0">
      <w:lvlJc w:val="left"/>
      <w:lvlText w:val="(%1)"/>
      <w:numFmt w:val="lowerLetter"/>
      <w:start w:val="11"/>
    </w:lvl>
  </w:abstractNum>
  <w:abstractNum w:abstractNumId="29">
    <w:nsid w:val="5C482A97"/>
    <w:multiLevelType w:val="hybridMultilevel"/>
    <w:lvl w:ilvl="0">
      <w:lvlJc w:val="left"/>
      <w:lvlText w:val="%1."/>
      <w:numFmt w:val="decimal"/>
      <w:start w:val="7"/>
    </w:lvl>
  </w:abstractNum>
  <w:abstractNum w:abstractNumId="30">
    <w:nsid w:val="2463B9EA"/>
    <w:multiLevelType w:val="hybridMultilevel"/>
    <w:lvl w:ilvl="0">
      <w:lvlJc w:val="left"/>
      <w:lvlText w:val="(%1)"/>
      <w:numFmt w:val="lowerLetter"/>
      <w:start w:val="2"/>
    </w:lvl>
  </w:abstractNum>
  <w:abstractNum w:abstractNumId="31">
    <w:nsid w:val="5E884ADC"/>
    <w:multiLevelType w:val="hybridMultilevel"/>
    <w:lvl w:ilvl="0">
      <w:lvlJc w:val="left"/>
      <w:lvlText w:val="(%1)"/>
      <w:numFmt w:val="lowerLetter"/>
      <w:start w:val="4"/>
    </w:lvl>
  </w:abstractNum>
  <w:abstractNum w:abstractNumId="32">
    <w:nsid w:val="51EAD36B"/>
    <w:multiLevelType w:val="hybridMultilevel"/>
    <w:lvl w:ilvl="0">
      <w:lvlJc w:val="left"/>
      <w:lvlText w:val="(%1)"/>
      <w:numFmt w:val="lowerLetter"/>
      <w:start w:val="6"/>
    </w:lvl>
  </w:abstractNum>
  <w:abstractNum w:abstractNumId="33">
    <w:nsid w:val="2D517796"/>
    <w:multiLevelType w:val="hybridMultilevel"/>
    <w:lvl w:ilvl="0">
      <w:lvlJc w:val="left"/>
      <w:lvlText w:val="%1"/>
      <w:numFmt w:val="lowerRoman"/>
      <w:start w:val="1"/>
    </w:lvl>
    <w:lvl w:ilvl="1">
      <w:lvlJc w:val="left"/>
      <w:lvlText w:val="%2."/>
      <w:numFmt w:val="decimal"/>
      <w:start w:val="9"/>
    </w:lvl>
  </w:abstractNum>
  <w:abstractNum w:abstractNumId="34">
    <w:nsid w:val="580BD78F"/>
    <w:multiLevelType w:val="hybridMultilevel"/>
    <w:lvl w:ilvl="0">
      <w:lvlJc w:val="left"/>
      <w:lvlText w:val="(%1)"/>
      <w:numFmt w:val="lowerRoman"/>
      <w:start w:val="4"/>
    </w:lvl>
    <w:lvl w:ilvl="1">
      <w:lvlJc w:val="left"/>
      <w:lvlText w:val="%2."/>
      <w:numFmt w:val="decimal"/>
      <w:start w:val="10"/>
    </w:lvl>
  </w:abstractNum>
  <w:abstractNum w:abstractNumId="35">
    <w:nsid w:val="153EA438"/>
    <w:multiLevelType w:val="hybridMultilevel"/>
    <w:lvl w:ilvl="0">
      <w:lvlJc w:val="left"/>
      <w:lvlText w:val="%1."/>
      <w:numFmt w:val="decimal"/>
      <w:start w:val="11"/>
    </w:lvl>
  </w:abstractNum>
  <w:abstractNum w:abstractNumId="36">
    <w:nsid w:val="3855585C"/>
    <w:multiLevelType w:val="hybridMultilevel"/>
    <w:lvl w:ilvl="0">
      <w:lvlJc w:val="left"/>
      <w:lvlText w:val="(%1)"/>
      <w:numFmt w:val="lowerLetter"/>
      <w:start w:val="2"/>
    </w:lvl>
  </w:abstractNum>
  <w:abstractNum w:abstractNumId="37">
    <w:nsid w:val="70A64E2A"/>
    <w:multiLevelType w:val="hybridMultilevel"/>
    <w:lvl w:ilvl="0">
      <w:lvlJc w:val="left"/>
      <w:lvlText w:val="%1."/>
      <w:numFmt w:val="decimal"/>
      <w:start w:val="12"/>
    </w:lvl>
  </w:abstractNum>
  <w:abstractNum w:abstractNumId="38">
    <w:nsid w:val="6A2342EC"/>
    <w:multiLevelType w:val="hybridMultilevel"/>
    <w:lvl w:ilvl="0">
      <w:lvlJc w:val="left"/>
      <w:lvlText w:val="(%1)"/>
      <w:numFmt w:val="lowerLetter"/>
      <w:start w:val="2"/>
    </w:lvl>
  </w:abstractNum>
  <w:abstractNum w:abstractNumId="39">
    <w:nsid w:val="2A487CB0"/>
    <w:multiLevelType w:val="hybridMultilevel"/>
    <w:lvl w:ilvl="0">
      <w:lvlJc w:val="left"/>
      <w:lvlText w:val="%1."/>
      <w:numFmt w:val="decimal"/>
      <w:start w:val="13"/>
    </w:lvl>
  </w:abstractNum>
  <w:abstractNum w:abstractNumId="40">
    <w:nsid w:val="1D4ED43B"/>
    <w:multiLevelType w:val="hybridMultilevel"/>
    <w:lvl w:ilvl="0">
      <w:lvlJc w:val="left"/>
      <w:lvlText w:val="(%1)"/>
      <w:numFmt w:val="lowerRoman"/>
      <w:start w:val="2"/>
    </w:lvl>
  </w:abstractNum>
  <w:abstractNum w:abstractNumId="41">
    <w:nsid w:val="725A06FB"/>
    <w:multiLevelType w:val="hybridMultilevel"/>
    <w:lvl w:ilvl="0">
      <w:lvlJc w:val="left"/>
      <w:lvlText w:val="(%1)"/>
      <w:numFmt w:val="lowerLetter"/>
      <w:start w:val="1"/>
    </w:lvl>
  </w:abstractNum>
  <w:abstractNum w:abstractNumId="42">
    <w:nsid w:val="2CD89A32"/>
    <w:multiLevelType w:val="hybridMultilevel"/>
    <w:lvl w:ilvl="0">
      <w:lvlJc w:val="left"/>
      <w:lvlText w:val="(%1)"/>
      <w:numFmt w:val="lowerLetter"/>
      <w:start w:val="3"/>
    </w:lvl>
  </w:abstractNum>
  <w:abstractNum w:abstractNumId="43">
    <w:nsid w:val="57E4CCAF"/>
    <w:multiLevelType w:val="hybridMultilevel"/>
    <w:lvl w:ilvl="0">
      <w:lvlJc w:val="left"/>
      <w:lvlText w:val="(%1)"/>
      <w:numFmt w:val="decimal"/>
      <w:start w:val="866"/>
    </w:lvl>
  </w:abstractNum>
  <w:abstractNum w:abstractNumId="44">
    <w:nsid w:val="7A6D8D3C"/>
    <w:multiLevelType w:val="hybridMultilevel"/>
    <w:lvl w:ilvl="0">
      <w:lvlJc w:val="left"/>
      <w:lvlText w:val="(%1)"/>
      <w:numFmt w:val="decimal"/>
      <w:start w:val="650"/>
    </w:lvl>
  </w:abstractNum>
  <w:abstractNum w:abstractNumId="45">
    <w:nsid w:val="4B588F54"/>
    <w:multiLevelType w:val="hybridMultilevel"/>
    <w:lvl w:ilvl="0">
      <w:lvlJc w:val="left"/>
      <w:lvlText w:val="(%1)"/>
      <w:numFmt w:val="decimal"/>
      <w:start w:val="65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2021-02-05T05:28:17Z</dcterms:created>
  <dcterms:modified xsi:type="dcterms:W3CDTF">2021-02-05T05:28:17Z</dcterms:modified>
</cp:coreProperties>
</file>