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16, 2014</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140" w:type="dxa"/>
            <w:vAlign w:val="bottom"/>
          </w:tcPr>
          <w:p>
            <w:pPr>
              <w:jc w:val="center"/>
              <w:ind w:left="550"/>
              <w:spacing w:after="0"/>
              <w:rPr>
                <w:sz w:val="20"/>
                <w:szCs w:val="20"/>
                <w:color w:val="auto"/>
              </w:rPr>
            </w:pPr>
            <w:r>
              <w:rPr>
                <w:rFonts w:ascii="Arial" w:cs="Arial" w:eastAsia="Arial" w:hAnsi="Arial"/>
                <w:sz w:val="18"/>
                <w:szCs w:val="18"/>
                <w:b w:val="1"/>
                <w:bCs w:val="1"/>
                <w:color w:val="auto"/>
                <w:w w:val="90"/>
              </w:rPr>
              <w:t>001-36156</w:t>
            </w:r>
          </w:p>
        </w:tc>
        <w:tc>
          <w:tcPr>
            <w:tcW w:w="22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4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140" w:type="dxa"/>
            <w:vAlign w:val="bottom"/>
          </w:tcPr>
          <w:p>
            <w:pPr>
              <w:jc w:val="center"/>
              <w:ind w:left="550"/>
              <w:spacing w:after="0"/>
              <w:rPr>
                <w:sz w:val="20"/>
                <w:szCs w:val="20"/>
                <w:color w:val="auto"/>
              </w:rPr>
            </w:pPr>
            <w:r>
              <w:rPr>
                <w:rFonts w:ascii="Arial" w:cs="Arial" w:eastAsia="Arial" w:hAnsi="Arial"/>
                <w:sz w:val="18"/>
                <w:szCs w:val="18"/>
                <w:color w:val="auto"/>
                <w:w w:val="93"/>
              </w:rPr>
              <w:t>(Commission</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3"/>
              </w:rPr>
              <w:t>(IRS Employer</w:t>
            </w:r>
          </w:p>
        </w:tc>
      </w:tr>
      <w:tr>
        <w:trPr>
          <w:trHeight w:val="230"/>
        </w:trPr>
        <w:tc>
          <w:tcPr>
            <w:tcW w:w="194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5140" w:type="dxa"/>
            <w:vAlign w:val="bottom"/>
          </w:tcPr>
          <w:p>
            <w:pPr>
              <w:jc w:val="center"/>
              <w:ind w:left="550"/>
              <w:spacing w:after="0"/>
              <w:rPr>
                <w:sz w:val="20"/>
                <w:szCs w:val="20"/>
                <w:color w:val="auto"/>
              </w:rPr>
            </w:pPr>
            <w:r>
              <w:rPr>
                <w:rFonts w:ascii="Arial" w:cs="Arial" w:eastAsia="Arial" w:hAnsi="Arial"/>
                <w:sz w:val="18"/>
                <w:szCs w:val="18"/>
                <w:color w:val="auto"/>
                <w:w w:val="94"/>
              </w:rPr>
              <w:t>File Number)</w:t>
            </w:r>
          </w:p>
        </w:tc>
        <w:tc>
          <w:tcPr>
            <w:tcW w:w="228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40" w:type="dxa"/>
            <w:vAlign w:val="bottom"/>
          </w:tcPr>
          <w:p>
            <w:pPr>
              <w:spacing w:after="0"/>
              <w:rPr>
                <w:sz w:val="24"/>
                <w:szCs w:val="24"/>
                <w:color w:val="auto"/>
              </w:rPr>
            </w:pPr>
          </w:p>
        </w:tc>
        <w:tc>
          <w:tcPr>
            <w:tcW w:w="5140" w:type="dxa"/>
            <w:vAlign w:val="bottom"/>
          </w:tcPr>
          <w:p>
            <w:pPr>
              <w:ind w:left="60"/>
              <w:spacing w:after="0"/>
              <w:rPr>
                <w:sz w:val="20"/>
                <w:szCs w:val="20"/>
                <w:color w:val="auto"/>
              </w:rPr>
            </w:pPr>
            <w:r>
              <w:rPr>
                <w:rFonts w:ascii="Arial" w:cs="Arial" w:eastAsia="Arial" w:hAnsi="Arial"/>
                <w:sz w:val="18"/>
                <w:szCs w:val="18"/>
                <w:b w:val="1"/>
                <w:bCs w:val="1"/>
                <w:color w:val="auto"/>
                <w:w w:val="91"/>
              </w:rPr>
              <w:t>7000 Shoreline Court, Suite 250, South San Francisco, California</w:t>
            </w:r>
          </w:p>
        </w:tc>
        <w:tc>
          <w:tcPr>
            <w:tcW w:w="2280" w:type="dxa"/>
            <w:vAlign w:val="bottom"/>
          </w:tcPr>
          <w:p>
            <w:pPr>
              <w:jc w:val="right"/>
              <w:ind w:right="1650"/>
              <w:spacing w:after="0"/>
              <w:rPr>
                <w:sz w:val="20"/>
                <w:szCs w:val="20"/>
                <w:color w:val="auto"/>
              </w:rPr>
            </w:pPr>
            <w:r>
              <w:rPr>
                <w:rFonts w:ascii="Arial" w:cs="Arial" w:eastAsia="Arial" w:hAnsi="Arial"/>
                <w:sz w:val="18"/>
                <w:szCs w:val="18"/>
                <w:b w:val="1"/>
                <w:bCs w:val="1"/>
                <w:color w:val="auto"/>
              </w:rPr>
              <w:t>94080</w:t>
            </w:r>
          </w:p>
        </w:tc>
      </w:tr>
      <w:tr>
        <w:trPr>
          <w:trHeight w:val="230"/>
        </w:trPr>
        <w:tc>
          <w:tcPr>
            <w:tcW w:w="1940" w:type="dxa"/>
            <w:vAlign w:val="bottom"/>
          </w:tcPr>
          <w:p>
            <w:pPr>
              <w:spacing w:after="0"/>
              <w:rPr>
                <w:sz w:val="20"/>
                <w:szCs w:val="20"/>
                <w:color w:val="auto"/>
              </w:rPr>
            </w:pPr>
          </w:p>
        </w:tc>
        <w:tc>
          <w:tcPr>
            <w:tcW w:w="5140" w:type="dxa"/>
            <w:vAlign w:val="bottom"/>
          </w:tcPr>
          <w:p>
            <w:pPr>
              <w:jc w:val="center"/>
              <w:ind w:left="510"/>
              <w:spacing w:after="0"/>
              <w:rPr>
                <w:sz w:val="20"/>
                <w:szCs w:val="20"/>
                <w:color w:val="auto"/>
              </w:rPr>
            </w:pPr>
            <w:r>
              <w:rPr>
                <w:rFonts w:ascii="Arial" w:cs="Arial" w:eastAsia="Arial" w:hAnsi="Arial"/>
                <w:sz w:val="18"/>
                <w:szCs w:val="18"/>
                <w:color w:val="auto"/>
                <w:w w:val="92"/>
              </w:rPr>
              <w:t>(Address of principal executive offices) (Zip Code)</w:t>
            </w:r>
          </w:p>
        </w:tc>
        <w:tc>
          <w:tcPr>
            <w:tcW w:w="2280" w:type="dxa"/>
            <w:vAlign w:val="bottom"/>
          </w:tcPr>
          <w:p>
            <w:pPr>
              <w:spacing w:after="0"/>
              <w:rPr>
                <w:sz w:val="20"/>
                <w:szCs w:val="20"/>
                <w:color w:val="auto"/>
              </w:rPr>
            </w:pP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120"/>
        <w:spacing w:after="0" w:line="257" w:lineRule="auto"/>
        <w:rPr>
          <w:sz w:val="20"/>
          <w:szCs w:val="20"/>
          <w:color w:val="auto"/>
        </w:rPr>
      </w:pPr>
      <w:r>
        <w:rPr>
          <w:rFonts w:ascii="Arial" w:cs="Arial" w:eastAsia="Arial" w:hAnsi="Arial"/>
          <w:sz w:val="18"/>
          <w:szCs w:val="18"/>
          <w:color w:val="auto"/>
        </w:rPr>
        <w:t>On September 17, 2014, Veracyte, Inc. (the “Company”) filed a Current Report on Form 8-K (the “September 8-K”) with the Securities and Exchange Commission (the “Commission”) to report the completion of its previously announced acquisition of Allegro Diagnostics Corp., a Delaware corporation (“Allegro”), pursuant to an Agreement and Plan of Merger (the “Merger Agreement”) dated September 4, 2014 among the Company, Allegro, Full Moon Acquisition, Inc., a Delaware corporation and wholly owned subsidiary of the Company (“Merger Sub”), Andrey Zarur, as Stockholders’ Agent, and certain stockholders of Allegro.</w:t>
      </w:r>
    </w:p>
    <w:p>
      <w:pPr>
        <w:spacing w:after="0" w:line="18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November 6, 2014, the Company amended the September 8-K in order to include the financial statements and pro forma financial information required by parts (a) and (b) of Item 9.01 of Form 8-K (the “Amended 8-K”).</w:t>
      </w:r>
    </w:p>
    <w:p>
      <w:pPr>
        <w:spacing w:after="0" w:line="170"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color w:val="auto"/>
        </w:rPr>
        <w:t>In December 2014, the Company identified a transposition error in the unaudited condensed statement of operations of Allegro Diagnostics Corp. as of June 30, 2014 and the unaudited pro forma condensed combined statement of operations for the six months ended June 30, 2014 included in the Amended 8-</w:t>
      </w:r>
    </w:p>
    <w:p>
      <w:pPr>
        <w:jc w:val="both"/>
        <w:ind w:right="80" w:firstLine="8"/>
        <w:spacing w:after="0" w:line="254"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error related to the transposition of the amounts reported as research and development expenses and general and administrative expenses. The error had no impact on operating loss or net loss for the six months ended June 30, 2014. The unaudited condensed statement of operations of Allegro Diagnostics Corp. as of June 30, 2014 and the unaudited pro forma condensed combined statement of operations for the six months ended June 30, 2014 have been revised to correct for this transposition error.</w:t>
      </w:r>
    </w:p>
    <w:p>
      <w:pPr>
        <w:spacing w:after="0" w:line="190" w:lineRule="exact"/>
        <w:rPr>
          <w:sz w:val="24"/>
          <w:szCs w:val="24"/>
          <w:color w:val="auto"/>
        </w:rPr>
      </w:pPr>
    </w:p>
    <w:p>
      <w:pPr>
        <w:spacing w:after="0"/>
        <w:rPr>
          <w:sz w:val="20"/>
          <w:szCs w:val="20"/>
          <w:color w:val="auto"/>
        </w:rPr>
      </w:pPr>
      <w:r>
        <w:rPr>
          <w:rFonts w:ascii="Arial" w:cs="Arial" w:eastAsia="Arial" w:hAnsi="Arial"/>
          <w:sz w:val="16"/>
          <w:szCs w:val="16"/>
          <w:color w:val="auto"/>
        </w:rPr>
        <w:t>The Company hereby amends the Amended 8-K in order to include the corrected unaudited condensed statement of operations of Allegro Diagnostics Corp.</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for the six months ended June 30, 2014 and the unaudited pro forma condensed combined statement of operations for the six months ended June 30, 2014.</w:t>
      </w:r>
    </w:p>
    <w:p>
      <w:pPr>
        <w:spacing w:after="0" w:line="23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Except as described above, this Amended 8-K does not amend, update, or change any other items or disclosures in the September 8-K or the Amended 8-K and does not purport to reflect any information or events subsequent to the filing date of the original filing.</w:t>
      </w:r>
    </w:p>
    <w:p>
      <w:pPr>
        <w:spacing w:after="0" w:line="166"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ectPr>
          <w:pgSz w:w="11900" w:h="16838" w:orient="portrait"/>
          <w:cols w:equalWidth="0" w:num="1">
            <w:col w:w="11380"/>
          </w:cols>
          <w:pgMar w:left="240" w:top="544" w:right="279" w:bottom="181" w:gutter="0" w:footer="0" w:header="0"/>
        </w:sectPr>
      </w:pPr>
    </w:p>
    <w:bookmarkStart w:id="1" w:name="page2"/>
    <w:bookmarkEnd w:id="1"/>
    <w:p>
      <w:pPr>
        <w:ind w:right="420"/>
        <w:spacing w:after="0" w:line="277" w:lineRule="auto"/>
        <w:rPr>
          <w:sz w:val="20"/>
          <w:szCs w:val="20"/>
          <w:color w:val="auto"/>
        </w:rPr>
      </w:pPr>
      <w:r>
        <w:rPr>
          <w:rFonts w:ascii="Arial" w:cs="Arial" w:eastAsia="Arial" w:hAnsi="Arial"/>
          <w:sz w:val="18"/>
          <w:szCs w:val="18"/>
          <w:color w:val="auto"/>
        </w:rPr>
        <w:t>The unaudited condensed financial statements of Allegro as of June 30, 2014 and for the six months ended June 30, 2014 and 2013 (revised) are attached hereto as Exhibit 99.2.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unaudited pro forma condensed combined financial statements as of June 30, 2014 and for the year ended December 31, 2013 and the six months ended June 30, 2014 are attached hereto as Exhibit 99.3.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800" w:type="dxa"/>
            <w:vAlign w:val="bottom"/>
            <w:tcBorders>
              <w:bottom w:val="single" w:sz="8" w:color="auto"/>
            </w:tcBorders>
          </w:tcPr>
          <w:p>
            <w:pPr>
              <w:jc w:val="right"/>
              <w:ind w:right="446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280" w:type="dxa"/>
            <w:vAlign w:val="bottom"/>
          </w:tcPr>
          <w:p>
            <w:pPr>
              <w:spacing w:after="0"/>
              <w:rPr>
                <w:sz w:val="20"/>
                <w:szCs w:val="20"/>
                <w:color w:val="auto"/>
              </w:rPr>
            </w:pPr>
            <w:r>
              <w:rPr>
                <w:rFonts w:ascii="Arial" w:cs="Arial" w:eastAsia="Arial" w:hAnsi="Arial"/>
                <w:sz w:val="18"/>
                <w:szCs w:val="18"/>
                <w:color w:val="auto"/>
              </w:rPr>
              <w:t>99.2</w:t>
            </w:r>
          </w:p>
        </w:tc>
        <w:tc>
          <w:tcPr>
            <w:tcW w:w="10140" w:type="dxa"/>
            <w:vAlign w:val="bottom"/>
            <w:gridSpan w:val="2"/>
          </w:tcPr>
          <w:p>
            <w:pPr>
              <w:ind w:left="340"/>
              <w:spacing w:after="0"/>
              <w:rPr>
                <w:sz w:val="20"/>
                <w:szCs w:val="20"/>
                <w:color w:val="auto"/>
              </w:rPr>
            </w:pPr>
            <w:r>
              <w:rPr>
                <w:rFonts w:ascii="Arial" w:cs="Arial" w:eastAsia="Arial" w:hAnsi="Arial"/>
                <w:sz w:val="18"/>
                <w:szCs w:val="18"/>
                <w:color w:val="auto"/>
                <w:w w:val="90"/>
              </w:rPr>
              <w:t>Unaudited condensed financial statements of Allegro Diagnostics Corp. as of June 30, 2014 and for the six months ended June 30, 2014</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340"/>
              <w:spacing w:after="0"/>
              <w:rPr>
                <w:sz w:val="20"/>
                <w:szCs w:val="20"/>
                <w:color w:val="auto"/>
              </w:rPr>
            </w:pPr>
            <w:r>
              <w:rPr>
                <w:rFonts w:ascii="Arial" w:cs="Arial" w:eastAsia="Arial" w:hAnsi="Arial"/>
                <w:sz w:val="18"/>
                <w:szCs w:val="18"/>
                <w:color w:val="auto"/>
              </w:rPr>
              <w:t>and 2013 (revised).</w:t>
            </w:r>
          </w:p>
        </w:tc>
        <w:tc>
          <w:tcPr>
            <w:tcW w:w="40" w:type="dxa"/>
            <w:vAlign w:val="bottom"/>
          </w:tcPr>
          <w:p>
            <w:pPr>
              <w:spacing w:after="0"/>
              <w:rPr>
                <w:sz w:val="20"/>
                <w:szCs w:val="20"/>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99.3</w:t>
            </w:r>
          </w:p>
        </w:tc>
        <w:tc>
          <w:tcPr>
            <w:tcW w:w="10140" w:type="dxa"/>
            <w:vAlign w:val="bottom"/>
            <w:gridSpan w:val="2"/>
          </w:tcPr>
          <w:p>
            <w:pPr>
              <w:ind w:left="340"/>
              <w:spacing w:after="0"/>
              <w:rPr>
                <w:sz w:val="20"/>
                <w:szCs w:val="20"/>
                <w:color w:val="auto"/>
              </w:rPr>
            </w:pPr>
            <w:r>
              <w:rPr>
                <w:rFonts w:ascii="Arial" w:cs="Arial" w:eastAsia="Arial" w:hAnsi="Arial"/>
                <w:sz w:val="18"/>
                <w:szCs w:val="18"/>
                <w:color w:val="auto"/>
                <w:w w:val="90"/>
              </w:rPr>
              <w:t>Unaudited pro forma condensed combined financial statements as of June 30, 2014 and for the year ended December 31, 2013 and the</w:t>
            </w:r>
          </w:p>
        </w:tc>
        <w:tc>
          <w:tcPr>
            <w:tcW w:w="40" w:type="dxa"/>
            <w:vAlign w:val="bottom"/>
          </w:tcPr>
          <w:p>
            <w:pPr>
              <w:spacing w:after="0"/>
              <w:rPr>
                <w:sz w:val="24"/>
                <w:szCs w:val="24"/>
                <w:color w:val="auto"/>
              </w:rPr>
            </w:pPr>
          </w:p>
        </w:tc>
      </w:tr>
      <w:tr>
        <w:trPr>
          <w:trHeight w:val="230"/>
        </w:trPr>
        <w:tc>
          <w:tcPr>
            <w:tcW w:w="1280" w:type="dxa"/>
            <w:vAlign w:val="bottom"/>
          </w:tcPr>
          <w:p>
            <w:pPr>
              <w:spacing w:after="0"/>
              <w:rPr>
                <w:sz w:val="20"/>
                <w:szCs w:val="20"/>
                <w:color w:val="auto"/>
              </w:rPr>
            </w:pPr>
          </w:p>
        </w:tc>
        <w:tc>
          <w:tcPr>
            <w:tcW w:w="10140" w:type="dxa"/>
            <w:vAlign w:val="bottom"/>
            <w:gridSpan w:val="2"/>
          </w:tcPr>
          <w:p>
            <w:pPr>
              <w:ind w:left="340"/>
              <w:spacing w:after="0"/>
              <w:rPr>
                <w:sz w:val="20"/>
                <w:szCs w:val="20"/>
                <w:color w:val="auto"/>
              </w:rPr>
            </w:pPr>
            <w:r>
              <w:rPr>
                <w:rFonts w:ascii="Arial" w:cs="Arial" w:eastAsia="Arial" w:hAnsi="Arial"/>
                <w:sz w:val="18"/>
                <w:szCs w:val="18"/>
                <w:color w:val="auto"/>
              </w:rPr>
              <w:t>six months ended June 30, 2014.</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014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9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00" w:type="dxa"/>
            <w:vAlign w:val="bottom"/>
          </w:tcPr>
          <w:p>
            <w:pPr>
              <w:ind w:left="43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100" w:type="dxa"/>
            <w:vAlign w:val="bottom"/>
          </w:tcPr>
          <w:p>
            <w:pPr>
              <w:ind w:left="43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00" w:type="dxa"/>
            <w:vAlign w:val="bottom"/>
          </w:tcPr>
          <w:p>
            <w:pPr>
              <w:ind w:left="43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5400" w:type="dxa"/>
            <w:vAlign w:val="bottom"/>
            <w:gridSpan w:val="2"/>
          </w:tcPr>
          <w:p>
            <w:pPr>
              <w:ind w:left="458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4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40" w:type="dxa"/>
            <w:vAlign w:val="bottom"/>
            <w:gridSpan w:val="2"/>
          </w:tcPr>
          <w:p>
            <w:pPr>
              <w:ind w:left="344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24"/>
                <w:szCs w:val="24"/>
                <w:color w:val="auto"/>
              </w:rPr>
            </w:pPr>
          </w:p>
        </w:tc>
        <w:tc>
          <w:tcPr>
            <w:tcW w:w="10040" w:type="dxa"/>
            <w:vAlign w:val="bottom"/>
            <w:tcBorders>
              <w:bottom w:val="single" w:sz="8" w:color="auto"/>
            </w:tcBorders>
            <w:gridSpan w:val="2"/>
          </w:tcPr>
          <w:p>
            <w:pPr>
              <w:ind w:left="4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10340" w:type="dxa"/>
            <w:vAlign w:val="bottom"/>
            <w:gridSpan w:val="3"/>
          </w:tcPr>
          <w:p>
            <w:pPr>
              <w:ind w:left="300"/>
              <w:spacing w:after="0"/>
              <w:rPr>
                <w:sz w:val="20"/>
                <w:szCs w:val="20"/>
                <w:color w:val="auto"/>
              </w:rPr>
            </w:pPr>
            <w:r>
              <w:rPr>
                <w:rFonts w:ascii="Arial" w:cs="Arial" w:eastAsia="Arial" w:hAnsi="Arial"/>
                <w:sz w:val="18"/>
                <w:szCs w:val="18"/>
                <w:color w:val="auto"/>
                <w:w w:val="92"/>
              </w:rPr>
              <w:t>Unaudited condensed financial statements of Allegro Diagnostics Corp. as of June 30, 2014 and for the six months ended June 30, 2014</w:t>
            </w:r>
          </w:p>
        </w:tc>
        <w:tc>
          <w:tcPr>
            <w:tcW w:w="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and 2013 (revised).</w:t>
            </w:r>
          </w:p>
        </w:tc>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99.3</w:t>
            </w:r>
          </w:p>
        </w:tc>
        <w:tc>
          <w:tcPr>
            <w:tcW w:w="10340" w:type="dxa"/>
            <w:vAlign w:val="bottom"/>
            <w:gridSpan w:val="3"/>
          </w:tcPr>
          <w:p>
            <w:pPr>
              <w:ind w:left="300"/>
              <w:spacing w:after="0"/>
              <w:rPr>
                <w:sz w:val="20"/>
                <w:szCs w:val="20"/>
                <w:color w:val="auto"/>
              </w:rPr>
            </w:pPr>
            <w:r>
              <w:rPr>
                <w:rFonts w:ascii="Arial" w:cs="Arial" w:eastAsia="Arial" w:hAnsi="Arial"/>
                <w:sz w:val="18"/>
                <w:szCs w:val="18"/>
                <w:color w:val="auto"/>
                <w:w w:val="90"/>
              </w:rPr>
              <w:t>Unaudited pro forma condensed combined financial statements as of June 30, 2014 and for the year ended December 31, 2013 and the six</w:t>
            </w:r>
          </w:p>
        </w:tc>
        <w:tc>
          <w:tcPr>
            <w:tcW w:w="4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5400" w:type="dxa"/>
            <w:vAlign w:val="bottom"/>
            <w:gridSpan w:val="2"/>
          </w:tcPr>
          <w:p>
            <w:pPr>
              <w:ind w:left="300"/>
              <w:spacing w:after="0"/>
              <w:rPr>
                <w:sz w:val="20"/>
                <w:szCs w:val="20"/>
                <w:color w:val="auto"/>
              </w:rPr>
            </w:pPr>
            <w:r>
              <w:rPr>
                <w:rFonts w:ascii="Arial" w:cs="Arial" w:eastAsia="Arial" w:hAnsi="Arial"/>
                <w:sz w:val="18"/>
                <w:szCs w:val="18"/>
                <w:color w:val="auto"/>
              </w:rPr>
              <w:t>months ended June 30, 2014.</w:t>
            </w:r>
          </w:p>
        </w:tc>
        <w:tc>
          <w:tcPr>
            <w:tcW w:w="4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10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510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-1684655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-1684655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99.2</w:t>
            </w:r>
          </w:p>
        </w:tc>
      </w:tr>
      <w:tr>
        <w:trPr>
          <w:trHeight w:val="414"/>
        </w:trPr>
        <w:tc>
          <w:tcPr>
            <w:tcW w:w="8120" w:type="dxa"/>
            <w:vAlign w:val="bottom"/>
          </w:tcPr>
          <w:p>
            <w:pPr>
              <w:spacing w:after="0"/>
              <w:rPr>
                <w:sz w:val="20"/>
                <w:szCs w:val="20"/>
                <w:color w:val="auto"/>
              </w:rPr>
            </w:pPr>
            <w:r>
              <w:rPr>
                <w:rFonts w:ascii="Arial" w:cs="Arial" w:eastAsia="Arial" w:hAnsi="Arial"/>
                <w:sz w:val="18"/>
                <w:szCs w:val="18"/>
                <w:b w:val="1"/>
                <w:bCs w:val="1"/>
                <w:color w:val="auto"/>
              </w:rPr>
              <w:t>Allegro Diagnostics Corp.</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Condensed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June 30, 2014 and December 31, 2013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42"/>
        </w:trPr>
        <w:tc>
          <w:tcPr>
            <w:tcW w:w="8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8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3"/>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3"/>
              <w:spacing w:after="0" w:line="142" w:lineRule="exact"/>
              <w:rPr>
                <w:sz w:val="20"/>
                <w:szCs w:val="20"/>
                <w:color w:val="auto"/>
              </w:rPr>
            </w:pPr>
            <w:r>
              <w:rPr>
                <w:rFonts w:ascii="Arial" w:cs="Arial" w:eastAsia="Arial" w:hAnsi="Arial"/>
                <w:sz w:val="14"/>
                <w:szCs w:val="14"/>
                <w:b w:val="1"/>
                <w:bCs w:val="1"/>
                <w:color w:val="auto"/>
                <w:w w:val="92"/>
              </w:rPr>
              <w:t>(Note 1)</w:t>
            </w:r>
          </w:p>
        </w:tc>
        <w:tc>
          <w:tcPr>
            <w:tcW w:w="100" w:type="dxa"/>
            <w:vAlign w:val="bottom"/>
            <w:gridSpan w:val="2"/>
          </w:tcPr>
          <w:p>
            <w:pPr>
              <w:spacing w:after="0"/>
              <w:rPr>
                <w:sz w:val="12"/>
                <w:szCs w:val="1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529,485</w:t>
            </w:r>
          </w:p>
        </w:tc>
        <w:tc>
          <w:tcPr>
            <w:tcW w:w="80" w:type="dxa"/>
            <w:vAlign w:val="bottom"/>
            <w:shd w:val="clear" w:color="auto" w:fill="CCEEFF"/>
          </w:tcPr>
          <w:p>
            <w:pPr>
              <w:spacing w:after="0"/>
              <w:rPr>
                <w:sz w:val="18"/>
                <w:szCs w:val="18"/>
                <w:color w:val="auto"/>
              </w:rPr>
            </w:pPr>
          </w:p>
        </w:tc>
      </w:tr>
      <w:tr>
        <w:trPr>
          <w:trHeight w:val="210"/>
        </w:trPr>
        <w:tc>
          <w:tcPr>
            <w:tcW w:w="812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199,807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13,170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13,170</w:t>
            </w:r>
          </w:p>
        </w:tc>
        <w:tc>
          <w:tcPr>
            <w:tcW w:w="80" w:type="dxa"/>
            <w:vAlign w:val="bottom"/>
            <w:shd w:val="clear" w:color="auto" w:fill="CCEEFF"/>
          </w:tcPr>
          <w:p>
            <w:pPr>
              <w:spacing w:after="0"/>
              <w:rPr>
                <w:sz w:val="18"/>
                <w:szCs w:val="18"/>
                <w:color w:val="auto"/>
              </w:rPr>
            </w:pPr>
          </w:p>
        </w:tc>
      </w:tr>
      <w:tr>
        <w:trPr>
          <w:trHeight w:val="250"/>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212,977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542,655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51"/>
        </w:trPr>
        <w:tc>
          <w:tcPr>
            <w:tcW w:w="8120" w:type="dxa"/>
            <w:vAlign w:val="bottom"/>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LIABILITIES, REDEEMABLE CONVERTIBLE PREFERRED STOCK AND STOCKHOLDERS’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234"/>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1,032,906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941,136</w:t>
            </w: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942,084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765,161</w:t>
            </w:r>
          </w:p>
        </w:tc>
        <w:tc>
          <w:tcPr>
            <w:tcW w:w="8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6,575,000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5,749,722</w:t>
            </w: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9,598,980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7,837,680</w:t>
            </w:r>
          </w:p>
        </w:tc>
        <w:tc>
          <w:tcPr>
            <w:tcW w:w="80" w:type="dxa"/>
            <w:vAlign w:val="bottom"/>
          </w:tcPr>
          <w:p>
            <w:pPr>
              <w:spacing w:after="0"/>
              <w:rPr>
                <w:sz w:val="18"/>
                <w:szCs w:val="18"/>
                <w:color w:val="auto"/>
              </w:rPr>
            </w:pPr>
          </w:p>
        </w:tc>
      </w:tr>
      <w:tr>
        <w:trPr>
          <w:trHeight w:val="210"/>
        </w:trPr>
        <w:tc>
          <w:tcPr>
            <w:tcW w:w="8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18,148,970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15,293,699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6"/>
        </w:trPr>
        <w:tc>
          <w:tcPr>
            <w:tcW w:w="8120" w:type="dxa"/>
            <w:vAlign w:val="bottom"/>
          </w:tcPr>
          <w:p>
            <w:pPr>
              <w:spacing w:after="0" w:line="196" w:lineRule="exact"/>
              <w:rPr>
                <w:sz w:val="20"/>
                <w:szCs w:val="20"/>
                <w:color w:val="auto"/>
              </w:rPr>
            </w:pPr>
            <w:r>
              <w:rPr>
                <w:rFonts w:ascii="Arial" w:cs="Arial" w:eastAsia="Arial" w:hAnsi="Arial"/>
                <w:sz w:val="18"/>
                <w:szCs w:val="18"/>
                <w:b w:val="1"/>
                <w:bCs w:val="1"/>
                <w:color w:val="auto"/>
              </w:rPr>
              <w:t>Redeemable convertible preferred stock</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Series A redeemable convertible preferred stock: $0.01 par value; 44,145,897 shares authorized as of</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June 30, 2014 and December 31, 2013; 4,094,795 shares issued and outstanding as of June 30, 2014 and</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13,117,186</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12,708,012</w:t>
            </w:r>
          </w:p>
        </w:tc>
        <w:tc>
          <w:tcPr>
            <w:tcW w:w="80" w:type="dxa"/>
            <w:vAlign w:val="bottom"/>
            <w:shd w:val="clear" w:color="auto" w:fill="CCEEFF"/>
          </w:tcPr>
          <w:p>
            <w:pPr>
              <w:spacing w:after="0"/>
              <w:rPr>
                <w:sz w:val="20"/>
                <w:szCs w:val="20"/>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$0.01 par value; 65,082,781 shares authorized as of June 30, 2014 and December 31, 2013;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809,114 shares issued and outstanding as of June 30, 2014 and December 31, 2013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8,091</w:t>
            </w:r>
          </w:p>
        </w:tc>
        <w:tc>
          <w:tcPr>
            <w:tcW w:w="80" w:type="dxa"/>
            <w:vAlign w:val="bottom"/>
            <w:shd w:val="clear" w:color="auto" w:fill="CCEEFF"/>
          </w:tcPr>
          <w:p>
            <w:pPr>
              <w:spacing w:after="0"/>
              <w:rPr>
                <w:sz w:val="20"/>
                <w:szCs w:val="20"/>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(31,061,270)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(27,467,147)</w:t>
            </w:r>
          </w:p>
        </w:tc>
      </w:tr>
      <w:tr>
        <w:trPr>
          <w:trHeight w:val="210"/>
        </w:trPr>
        <w:tc>
          <w:tcPr>
            <w:tcW w:w="8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(31,053,179)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(27,459,056)</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8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20" w:type="dxa"/>
            <w:vAlign w:val="bottom"/>
          </w:tcPr>
          <w:p>
            <w:pPr>
              <w:ind w:left="360"/>
              <w:spacing w:after="0"/>
              <w:rPr>
                <w:sz w:val="20"/>
                <w:szCs w:val="20"/>
                <w:color w:val="auto"/>
              </w:rPr>
            </w:pPr>
            <w:r>
              <w:rPr>
                <w:rFonts w:ascii="Arial" w:cs="Arial" w:eastAsia="Arial" w:hAnsi="Arial"/>
                <w:sz w:val="18"/>
                <w:szCs w:val="18"/>
                <w:b w:val="1"/>
                <w:bCs w:val="1"/>
                <w:color w:val="auto"/>
              </w:rPr>
              <w:t>Total liabilities, redeemable convertible preferred stock and stockholders’ deficit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212,977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542,655</w:t>
            </w:r>
          </w:p>
        </w:tc>
        <w:tc>
          <w:tcPr>
            <w:tcW w:w="80" w:type="dxa"/>
            <w:vAlign w:val="bottom"/>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and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4"/>
                <w:szCs w:val="1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6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center"/>
              <w:ind w:right="176"/>
              <w:spacing w:after="0" w:line="119" w:lineRule="exact"/>
              <w:rPr>
                <w:sz w:val="20"/>
                <w:szCs w:val="20"/>
                <w:color w:val="auto"/>
              </w:rPr>
            </w:pPr>
            <w:r>
              <w:rPr>
                <w:rFonts w:ascii="Arial" w:cs="Arial" w:eastAsia="Arial" w:hAnsi="Arial"/>
                <w:sz w:val="13"/>
                <w:szCs w:val="13"/>
                <w:b w:val="1"/>
                <w:bCs w:val="1"/>
                <w:color w:val="auto"/>
                <w:w w:val="99"/>
              </w:rPr>
              <w:t>(revised)</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5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Research and development (1)</w:t>
            </w:r>
          </w:p>
        </w:tc>
        <w:tc>
          <w:tcPr>
            <w:tcW w:w="2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405,335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848,692</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(1)</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759,035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566,574</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26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1,164,370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1,415,266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(1,164,370)</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(1,415,266)</w:t>
            </w:r>
          </w:p>
        </w:tc>
        <w:tc>
          <w:tcPr>
            <w:tcW w:w="100" w:type="dxa"/>
            <w:vAlign w:val="bottom"/>
            <w:gridSpan w:val="2"/>
            <w:shd w:val="clear" w:color="auto" w:fill="CCEEFF"/>
          </w:tcPr>
          <w:p>
            <w:pPr>
              <w:spacing w:after="0"/>
              <w:rPr>
                <w:sz w:val="18"/>
                <w:szCs w:val="18"/>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b w:val="1"/>
                <w:bCs w:val="1"/>
                <w:color w:val="auto"/>
              </w:rPr>
              <w:t>Other (expense) income</w:t>
            </w:r>
          </w:p>
        </w:tc>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(287,836)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(126,663)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(1,761,300)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(4,140,000)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21,131</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r>
      <w:tr>
        <w:trPr>
          <w:trHeight w:val="210"/>
        </w:trPr>
        <w:tc>
          <w:tcPr>
            <w:tcW w:w="5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expense, net</w:t>
            </w:r>
          </w:p>
        </w:tc>
        <w:tc>
          <w:tcPr>
            <w:tcW w:w="2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(4,245,064)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56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(3,213,023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(5,660,330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As revised to correct transposition error, see Note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and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040" w:type="dxa"/>
            <w:vAlign w:val="bottom"/>
          </w:tcPr>
          <w:p>
            <w:pPr>
              <w:jc w:val="center"/>
              <w:ind w:left="268"/>
              <w:spacing w:after="0"/>
              <w:rPr>
                <w:sz w:val="20"/>
                <w:szCs w:val="20"/>
                <w:color w:val="auto"/>
              </w:rPr>
            </w:pPr>
            <w:r>
              <w:rPr>
                <w:rFonts w:ascii="Arial" w:cs="Arial" w:eastAsia="Arial" w:hAnsi="Arial"/>
                <w:sz w:val="14"/>
                <w:szCs w:val="14"/>
                <w:b w:val="1"/>
                <w:bCs w:val="1"/>
                <w:color w:val="auto"/>
                <w:w w:val="89"/>
              </w:rPr>
              <w:t>June 30,</w:t>
            </w:r>
          </w:p>
        </w:tc>
        <w:tc>
          <w:tcPr>
            <w:tcW w:w="20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93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19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83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178"/>
        </w:trPr>
        <w:tc>
          <w:tcPr>
            <w:tcW w:w="8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ectPr>
          <w:pgSz w:w="11900" w:h="16900"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(3,213,023)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(5,660,330)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3,397</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28,074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28,325</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1,761,300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4,140,000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287,836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126,663</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other assets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Arial" w:cs="Arial" w:eastAsia="Arial" w:hAnsi="Arial"/>
                <w:sz w:val="18"/>
                <w:szCs w:val="18"/>
                <w:color w:val="auto"/>
              </w:rPr>
              <w:t>Increase in accounts payable</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91,770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342,016</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accrued expenses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(54,419)</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(101,274)</w:t>
            </w:r>
          </w:p>
        </w:tc>
      </w:tr>
      <w:tr>
        <w:trPr>
          <w:trHeight w:val="21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15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(1,098,462)</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(1,120,984)</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Proceeds from issuance of convertible promissory notes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1,275,000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1,150,000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Repayment of convertible promissory notes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(506,216)</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768,784</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(decrease) increase in cash</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(329,678)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b w:val="1"/>
                <w:bCs w:val="1"/>
                <w:color w:val="auto"/>
              </w:rPr>
              <w:t>Cash and equivalents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529,485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128,671</w:t>
            </w:r>
          </w:p>
        </w:tc>
        <w:tc>
          <w:tcPr>
            <w:tcW w:w="8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End of period</w:t>
            </w:r>
          </w:p>
        </w:tc>
        <w:tc>
          <w:tcPr>
            <w:tcW w:w="15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199,807</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07"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rFonts w:ascii="Arial" w:cs="Arial" w:eastAsia="Arial" w:hAnsi="Arial"/>
          <w:sz w:val="18"/>
          <w:szCs w:val="18"/>
          <w:b w:val="1"/>
          <w:bCs w:val="1"/>
          <w:color w:val="auto"/>
        </w:rPr>
      </w:pPr>
    </w:p>
    <w:p>
      <w:pPr>
        <w:ind w:left="5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Allegro Diagnostics Corp. (the “Company”) was incorporated on August 11, 2006 as a Delaware corporation. The Company is a leader in the field of gene expression molecular diagnostic testing for lung cancer and other diseases, the results of which are intended to provide earlier, more accurate information to clinicians and patients regarding patient health.</w:t>
      </w:r>
    </w:p>
    <w:p>
      <w:pPr>
        <w:spacing w:after="0" w:line="17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Unaudited Interim Financial Statements</w:t>
      </w:r>
    </w:p>
    <w:p>
      <w:pPr>
        <w:spacing w:after="0" w:line="229" w:lineRule="exact"/>
        <w:rPr>
          <w:rFonts w:ascii="Arial" w:cs="Arial" w:eastAsia="Arial" w:hAnsi="Arial"/>
          <w:sz w:val="18"/>
          <w:szCs w:val="18"/>
          <w:b w:val="1"/>
          <w:bCs w:val="1"/>
          <w:color w:val="auto"/>
        </w:rPr>
      </w:pPr>
    </w:p>
    <w:p>
      <w:pPr>
        <w:ind w:left="52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condensed balance sheet as of June 30, 2014, and the condensed statements of operations and cash flows for the six months ended June 30, 2014 and 2013 are unaudited. The unaudited interim financial statements have been prepared on the same basis as the annual financial statements and, in the opinion of management, reflect all adjustments, which include only normal recurring adjustments, necessary for a fair statement of the Company’s financial position as of June 30, 2014 and its results of operations and cash flows for the six months ended June 30, 2014 and 2013. The financial data and the other financial information contained in these notes to the condensed financial statements related to the six month periods are also unaudited. The condensed balance sheet as of December 31, 2013 has been derived from audited financial statements at that date but does not include all of the financial information required by U.S. generally accepted accounting principles for complete financial statements. These financial statements should be read in conjunction with the Company’s audited financial statements.</w:t>
      </w:r>
    </w:p>
    <w:p>
      <w:pPr>
        <w:spacing w:after="0" w:line="1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9" w:lineRule="exact"/>
        <w:rPr>
          <w:rFonts w:ascii="Arial" w:cs="Arial" w:eastAsia="Arial" w:hAnsi="Arial"/>
          <w:sz w:val="18"/>
          <w:szCs w:val="18"/>
          <w:b w:val="1"/>
          <w:bCs w:val="1"/>
          <w:color w:val="auto"/>
        </w:rPr>
      </w:pPr>
    </w:p>
    <w:p>
      <w:pPr>
        <w:ind w:left="52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The Company has experienced recurring losses and negative cash flows since inception, has a working capital deficit at June 30, 2014, and has an accumulated deficit of $31,061,270 at June 30, 2014. The future viability of the Company is largely dependent on its ability to generate cash from operating activities or to raise additional capital to finance its operations. The Company’s failure to raise capital as and when needed will have a negative impact on its financial condition and its ability to pursue its business strategies. If adequate funds are not available to the Company, the Company will be required to delay, reduce or eliminate research and development programs, reduce or eliminate product commercialization efforts, obtain funds through arrangements with collaborators on terms unfavorable to the Company or pursue merger or acquisition strategies. Although Management continues to pursue these plans, there is no assurance that the Company will be successful in obtaining sufficient funding on terms acceptable to the Company to fund continuing operations, if at all. These circumstances raise substantial doubt about the Company’s ability to continue as a going concern. The financial statements do not include any adjustments that might result from the outcome of this uncertainty</w:t>
      </w:r>
    </w:p>
    <w:p>
      <w:pPr>
        <w:spacing w:after="0" w:line="16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ind w:left="5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has used estimates and assumptions relating to the reporting of assets and liabilities and the disclosure of contingent assets and liabilities in its preparation of the financial statements in accordance with accounting principles generally accepted in the United States of America (GAAP). Actual results experienced by the Company may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Fair Value</w:t>
      </w:r>
    </w:p>
    <w:p>
      <w:pPr>
        <w:sectPr>
          <w:pgSz w:w="11900" w:h="16838" w:orient="portrait"/>
          <w:cols w:equalWidth="0" w:num="1">
            <w:col w:w="11420"/>
          </w:cols>
          <w:pgMar w:left="240" w:top="140" w:right="239" w:bottom="0" w:gutter="0" w:footer="0" w:header="0"/>
        </w:sectPr>
      </w:pPr>
    </w:p>
    <w:bookmarkStart w:id="4" w:name="page5"/>
    <w:bookmarkEnd w:id="4"/>
    <w:p>
      <w:pPr>
        <w:spacing w:after="0" w:line="36" w:lineRule="exact"/>
        <w:rPr>
          <w:sz w:val="20"/>
          <w:szCs w:val="20"/>
          <w:color w:val="auto"/>
        </w:rPr>
      </w:pPr>
    </w:p>
    <w:p>
      <w:pPr>
        <w:ind w:left="520" w:right="180"/>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is used to measure fair value:</w:t>
      </w:r>
    </w:p>
    <w:p>
      <w:pPr>
        <w:spacing w:after="0" w:line="154"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560" w:right="80" w:hanging="1036"/>
        <w:spacing w:after="0" w:line="264"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1" w:lineRule="exact"/>
        <w:rPr>
          <w:sz w:val="20"/>
          <w:szCs w:val="20"/>
          <w:color w:val="auto"/>
        </w:rPr>
      </w:pPr>
    </w:p>
    <w:p>
      <w:pPr>
        <w:ind w:left="1560" w:right="220" w:hanging="1036"/>
        <w:spacing w:after="0" w:line="277" w:lineRule="auto"/>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left="520" w:right="580"/>
        <w:spacing w:after="0" w:line="277" w:lineRule="auto"/>
        <w:rPr>
          <w:sz w:val="20"/>
          <w:szCs w:val="20"/>
          <w:color w:val="auto"/>
        </w:rPr>
      </w:pPr>
      <w:r>
        <w:rPr>
          <w:rFonts w:ascii="Arial" w:cs="Arial" w:eastAsia="Arial" w:hAnsi="Arial"/>
          <w:sz w:val="18"/>
          <w:szCs w:val="18"/>
          <w:color w:val="auto"/>
        </w:rPr>
        <w:t>The Company’s cash equivalents are carried at fair value using Level 1 inputs as described above. The carrying values of accounts payable and accrued expenses approximate their fair value due to the short-term nature of these liabilities.</w:t>
      </w:r>
    </w:p>
    <w:p>
      <w:pPr>
        <w:spacing w:after="0" w:line="170" w:lineRule="exact"/>
        <w:rPr>
          <w:sz w:val="20"/>
          <w:szCs w:val="20"/>
          <w:color w:val="auto"/>
        </w:rPr>
      </w:pPr>
    </w:p>
    <w:p>
      <w:pPr>
        <w:jc w:val="both"/>
        <w:ind w:left="520" w:right="160"/>
        <w:spacing w:after="0" w:line="264" w:lineRule="auto"/>
        <w:rPr>
          <w:sz w:val="20"/>
          <w:szCs w:val="20"/>
          <w:color w:val="auto"/>
        </w:rPr>
      </w:pPr>
      <w:r>
        <w:rPr>
          <w:rFonts w:ascii="Arial" w:cs="Arial" w:eastAsia="Arial" w:hAnsi="Arial"/>
          <w:sz w:val="18"/>
          <w:szCs w:val="18"/>
          <w:color w:val="auto"/>
        </w:rPr>
        <w:t>The Company has classified its derivative liabilities within Level 3 of the fair value hierarchy because the fair values are determined using significant unobservable inputs, which include the probabilities of sale and/or liquidation, discount rates, and potential third party sales values. These values are significant inputs into the model used to calculate the estimated fair value of the derivative liability.</w:t>
      </w:r>
    </w:p>
    <w:p>
      <w:pPr>
        <w:spacing w:after="0" w:line="181"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The derivative liability consists of the right contained in the 2012 and 2013 convertible promissory notes whereby under certain conditions, the holders of the notes can elect to receive an amount equal to five times the then outstanding principal amount. As of June 30, 2014 and December 31, 2013, the Company utilized a probability-weighted valuation model to estimate the fair value of this derivative liability which takes into consideration various outcomes. The fair value of these derivative liabilities as recorded in the balance sheet was $9,598,980 and $7,837,680 at June 30, 2014 and December 31, 2013, respectively.</w:t>
      </w:r>
    </w:p>
    <w:p>
      <w:pPr>
        <w:spacing w:after="0" w:line="188"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The recurring Level 3 fair value measurements of the Company’s derivative liability using probability-weighted discounted cash flow include the following significant unobservable inputs:</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350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Unobservable Input</w:t>
            </w:r>
          </w:p>
        </w:tc>
        <w:tc>
          <w:tcPr>
            <w:tcW w:w="2400" w:type="dxa"/>
            <w:vAlign w:val="bottom"/>
            <w:gridSpan w:val="2"/>
          </w:tcPr>
          <w:p>
            <w:pPr>
              <w:ind w:left="740"/>
              <w:spacing w:after="0"/>
              <w:rPr>
                <w:sz w:val="20"/>
                <w:szCs w:val="20"/>
                <w:color w:val="auto"/>
              </w:rPr>
            </w:pPr>
            <w:r>
              <w:rPr>
                <w:rFonts w:ascii="Arial" w:cs="Arial" w:eastAsia="Arial" w:hAnsi="Arial"/>
                <w:sz w:val="14"/>
                <w:szCs w:val="14"/>
                <w:b w:val="1"/>
                <w:bCs w:val="1"/>
                <w:color w:val="auto"/>
              </w:rPr>
              <w:t>At June 30,</w:t>
            </w: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Probabilities of Company sale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 - 85%</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 - 70%</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Probability of Company liquidation</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24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$21,000,000</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$21,000,000</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2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roll forward of the aggregate fair values of the Company’s derivative liability for which fair value is determined by</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inputs: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27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7,837,680</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Increase in fair value</w:t>
            </w:r>
          </w:p>
        </w:tc>
        <w:tc>
          <w:tcPr>
            <w:tcW w:w="2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1,761,300</w:t>
            </w:r>
          </w:p>
        </w:tc>
        <w:tc>
          <w:tcPr>
            <w:tcW w:w="10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2014</w:t>
            </w:r>
          </w:p>
        </w:tc>
        <w:tc>
          <w:tcPr>
            <w:tcW w:w="2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9,598,980</w:t>
            </w: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28"/>
        </w:trPr>
        <w:tc>
          <w:tcPr>
            <w:tcW w:w="130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23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0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Revision of Financial Statements</w:t>
      </w:r>
    </w:p>
    <w:p>
      <w:pPr>
        <w:spacing w:after="0" w:line="229" w:lineRule="exact"/>
        <w:rPr>
          <w:rFonts w:ascii="Arial" w:cs="Arial" w:eastAsia="Arial" w:hAnsi="Arial"/>
          <w:sz w:val="18"/>
          <w:szCs w:val="18"/>
          <w:b w:val="1"/>
          <w:bCs w:val="1"/>
          <w:color w:val="auto"/>
        </w:rPr>
      </w:pPr>
    </w:p>
    <w:p>
      <w:pPr>
        <w:ind w:left="52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revised its unaudited condensed statement of operations to correct for a transposition error related to the amounts reported as research and development expenses and general and administrative expenses for the six months ended June 30, 2014. This correction has no impact on operating loss or net loss for the six months ended June 30, 2014.</w:t>
      </w:r>
    </w:p>
    <w:p>
      <w:pPr>
        <w:spacing w:after="0" w:line="18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effect of the revision on the statement of operations for the six months ended June 30, 2014 is summarized in the following table:</w:t>
      </w:r>
    </w:p>
    <w:p>
      <w:pPr>
        <w:spacing w:after="0" w:line="20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Previously</w:t>
            </w:r>
          </w:p>
        </w:tc>
        <w:tc>
          <w:tcPr>
            <w:tcW w:w="1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Adjustment</w:t>
            </w:r>
          </w:p>
        </w:tc>
        <w:tc>
          <w:tcPr>
            <w:tcW w:w="14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64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759,035</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(353,700)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Pr>
          <w:p>
            <w:pPr>
              <w:jc w:val="right"/>
              <w:spacing w:after="0"/>
              <w:rPr>
                <w:sz w:val="20"/>
                <w:szCs w:val="20"/>
                <w:color w:val="auto"/>
              </w:rPr>
            </w:pPr>
            <w:r>
              <w:rPr>
                <w:rFonts w:ascii="Arial" w:cs="Arial" w:eastAsia="Arial" w:hAnsi="Arial"/>
                <w:sz w:val="18"/>
                <w:szCs w:val="18"/>
                <w:color w:val="auto"/>
              </w:rPr>
              <w:t>405,335</w:t>
            </w:r>
          </w:p>
        </w:tc>
        <w:tc>
          <w:tcPr>
            <w:tcW w:w="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353,700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759,035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20" w:right="9860" w:hanging="512"/>
        <w:spacing w:after="0" w:line="604" w:lineRule="auto"/>
        <w:tabs>
          <w:tab w:leader="none" w:pos="514"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2011 Note</w:t>
      </w:r>
    </w:p>
    <w:p>
      <w:pPr>
        <w:ind w:left="520" w:right="80"/>
        <w:spacing w:after="0" w:line="286" w:lineRule="auto"/>
        <w:rPr>
          <w:rFonts w:ascii="Arial" w:cs="Arial" w:eastAsia="Arial" w:hAnsi="Arial"/>
          <w:sz w:val="15"/>
          <w:szCs w:val="15"/>
          <w:b w:val="1"/>
          <w:bCs w:val="1"/>
          <w:color w:val="auto"/>
        </w:rPr>
      </w:pPr>
      <w:r>
        <w:rPr>
          <w:rFonts w:ascii="Arial" w:cs="Arial" w:eastAsia="Arial" w:hAnsi="Arial"/>
          <w:sz w:val="17"/>
          <w:szCs w:val="17"/>
          <w:color w:val="auto"/>
        </w:rPr>
        <w:t>On November 18, 2011, the Company converted $480,000 of license fees owed to a third party plus accrued but unpaid interest thereon into a promissory note payable of $506,216 (“2011 Note”). The 2011 Note bears interest at a rate equal to 3.25% per annum, increasing to 6% per annum on November 1, 2013, and is due and payable at maturity. The outstanding balance of the 2011 Note was paid in full in May 2014.</w:t>
      </w:r>
    </w:p>
    <w:p>
      <w:pPr>
        <w:spacing w:after="0" w:line="161"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2012 Notes</w:t>
      </w:r>
    </w:p>
    <w:p>
      <w:pPr>
        <w:spacing w:after="0" w:line="229"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6"/>
          <w:szCs w:val="16"/>
          <w:color w:val="auto"/>
        </w:rPr>
        <w:t>On May 25, 2012, the Company entered into convertible promissory note purchase agreements with certain investors providing for an aggregate of</w:t>
      </w:r>
    </w:p>
    <w:p>
      <w:pPr>
        <w:spacing w:after="0" w:line="46" w:lineRule="exact"/>
        <w:rPr>
          <w:rFonts w:ascii="Arial" w:cs="Arial" w:eastAsia="Arial" w:hAnsi="Arial"/>
          <w:sz w:val="15"/>
          <w:szCs w:val="15"/>
          <w:b w:val="1"/>
          <w:bCs w:val="1"/>
          <w:color w:val="auto"/>
        </w:rPr>
      </w:pPr>
    </w:p>
    <w:p>
      <w:pPr>
        <w:ind w:left="520" w:right="160"/>
        <w:spacing w:after="0" w:line="261" w:lineRule="auto"/>
        <w:rPr>
          <w:rFonts w:ascii="Arial" w:cs="Arial" w:eastAsia="Arial" w:hAnsi="Arial"/>
          <w:sz w:val="15"/>
          <w:szCs w:val="15"/>
          <w:b w:val="1"/>
          <w:bCs w:val="1"/>
          <w:color w:val="auto"/>
        </w:rPr>
      </w:pPr>
      <w:r>
        <w:rPr>
          <w:rFonts w:ascii="Arial" w:cs="Arial" w:eastAsia="Arial" w:hAnsi="Arial"/>
          <w:sz w:val="18"/>
          <w:szCs w:val="18"/>
          <w:color w:val="auto"/>
        </w:rPr>
        <w:t>$3,550,000 for working capital needs (“2012 Notes”). In 2012 and 2013, the Company issued notes for cash proceeds of $2,550,000 and $1,000,000, respectively. The 2012 Notes bear interest at a compound rate of 7% per annum and mature on December 31, 2014.</w:t>
      </w:r>
    </w:p>
    <w:p>
      <w:pPr>
        <w:sectPr>
          <w:pgSz w:w="11900" w:h="16875" w:orient="portrait"/>
          <w:cols w:equalWidth="0" w:num="1">
            <w:col w:w="11460"/>
          </w:cols>
          <w:pgMar w:left="240" w:top="125" w:right="199" w:bottom="0" w:gutter="0" w:footer="0" w:header="0"/>
        </w:sectPr>
      </w:pPr>
    </w:p>
    <w:bookmarkStart w:id="5" w:name="page6"/>
    <w:bookmarkEnd w:id="5"/>
    <w:p>
      <w:pPr>
        <w:ind w:left="520"/>
        <w:spacing w:after="0"/>
        <w:rPr>
          <w:sz w:val="20"/>
          <w:szCs w:val="20"/>
          <w:color w:val="auto"/>
        </w:rPr>
      </w:pPr>
      <w:r>
        <w:rPr>
          <w:rFonts w:ascii="Arial" w:cs="Arial" w:eastAsia="Arial" w:hAnsi="Arial"/>
          <w:sz w:val="18"/>
          <w:szCs w:val="18"/>
          <w:b w:val="1"/>
          <w:bCs w:val="1"/>
          <w:color w:val="auto"/>
        </w:rPr>
        <w:t>2013 Notes</w:t>
      </w:r>
    </w:p>
    <w:p>
      <w:pPr>
        <w:spacing w:after="0" w:line="229" w:lineRule="exact"/>
        <w:rPr>
          <w:sz w:val="20"/>
          <w:szCs w:val="20"/>
          <w:color w:val="auto"/>
        </w:rPr>
      </w:pPr>
    </w:p>
    <w:p>
      <w:pPr>
        <w:jc w:val="both"/>
        <w:ind w:left="520" w:right="300"/>
        <w:spacing w:after="0" w:line="312" w:lineRule="auto"/>
        <w:rPr>
          <w:sz w:val="20"/>
          <w:szCs w:val="20"/>
          <w:color w:val="auto"/>
        </w:rPr>
      </w:pPr>
      <w:r>
        <w:rPr>
          <w:rFonts w:ascii="Arial" w:cs="Arial" w:eastAsia="Arial" w:hAnsi="Arial"/>
          <w:sz w:val="16"/>
          <w:szCs w:val="16"/>
          <w:color w:val="auto"/>
        </w:rPr>
        <w:t>On June 28, 2013 the Company entered into convertible promissory note purchase agreements with certain investors providing for an aggregate of $450,000 for working capital needs (“2013 Notes”). The 2013 Notes bear interest at a compound rate of 7% per annum and mature on January 31, 2014. In March 2014, that date was extended to December 31, 2014. The 2013 Notes are senior to the 2012 Notes in terms of repayment priority.</w:t>
      </w:r>
    </w:p>
    <w:p>
      <w:pPr>
        <w:spacing w:after="0" w:line="147" w:lineRule="exact"/>
        <w:rPr>
          <w:sz w:val="20"/>
          <w:szCs w:val="20"/>
          <w:color w:val="auto"/>
        </w:rPr>
      </w:pPr>
    </w:p>
    <w:p>
      <w:pPr>
        <w:ind w:left="520" w:right="180"/>
        <w:spacing w:after="0" w:line="277" w:lineRule="auto"/>
        <w:rPr>
          <w:sz w:val="20"/>
          <w:szCs w:val="20"/>
          <w:color w:val="auto"/>
        </w:rPr>
      </w:pPr>
      <w:r>
        <w:rPr>
          <w:rFonts w:ascii="Arial" w:cs="Arial" w:eastAsia="Arial" w:hAnsi="Arial"/>
          <w:sz w:val="18"/>
          <w:szCs w:val="18"/>
          <w:color w:val="auto"/>
        </w:rPr>
        <w:t>The Company has accounted for the extension of the maturity date of the 2013 Notes as a debt modification as the change in the present value of the cash flows from the original term to the modified term was not material.</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2014 Notes</w:t>
      </w:r>
    </w:p>
    <w:p>
      <w:pPr>
        <w:spacing w:after="0" w:line="229" w:lineRule="exact"/>
        <w:rPr>
          <w:sz w:val="20"/>
          <w:szCs w:val="20"/>
          <w:color w:val="auto"/>
        </w:rPr>
      </w:pPr>
    </w:p>
    <w:p>
      <w:pPr>
        <w:ind w:left="520" w:right="80"/>
        <w:spacing w:after="0" w:line="293" w:lineRule="auto"/>
        <w:rPr>
          <w:sz w:val="20"/>
          <w:szCs w:val="20"/>
          <w:color w:val="auto"/>
        </w:rPr>
      </w:pPr>
      <w:r>
        <w:rPr>
          <w:rFonts w:ascii="Arial" w:cs="Arial" w:eastAsia="Arial" w:hAnsi="Arial"/>
          <w:sz w:val="16"/>
          <w:szCs w:val="16"/>
          <w:color w:val="auto"/>
        </w:rPr>
        <w:t>In March and June 2014, the Company borrowed an aggregate of $1,275,000 from investors from the sale of Convertible Promissory Notes (“2014 Notes”). In August 2014, the Company borrowed $225,000 from investors from the sale of additional 2014 Notes. The 2014 Notes mature on December 31, 2014 and accrue interest at 9% per annum. The 2014 Notes are convertible into the next series of stock in a QEF, defined as the sale of the next series of stock whereby the Company receives proceeds of at least $7,500,000, of which $4,000,000 is from a new investor. The 2014 Notes would automatically convert at a discount of 75% of the amount paid for the new securities. In the event a QEF has not occurred by the maturity date, these notes are optionally convertible into a newly designated Series A-1 Preferred Stock at a price of $2.467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Gala Therapeutics Note Payable</w:t>
      </w:r>
    </w:p>
    <w:p>
      <w:pPr>
        <w:spacing w:after="0" w:line="229"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On October 30, 2013, the Company entered into a promissory note purchase agreement (“Gala Note”) with certain lenders providing for an aggregate of $1,300,000 for working capital needs. The Gala Note bears interest at 9% per annum. On March 28, 2014, the maturity date was revised from February 15, 2014 to be the earlier of (i) a deemed liquidation event or (ii) December 31, 2014.</w:t>
      </w:r>
    </w:p>
    <w:p>
      <w:pPr>
        <w:spacing w:after="0" w:line="17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20" w:right="24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The Company has performed an evaluation of subsequent events through November 6, 2014, which is the date the financial statements were issued. In August 2014, the Company borrowed $225,000 from investors from the sale of additional 2014 Notes.</w:t>
      </w:r>
    </w:p>
    <w:p>
      <w:pPr>
        <w:ind w:left="5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September 16, 2014, Veracyte Inc. (“Veracyte”) acquired all the outstanding shares of capital stock of the Company in exchange for 964,377 shares of Veracyte’s common stock and $2.8 million in cash. Immediately prior to the closing date of the acquisition, the Company’s outstanding convertible notes payable were converted into Series A-1 Redeemable Convertible Preferred Stock. In addition, as a result of the acquisition, the Company’s equity incentive plan was terminated and all outstanding stock options thereunder were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right="60" w:firstLine="414"/>
        <w:spacing w:after="0" w:line="272" w:lineRule="auto"/>
        <w:rPr>
          <w:sz w:val="20"/>
          <w:szCs w:val="20"/>
          <w:color w:val="auto"/>
        </w:rPr>
      </w:pPr>
      <w:r>
        <w:rPr>
          <w:rFonts w:ascii="Arial" w:cs="Arial" w:eastAsia="Arial" w:hAnsi="Arial"/>
          <w:sz w:val="17"/>
          <w:szCs w:val="17"/>
          <w:color w:val="auto"/>
        </w:rPr>
        <w:t>On September 16, 2014, Allegro Diagnostics Corp. (“Allegro”) merged with Full Moon Acquisition, Inc., a wholly-owned subsidiary of Veracyte, Inc. (“Veracyte” or the “Company”), (“Merger”) with Allegro surviving the Merger as a wholly-owned subsidiary of the Company. The unaudited pro forma condensed combined statements of operations for the six months ended June 30, 2014 and year ended December 31, 2013 are presented as if the Merger had occurred on January 1, 2013. The unaudited pro forma condensed combined balance sheet is presented as if the Merger had occurred on June 30, 2014. The unaudited pro forma condensed combined financial statements presented herein are based on the historical financial statements of Veracyte and Allegro using the acquisition method of accounting and applying the assumptions and adjustments described in the accompanying notes. In addition, the unaudited pro forma condensed combined financial information should be read in conjunction with the:</w:t>
      </w:r>
    </w:p>
    <w:p>
      <w:pPr>
        <w:spacing w:after="0" w:line="178" w:lineRule="exact"/>
        <w:rPr>
          <w:sz w:val="20"/>
          <w:szCs w:val="20"/>
          <w:color w:val="auto"/>
        </w:rPr>
      </w:pPr>
    </w:p>
    <w:p>
      <w:pPr>
        <w:ind w:left="740" w:right="220" w:hanging="327"/>
        <w:spacing w:after="0" w:line="342" w:lineRule="auto"/>
        <w:tabs>
          <w:tab w:leader="none" w:pos="704" w:val="left"/>
        </w:tabs>
        <w:numPr>
          <w:ilvl w:val="0"/>
          <w:numId w:val="7"/>
        </w:numPr>
        <w:rPr>
          <w:rFonts w:ascii="Arial" w:cs="Arial" w:eastAsia="Arial" w:hAnsi="Arial"/>
          <w:sz w:val="16"/>
          <w:szCs w:val="16"/>
          <w:color w:val="auto"/>
        </w:rPr>
      </w:pPr>
      <w:r>
        <w:rPr>
          <w:rFonts w:ascii="Arial" w:cs="Arial" w:eastAsia="Arial" w:hAnsi="Arial"/>
          <w:sz w:val="16"/>
          <w:szCs w:val="16"/>
          <w:color w:val="auto"/>
        </w:rPr>
        <w:t>Separate audited historical financial statements of Veracyte as of and for the year ended December 31, 2013, and the related notes, included in the Annual Report on Form 10-K for the year ended December 31, 2013, filed by Veracyte with the Securities and Exchange Commission (“SEC”);</w:t>
      </w:r>
    </w:p>
    <w:p>
      <w:pPr>
        <w:spacing w:after="0" w:line="123" w:lineRule="exact"/>
        <w:rPr>
          <w:rFonts w:ascii="Arial" w:cs="Arial" w:eastAsia="Arial" w:hAnsi="Arial"/>
          <w:sz w:val="16"/>
          <w:szCs w:val="16"/>
          <w:color w:val="auto"/>
        </w:rPr>
      </w:pPr>
    </w:p>
    <w:p>
      <w:pPr>
        <w:ind w:left="740" w:right="340" w:hanging="327"/>
        <w:spacing w:after="0" w:line="308" w:lineRule="auto"/>
        <w:tabs>
          <w:tab w:leader="none" w:pos="704" w:val="left"/>
        </w:tabs>
        <w:numPr>
          <w:ilvl w:val="0"/>
          <w:numId w:val="7"/>
        </w:numPr>
        <w:rPr>
          <w:rFonts w:ascii="Arial" w:cs="Arial" w:eastAsia="Arial" w:hAnsi="Arial"/>
          <w:sz w:val="17"/>
          <w:szCs w:val="17"/>
          <w:color w:val="auto"/>
        </w:rPr>
      </w:pPr>
      <w:r>
        <w:rPr>
          <w:rFonts w:ascii="Arial" w:cs="Arial" w:eastAsia="Arial" w:hAnsi="Arial"/>
          <w:sz w:val="17"/>
          <w:szCs w:val="17"/>
          <w:color w:val="auto"/>
        </w:rPr>
        <w:t>Separate unaudited historical condensed financial statements of Veracyte as of and for the six months ended June 30, 2014 and the related notes, included in the Quarterly Report on Form 10-Q for the period ended June 30, 2014 filed by Veracyte with the SEC;</w:t>
      </w:r>
    </w:p>
    <w:p>
      <w:pPr>
        <w:spacing w:after="0" w:line="146" w:lineRule="exact"/>
        <w:rPr>
          <w:rFonts w:ascii="Arial" w:cs="Arial" w:eastAsia="Arial" w:hAnsi="Arial"/>
          <w:sz w:val="17"/>
          <w:szCs w:val="17"/>
          <w:color w:val="auto"/>
        </w:rPr>
      </w:pPr>
    </w:p>
    <w:p>
      <w:pPr>
        <w:ind w:left="740" w:right="40" w:hanging="327"/>
        <w:spacing w:after="0" w:line="277" w:lineRule="auto"/>
        <w:tabs>
          <w:tab w:leader="none" w:pos="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Separate audited historical financial statements of Allegro as of and for the year ended December 31, 2013, and the related notes included in Exhibit 99.1 of the Current Report on Form 8-K/A filed by Veracyte with the SEC on November 6, 2014; and</w:t>
      </w:r>
    </w:p>
    <w:p>
      <w:pPr>
        <w:spacing w:after="0" w:line="170" w:lineRule="exact"/>
        <w:rPr>
          <w:rFonts w:ascii="Arial" w:cs="Arial" w:eastAsia="Arial" w:hAnsi="Arial"/>
          <w:sz w:val="18"/>
          <w:szCs w:val="18"/>
          <w:color w:val="auto"/>
        </w:rPr>
      </w:pPr>
    </w:p>
    <w:p>
      <w:pPr>
        <w:ind w:left="740" w:right="120" w:hanging="327"/>
        <w:spacing w:after="0" w:line="277" w:lineRule="auto"/>
        <w:tabs>
          <w:tab w:leader="none" w:pos="704" w:val="left"/>
        </w:tabs>
        <w:numPr>
          <w:ilvl w:val="0"/>
          <w:numId w:val="7"/>
        </w:numPr>
        <w:rPr>
          <w:rFonts w:ascii="Arial" w:cs="Arial" w:eastAsia="Arial" w:hAnsi="Arial"/>
          <w:sz w:val="18"/>
          <w:szCs w:val="18"/>
          <w:color w:val="auto"/>
        </w:rPr>
      </w:pPr>
      <w:r>
        <w:rPr>
          <w:rFonts w:ascii="Arial" w:cs="Arial" w:eastAsia="Arial" w:hAnsi="Arial"/>
          <w:sz w:val="18"/>
          <w:szCs w:val="18"/>
          <w:color w:val="auto"/>
        </w:rPr>
        <w:t>Separate unaudited historical condensed financial statements of Allegro as of June 30, 2014 and for the six month periods ended June 30, 2014 and 2013 (revised) and the related notes included in Exhibit 99.2 of this Current Report on Form 8-K/A.</w:t>
      </w:r>
    </w:p>
    <w:p>
      <w:pPr>
        <w:spacing w:after="0" w:line="170" w:lineRule="exact"/>
        <w:rPr>
          <w:sz w:val="20"/>
          <w:szCs w:val="20"/>
          <w:color w:val="auto"/>
        </w:rPr>
      </w:pPr>
    </w:p>
    <w:p>
      <w:pPr>
        <w:ind w:right="140" w:firstLine="414"/>
        <w:spacing w:after="0" w:line="293" w:lineRule="auto"/>
        <w:rPr>
          <w:sz w:val="20"/>
          <w:szCs w:val="20"/>
          <w:color w:val="auto"/>
        </w:rPr>
      </w:pPr>
      <w:r>
        <w:rPr>
          <w:rFonts w:ascii="Arial" w:cs="Arial" w:eastAsia="Arial" w:hAnsi="Arial"/>
          <w:sz w:val="16"/>
          <w:szCs w:val="16"/>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also do not include any future integration costs. The unaudited pro forma condensed combined financial statements have been prepared for illustrative purposes only and are not necessarily indicative of the financial position or results of operations in future periods or the results that would have been realized had Veracyte and Allegro been a combined company during the specified periods. There were no transactions between Veracyte and Allegro during the periods presented in the unaudited pro forma condensed combined financial statements that would need to be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Historical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Historical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Pro Forma</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Veracyte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Allegro</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Adjustments</w:t>
            </w: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Supplies inventory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 — current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Goodwill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1,170</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(1,033)</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(f)</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Derivative liability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(9,599)</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promissory notes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Deferred Genzyme co-promotion fee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(14,535)</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Deferred Genzyme co-promotion fee, net of current portion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(h)</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94"/>
              <w:spacing w:after="0"/>
              <w:rPr>
                <w:sz w:val="20"/>
                <w:szCs w:val="20"/>
                <w:color w:val="auto"/>
              </w:rPr>
            </w:pPr>
            <w:r>
              <w:rPr>
                <w:rFonts w:ascii="Arial" w:cs="Arial" w:eastAsia="Arial" w:hAnsi="Arial"/>
                <w:sz w:val="18"/>
                <w:szCs w:val="18"/>
                <w:color w:val="auto"/>
              </w:rPr>
              <w:t>1</w:t>
            </w:r>
          </w:p>
        </w:tc>
        <w:tc>
          <w:tcPr>
            <w:tcW w:w="8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34"/>
              <w:spacing w:after="0"/>
              <w:rPr>
                <w:sz w:val="20"/>
                <w:szCs w:val="20"/>
                <w:color w:val="auto"/>
              </w:rPr>
            </w:pPr>
            <w:r>
              <w:rPr>
                <w:rFonts w:ascii="Arial" w:cs="Arial" w:eastAsia="Arial" w:hAnsi="Arial"/>
                <w:sz w:val="18"/>
                <w:szCs w:val="18"/>
                <w:color w:val="auto"/>
              </w:rPr>
              <w:t>(8)</w:t>
            </w:r>
          </w:p>
        </w:tc>
        <w:tc>
          <w:tcPr>
            <w:tcW w:w="860" w:type="dxa"/>
            <w:vAlign w:val="bottom"/>
            <w:gridSpan w:val="4"/>
          </w:tcPr>
          <w:p>
            <w:pPr>
              <w:ind w:left="20"/>
              <w:spacing w:after="0"/>
              <w:rPr>
                <w:sz w:val="20"/>
                <w:szCs w:val="20"/>
                <w:color w:val="auto"/>
              </w:rPr>
            </w:pPr>
            <w:r>
              <w:rPr>
                <w:rFonts w:ascii="Arial" w:cs="Arial" w:eastAsia="Arial" w:hAnsi="Arial"/>
                <w:sz w:val="18"/>
                <w:szCs w:val="18"/>
                <w:b w:val="1"/>
                <w:bCs w:val="1"/>
                <w:color w:val="auto"/>
              </w:rPr>
              <w:t>(h)</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143,982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94"/>
              <w:spacing w:after="0"/>
              <w:rPr>
                <w:sz w:val="20"/>
                <w:szCs w:val="20"/>
                <w:color w:val="auto"/>
              </w:rPr>
            </w:pPr>
            <w:r>
              <w:rPr>
                <w:rFonts w:ascii="Arial" w:cs="Arial" w:eastAsia="Arial" w:hAnsi="Arial"/>
                <w:sz w:val="18"/>
                <w:szCs w:val="18"/>
                <w:color w:val="auto"/>
                <w:w w:val="87"/>
              </w:rPr>
              <w:t>10,077</w:t>
            </w:r>
          </w:p>
        </w:tc>
        <w:tc>
          <w:tcPr>
            <w:tcW w:w="86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(a)</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154,059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(98,978)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(31,061)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34"/>
              <w:spacing w:after="0"/>
              <w:rPr>
                <w:sz w:val="20"/>
                <w:szCs w:val="20"/>
                <w:color w:val="auto"/>
              </w:rPr>
            </w:pPr>
            <w:r>
              <w:rPr>
                <w:rFonts w:ascii="Arial" w:cs="Arial" w:eastAsia="Arial" w:hAnsi="Arial"/>
                <w:sz w:val="18"/>
                <w:szCs w:val="18"/>
                <w:color w:val="auto"/>
                <w:w w:val="94"/>
              </w:rPr>
              <w:t>(3,285)</w:t>
            </w:r>
          </w:p>
        </w:tc>
        <w:tc>
          <w:tcPr>
            <w:tcW w:w="860" w:type="dxa"/>
            <w:vAlign w:val="bottom"/>
            <w:gridSpan w:val="4"/>
          </w:tcPr>
          <w:p>
            <w:pPr>
              <w:ind w:left="40"/>
              <w:spacing w:after="0"/>
              <w:rPr>
                <w:sz w:val="20"/>
                <w:szCs w:val="20"/>
                <w:color w:val="auto"/>
              </w:rPr>
            </w:pPr>
            <w:r>
              <w:rPr>
                <w:rFonts w:ascii="Arial" w:cs="Arial" w:eastAsia="Arial" w:hAnsi="Arial"/>
                <w:sz w:val="18"/>
                <w:szCs w:val="18"/>
                <w:b w:val="1"/>
                <w:bCs w:val="1"/>
                <w:color w:val="auto"/>
              </w:rPr>
              <w:t>(f)</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(102,263)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94"/>
              <w:spacing w:after="0"/>
              <w:rPr>
                <w:sz w:val="20"/>
                <w:szCs w:val="20"/>
                <w:color w:val="auto"/>
              </w:rPr>
            </w:pPr>
            <w:r>
              <w:rPr>
                <w:rFonts w:ascii="Arial" w:cs="Arial" w:eastAsia="Arial" w:hAnsi="Arial"/>
                <w:sz w:val="18"/>
                <w:szCs w:val="18"/>
                <w:color w:val="auto"/>
                <w:w w:val="87"/>
              </w:rPr>
              <w:t>31,061</w:t>
            </w:r>
          </w:p>
        </w:tc>
        <w:tc>
          <w:tcPr>
            <w:tcW w:w="8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(h)</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(31,053)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37,846</w:t>
            </w:r>
          </w:p>
        </w:tc>
        <w:tc>
          <w:tcPr>
            <w:tcW w:w="4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10,255</w:t>
            </w:r>
          </w:p>
        </w:tc>
        <w:tc>
          <w:tcPr>
            <w:tcW w:w="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520" w:type="dxa"/>
            <w:vAlign w:val="bottom"/>
            <w:gridSpan w:val="21"/>
          </w:tcPr>
          <w:p>
            <w:pPr>
              <w:jc w:val="center"/>
              <w:ind w:left="1770"/>
              <w:spacing w:after="0"/>
              <w:rPr>
                <w:sz w:val="20"/>
                <w:szCs w:val="20"/>
                <w:color w:val="auto"/>
              </w:rPr>
            </w:pPr>
            <w:r>
              <w:rPr>
                <w:rFonts w:ascii="Arial" w:cs="Arial" w:eastAsia="Arial" w:hAnsi="Arial"/>
                <w:sz w:val="18"/>
                <w:szCs w:val="18"/>
                <w:color w:val="auto"/>
                <w:w w:val="89"/>
              </w:rPr>
              <w:t>See accompanying notes to the unaudited pro forma condensed combined financial statements.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left="872"/>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460" w:type="dxa"/>
            <w:vAlign w:val="bottom"/>
            <w:tcBorders>
              <w:bottom w:val="single" w:sz="8" w:color="010101"/>
            </w:tcBorders>
            <w:gridSpan w:val="2"/>
          </w:tcPr>
          <w:p>
            <w:pPr>
              <w:spacing w:after="0"/>
              <w:rPr>
                <w:sz w:val="11"/>
                <w:szCs w:val="11"/>
                <w:color w:val="auto"/>
              </w:rPr>
            </w:pPr>
          </w:p>
        </w:tc>
        <w:tc>
          <w:tcPr>
            <w:tcW w:w="1140" w:type="dxa"/>
            <w:vAlign w:val="bottom"/>
            <w:tcBorders>
              <w:bottom w:val="single" w:sz="8" w:color="010101"/>
            </w:tcBorders>
            <w:gridSpan w:val="3"/>
          </w:tcPr>
          <w:p>
            <w:pPr>
              <w:spacing w:after="0"/>
              <w:rPr>
                <w:sz w:val="11"/>
                <w:szCs w:val="11"/>
                <w:color w:val="auto"/>
              </w:rPr>
            </w:pPr>
          </w:p>
        </w:tc>
        <w:tc>
          <w:tcPr>
            <w:tcW w:w="300" w:type="dxa"/>
            <w:vAlign w:val="bottom"/>
            <w:tcBorders>
              <w:bottom w:val="single" w:sz="8" w:color="010101"/>
            </w:tcBorders>
            <w:gridSpan w:val="2"/>
          </w:tcPr>
          <w:p>
            <w:pPr>
              <w:spacing w:after="0"/>
              <w:rPr>
                <w:sz w:val="11"/>
                <w:szCs w:val="11"/>
                <w:color w:val="auto"/>
              </w:rPr>
            </w:pPr>
          </w:p>
        </w:tc>
        <w:tc>
          <w:tcPr>
            <w:tcW w:w="1160" w:type="dxa"/>
            <w:vAlign w:val="bottom"/>
            <w:tcBorders>
              <w:bottom w:val="single" w:sz="8" w:color="010101"/>
            </w:tcBorders>
            <w:gridSpan w:val="4"/>
          </w:tcPr>
          <w:p>
            <w:pPr>
              <w:spacing w:after="0"/>
              <w:rPr>
                <w:sz w:val="11"/>
                <w:szCs w:val="11"/>
                <w:color w:val="auto"/>
              </w:rPr>
            </w:pPr>
          </w:p>
        </w:tc>
        <w:tc>
          <w:tcPr>
            <w:tcW w:w="280" w:type="dxa"/>
            <w:vAlign w:val="bottom"/>
            <w:tcBorders>
              <w:bottom w:val="single" w:sz="8" w:color="010101"/>
            </w:tcBorders>
            <w:gridSpan w:val="2"/>
          </w:tcPr>
          <w:p>
            <w:pPr>
              <w:spacing w:after="0"/>
              <w:rPr>
                <w:sz w:val="11"/>
                <w:szCs w:val="11"/>
                <w:color w:val="auto"/>
              </w:rPr>
            </w:pPr>
          </w:p>
        </w:tc>
        <w:tc>
          <w:tcPr>
            <w:tcW w:w="1120" w:type="dxa"/>
            <w:vAlign w:val="bottom"/>
            <w:tcBorders>
              <w:bottom w:val="single" w:sz="8" w:color="010101"/>
            </w:tcBorders>
            <w:gridSpan w:val="4"/>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540" w:type="dxa"/>
            <w:vAlign w:val="bottom"/>
            <w:gridSpan w:val="18"/>
          </w:tcPr>
          <w:p>
            <w:pPr>
              <w:jc w:val="center"/>
              <w:ind w:left="2770"/>
              <w:spacing w:after="0"/>
              <w:rPr>
                <w:sz w:val="20"/>
                <w:szCs w:val="20"/>
                <w:color w:val="auto"/>
              </w:rPr>
            </w:pPr>
            <w:r>
              <w:rPr>
                <w:rFonts w:ascii="Arial" w:cs="Arial" w:eastAsia="Arial" w:hAnsi="Arial"/>
                <w:sz w:val="18"/>
                <w:szCs w:val="18"/>
                <w:b w:val="1"/>
                <w:bCs w:val="1"/>
                <w:color w:val="auto"/>
                <w:w w:val="90"/>
              </w:rPr>
              <w:t>Unaudited Pro Forma Condensed Combined Statement of Operations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840" w:type="dxa"/>
            <w:vAlign w:val="bottom"/>
            <w:gridSpan w:val="14"/>
          </w:tcPr>
          <w:p>
            <w:pPr>
              <w:jc w:val="center"/>
              <w:ind w:right="620"/>
              <w:spacing w:after="0"/>
              <w:rPr>
                <w:sz w:val="20"/>
                <w:szCs w:val="20"/>
                <w:color w:val="auto"/>
              </w:rPr>
            </w:pPr>
            <w:r>
              <w:rPr>
                <w:rFonts w:ascii="Arial" w:cs="Arial" w:eastAsia="Arial" w:hAnsi="Arial"/>
                <w:sz w:val="18"/>
                <w:szCs w:val="18"/>
                <w:b w:val="1"/>
                <w:bCs w:val="1"/>
                <w:color w:val="auto"/>
                <w:w w:val="90"/>
              </w:rPr>
              <w:t>For the Year Ended December 31, 2013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840" w:type="dxa"/>
            <w:vAlign w:val="bottom"/>
            <w:gridSpan w:val="14"/>
          </w:tcPr>
          <w:p>
            <w:pPr>
              <w:jc w:val="center"/>
              <w:ind w:right="62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Historical</w:t>
            </w:r>
          </w:p>
        </w:tc>
        <w:tc>
          <w:tcPr>
            <w:tcW w:w="200" w:type="dxa"/>
            <w:vAlign w:val="bottom"/>
          </w:tcPr>
          <w:p>
            <w:pPr>
              <w:spacing w:after="0"/>
              <w:rPr>
                <w:sz w:val="24"/>
                <w:szCs w:val="24"/>
                <w:color w:val="auto"/>
              </w:rPr>
            </w:pPr>
          </w:p>
        </w:tc>
        <w:tc>
          <w:tcPr>
            <w:tcW w:w="1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Pro Forma</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Notes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Veracyte</w:t>
            </w:r>
          </w:p>
        </w:tc>
        <w:tc>
          <w:tcPr>
            <w:tcW w:w="120" w:type="dxa"/>
            <w:vAlign w:val="bottom"/>
          </w:tcPr>
          <w:p>
            <w:pPr>
              <w:spacing w:after="0"/>
              <w:rPr>
                <w:sz w:val="14"/>
                <w:szCs w:val="1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Allegro</w:t>
            </w:r>
          </w:p>
        </w:tc>
        <w:tc>
          <w:tcPr>
            <w:tcW w:w="200" w:type="dxa"/>
            <w:vAlign w:val="bottom"/>
          </w:tcPr>
          <w:p>
            <w:pPr>
              <w:spacing w:after="0"/>
              <w:rPr>
                <w:sz w:val="14"/>
                <w:szCs w:val="14"/>
                <w:color w:val="auto"/>
              </w:rPr>
            </w:pPr>
          </w:p>
        </w:tc>
        <w:tc>
          <w:tcPr>
            <w:tcW w:w="1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21,884</w:t>
            </w:r>
          </w:p>
        </w:tc>
        <w:tc>
          <w:tcPr>
            <w:tcW w:w="6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21,884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12,607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7,810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1,624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12,540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12,100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3"/>
              </w:rPr>
              <w:t>(i)</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13,390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(2,981)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(2,347)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2,347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(4,142)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4,142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(e)</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(9,447)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3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gridSpan w:val="2"/>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(6.15)</w:t>
            </w:r>
          </w:p>
        </w:tc>
        <w:tc>
          <w:tcPr>
            <w:tcW w:w="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(5.56)</w:t>
            </w:r>
          </w:p>
        </w:tc>
        <w:tc>
          <w:tcPr>
            <w:tcW w:w="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Weighted-average shares used in computing net loss per</w:t>
            </w:r>
          </w:p>
        </w:tc>
        <w:tc>
          <w:tcPr>
            <w:tcW w:w="3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964</w:t>
            </w:r>
          </w:p>
        </w:tc>
        <w:tc>
          <w:tcPr>
            <w:tcW w:w="2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(a)</w:t>
            </w:r>
          </w:p>
        </w:tc>
        <w:tc>
          <w:tcPr>
            <w:tcW w:w="3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20" w:type="dxa"/>
            <w:vAlign w:val="bottom"/>
            <w:tcBorders>
              <w:top w:val="single" w:sz="8" w:color="CCEEFF"/>
            </w:tcBorders>
            <w:vMerge w:val="restart"/>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 basic and diluted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4"/>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520" w:type="dxa"/>
            <w:vAlign w:val="bottom"/>
            <w:gridSpan w:val="21"/>
          </w:tcPr>
          <w:p>
            <w:pPr>
              <w:jc w:val="center"/>
              <w:ind w:left="1770"/>
              <w:spacing w:after="0"/>
              <w:rPr>
                <w:sz w:val="20"/>
                <w:szCs w:val="20"/>
                <w:color w:val="auto"/>
              </w:rPr>
            </w:pPr>
            <w:r>
              <w:rPr>
                <w:rFonts w:ascii="Arial" w:cs="Arial" w:eastAsia="Arial" w:hAnsi="Arial"/>
                <w:sz w:val="18"/>
                <w:szCs w:val="18"/>
                <w:color w:val="auto"/>
                <w:w w:val="89"/>
              </w:rPr>
              <w:t>See accompanying notes to the unaudited pro forma condensed combined financial statements.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left="872"/>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540" w:type="dxa"/>
            <w:vAlign w:val="bottom"/>
            <w:tcBorders>
              <w:bottom w:val="single" w:sz="8" w:color="010101"/>
            </w:tcBorders>
            <w:gridSpan w:val="18"/>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540" w:type="dxa"/>
            <w:vAlign w:val="bottom"/>
            <w:gridSpan w:val="18"/>
          </w:tcPr>
          <w:p>
            <w:pPr>
              <w:jc w:val="center"/>
              <w:ind w:left="2770"/>
              <w:spacing w:after="0"/>
              <w:rPr>
                <w:sz w:val="20"/>
                <w:szCs w:val="20"/>
                <w:color w:val="auto"/>
              </w:rPr>
            </w:pPr>
            <w:r>
              <w:rPr>
                <w:rFonts w:ascii="Arial" w:cs="Arial" w:eastAsia="Arial" w:hAnsi="Arial"/>
                <w:sz w:val="18"/>
                <w:szCs w:val="18"/>
                <w:b w:val="1"/>
                <w:bCs w:val="1"/>
                <w:color w:val="auto"/>
                <w:w w:val="90"/>
              </w:rPr>
              <w:t>Unaudited Pro Forma Condensed Combined Statement of Operations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840" w:type="dxa"/>
            <w:vAlign w:val="bottom"/>
            <w:gridSpan w:val="14"/>
          </w:tcPr>
          <w:p>
            <w:pPr>
              <w:jc w:val="center"/>
              <w:ind w:right="600"/>
              <w:spacing w:after="0"/>
              <w:rPr>
                <w:sz w:val="20"/>
                <w:szCs w:val="20"/>
                <w:color w:val="auto"/>
              </w:rPr>
            </w:pPr>
            <w:r>
              <w:rPr>
                <w:rFonts w:ascii="Arial" w:cs="Arial" w:eastAsia="Arial" w:hAnsi="Arial"/>
                <w:sz w:val="18"/>
                <w:szCs w:val="18"/>
                <w:b w:val="1"/>
                <w:bCs w:val="1"/>
                <w:color w:val="auto"/>
                <w:w w:val="90"/>
              </w:rPr>
              <w:t>For the Six Months Ended June 30, 2014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840" w:type="dxa"/>
            <w:vAlign w:val="bottom"/>
            <w:gridSpan w:val="14"/>
          </w:tcPr>
          <w:p>
            <w:pPr>
              <w:jc w:val="center"/>
              <w:ind w:right="62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24"/>
                <w:szCs w:val="2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Historical</w:t>
            </w:r>
          </w:p>
        </w:tc>
        <w:tc>
          <w:tcPr>
            <w:tcW w:w="200" w:type="dxa"/>
            <w:vAlign w:val="bottom"/>
          </w:tcPr>
          <w:p>
            <w:pPr>
              <w:spacing w:after="0"/>
              <w:rPr>
                <w:sz w:val="24"/>
                <w:szCs w:val="24"/>
                <w:color w:val="auto"/>
              </w:rPr>
            </w:pPr>
          </w:p>
        </w:tc>
        <w:tc>
          <w:tcPr>
            <w:tcW w:w="1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Pro Forma</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Notes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Veracyte</w:t>
            </w:r>
          </w:p>
        </w:tc>
        <w:tc>
          <w:tcPr>
            <w:tcW w:w="120" w:type="dxa"/>
            <w:vAlign w:val="bottom"/>
          </w:tcPr>
          <w:p>
            <w:pPr>
              <w:spacing w:after="0"/>
              <w:rPr>
                <w:sz w:val="14"/>
                <w:szCs w:val="14"/>
                <w:color w:val="auto"/>
              </w:rPr>
            </w:pPr>
          </w:p>
        </w:tc>
        <w:tc>
          <w:tcPr>
            <w:tcW w:w="12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Allegro</w:t>
            </w:r>
          </w:p>
        </w:tc>
        <w:tc>
          <w:tcPr>
            <w:tcW w:w="200" w:type="dxa"/>
            <w:vAlign w:val="bottom"/>
          </w:tcPr>
          <w:p>
            <w:pPr>
              <w:spacing w:after="0"/>
              <w:rPr>
                <w:sz w:val="14"/>
                <w:szCs w:val="14"/>
                <w:color w:val="auto"/>
              </w:rPr>
            </w:pPr>
          </w:p>
        </w:tc>
        <w:tc>
          <w:tcPr>
            <w:tcW w:w="12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16,153</w:t>
            </w:r>
          </w:p>
        </w:tc>
        <w:tc>
          <w:tcPr>
            <w:tcW w:w="64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16,153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Research and development (1)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405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General and administrative (1)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3"/>
              </w:rPr>
              <w:t>(i)</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8,671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(e)</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(1,761)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90"/>
              </w:rPr>
              <w:t>(e)</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(13,329)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(3,213)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(14,495)</w:t>
            </w:r>
          </w:p>
        </w:tc>
        <w:tc>
          <w:tcPr>
            <w:tcW w:w="10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Weighted-average shares used in computing net loss per</w:t>
            </w: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21,193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22,157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common share, basic and diluted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-7565390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-7565390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As revised to correct transposition error.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ectPr>
          <w:pgSz w:w="11900" w:h="16838" w:orient="portrait"/>
          <w:cols w:equalWidth="0" w:num="1">
            <w:col w:w="11460"/>
          </w:cols>
          <w:pgMar w:left="240" w:top="140" w:right="199" w:bottom="179"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179"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80" w:firstLine="414"/>
        <w:spacing w:after="0" w:line="270" w:lineRule="auto"/>
        <w:rPr>
          <w:sz w:val="20"/>
          <w:szCs w:val="20"/>
          <w:color w:val="auto"/>
        </w:rPr>
      </w:pPr>
      <w:r>
        <w:rPr>
          <w:rFonts w:ascii="Arial" w:cs="Arial" w:eastAsia="Arial" w:hAnsi="Arial"/>
          <w:sz w:val="17"/>
          <w:szCs w:val="17"/>
          <w:color w:val="auto"/>
        </w:rPr>
        <w:t>On September 16, 2014, Allegro merged with Full Moon Acquisition, Inc., a wholly-owned subsidiary of the Company, (“Merger”) with Allegro surviving the Merger as a wholly-owned subsidiary of the Company. Allegro is a privately-held company based in Maynard, Massachusetts, focused on the development of genomic tests to improve the preoperative diagnosis of lung cancer. At the effective time of the Merger, each share of the common stock of Full Moon Acquisition, Inc.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cancelled. The Series A preferred stock of Allegro issued and outstanding immediately prior to the effective time of the Merger was cancelled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cancelled.</w:t>
      </w:r>
    </w:p>
    <w:p>
      <w:pPr>
        <w:spacing w:after="0" w:line="182" w:lineRule="exact"/>
        <w:rPr>
          <w:sz w:val="20"/>
          <w:szCs w:val="20"/>
          <w:color w:val="auto"/>
        </w:rPr>
      </w:pPr>
    </w:p>
    <w:p>
      <w:pPr>
        <w:ind w:right="400" w:firstLine="414"/>
        <w:spacing w:after="0" w:line="279" w:lineRule="auto"/>
        <w:rPr>
          <w:sz w:val="20"/>
          <w:szCs w:val="20"/>
          <w:color w:val="auto"/>
        </w:rPr>
      </w:pPr>
      <w:r>
        <w:rPr>
          <w:rFonts w:ascii="Arial" w:cs="Arial" w:eastAsia="Arial" w:hAnsi="Arial"/>
          <w:sz w:val="17"/>
          <w:szCs w:val="17"/>
          <w:color w:val="auto"/>
        </w:rPr>
        <w:t>The unaudited pro forma condensed combined balance sheet at June 30, 2014 gives effect to the Merger as if it had occurred on June 30, 2014. The unaudited pro forma condensed combined statements of operations for the year ended December 31, 2013 and the six months ended June 30, 2014 are presented as if the Merger had occurred on January 1, 2013. The unaudited pro forma condensed combined financial information was prepared using the acquisition method of accounting, based on the historical financial statements of Veracyte and Allegro.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Allegro</w:t>
      </w:r>
    </w:p>
    <w:p>
      <w:pPr>
        <w:spacing w:after="0" w:line="225" w:lineRule="exact"/>
        <w:rPr>
          <w:sz w:val="20"/>
          <w:szCs w:val="20"/>
          <w:color w:val="auto"/>
        </w:rPr>
      </w:pPr>
    </w:p>
    <w:p>
      <w:pPr>
        <w:ind w:right="300" w:firstLine="414"/>
        <w:spacing w:after="0" w:line="259"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preliminarily allocated based on the estimated fair value of net assets acquired and liabilities assumed at the date of the acquisition. The preliminary purchase price allocation is subject to further refinement and may require adjustments, such as related to working capital and indebtedness, to arrive at the final purchase price allocation.</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10,078</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700" w:hanging="395"/>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 to adjustment (e) in Note 2, Pro Forma Adjustments.</w:t>
      </w:r>
    </w:p>
    <w:p>
      <w:pPr>
        <w:spacing w:after="0" w:line="225" w:lineRule="exact"/>
        <w:rPr>
          <w:sz w:val="20"/>
          <w:szCs w:val="20"/>
          <w:color w:val="auto"/>
        </w:rPr>
      </w:pPr>
    </w:p>
    <w:p>
      <w:pPr>
        <w:ind w:right="220" w:firstLine="415"/>
        <w:spacing w:after="0" w:line="286" w:lineRule="auto"/>
        <w:rPr>
          <w:sz w:val="20"/>
          <w:szCs w:val="20"/>
          <w:color w:val="auto"/>
        </w:rPr>
      </w:pPr>
      <w:r>
        <w:rPr>
          <w:rFonts w:ascii="Arial" w:cs="Arial" w:eastAsia="Arial" w:hAnsi="Arial"/>
          <w:sz w:val="17"/>
          <w:szCs w:val="17"/>
          <w:color w:val="auto"/>
        </w:rPr>
        <w:t>Under the acquisition method of accounting, identifiable assets and liabilities of Allegro, including identifiable intangible assets, were recorded based on their estimated fair values as of the effective time of the Merger. Tangible assets and liabilities were valued at their respective carrying amounts. Management believes that these amounts approximate their current fair values as of the deemed acquisition date of June 30, 2014.</w:t>
      </w:r>
    </w:p>
    <w:p>
      <w:pPr>
        <w:spacing w:after="0" w:line="166"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The fair value of in-process research and development (“IPR&amp;D”) was determined using the income approach, which was based on forecasts prepared by management. The fair value of the IPR&amp;D was capitalized as of the closing date of the Merger and is subsequently accounted for as an indefinite-lived intangible asset until completion or abandonment of the associated research and development efforts. Accordingly, during the development period after the closing date, these assets will not be amortized but will be subject to periodic impairment testing. Upon successful completion of the development process for the acquired IPR&amp;D project, determination of the useful life of the asset will be made and amortization of the asset would begin over its remaining estimated useful life.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414"/>
        <w:spacing w:after="0" w:line="264" w:lineRule="auto"/>
        <w:rPr>
          <w:sz w:val="20"/>
          <w:szCs w:val="20"/>
          <w:color w:val="auto"/>
        </w:rPr>
      </w:pPr>
      <w:r>
        <w:rPr>
          <w:rFonts w:ascii="Arial" w:cs="Arial" w:eastAsia="Arial" w:hAnsi="Arial"/>
          <w:sz w:val="18"/>
          <w:szCs w:val="18"/>
          <w:color w:val="auto"/>
        </w:rPr>
        <w:t>Goodwill, which represents the purchase price in excess of the fair value of net assets acquired, is not expected to be deductible for income tax purposes. Goodwill will not be amortized but will be tested for impairment at least annually or whenever certain indicators of impairment are present. If, in the future, it is determined that goodwill is impaired, an impairment charge would be recorded at that time.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the assets acquired and liabilities, assuming the Merger had closed on June 30, 2014, are summarized below (in thousands):</w:t>
      </w:r>
    </w:p>
    <w:p>
      <w:pPr>
        <w:spacing w:after="0" w:line="25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IPR&amp;D</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4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0"/>
        </w:trPr>
        <w:tc>
          <w:tcPr>
            <w:tcW w:w="7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assets acquired</w:t>
            </w: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 Forma Adjustments</w:t>
      </w:r>
    </w:p>
    <w:p>
      <w:pPr>
        <w:spacing w:after="0" w:line="229" w:lineRule="exact"/>
        <w:rPr>
          <w:sz w:val="20"/>
          <w:szCs w:val="20"/>
          <w:color w:val="auto"/>
        </w:rPr>
      </w:pPr>
    </w:p>
    <w:p>
      <w:pPr>
        <w:ind w:right="180" w:firstLine="414"/>
        <w:spacing w:after="0" w:line="259" w:lineRule="auto"/>
        <w:rPr>
          <w:sz w:val="20"/>
          <w:szCs w:val="20"/>
          <w:color w:val="auto"/>
        </w:rPr>
      </w:pPr>
      <w:r>
        <w:rPr>
          <w:rFonts w:ascii="Arial" w:cs="Arial" w:eastAsia="Arial" w:hAnsi="Arial"/>
          <w:sz w:val="18"/>
          <w:szCs w:val="18"/>
          <w:color w:val="auto"/>
        </w:rPr>
        <w:t>Pro forma adjustments are necessary to reflect the acquisition consideration exchanged and to adjust amounts related to the tangible and intangible assets and liabilities of Allegro to reflect the preliminary estimate of their fair values, and to reflect the impact on the statements of operations of the Merger as if the companies had been combined during the periods presented therein. The pro forma adjustments included in the unaudited pro forma condensed combined financial statements are as follows:</w:t>
      </w:r>
    </w:p>
    <w:p>
      <w:pPr>
        <w:sectPr>
          <w:pgSz w:w="11900" w:h="16838" w:orient="portrait"/>
          <w:cols w:equalWidth="0" w:num="1">
            <w:col w:w="11420"/>
          </w:cols>
          <w:pgMar w:left="240" w:top="337" w:right="239" w:bottom="156" w:gutter="0" w:footer="0" w:header="0"/>
        </w:sectPr>
      </w:pPr>
    </w:p>
    <w:bookmarkStart w:id="9" w:name="page10"/>
    <w:bookmarkEnd w:id="9"/>
    <w:p>
      <w:pPr>
        <w:ind w:left="820" w:right="20" w:hanging="410"/>
        <w:spacing w:after="0" w:line="312" w:lineRule="auto"/>
        <w:tabs>
          <w:tab w:leader="none" w:pos="824"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To record the purchase consideration comprised of the issuance of 964,377 shares of the Company’s common stock (valued using the closing price of the Company’s common stock as of September 16, 2014 which was the closing date of the Merger), cash consideration of $6.9 million, and a liability of $0.1 million representing additional consideration due to the selling stockholders upon the completion of the purchase price allocation.</w:t>
      </w:r>
    </w:p>
    <w:p>
      <w:pPr>
        <w:spacing w:after="0" w:line="146" w:lineRule="exact"/>
        <w:rPr>
          <w:rFonts w:ascii="Arial" w:cs="Arial" w:eastAsia="Arial" w:hAnsi="Arial"/>
          <w:sz w:val="16"/>
          <w:szCs w:val="16"/>
          <w:b w:val="1"/>
          <w:bCs w:val="1"/>
          <w:color w:val="auto"/>
        </w:rPr>
      </w:pPr>
    </w:p>
    <w:p>
      <w:pPr>
        <w:ind w:left="820" w:right="860" w:hanging="410"/>
        <w:spacing w:after="0" w:line="342" w:lineRule="auto"/>
        <w:tabs>
          <w:tab w:leader="none" w:pos="834"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To reclassify to restricted cash an amount to be held by the Company in a restricted account to cover additional payments to the selling stockholders arising from adjustments to working capital or indebtedness upon the completion of the purchase price allocation.</w:t>
      </w:r>
    </w:p>
    <w:p>
      <w:pPr>
        <w:spacing w:after="0" w:line="123" w:lineRule="exact"/>
        <w:rPr>
          <w:rFonts w:ascii="Arial" w:cs="Arial" w:eastAsia="Arial" w:hAnsi="Arial"/>
          <w:sz w:val="16"/>
          <w:szCs w:val="16"/>
          <w:b w:val="1"/>
          <w:bCs w:val="1"/>
          <w:color w:val="auto"/>
        </w:rPr>
      </w:pPr>
    </w:p>
    <w:p>
      <w:pPr>
        <w:ind w:left="820" w:hanging="410"/>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record the estimated fair value of Allegro’s IPR&amp;D acquired.</w:t>
      </w:r>
    </w:p>
    <w:p>
      <w:pPr>
        <w:spacing w:after="0" w:line="225" w:lineRule="exact"/>
        <w:rPr>
          <w:rFonts w:ascii="Arial" w:cs="Arial" w:eastAsia="Arial" w:hAnsi="Arial"/>
          <w:sz w:val="18"/>
          <w:szCs w:val="18"/>
          <w:b w:val="1"/>
          <w:bCs w:val="1"/>
          <w:color w:val="auto"/>
        </w:rPr>
      </w:pPr>
    </w:p>
    <w:p>
      <w:pPr>
        <w:ind w:left="840" w:hanging="430"/>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record goodwill as part of the Merger.</w:t>
      </w:r>
    </w:p>
    <w:p>
      <w:pPr>
        <w:spacing w:after="0" w:line="225" w:lineRule="exact"/>
        <w:rPr>
          <w:rFonts w:ascii="Arial" w:cs="Arial" w:eastAsia="Arial" w:hAnsi="Arial"/>
          <w:sz w:val="18"/>
          <w:szCs w:val="18"/>
          <w:b w:val="1"/>
          <w:bCs w:val="1"/>
          <w:color w:val="auto"/>
        </w:rPr>
      </w:pPr>
    </w:p>
    <w:p>
      <w:pPr>
        <w:ind w:left="820" w:right="80" w:hanging="410"/>
        <w:spacing w:after="0" w:line="255" w:lineRule="auto"/>
        <w:tabs>
          <w:tab w:leader="none" w:pos="827"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record the settlement of Allegro’s outstanding indebtedness immediately prior to the closing of the Merger. Both Allegro’s non-convertible promissory note, with an outstanding balance of $1.4 million including accrued interest, and the outstanding accounts payable were paid by the Company on behalf of Allegro immediately prior to the closing of the Merger. Allegro’s remaining convertible promissory notes, with an outstanding principal balance of $5.3 million and related accrued interest, were converted into Allegro Series A preferred stock immediately prior to the closing date of the Merger and the related derivative liability was extinguished. The preferred stock was subsequently exchanged for 964,377 shares of the Company’s common stock.</w:t>
      </w:r>
    </w:p>
    <w:p>
      <w:pPr>
        <w:spacing w:after="0" w:line="193" w:lineRule="exact"/>
        <w:rPr>
          <w:rFonts w:ascii="Arial" w:cs="Arial" w:eastAsia="Arial" w:hAnsi="Arial"/>
          <w:sz w:val="18"/>
          <w:szCs w:val="18"/>
          <w:b w:val="1"/>
          <w:bCs w:val="1"/>
          <w:color w:val="auto"/>
        </w:rPr>
      </w:pPr>
    </w:p>
    <w:p>
      <w:pPr>
        <w:ind w:left="820" w:hanging="410"/>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record transaction costs incurred by the Company subsequent to June 30, 2014.</w:t>
      </w:r>
    </w:p>
    <w:p>
      <w:pPr>
        <w:spacing w:after="0" w:line="225" w:lineRule="exact"/>
        <w:rPr>
          <w:rFonts w:ascii="Arial" w:cs="Arial" w:eastAsia="Arial" w:hAnsi="Arial"/>
          <w:sz w:val="18"/>
          <w:szCs w:val="18"/>
          <w:b w:val="1"/>
          <w:bCs w:val="1"/>
          <w:color w:val="auto"/>
        </w:rPr>
      </w:pPr>
    </w:p>
    <w:p>
      <w:pPr>
        <w:ind w:left="820" w:right="300" w:hanging="410"/>
        <w:spacing w:after="0" w:line="277" w:lineRule="auto"/>
        <w:tabs>
          <w:tab w:leader="none" w:pos="82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record the income tax impact of the Merger arising from the value assigned to the acquired IPR&amp;D based on an acquisition date of June 30, 2014 for the unaudited pro forma condensed combined balance sheet.</w:t>
      </w:r>
    </w:p>
    <w:p>
      <w:pPr>
        <w:spacing w:after="0" w:line="170" w:lineRule="exact"/>
        <w:rPr>
          <w:rFonts w:ascii="Arial" w:cs="Arial" w:eastAsia="Arial" w:hAnsi="Arial"/>
          <w:sz w:val="18"/>
          <w:szCs w:val="18"/>
          <w:b w:val="1"/>
          <w:bCs w:val="1"/>
          <w:color w:val="auto"/>
        </w:rPr>
      </w:pPr>
    </w:p>
    <w:p>
      <w:pPr>
        <w:ind w:left="840" w:hanging="430"/>
        <w:spacing w:after="0"/>
        <w:tabs>
          <w:tab w:leader="none" w:pos="8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To eliminate Allegro’s historical equity amounts consisting of redeemable convertible preferred stock, common stock and accumulated deficit.</w:t>
      </w:r>
    </w:p>
    <w:p>
      <w:pPr>
        <w:spacing w:after="0" w:line="248" w:lineRule="exact"/>
        <w:rPr>
          <w:rFonts w:ascii="Arial" w:cs="Arial" w:eastAsia="Arial" w:hAnsi="Arial"/>
          <w:sz w:val="16"/>
          <w:szCs w:val="16"/>
          <w:b w:val="1"/>
          <w:bCs w:val="1"/>
          <w:color w:val="auto"/>
        </w:rPr>
      </w:pPr>
    </w:p>
    <w:p>
      <w:pPr>
        <w:jc w:val="both"/>
        <w:ind w:left="820" w:hanging="410"/>
        <w:spacing w:after="0" w:line="264" w:lineRule="auto"/>
        <w:tabs>
          <w:tab w:leader="none" w:pos="82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eliminate transaction costs of $67,000 and $48,000 included in Allegro’s statement of operations for the year ended December 31, 2013 and the six months ended June 30, 2014, respectively, and to eliminate reimbursement of $50,000 by the Company in the six month period ended June 30, 2014 of transaction costs incurred by Allegro in 2012 and 2013.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Non-recurring Transaction Costs</w:t>
      </w:r>
    </w:p>
    <w:p>
      <w:pPr>
        <w:spacing w:after="0" w:line="229" w:lineRule="exact"/>
        <w:rPr>
          <w:sz w:val="20"/>
          <w:szCs w:val="20"/>
          <w:color w:val="auto"/>
        </w:rPr>
      </w:pPr>
    </w:p>
    <w:p>
      <w:pPr>
        <w:ind w:right="100" w:firstLine="414"/>
        <w:spacing w:after="0" w:line="289" w:lineRule="auto"/>
        <w:rPr>
          <w:sz w:val="20"/>
          <w:szCs w:val="20"/>
          <w:color w:val="auto"/>
        </w:rPr>
      </w:pPr>
      <w:r>
        <w:rPr>
          <w:rFonts w:ascii="Arial" w:cs="Arial" w:eastAsia="Arial" w:hAnsi="Arial"/>
          <w:sz w:val="16"/>
          <w:szCs w:val="16"/>
          <w:color w:val="auto"/>
        </w:rPr>
        <w:t>The Company and Allegro have incurred, and the Company will continue to incur, certain non-recurring transaction expenses in connection with the Merger. Non-recurring transaction expenses incurred by Allegro were $67,000 and $48,000 during the year ended December 31, 2013 and the six months ended June 30, 2014, respectively, and are reflected as an adjustment to reduce general and administrative expenses in the pro forma condensed combined statement of operations as they are non-recurring and directly attributable to the Merger. In addition, the Company reimbursed Allegro $50,000 in June 2014 for non-recurring transaction costs incurred in previous years. The reimbursement is reflected as an adjustment to increase general and administrative expenses in the pro forma condensed combined statement of operations for the six months ended June 30, 2014. The pro forma condensed combined balance sheet as of June 30, 2014 includes an adjustment of $3.3 million to accrued liabilities for transaction expenses incurred by the Company subsequent to June 30, 2014 (see Note 2, Pro Forma Adjustments above). These transaction expenses are not reflected in the pro forma condensed combined statement of operations for the six months ended June 30, 2014, as they are not expected to have a continuing impact on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upperLetter"/>
      <w:start w:val="1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2019-12-07T15:20:15Z</dcterms:created>
  <dcterms:modified xsi:type="dcterms:W3CDTF">2019-12-07T15:20:15Z</dcterms:modified>
</cp:coreProperties>
</file>