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13,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8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001-36156</w:t>
            </w:r>
          </w:p>
        </w:tc>
        <w:tc>
          <w:tcPr>
            <w:tcW w:w="158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5"/>
              </w:rPr>
              <w:t>of incorporation)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7000 Shoreline Court, Suite 250, South San Francisco, California 94080</w:t>
            </w:r>
          </w:p>
        </w:tc>
        <w:tc>
          <w:tcPr>
            <w:tcW w:w="1580" w:type="dxa"/>
            <w:vAlign w:val="bottom"/>
          </w:tcPr>
          <w:p>
            <w:pPr>
              <w:spacing w:after="0"/>
              <w:rPr>
                <w:sz w:val="24"/>
                <w:szCs w:val="24"/>
                <w:color w:val="auto"/>
              </w:rPr>
            </w:pPr>
          </w:p>
        </w:tc>
      </w:tr>
      <w:tr>
        <w:trPr>
          <w:trHeight w:val="230"/>
        </w:trPr>
        <w:tc>
          <w:tcPr>
            <w:tcW w:w="1980" w:type="dxa"/>
            <w:vAlign w:val="bottom"/>
          </w:tcPr>
          <w:p>
            <w:pPr>
              <w:spacing w:after="0"/>
              <w:rPr>
                <w:sz w:val="20"/>
                <w:szCs w:val="20"/>
                <w:color w:val="auto"/>
              </w:rPr>
            </w:pPr>
          </w:p>
        </w:tc>
        <w:tc>
          <w:tcPr>
            <w:tcW w:w="580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(Zip Code)</w:t>
            </w:r>
          </w:p>
        </w:tc>
        <w:tc>
          <w:tcPr>
            <w:tcW w:w="1580" w:type="dxa"/>
            <w:vAlign w:val="bottom"/>
          </w:tcPr>
          <w:p>
            <w:pPr>
              <w:spacing w:after="0"/>
              <w:rPr>
                <w:sz w:val="20"/>
                <w:szCs w:val="20"/>
                <w:color w:val="auto"/>
              </w:rPr>
            </w:pPr>
          </w:p>
        </w:tc>
      </w:tr>
      <w:tr>
        <w:trPr>
          <w:trHeight w:val="432"/>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(650) 243-6300</w:t>
            </w:r>
          </w:p>
        </w:tc>
        <w:tc>
          <w:tcPr>
            <w:tcW w:w="1580" w:type="dxa"/>
            <w:vAlign w:val="bottom"/>
          </w:tcPr>
          <w:p>
            <w:pPr>
              <w:spacing w:after="0"/>
              <w:rPr>
                <w:sz w:val="24"/>
                <w:szCs w:val="24"/>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On November 13, 2014, Veracyte, Inc. issued a press release announcing its financial results for the fiscal quarter ended September 30, 2014.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00" w:type="dxa"/>
            <w:vAlign w:val="bottom"/>
            <w:gridSpan w:val="2"/>
          </w:tcPr>
          <w:p>
            <w:pPr>
              <w:jc w:val="right"/>
              <w:ind w:right="7308"/>
              <w:spacing w:after="0"/>
              <w:rPr>
                <w:sz w:val="20"/>
                <w:szCs w:val="20"/>
                <w:color w:val="auto"/>
              </w:rPr>
            </w:pPr>
            <w:r>
              <w:rPr>
                <w:rFonts w:ascii="Arial" w:cs="Arial" w:eastAsia="Arial" w:hAnsi="Arial"/>
                <w:sz w:val="18"/>
                <w:szCs w:val="18"/>
                <w:b w:val="1"/>
                <w:bCs w:val="1"/>
                <w:color w:val="auto"/>
                <w:w w:val="97"/>
              </w:rPr>
              <w:t>Financial Statements and Exhibits.</w:t>
            </w:r>
          </w:p>
        </w:tc>
        <w:tc>
          <w:tcPr>
            <w:tcW w:w="4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(d) Exhibits</w:t>
            </w:r>
          </w:p>
        </w:tc>
        <w:tc>
          <w:tcPr>
            <w:tcW w:w="38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24"/>
                <w:szCs w:val="2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10300" w:type="dxa"/>
            <w:vAlign w:val="bottom"/>
            <w:gridSpan w:val="2"/>
          </w:tcPr>
          <w:p>
            <w:pPr>
              <w:jc w:val="right"/>
              <w:ind w:right="5148"/>
              <w:spacing w:after="0"/>
              <w:rPr>
                <w:sz w:val="20"/>
                <w:szCs w:val="20"/>
                <w:color w:val="auto"/>
              </w:rPr>
            </w:pPr>
            <w:r>
              <w:rPr>
                <w:rFonts w:ascii="Arial" w:cs="Arial" w:eastAsia="Arial" w:hAnsi="Arial"/>
                <w:sz w:val="18"/>
                <w:szCs w:val="18"/>
                <w:color w:val="auto"/>
                <w:w w:val="95"/>
              </w:rPr>
              <w:t>Press Release issued by Veracyte, Inc. dated November 13, 2014.</w:t>
            </w:r>
          </w:p>
        </w:tc>
        <w:tc>
          <w:tcPr>
            <w:tcW w:w="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030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Dated: November 13, 2014</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Veracyte, Inc.</w:t>
      </w:r>
    </w:p>
    <w:p>
      <w:pPr>
        <w:sectPr>
          <w:pgSz w:w="11900" w:h="16838" w:orient="portrait"/>
          <w:cols w:equalWidth="0" w:num="1">
            <w:col w:w="11460"/>
          </w:cols>
          <w:pgMar w:left="240" w:top="544" w:right="199" w:bottom="0" w:gutter="0" w:footer="0" w:header="0"/>
        </w:sectPr>
      </w:pPr>
    </w:p>
    <w:bookmarkStart w:id="1" w:name="page2"/>
    <w:bookmarkEnd w:id="1"/>
    <w:tbl>
      <w:tblPr>
        <w:tblLayout w:type="fixed"/>
        <w:tblInd w:w="57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2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Press release dated November 13, 2014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016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Third Quarter 2014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3Q Revenue of $9.8 Million, a 76% Year-Over-Year Increase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Established In-Network Contracts with UnitedHealthcare and Cigna for Afirma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Accelerated Entry into Pulmonology Market with Allegro Diagnostics Acquisition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Conference Call and Webcast Today at 5 p.m. ET —</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South San Francisco, Calif. — November 13, 2014 — Veracyte, Inc. (Nasdaq: VCYT) today reported financial results for the third quarter ended September 30, 2014 and provided an update on business progress. For the third quarter of 2014, revenue was $9.8 million, an increase of 76%, compared to $5.6 million for the third quarter of 2013. Revenue for the nine months ended September 30, 2014 was $26.0 million, compared to $15.0 million for the same period in 2013, an increase of 73%.</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continued to experience strong momentum in our Afirma business for the third quarter of 2014, driven by our continued robust adoption among both community practices and institutional accounts. We also achieved significant progress for Afirma with commercial payers, including moving to contracted in-network provider status with UnitedHealthcare and Cigna, which we believe will further accelerate adoption,” said Bonnie Anderson, Veracyte’s president and chief executive officer. “Additionally, we are excited about expanding our molecular cytology approach to difficult-to-diagnose lung diseases. With our recent acquisition of Allegro Diagnostics and its clinically validated lung cancer test, we plan to accelerate our entry into pulmonology, a channel we expect to further leverage with the later commercialization of our genomic test for interstitial lung diseases, including idiopathic pulmonary fibrosis.”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2014 Financial Results</w:t>
      </w:r>
    </w:p>
    <w:p>
      <w:pPr>
        <w:spacing w:after="0" w:line="229" w:lineRule="exact"/>
        <w:rPr>
          <w:sz w:val="20"/>
          <w:szCs w:val="20"/>
          <w:color w:val="auto"/>
        </w:rPr>
      </w:pPr>
    </w:p>
    <w:p>
      <w:pPr>
        <w:ind w:left="940" w:hanging="608"/>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 for the third quarter of 2014 was $9.8 million, compared to $5.6 million during the same period in 2013, an increase of 76%.</w:t>
      </w:r>
    </w:p>
    <w:p>
      <w:pPr>
        <w:spacing w:after="0" w:line="34" w:lineRule="exact"/>
        <w:rPr>
          <w:rFonts w:ascii="Arial" w:cs="Arial" w:eastAsia="Arial" w:hAnsi="Arial"/>
          <w:sz w:val="17"/>
          <w:szCs w:val="17"/>
          <w:color w:val="auto"/>
        </w:rPr>
      </w:pPr>
    </w:p>
    <w:p>
      <w:pPr>
        <w:ind w:left="980" w:right="16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received 16,781 fine needle aspiration (FNA) samples during the third quarter of 2014, compared to 12,430 FNA samples for the comparable period in 2013, an increase of 35%.</w:t>
      </w:r>
    </w:p>
    <w:p>
      <w:pPr>
        <w:ind w:left="980" w:right="6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GEC tests performed continued within the 20% to 22% range of FNA samples received, demonstrating the company’s increasing penetration of institutional accounts.</w:t>
      </w: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for the third quarter of 2014 were $17.6 million, compared to $11.7 million for the comparable period in 2013.</w:t>
      </w:r>
    </w:p>
    <w:p>
      <w:pPr>
        <w:spacing w:after="0" w:line="9" w:lineRule="exact"/>
        <w:rPr>
          <w:rFonts w:ascii="Arial" w:cs="Arial" w:eastAsia="Arial" w:hAnsi="Arial"/>
          <w:sz w:val="18"/>
          <w:szCs w:val="18"/>
          <w:color w:val="auto"/>
        </w:rPr>
      </w:pPr>
    </w:p>
    <w:p>
      <w:pPr>
        <w:ind w:left="980" w:right="6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third quarter of 2014 was $7.9 million, or $0.37 per common share, compared to a net loss of $6.3 million, or $6.59 per common share, for the same period in 2013.</w:t>
      </w: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September 30, 2014 totaled $44.0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9" w:lineRule="exact"/>
        <w:rPr>
          <w:sz w:val="20"/>
          <w:szCs w:val="20"/>
          <w:color w:val="auto"/>
        </w:rPr>
      </w:pPr>
    </w:p>
    <w:p>
      <w:pPr>
        <w:ind w:left="980" w:right="60" w:hanging="648"/>
        <w:spacing w:after="0" w:line="258"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Closed the acquisition of Allegro Diagnostics Corp., which is expected to accelerate our entry into the pulmonology market, with the launch of a lung cancer test planned for the second half of 2015.</w:t>
      </w:r>
    </w:p>
    <w:p>
      <w:pPr>
        <w:spacing w:after="0" w:line="1" w:lineRule="exact"/>
        <w:rPr>
          <w:rFonts w:ascii="Arial" w:cs="Arial" w:eastAsia="Arial" w:hAnsi="Arial"/>
          <w:sz w:val="18"/>
          <w:szCs w:val="18"/>
          <w:color w:val="auto"/>
        </w:rPr>
      </w:pPr>
    </w:p>
    <w:p>
      <w:pPr>
        <w:ind w:left="980" w:right="180" w:hanging="648"/>
        <w:spacing w:after="0" w:line="265"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Established in-network contracts with UnitedHealthcare, Cigna and Providence Health Plan, all expected to become effective during the fourth quarter of 2014, with the total number of covered lives now over 135 million and those under contract now over 100 million.</w:t>
      </w:r>
    </w:p>
    <w:p>
      <w:pPr>
        <w:ind w:left="98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an amended U.S. co-promotion agreement with Genzyme Corporation, which reduces Veracyte’s fees paid to Genzyme from 32% to 15% of U.S. Afirma revenue, beginning January 1, 2015.</w:t>
      </w:r>
    </w:p>
    <w:p>
      <w:pPr>
        <w:ind w:left="980" w:right="30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the end of September, achieved 70% of our endocrinology sales and marketing team expansion goal of ten new hires before the end of the year.</w:t>
      </w:r>
    </w:p>
    <w:p>
      <w:pPr>
        <w:ind w:left="980" w:right="240" w:hanging="648"/>
        <w:spacing w:after="0" w:line="265"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Strengthened the clinical evidence supporting Afirma with two poster presentations at the recent American Thyroid Association 2014 annual meeting, which highlighted real-world GEC performance that was consistent with the pivotal clinical validation study results published in the </w:t>
      </w:r>
      <w:r>
        <w:rPr>
          <w:rFonts w:ascii="Arial" w:cs="Arial" w:eastAsia="Arial" w:hAnsi="Arial"/>
          <w:sz w:val="17"/>
          <w:szCs w:val="17"/>
          <w:i w:val="1"/>
          <w:iCs w:val="1"/>
          <w:color w:val="auto"/>
        </w:rPr>
        <w:t xml:space="preserve">New England Journal of Medicine </w:t>
      </w:r>
      <w:r>
        <w:rPr>
          <w:rFonts w:ascii="Arial" w:cs="Arial" w:eastAsia="Arial" w:hAnsi="Arial"/>
          <w:sz w:val="17"/>
          <w:szCs w:val="17"/>
          <w:color w:val="auto"/>
        </w:rPr>
        <w:t>in 2012, and also demonstrated the long-term durability of a GEC-benign result.</w:t>
      </w: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two additional issued patents for our Afirma GEC.</w:t>
      </w:r>
    </w:p>
    <w:p>
      <w:pPr>
        <w:spacing w:after="0" w:line="9" w:lineRule="exact"/>
        <w:rPr>
          <w:rFonts w:ascii="Arial" w:cs="Arial" w:eastAsia="Arial" w:hAnsi="Arial"/>
          <w:sz w:val="18"/>
          <w:szCs w:val="18"/>
          <w:color w:val="auto"/>
        </w:rPr>
      </w:pPr>
    </w:p>
    <w:p>
      <w:pPr>
        <w:ind w:left="980" w:right="8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to 23 the number of clinical sites in the United States and Europe for the development of our genomic test in interstitial lung diseases, including idiopathic pulmonary fibrosis.</w:t>
      </w:r>
    </w:p>
    <w:p>
      <w:pPr>
        <w:ind w:left="980" w:right="140" w:hanging="648"/>
        <w:spacing w:after="0" w:line="261"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diagnostics industry veteran John L. Bishop, chairman and CEO of Cepheid, a leading global molecular diagnostics company, to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Financial Outlook</w:t>
      </w:r>
    </w:p>
    <w:p>
      <w:pPr>
        <w:spacing w:after="0" w:line="229"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company reiterates its full-year 2014 guidance for the number of FNA samples received to be in the range of 66,000 to 73,000 FNA samples. We expect to end 2014 with revenue of approximately $38 million, at the low end of the guided range, reflecting an approximate 74% growth in year-over-year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Call/Webcast Details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Veracyte will host a conference call and webcast today at 5 p.m. Eastern Time to discuss the company’s financial results and provide a general business update. The webcast and subsequent replay may be accessed by visiting Veracyte’s website at http://investor.veracyte.com. Please connect to the company’s website at least 15 minutes prior to the webcast to ensure adequate time for any necessary software download. Alternatively, please call (855) 541-0980 (U.S.) or (970) 315-0440 (international) to listen to the conference call. The conference ID number for the call is 19984524. Please dial in approximately 10 minutes prior to the call. The webcast will be available on the company’s website approximately two hours following completion of the call for 14 days.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ectPr>
          <w:pgSz w:w="11900" w:h="16838" w:orient="portrait"/>
          <w:cols w:equalWidth="0" w:num="1">
            <w:col w:w="11420"/>
          </w:cols>
          <w:pgMar w:left="240" w:top="121" w:right="239" w:bottom="104" w:gutter="0" w:footer="0" w:header="0"/>
        </w:sectPr>
      </w:pPr>
    </w:p>
    <w:bookmarkStart w:id="3" w:name="page4"/>
    <w:bookmarkEnd w:id="3"/>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Thyroid FNA Analysis, centers on the proprietary Afirma Gene Expression Classifier (GEC) to resolve ambiguity in diagnosis and is becoming a new standard of care in thyroid nodule assessment. Since launching its Afirma solution in 2011, Veracyte estimates it has helped approximately 10,000 patients with thyroid nodules avoid unnecessary surgery, reducing healthcare costs by millions of dollars. Afirma is recommended in leading practice guidelines and is covered for more than 135 million lives in the United States, including through Medicare and most commercial insurance plans.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Veracyte intends to expand its molecular cytology franchise to other clinical areas, beginning with difficult-to-diagnose lung diseases. The company is in late product development for a genomic test to resolve preoperative ambiguity in lung nodules that are suspicious for cancer. Veracyte is also developing a second product in pulmonology, targeting interstitial lung diseases that include idiopathic pulmonary fibrosis. For more information, please visit www.veracyte.com.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our planned entry into the pulmonology market, our expectations regarding full-year 2014 guidance,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or sell;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our ability to obtain capital when needed; and other risks set forth in the company’s filings with the Securities and Exchange Commission, including the risks set forth in the company’s Quarterly Report on Form 10-Q for the quarter ended June 30, 2014. These forward-looking statements speak only as of the date hereof and Veracyte specifically disclaims any obligation to update these forward-looking statements</w:t>
      </w:r>
      <w:r>
        <w:rPr>
          <w:rFonts w:ascii="Arial" w:cs="Arial" w:eastAsia="Arial" w:hAnsi="Arial"/>
          <w:sz w:val="17"/>
          <w:szCs w:val="17"/>
          <w:i w:val="1"/>
          <w:iCs w:val="1"/>
          <w:color w:val="auto"/>
        </w:rPr>
        <w:t>.</w:t>
      </w:r>
    </w:p>
    <w:p>
      <w:pPr>
        <w:spacing w:after="0" w:line="1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6,602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13,625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(20,947)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30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(0.99)</w:t>
            </w:r>
          </w:p>
        </w:tc>
        <w:tc>
          <w:tcPr>
            <w:tcW w:w="2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80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color w:val="auto"/>
                <w:w w:val="91"/>
              </w:rPr>
              <w:t>Shares used to compute net loss per common share, basic and</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21,648,660</w:t>
            </w:r>
          </w:p>
        </w:tc>
        <w:tc>
          <w:tcPr>
            <w:tcW w:w="5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955,890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21,346,565</w:t>
            </w:r>
          </w:p>
        </w:tc>
        <w:tc>
          <w:tcPr>
            <w:tcW w:w="5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860,957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13"/>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3"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VERACYTE, INC.</w:t>
      </w:r>
    </w:p>
    <w:p>
      <w:pPr>
        <w:sectPr>
          <w:pgSz w:w="11900" w:h="16883" w:orient="portrait"/>
          <w:cols w:equalWidth="0" w:num="1">
            <w:col w:w="11460"/>
          </w:cols>
          <w:pgMar w:left="240" w:top="125" w:right="19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512"/>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71,220</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3,792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8,587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1,897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48,283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56,443</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0" w:firstLine="8"/>
        <w:spacing w:after="0" w:line="2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2013 has been derived from the audited financial statements at that date included in the Company’s Form 10-K filed with the Securities and Exchange Commission dated March 20,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Angeli Kolhatkar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2019-12-07T15:23:15Z</dcterms:created>
  <dcterms:modified xsi:type="dcterms:W3CDTF">2019-12-07T15:23:15Z</dcterms:modified>
</cp:coreProperties>
</file>