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Kennedy Giulia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Chief Scientific &amp; Med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02/24/2020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50,000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96,862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02/24/2020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8,844</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88,018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acquisition of restricted stock units ("RSUs") earned by the Reporting Person upon the achievement of performance goals for the one-year period ended December 31, 2019, as reflected in the financial statements certified by the Audit Committee of the Board of Directors on February 24, 2020. The RSUs vested as to 50% of the total RSUs earned on February 24, 2020, and the remaining 50% of the RSUs will vest on February 24, 2021, subject to the Reporting Person's continuous service to the Issuer through such date.</w:t>
      </w:r>
    </w:p>
    <w:p>
      <w:pPr>
        <w:spacing w:after="0" w:line="2"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8,844 shares of common stock to satisfy the reporting person's tax withholding obligations in connection with the vesting of 25,000 Performance Stock Units vested on February 24, 2020 and does not represent a sale by the reporting person.</w:t>
      </w:r>
    </w:p>
    <w:p>
      <w:pPr>
        <w:sectPr>
          <w:pgSz w:w="11900" w:h="16838" w:orient="portrait"/>
          <w:cols w:equalWidth="0" w:num="1">
            <w:col w:w="11420"/>
          </w:cols>
          <w:pgMar w:left="240" w:top="226" w:right="2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2020-02-26T15:26:48Z</dcterms:created>
  <dcterms:modified xsi:type="dcterms:W3CDTF">2020-02-26T15:26:48Z</dcterms:modified>
</cp:coreProperties>
</file>