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2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00"/>
          </w:cols>
          <w:pgMar w:left="240" w:top="233" w:right="359" w:bottom="703" w:gutter="0" w:footer="0" w:header="0"/>
        </w:sectPr>
      </w:pPr>
    </w:p>
    <w:p>
      <w:pPr>
        <w:spacing w:after="0" w:line="172"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580" w:space="600"/>
            <w:col w:w="4120"/>
          </w:cols>
          <w:pgMar w:left="240" w:top="233" w:right="359" w:bottom="703" w:gutter="0" w:footer="0" w:header="0"/>
          <w:type w:val="continuous"/>
        </w:sectPr>
      </w:pP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00"/>
          </w:cols>
          <w:pgMar w:left="240" w:top="233" w:right="359" w:bottom="70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00"/>
          </w:cols>
          <w:pgMar w:left="240" w:top="233" w:right="359" w:bottom="70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0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40"/>
          </w:cols>
          <w:pgMar w:left="240" w:top="233" w:right="359" w:bottom="703"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233" w:right="359" w:bottom="703"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10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81" w:lineRule="exact"/>
        <w:rPr>
          <w:sz w:val="24"/>
          <w:szCs w:val="24"/>
          <w:color w:val="auto"/>
        </w:rPr>
      </w:pPr>
    </w:p>
    <w:p>
      <w:pPr>
        <w:ind w:right="14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20"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233" w:right="359" w:bottom="703"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46" w:lineRule="exact"/>
        <w:rPr>
          <w:sz w:val="24"/>
          <w:szCs w:val="24"/>
          <w:color w:val="auto"/>
        </w:rPr>
      </w:pPr>
    </w:p>
    <w:p>
      <w:pPr>
        <w:sectPr>
          <w:pgSz w:w="11900" w:h="16838" w:orient="portrait"/>
          <w:cols w:equalWidth="0" w:num="4">
            <w:col w:w="2200" w:space="720"/>
            <w:col w:w="2040" w:space="720"/>
            <w:col w:w="2600" w:space="720"/>
            <w:col w:w="2300"/>
          </w:cols>
          <w:pgMar w:left="240" w:top="233" w:right="359" w:bottom="703"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2">
            <w:col w:w="8880" w:space="240"/>
            <w:col w:w="2180"/>
          </w:cols>
          <w:pgMar w:left="240" w:top="233" w:right="359" w:bottom="703" w:gutter="0" w:footer="0" w:header="0"/>
          <w:type w:val="continuous"/>
        </w:sectPr>
      </w:pPr>
    </w:p>
    <w:p>
      <w:pPr>
        <w:spacing w:after="0" w:line="48" w:lineRule="exact"/>
        <w:rPr>
          <w:sz w:val="24"/>
          <w:szCs w:val="24"/>
          <w:color w:val="auto"/>
        </w:rPr>
      </w:pPr>
    </w:p>
    <w:p>
      <w:pPr>
        <w:ind w:left="260"/>
        <w:spacing w:after="0"/>
        <w:rPr>
          <w:sz w:val="20"/>
          <w:szCs w:val="20"/>
          <w:color w:val="auto"/>
        </w:rPr>
      </w:pPr>
      <w:r>
        <w:rPr>
          <w:rFonts w:ascii="Arial" w:cs="Arial" w:eastAsia="Arial" w:hAnsi="Arial"/>
          <w:sz w:val="16"/>
          <w:szCs w:val="16"/>
          <w:color w:val="auto"/>
        </w:rPr>
        <w:t>As of November 15, 2013, there were 21,035,046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233" w:right="359" w:bottom="703"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10"/>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800" w:type="dxa"/>
            <w:vAlign w:val="bottom"/>
            <w:gridSpan w:val="7"/>
            <w:vMerge w:val="restart"/>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10"/>
            <w:vMerge w:val="continue"/>
          </w:tcPr>
          <w:p>
            <w:pPr>
              <w:spacing w:after="0"/>
              <w:rPr>
                <w:sz w:val="13"/>
                <w:szCs w:val="13"/>
                <w:color w:val="auto"/>
              </w:rPr>
            </w:pPr>
          </w:p>
        </w:tc>
        <w:tc>
          <w:tcPr>
            <w:tcW w:w="4800" w:type="dxa"/>
            <w:vAlign w:val="bottom"/>
            <w:gridSpan w:val="7"/>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8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Unaudited Financial Statements</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Balance Sheets as of September 30, 2013 and December 31, 2012 (Unaudited)</w:t>
              </w:r>
            </w:hyperlink>
          </w:p>
        </w:tc>
        <w:tc>
          <w:tcPr>
            <w:tcW w:w="1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60" w:type="dxa"/>
            <w:vAlign w:val="bottom"/>
            <w:gridSpan w:val="27"/>
          </w:tcPr>
          <w:p>
            <w:pPr>
              <w:spacing w:after="0" w:line="19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Statements of Operations and Comprehensive Loss for the Three and Nine Month Periods Ended September 30, 2013 and 2012</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for the Nine Month Periods Ended September 30, 2013 and 2012 (Unaudited)</w:t>
              </w:r>
            </w:hyperlink>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the Condensed Financial Statements (Unaudited)</w:t>
              </w:r>
            </w:hyperlink>
          </w:p>
        </w:tc>
        <w:tc>
          <w:tcPr>
            <w:tcW w:w="3520" w:type="dxa"/>
            <w:vAlign w:val="bottom"/>
            <w:tcBorders>
              <w:top w:val="single" w:sz="8" w:color="0000EE"/>
            </w:tcBorders>
            <w:gridSpan w:val="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2. Management’s Discussion and Analysis of Financial Condition and Results of Operations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9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 Controls and Procedures</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510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628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8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6. Exhibits</w:t>
              </w:r>
            </w:hyperlink>
          </w:p>
        </w:tc>
        <w:tc>
          <w:tcPr>
            <w:tcW w:w="3680" w:type="dxa"/>
            <w:vAlign w:val="bottom"/>
            <w:tcBorders>
              <w:top w:val="single" w:sz="8" w:color="0000EE"/>
            </w:tcBorders>
            <w:gridSpan w:val="7"/>
          </w:tcPr>
          <w:p>
            <w:pPr>
              <w:spacing w:after="0"/>
              <w:rPr>
                <w:sz w:val="17"/>
                <w:szCs w:val="17"/>
                <w:color w:val="auto"/>
              </w:rPr>
            </w:pPr>
          </w:p>
        </w:tc>
        <w:tc>
          <w:tcPr>
            <w:tcW w:w="29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810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0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gridSpan w:val="17"/>
          </w:tcPr>
          <w:p>
            <w:pPr>
              <w:spacing w:after="0"/>
              <w:rPr>
                <w:sz w:val="20"/>
                <w:szCs w:val="20"/>
                <w:color w:val="auto"/>
              </w:rPr>
            </w:pPr>
            <w:r>
              <w:rPr>
                <w:rFonts w:ascii="Arial" w:cs="Arial" w:eastAsia="Arial" w:hAnsi="Arial"/>
                <w:sz w:val="18"/>
                <w:szCs w:val="18"/>
                <w:color w:val="auto"/>
              </w:rPr>
              <w:t>EXHBIT INDEX</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48"/>
        </w:trPr>
        <w:tc>
          <w:tcPr>
            <w:tcW w:w="2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10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17"/>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rPr>
              <w:t>VERACYTE, INC.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8"/>
              </w:rPr>
              <w:t>CONDENSED BALANCE SHEETS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24"/>
                <w:szCs w:val="24"/>
                <w:color w:val="auto"/>
              </w:rPr>
            </w:pPr>
          </w:p>
        </w:tc>
        <w:tc>
          <w:tcPr>
            <w:tcW w:w="13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14,002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ind w:left="180"/>
              <w:spacing w:after="0"/>
              <w:rPr>
                <w:sz w:val="20"/>
                <w:szCs w:val="20"/>
                <w:color w:val="auto"/>
              </w:rPr>
            </w:pPr>
            <w:r>
              <w:rPr>
                <w:rFonts w:ascii="Arial" w:cs="Arial" w:eastAsia="Arial" w:hAnsi="Arial"/>
                <w:sz w:val="18"/>
                <w:szCs w:val="18"/>
                <w:color w:val="auto"/>
                <w:w w:val="92"/>
              </w:rPr>
              <w:t>Accounts receivable, net of allowance of $364 and $222 as of September 30, 2013 and December 31, 2012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2,938</w:t>
            </w:r>
          </w:p>
        </w:tc>
        <w:tc>
          <w:tcPr>
            <w:tcW w:w="18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880" w:type="dxa"/>
            <w:vAlign w:val="bottom"/>
            <w:gridSpan w:val="16"/>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20,470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16,381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700" w:type="dxa"/>
            <w:vAlign w:val="bottom"/>
            <w:tcBorders>
              <w:bottom w:val="single" w:sz="8" w:color="CCEEFF"/>
            </w:tcBorders>
            <w:gridSpan w:val="15"/>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23,571</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19,067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100" w:type="dxa"/>
            <w:vAlign w:val="bottom"/>
            <w:gridSpan w:val="1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4,416</w:t>
            </w:r>
          </w:p>
        </w:tc>
        <w:tc>
          <w:tcPr>
            <w:tcW w:w="18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4,020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Deferred Genzyme co-promotion fee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ind w:left="180"/>
              <w:spacing w:after="0"/>
              <w:rPr>
                <w:sz w:val="20"/>
                <w:szCs w:val="20"/>
                <w:color w:val="auto"/>
              </w:rPr>
            </w:pPr>
            <w:r>
              <w:rPr>
                <w:rFonts w:ascii="Arial" w:cs="Arial" w:eastAsia="Arial" w:hAnsi="Arial"/>
                <w:sz w:val="18"/>
                <w:szCs w:val="18"/>
                <w:color w:val="auto"/>
              </w:rPr>
              <w:t>Preferred stock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CCEEFF"/>
            </w:tcBorders>
            <w:shd w:val="clear" w:color="auto" w:fill="CCEEFF"/>
          </w:tcPr>
          <w:p>
            <w:pPr>
              <w:spacing w:after="0"/>
              <w:rPr>
                <w:sz w:val="18"/>
                <w:szCs w:val="18"/>
                <w:color w:val="auto"/>
              </w:rPr>
            </w:pPr>
          </w:p>
        </w:tc>
        <w:tc>
          <w:tcPr>
            <w:tcW w:w="7880" w:type="dxa"/>
            <w:vAlign w:val="bottom"/>
            <w:tcBorders>
              <w:top w:val="single" w:sz="8" w:color="CCEEFF"/>
            </w:tcBorders>
            <w:gridSpan w:val="16"/>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spacing w:after="0"/>
              <w:rPr>
                <w:sz w:val="20"/>
                <w:szCs w:val="20"/>
                <w:color w:val="auto"/>
              </w:rPr>
            </w:pPr>
            <w:r>
              <w:rPr>
                <w:rFonts w:ascii="Arial" w:cs="Arial" w:eastAsia="Arial" w:hAnsi="Arial"/>
                <w:sz w:val="18"/>
                <w:szCs w:val="18"/>
                <w:color w:val="auto"/>
              </w:rPr>
              <w:t>Long-term debt, net of discount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4,863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spacing w:after="0"/>
              <w:rPr>
                <w:sz w:val="20"/>
                <w:szCs w:val="20"/>
                <w:color w:val="auto"/>
              </w:rPr>
            </w:pPr>
            <w:r>
              <w:rPr>
                <w:rFonts w:ascii="Arial" w:cs="Arial" w:eastAsia="Arial" w:hAnsi="Arial"/>
                <w:sz w:val="18"/>
                <w:szCs w:val="18"/>
                <w:color w:val="auto"/>
              </w:rPr>
              <w:t>Preferred stock warrant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3,239</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880" w:type="dxa"/>
            <w:vAlign w:val="bottom"/>
            <w:gridSpan w:val="16"/>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21,124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gridSpan w:val="17"/>
          </w:tcPr>
          <w:p>
            <w:pPr>
              <w:spacing w:after="0" w:line="201" w:lineRule="exact"/>
              <w:rPr>
                <w:sz w:val="20"/>
                <w:szCs w:val="20"/>
                <w:color w:val="auto"/>
              </w:rPr>
            </w:pPr>
            <w:r>
              <w:rPr>
                <w:rFonts w:ascii="Arial" w:cs="Arial" w:eastAsia="Arial" w:hAnsi="Arial"/>
                <w:sz w:val="18"/>
                <w:szCs w:val="18"/>
                <w:color w:val="auto"/>
                <w:w w:val="91"/>
              </w:rPr>
              <w:t>Convertible preferred stock; $0.001 par value, 60,187,700 and 59,147,999 shares authorized at September 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ind w:left="180"/>
              <w:spacing w:after="0"/>
              <w:rPr>
                <w:sz w:val="20"/>
                <w:szCs w:val="20"/>
                <w:color w:val="auto"/>
              </w:rPr>
            </w:pPr>
            <w:r>
              <w:rPr>
                <w:rFonts w:ascii="Arial" w:cs="Arial" w:eastAsia="Arial" w:hAnsi="Arial"/>
                <w:sz w:val="18"/>
                <w:szCs w:val="18"/>
                <w:color w:val="auto"/>
                <w:w w:val="96"/>
              </w:rPr>
              <w:t>2013 (unaudited) and December 31, 2012, respectively; 59,989,268 and 53,084,507 shares issued and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17"/>
          </w:tcPr>
          <w:p>
            <w:pPr>
              <w:ind w:left="180"/>
              <w:spacing w:after="0"/>
              <w:rPr>
                <w:sz w:val="20"/>
                <w:szCs w:val="20"/>
                <w:color w:val="auto"/>
              </w:rPr>
            </w:pPr>
            <w:r>
              <w:rPr>
                <w:rFonts w:ascii="Arial" w:cs="Arial" w:eastAsia="Arial" w:hAnsi="Arial"/>
                <w:sz w:val="18"/>
                <w:szCs w:val="18"/>
                <w:color w:val="auto"/>
              </w:rPr>
              <w:t>outstanding at September 30, 2013 (unaudited) and December 31, 2012, respectively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79,022</w:t>
            </w:r>
          </w:p>
        </w:tc>
        <w:tc>
          <w:tcPr>
            <w:tcW w:w="18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63,372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gridSpan w:val="17"/>
          </w:tcPr>
          <w:p>
            <w:pPr>
              <w:spacing w:after="0" w:line="201" w:lineRule="exact"/>
              <w:rPr>
                <w:sz w:val="20"/>
                <w:szCs w:val="20"/>
                <w:color w:val="auto"/>
              </w:rPr>
            </w:pPr>
            <w:r>
              <w:rPr>
                <w:rFonts w:ascii="Arial" w:cs="Arial" w:eastAsia="Arial" w:hAnsi="Arial"/>
                <w:sz w:val="18"/>
                <w:szCs w:val="18"/>
                <w:color w:val="auto"/>
                <w:w w:val="95"/>
              </w:rPr>
              <w:t>Common stock, $0.001 par value; 77,000,000 shares authorized; 992,578 and 667,684 shares issued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17"/>
          </w:tcPr>
          <w:p>
            <w:pPr>
              <w:ind w:left="180"/>
              <w:spacing w:after="0"/>
              <w:rPr>
                <w:sz w:val="20"/>
                <w:szCs w:val="20"/>
                <w:color w:val="auto"/>
              </w:rPr>
            </w:pPr>
            <w:r>
              <w:rPr>
                <w:rFonts w:ascii="Arial" w:cs="Arial" w:eastAsia="Arial" w:hAnsi="Arial"/>
                <w:sz w:val="18"/>
                <w:szCs w:val="18"/>
                <w:color w:val="auto"/>
              </w:rPr>
              <w:t>outstanding at September 30, 2013 (unaudited) and December 31, 2012, respectively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17"/>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(79,757)</w:t>
            </w:r>
          </w:p>
        </w:tc>
        <w:tc>
          <w:tcPr>
            <w:tcW w:w="180" w:type="dxa"/>
            <w:vAlign w:val="bottom"/>
          </w:tcPr>
          <w:p>
            <w:pPr>
              <w:spacing w:after="0"/>
              <w:rPr>
                <w:sz w:val="18"/>
                <w:szCs w:val="18"/>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(60,069)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(58,471)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17"/>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23,571</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19,067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-7247890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-7247890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60"/>
          </w:cols>
          <w:pgMar w:left="240" w:top="125" w:right="19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5,940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8,772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(22.87)</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955,890</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659,129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860,957</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645,306</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7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r>
      <w:tr>
        <w:trPr>
          <w:trHeight w:val="171"/>
        </w:trPr>
        <w:tc>
          <w:tcPr>
            <w:tcW w:w="72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(19,688)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(13,812)</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Genzyme co-promotion fee amortization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(1,875)</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(1,761)</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issuance costs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Interest on debt balloon payment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value of preferred stock liability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Change in value of preferred stock warrant liability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Accounts receivables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Prepaid expenses and current other assets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(2,183)</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3,813</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 and deferred rent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Change in restricted cash</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Proceeds from issuance of redeemable convertible preferred stock, net of issuance costs</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12,945</w:t>
            </w: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0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18,296</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14,002</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7,566</w:t>
            </w:r>
          </w:p>
        </w:tc>
      </w:tr>
      <w:tr>
        <w:trPr>
          <w:trHeight w:val="21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November 4, 2013, the Company completed an initial public offering (“IPO”) of its common stock. In connection with its IPO, the Company issued and sold 5,000,000 shares of its common stock at a price to the public of $13.00 per share. As a result of the IPO, the Company received approximately $57.9 million in net proceeds, after deducting underwriting discounts and commissions of $4.6 million and estimated offering expenses of $2.5 million payable by the Company. The condensed financial statements, including share and per share amounts, do not give effect to the IPO.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unaudited interim condensed financial statements have been retroactively adjusted to reflect the reverse stock split for all periods presented. A proportional adjustment to the conversion ratio for each series of convertible preferred stock was also effected in connection with the reverse stock split. The unaudited interim condensed financial statements have not been retroactively adjusted to give effect to the conversion of the preferred stock into 0.25 of a share of common stock upon the closing of the IPO.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b w:val="1"/>
          <w:bCs w:val="1"/>
          <w:i w:val="1"/>
          <w:iCs w:val="1"/>
          <w:color w:val="auto"/>
        </w:rPr>
        <w:t>asis of Presentation</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accompanying unaudited interim condensed financial statements have been prepared in accordance with accounting principles generally accepted in the United States of America (“GAAP”) for interim financial information in accordance with Securities and Exchange Commissions (“SEC”) instructions for interim financial reporting and assume the Company will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Accordingly, they do not include all of the information and notes required by GAAP for complete financial statements. The financial information for the three and nine months ended September 30, 2013 and 2012 is unaudited but includes all adjustments (consisting of only normal recurring adjustments), which the Company considers necessary for a fair presentation of the results of operations for those periods. Interim results are not necessarily indicative of results for the full fiscal year.</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unaudited interim condensed financial statements and related financial information should be read in conjunction with the audited financial statements and the related notes thereto for the year ended December 31, 2012 included in the Registration Statement on Form S-1 (No. 333-191282) filed by the Company with the SEC on September 20, 2013,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preparation of unaudited interim condensed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and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w:t>
      </w:r>
    </w:p>
    <w:p>
      <w:pPr>
        <w:sectPr>
          <w:pgSz w:w="11900" w:h="16838" w:orient="portrait"/>
          <w:cols w:equalWidth="0" w:num="1">
            <w:col w:w="11420"/>
          </w:cols>
          <w:pgMar w:left="240" w:top="140" w:right="239" w:bottom="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t>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Company’s cash and cash equivalents are deposited with two major financial institutions in the United States of America. Deposits in these institutions may exceed the amount of insurance provided on such deposits. The Company has not experienced any losses on its deposits of cash and cash equivalents.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 source suppliers. If these single source suppliers fail to satisfy the Company’s requirements on a timely basis, it could suffer delays in being able to deliver Afirma, a possible loss of revenue, or incur higher costs, any of which could adversely affect its operating results.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As of September 30, 2013 and 2012, all of the Company’s revenue is derived from the sale of Afirma. To date, Afirma has been available only to physicians in the United States. The Company’s significant third-party payers and their related revenue as a percentage of revenue were as follows:</w:t>
      </w:r>
    </w:p>
    <w:p>
      <w:pPr>
        <w:spacing w:after="0" w:line="116"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Nine Months</w:t>
      </w:r>
    </w:p>
    <w:p>
      <w:pPr>
        <w:jc w:val="center"/>
        <w:ind w:left="6080"/>
        <w:spacing w:after="0" w:line="226" w:lineRule="auto"/>
        <w:rPr>
          <w:sz w:val="20"/>
          <w:szCs w:val="20"/>
          <w:color w:val="auto"/>
        </w:rPr>
      </w:pPr>
      <w:r>
        <w:rPr>
          <w:rFonts w:ascii="Arial" w:cs="Arial" w:eastAsia="Arial" w:hAnsi="Arial"/>
          <w:sz w:val="14"/>
          <w:szCs w:val="14"/>
          <w:b w:val="1"/>
          <w:bCs w:val="1"/>
          <w:color w:val="auto"/>
        </w:rPr>
        <w:t>Ended</w:t>
      </w:r>
    </w:p>
    <w:p>
      <w:pPr>
        <w:jc w:val="center"/>
        <w:ind w:left="608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00" w:type="dxa"/>
            <w:vAlign w:val="bottom"/>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3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Aetna</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United Healthcare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360" w:type="dxa"/>
            <w:vAlign w:val="bottom"/>
            <w:vMerge w:val="restart"/>
          </w:tcPr>
          <w:p>
            <w:pPr>
              <w:jc w:val="right"/>
              <w:ind w:right="1390"/>
              <w:spacing w:after="0"/>
              <w:rPr>
                <w:sz w:val="20"/>
                <w:szCs w:val="20"/>
                <w:color w:val="auto"/>
              </w:rPr>
            </w:pPr>
            <w:r>
              <w:rPr>
                <w:rFonts w:ascii="Arial" w:cs="Arial" w:eastAsia="Arial" w:hAnsi="Arial"/>
                <w:sz w:val="18"/>
                <w:szCs w:val="18"/>
                <w:color w:val="auto"/>
              </w:rPr>
              <w:t>5</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33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 from Medicare amounted to 79% and 87% of gross receivables as of September 30, 2013 and December 31,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other third-party payer represented more than 10% of the Company’s revenues or accounts receivable balances for these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Cash and cash equivalents consist of all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At September 30, 2013 and December 31, 2012, deposits of $118,000 and $168,000 were restricted from withdrawal and held by a bank in the form of certificates of deposit and collateral for letters of credit. The balances at September 30, 2013 and December 31, 2012 consisted of a $118,000 letter of credit related to security for the lease of office space. In addition, the balances at December 31, 2012 also included a certificate of deposit of $50,000 held as collateral for payment of the Company’s credit cards.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 The Company’s allowance for doubtful accounts as of September 30, 2013 and December 31, 2012 was $364,000 and $222,000, respectively. The provision for bad debt expense was $66,000 and $58,000 for the three months ended September 30, 2013 and 2012, respectively, and $184,000 and $144,000 for the nine months ended September 30, 2013 and 2012, respectively. There were $34,000 in write-offs for doubtful accounts against the allowance during the nine months ended September 30,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the performance of testing services for cytopathology and for the GEC. Supplies inventory is valued at the lower of cost or market value. Cost is determined using actual costs on a first-in, first-out basis.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Capitalized software costs consist of third-party costs incurred in the application development stage to design and implement the software that is used in the GEC. Costs incurred in the development of software are capitalized and amortized over an estimated useful life of three years on a straight line basis. During the nine months ended September 30, 2013 and 2012, the Company capitalized $211,000 and $173,000 of software development costs,</w:t>
      </w:r>
    </w:p>
    <w:p>
      <w:pPr>
        <w:sectPr>
          <w:pgSz w:w="11900" w:h="16838" w:orient="portrait"/>
          <w:cols w:equalWidth="0" w:num="1">
            <w:col w:w="11460"/>
          </w:cols>
          <w:pgMar w:left="240" w:top="125" w:right="199" w:bottom="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t>respectively. Capitalized software is classified as part of property and equipment, and had a net book value of $321,000 and $184,000 as of September 30, 2013 and December 31,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September 30, 2013 and December 31, 2012, the Company accrued $639,000 and $671,000, respectively, for liabilities associated with these employee and executive bonus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67"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2013-02, </w:t>
      </w:r>
      <w:r>
        <w:rPr>
          <w:rFonts w:ascii="Arial" w:cs="Arial" w:eastAsia="Arial" w:hAnsi="Arial"/>
          <w:sz w:val="18"/>
          <w:szCs w:val="18"/>
          <w:i w:val="1"/>
          <w:iCs w:val="1"/>
          <w:color w:val="auto"/>
        </w:rPr>
        <w:t>Reporting of</w:t>
      </w:r>
      <w:r>
        <w:rPr>
          <w:rFonts w:ascii="Arial" w:cs="Arial" w:eastAsia="Arial" w:hAnsi="Arial"/>
          <w:sz w:val="18"/>
          <w:szCs w:val="18"/>
          <w:color w:val="auto"/>
        </w:rPr>
        <w:t xml:space="preserve"> </w:t>
      </w:r>
      <w:r>
        <w:rPr>
          <w:rFonts w:ascii="Arial" w:cs="Arial" w:eastAsia="Arial" w:hAnsi="Arial"/>
          <w:sz w:val="18"/>
          <w:szCs w:val="18"/>
          <w:i w:val="1"/>
          <w:iCs w:val="1"/>
          <w:color w:val="auto"/>
        </w:rPr>
        <w:t>Amounts Reclassified Out of Accumulated Other Comprehensive Income</w:t>
      </w:r>
      <w:r>
        <w:rPr>
          <w:rFonts w:ascii="Arial" w:cs="Arial" w:eastAsia="Arial" w:hAnsi="Arial"/>
          <w:sz w:val="18"/>
          <w:szCs w:val="18"/>
          <w:color w:val="auto"/>
        </w:rPr>
        <w:t>. This ASU requires reporting and disclosure about changes in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balances and reclassifications out of accumulated other comprehensive income. The Company adopted this guidance as of January 1, 2013 on a prospective basis and the adoption did not have a material effect on the Company’s financial statements as the Company does not have comprehensive income (loss).</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2011, the FASB issued authoritative guidance to achieve common fair value measurement and disclosure requirements between U.S. GAAP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 Financial Reporting Standards. This new literature amends current fair value measurement and disclosure guidance to include increased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transparency around valuation inputs and investment categorization. The guidance is effective for fiscal years and interim periods beginning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2011. The Company adopted this standard as of January 1, 2012, as reflected in Note 3 to the unaudited interim condensed financial statements.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Liabilities</w:t>
      </w:r>
    </w:p>
    <w:p>
      <w:pPr>
        <w:sectPr>
          <w:pgSz w:w="11900" w:h="16838" w:orient="portrait"/>
          <w:cols w:equalWidth="0" w:num="1">
            <w:col w:w="11420"/>
          </w:cols>
          <w:pgMar w:left="240" w:top="125" w:right="239" w:bottom="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2012</w:t>
            </w: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0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5660" w:hanging="5004"/>
        <w:spacing w:after="0" w:line="528"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 (in thousands):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September 30, 2013</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I</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Level II</w:t>
            </w:r>
          </w:p>
        </w:tc>
        <w:tc>
          <w:tcPr>
            <w:tcW w:w="2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III</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15,078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warrant liability</w:t>
            </w: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2012</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I</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Level II</w:t>
            </w:r>
          </w:p>
        </w:tc>
        <w:tc>
          <w:tcPr>
            <w:tcW w:w="2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III</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12,830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liability</w:t>
            </w: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500" w:type="dxa"/>
            <w:vAlign w:val="bottom"/>
            <w:gridSpan w:val="2"/>
            <w:shd w:val="clear" w:color="auto" w:fill="CCEEFF"/>
          </w:tcPr>
          <w:p>
            <w:pPr>
              <w:jc w:val="right"/>
              <w:ind w:right="37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preferred stock liability recorded in other income (expense), net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2,070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preferred stock liability</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(2,653)</w:t>
            </w: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Fair value of preferred stock warrant liability</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Change in fair value of preferred stock warrant liability recorded in other income (expense), net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Balance as of September 30, 2013</w:t>
            </w: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ectPr>
          <w:pgSz w:w="11900" w:h="16838" w:orient="portrait"/>
          <w:cols w:equalWidth="0" w:num="1">
            <w:col w:w="11400"/>
          </w:cols>
          <w:pgMar w:left="240" w:top="125" w:right="259" w:bottom="15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5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Interest expense related to the amortization of the debt discount and accretion of the end of term payment was $36,000 and $38,000 for the three and nine months ended September 30, 2013, respectively.</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Preferred Stock Warrants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24,801 shares of common stock (or 49,602 shares in the aggregate if the Company draws down the second term loan), at an exercise price of $7.56 per share. The fair value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currently exercisable portion of the warrant in the amount of $175,000 was recorded as a preferred stock warrant liability upon issuance and is subject to remeasurement at each reporting period up to the closing date of the IPO when the Series C preferred is converted into common stock.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At September 30, 2013, the fair value of the warrant was approximately $252,000, and was calculated using the Black-Scholes option-pricing valuation model with the following assumptions: Series C preferred stock value of $3.25 per share, contractual term of 7.083 years, risk-free interest rate of 2.02%, expected volatility of 75.63%, and expected dividend yield of 0%. The change in the fair value of approximately $77,000 was reported as an expense for the three and nine months ended September 30, 2013 and is included in other income (expense), net in the unaudited interim condensed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Incentive Plan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activity under the Company’s 2008 Stock Plan, including grants to non-employees and restricted stock issued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 Available</w:t>
            </w:r>
          </w:p>
        </w:tc>
        <w:tc>
          <w:tcPr>
            <w:tcW w:w="15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4"/>
                <w:szCs w:val="14"/>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Exercise Price per</w:t>
            </w: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for Grant</w:t>
            </w: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347,386</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2,227,669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380" w:type="dxa"/>
            <w:vAlign w:val="bottom"/>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(636,654)</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(324,892)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183,852</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at September 30, 2013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144,584</w:t>
            </w: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2,355,579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Vested—September 30, 2013</w:t>
            </w:r>
          </w:p>
        </w:tc>
        <w:tc>
          <w:tcPr>
            <w:tcW w:w="1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1,217,163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Expected to vest—September 30, 2013</w:t>
            </w: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2,234,726</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2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20,904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8" w:name="page9"/>
    <w:bookmarkEnd w:id="8"/>
    <w:p>
      <w:pPr>
        <w:ind w:right="1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estimated fair value of the Company’s common stock of $12.12 per share as of September 30, 2013.</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and exercisable stock options at September 30, 2013 are summarized as follows:</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gridSpan w:val="4"/>
          </w:tcPr>
          <w:p>
            <w:pPr>
              <w:ind w:left="1040"/>
              <w:spacing w:after="0"/>
              <w:rPr>
                <w:sz w:val="20"/>
                <w:szCs w:val="20"/>
                <w:color w:val="auto"/>
              </w:rPr>
            </w:pPr>
            <w:r>
              <w:rPr>
                <w:rFonts w:ascii="Arial" w:cs="Arial" w:eastAsia="Arial" w:hAnsi="Arial"/>
                <w:sz w:val="14"/>
                <w:szCs w:val="14"/>
                <w:b w:val="1"/>
                <w:bCs w:val="1"/>
                <w:color w:val="auto"/>
              </w:rPr>
              <w:t>Options Outstanding</w:t>
            </w:r>
          </w:p>
        </w:tc>
        <w:tc>
          <w:tcPr>
            <w:tcW w:w="346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2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700" w:type="dxa"/>
            <w:vAlign w:val="bottom"/>
            <w:gridSpan w:val="2"/>
            <w:vMerge w:val="continue"/>
          </w:tcPr>
          <w:p>
            <w:pPr>
              <w:spacing w:after="0"/>
              <w:rPr>
                <w:sz w:val="12"/>
                <w:szCs w:val="12"/>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2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Life (in Years)</w:t>
            </w: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$0.08</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177,750</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4.89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177,750</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196,194</w:t>
            </w:r>
          </w:p>
        </w:tc>
        <w:tc>
          <w:tcPr>
            <w:tcW w:w="22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6.40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178,718</w:t>
            </w:r>
          </w:p>
        </w:tc>
        <w:tc>
          <w:tcPr>
            <w:tcW w:w="22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430,134</w:t>
            </w:r>
          </w:p>
        </w:tc>
        <w:tc>
          <w:tcPr>
            <w:tcW w:w="22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7.06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328,880</w:t>
            </w:r>
          </w:p>
        </w:tc>
        <w:tc>
          <w:tcPr>
            <w:tcW w:w="22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216,875</w:t>
            </w:r>
          </w:p>
        </w:tc>
        <w:tc>
          <w:tcPr>
            <w:tcW w:w="22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7.94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141,416</w:t>
            </w:r>
          </w:p>
        </w:tc>
        <w:tc>
          <w:tcPr>
            <w:tcW w:w="22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653,952</w:t>
            </w:r>
          </w:p>
        </w:tc>
        <w:tc>
          <w:tcPr>
            <w:tcW w:w="22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8.53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282,438</w:t>
            </w:r>
          </w:p>
        </w:tc>
        <w:tc>
          <w:tcPr>
            <w:tcW w:w="22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473,299</w:t>
            </w:r>
          </w:p>
        </w:tc>
        <w:tc>
          <w:tcPr>
            <w:tcW w:w="22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9.33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107,961</w:t>
            </w:r>
          </w:p>
        </w:tc>
        <w:tc>
          <w:tcPr>
            <w:tcW w:w="22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198,375</w:t>
            </w:r>
          </w:p>
        </w:tc>
        <w:tc>
          <w:tcPr>
            <w:tcW w:w="22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9.72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$7.92</w:t>
            </w:r>
          </w:p>
        </w:tc>
        <w:tc>
          <w:tcPr>
            <w:tcW w:w="3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40" w:type="dxa"/>
            <w:vAlign w:val="bottom"/>
            <w:tcBorders>
              <w:bottom w:val="single" w:sz="8" w:color="CCEEFF"/>
            </w:tcBorders>
            <w:gridSpan w:val="2"/>
          </w:tcPr>
          <w:p>
            <w:pPr>
              <w:jc w:val="center"/>
              <w:ind w:left="190"/>
              <w:spacing w:after="0"/>
              <w:rPr>
                <w:sz w:val="20"/>
                <w:szCs w:val="20"/>
                <w:color w:val="auto"/>
              </w:rPr>
            </w:pPr>
            <w:r>
              <w:rPr>
                <w:rFonts w:ascii="Arial" w:cs="Arial" w:eastAsia="Arial" w:hAnsi="Arial"/>
                <w:sz w:val="18"/>
                <w:szCs w:val="18"/>
                <w:color w:val="auto"/>
                <w:w w:val="91"/>
              </w:rPr>
              <w:t>9.94</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1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$0.08-7.92</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2,355,579</w:t>
            </w:r>
          </w:p>
        </w:tc>
        <w:tc>
          <w:tcPr>
            <w:tcW w:w="22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8.02</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1,217,163</w:t>
            </w:r>
          </w:p>
        </w:tc>
        <w:tc>
          <w:tcPr>
            <w:tcW w:w="22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7.28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weighted average fair value of stock options granted was $3.73 and $1.88 per share in the nine months ended September 30, 2013 and 2012, respectively.</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weighted average fair value of stock options vested was $2.24 and $1.38 per share in the nine months ended September 30, 2013 and 2012, respectively.</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weighted average fair value of stock options exercised was $0.98 and $0.92 per share in the nine months ended September 30, 2013 and 2012, respectively. The intrinsic value of stock options exercised was $3,463,000 and $112,000 in the nine months ended September 30, 2013 and 2012, respectively.</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On October 2, 2013, the Board of Directors adopted the 2013 Stock Incentive Plan which became effective immediately prior to the closing of the IPO. To the extent that any awards outstanding under the 2008 Stock Plan are subsequently forfeited or terminated for any reason before being exercised or settled, or which are subject to vesting restrictions under the 2008 Stock Plan and are subsequently forfeited, the shares of common stock reserved for issuance pursuant to such awards as of the closing of the IPO will become available for issuance under the 2013 Stock Incentive Plan. No options will be granted in the future under the 2008 Stock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recognized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5"/>
              </w:rPr>
              <w:t>Three Months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5"/>
              </w:rPr>
              <w:t>Nine Months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left="518"/>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1"/>
        </w:trPr>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23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535</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851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September 30, 2013, the Company had $2.5 million of unrecognized compensation expense related to unvested stock options, which is expected to be recognized over an estimated weighted-average period of 2.94 years.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valuation model, based on the following assumptions: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020" w:type="dxa"/>
            <w:vAlign w:val="bottom"/>
            <w:tcBorders>
              <w:top w:val="single" w:sz="8" w:color="auto"/>
            </w:tcBorders>
          </w:tcPr>
          <w:p>
            <w:pPr>
              <w:jc w:val="center"/>
              <w:ind w:left="256"/>
              <w:spacing w:after="0" w:line="142" w:lineRule="exact"/>
              <w:rPr>
                <w:sz w:val="20"/>
                <w:szCs w:val="20"/>
                <w:color w:val="auto"/>
              </w:rPr>
            </w:pPr>
            <w:r>
              <w:rPr>
                <w:rFonts w:ascii="Arial" w:cs="Arial" w:eastAsia="Arial" w:hAnsi="Arial"/>
                <w:sz w:val="14"/>
                <w:szCs w:val="14"/>
                <w:b w:val="1"/>
                <w:bCs w:val="1"/>
                <w:color w:val="auto"/>
                <w:w w:val="89"/>
              </w:rPr>
              <w:t>2013</w:t>
            </w:r>
          </w:p>
        </w:tc>
        <w:tc>
          <w:tcPr>
            <w:tcW w:w="2000" w:type="dxa"/>
            <w:vAlign w:val="bottom"/>
            <w:tcBorders>
              <w:top w:val="single" w:sz="8" w:color="auto"/>
            </w:tcBorders>
            <w:gridSpan w:val="3"/>
          </w:tcPr>
          <w:p>
            <w:pPr>
              <w:jc w:val="center"/>
              <w:ind w:left="537"/>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54"/>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020" w:type="dxa"/>
            <w:vAlign w:val="bottom"/>
            <w:tcBorders>
              <w:top w:val="single" w:sz="8" w:color="auto"/>
            </w:tcBorders>
            <w:shd w:val="clear" w:color="auto" w:fill="CCEEFF"/>
          </w:tcPr>
          <w:p>
            <w:pPr>
              <w:jc w:val="center"/>
              <w:ind w:left="256"/>
              <w:spacing w:after="0"/>
              <w:rPr>
                <w:sz w:val="20"/>
                <w:szCs w:val="20"/>
                <w:color w:val="auto"/>
              </w:rPr>
            </w:pPr>
            <w:r>
              <w:rPr>
                <w:rFonts w:ascii="Arial" w:cs="Arial" w:eastAsia="Arial" w:hAnsi="Arial"/>
                <w:sz w:val="18"/>
                <w:szCs w:val="18"/>
                <w:color w:val="auto"/>
                <w:w w:val="91"/>
              </w:rPr>
              <w:t>80.57%</w:t>
            </w: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84.33%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80.42 - 81.41%</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8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- 84.33%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020" w:type="dxa"/>
            <w:vAlign w:val="bottom"/>
          </w:tcPr>
          <w:p>
            <w:pPr>
              <w:jc w:val="center"/>
              <w:ind w:left="256"/>
              <w:spacing w:after="0"/>
              <w:rPr>
                <w:sz w:val="20"/>
                <w:szCs w:val="20"/>
                <w:color w:val="auto"/>
              </w:rPr>
            </w:pPr>
            <w:r>
              <w:rPr>
                <w:rFonts w:ascii="Arial" w:cs="Arial" w:eastAsia="Arial" w:hAnsi="Arial"/>
                <w:sz w:val="18"/>
                <w:szCs w:val="18"/>
                <w:color w:val="auto"/>
                <w:w w:val="91"/>
              </w:rPr>
              <w:t>6.08</w:t>
            </w:r>
          </w:p>
        </w:tc>
        <w:tc>
          <w:tcPr>
            <w:tcW w:w="2000" w:type="dxa"/>
            <w:vAlign w:val="bottom"/>
            <w:gridSpan w:val="3"/>
          </w:tcPr>
          <w:p>
            <w:pPr>
              <w:jc w:val="center"/>
              <w:ind w:left="537"/>
              <w:spacing w:after="0"/>
              <w:rPr>
                <w:sz w:val="20"/>
                <w:szCs w:val="20"/>
                <w:color w:val="auto"/>
              </w:rPr>
            </w:pPr>
            <w:r>
              <w:rPr>
                <w:rFonts w:ascii="Arial" w:cs="Arial" w:eastAsia="Arial" w:hAnsi="Arial"/>
                <w:sz w:val="18"/>
                <w:szCs w:val="18"/>
                <w:color w:val="auto"/>
                <w:w w:val="85"/>
              </w:rPr>
              <w:t>6.08</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5.0 - 6.08</w:t>
            </w:r>
          </w:p>
        </w:tc>
        <w:tc>
          <w:tcPr>
            <w:tcW w:w="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5.0 - 6.08</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90"/>
              </w:rPr>
              <w:t>2.11%</w:t>
            </w:r>
          </w:p>
        </w:tc>
        <w:tc>
          <w:tcPr>
            <w:tcW w:w="2000" w:type="dxa"/>
            <w:vAlign w:val="bottom"/>
            <w:gridSpan w:val="3"/>
            <w:shd w:val="clear" w:color="auto" w:fill="CCEEFF"/>
          </w:tcPr>
          <w:p>
            <w:pPr>
              <w:jc w:val="center"/>
              <w:ind w:left="537"/>
              <w:spacing w:after="0"/>
              <w:rPr>
                <w:sz w:val="20"/>
                <w:szCs w:val="20"/>
                <w:color w:val="auto"/>
              </w:rPr>
            </w:pPr>
            <w:r>
              <w:rPr>
                <w:rFonts w:ascii="Arial" w:cs="Arial" w:eastAsia="Arial" w:hAnsi="Arial"/>
                <w:sz w:val="18"/>
                <w:szCs w:val="18"/>
                <w:color w:val="auto"/>
                <w:w w:val="90"/>
              </w:rPr>
              <w:t>0.75%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0.88 – 2.11%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- 1.19%</w:t>
            </w:r>
          </w:p>
        </w:tc>
        <w:tc>
          <w:tcPr>
            <w:tcW w:w="120" w:type="dxa"/>
            <w:vAlign w:val="bottom"/>
            <w:shd w:val="clear" w:color="auto" w:fill="CCEEFF"/>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jc w:val="center"/>
              <w:ind w:left="256"/>
              <w:spacing w:after="0"/>
              <w:rPr>
                <w:sz w:val="20"/>
                <w:szCs w:val="20"/>
                <w:color w:val="auto"/>
              </w:rPr>
            </w:pPr>
            <w:r>
              <w:rPr>
                <w:rFonts w:ascii="Arial" w:cs="Arial" w:eastAsia="Arial" w:hAnsi="Arial"/>
                <w:sz w:val="18"/>
                <w:szCs w:val="18"/>
                <w:color w:val="auto"/>
                <w:w w:val="92"/>
              </w:rPr>
              <w:t>0%</w:t>
            </w:r>
          </w:p>
        </w:tc>
        <w:tc>
          <w:tcPr>
            <w:tcW w:w="2000" w:type="dxa"/>
            <w:vAlign w:val="bottom"/>
            <w:gridSpan w:val="3"/>
          </w:tcPr>
          <w:p>
            <w:pPr>
              <w:jc w:val="center"/>
              <w:ind w:left="517"/>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center"/>
              <w:ind w:right="454"/>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7.97 years to 9.18 years as of September 30, 2013 and</w:t>
      </w:r>
    </w:p>
    <w:p>
      <w:pPr>
        <w:sectPr>
          <w:pgSz w:w="11900" w:h="16838" w:orient="portrait"/>
          <w:cols w:equalWidth="0" w:num="1">
            <w:col w:w="11460"/>
          </w:cols>
          <w:pgMar w:left="240" w:top="341" w:right="199" w:bottom="0" w:gutter="0" w:footer="0" w:header="0"/>
        </w:sectPr>
      </w:pPr>
    </w:p>
    <w:bookmarkStart w:id="9" w:name="page10"/>
    <w:bookmarkEnd w:id="9"/>
    <w:p>
      <w:pPr>
        <w:ind w:right="160"/>
        <w:spacing w:after="0" w:line="312" w:lineRule="auto"/>
        <w:rPr>
          <w:sz w:val="20"/>
          <w:szCs w:val="20"/>
          <w:color w:val="auto"/>
        </w:rPr>
      </w:pPr>
      <w:r>
        <w:rPr>
          <w:rFonts w:ascii="Arial" w:cs="Arial" w:eastAsia="Arial" w:hAnsi="Arial"/>
          <w:sz w:val="16"/>
          <w:szCs w:val="16"/>
          <w:color w:val="auto"/>
        </w:rPr>
        <w:t>8.48 years to 9.44 years as of September 30, 2012; risk free rate is based on the U.S. Treasury Constant Maturity rate with a term similar to the expected life of the option at the measurement date ranging from 2.22% to 2.47% as of September 30, 2013 and 1.34% to 1.53% as of September 30, 2012; expected dividend yield of 0%; and volatilities ranging from 78.81% to 79.54% as of September 30, 2013 and 83.06% to 83.53% as of September 30,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September 30, 2013, respectively, and is included in accrued liabilities in the balance sheet.</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February 2013, the Company’s Board of Directors authorized the grant of 100,498 fully vested stock options at a fair value of $2.59 resulting in $259,000 in expense in the year ended December 31, 2012. The fair value of the stock options was determined using the Black-Scholes option-pricing valuation model. The grant date fair market value was $4.00 as determined by the Company’s Board of Directors, the risk free rate was 0.88%, the expected life was 5.0 years, the volatility was determined to be 81.41% and there was no dividend yield.</w:t>
      </w:r>
    </w:p>
    <w:p>
      <w:pPr>
        <w:spacing w:after="0" w:line="17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12,500 shares of common stock with an exercise price of $4.00 per share and a contractual term of 10 years. The option will only vest if an initial public offering or merger occurs in 2013. The Company has not recorded any compensation expense related to this option grant as the vesting event was not deemed probable of occurring as of September 30, 2013. The option vested in full upon the closing of the Company’s IPO on November 4,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equity-based compensation expense for the three and nine months ended September 30, 2013 and 2012, which were included in the unaudited interim condensed statements of operations and comprehensive loss as follows: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5"/>
              </w:rPr>
              <w:t>Nine Months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center"/>
              <w:ind w:left="438"/>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0"/>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Genzyme Co—promotion Agreement</w:t>
      </w:r>
    </w:p>
    <w:p>
      <w:pPr>
        <w:spacing w:after="0" w:line="229" w:lineRule="exact"/>
        <w:rPr>
          <w:sz w:val="20"/>
          <w:szCs w:val="20"/>
          <w:color w:val="auto"/>
        </w:rPr>
      </w:pPr>
    </w:p>
    <w:p>
      <w:pPr>
        <w:ind w:right="100" w:firstLine="648"/>
        <w:spacing w:after="0" w:line="283" w:lineRule="auto"/>
        <w:rPr>
          <w:sz w:val="20"/>
          <w:szCs w:val="20"/>
          <w:color w:val="auto"/>
        </w:rPr>
      </w:pPr>
      <w:r>
        <w:rPr>
          <w:rFonts w:ascii="Arial" w:cs="Arial" w:eastAsia="Arial" w:hAnsi="Arial"/>
          <w:sz w:val="16"/>
          <w:szCs w:val="16"/>
          <w:color w:val="auto"/>
        </w:rPr>
        <w:t>In January 2012, the Company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Company’s agreement with Genzyme expires in January 2027 and either party may terminate the agreement at any time without cause and with six months prior notice. If the Company were to terminate the agreement without cause prior to January 2014, it would be required to repay 50% of the $10.0 million fee the Company received from Genzyme. Such percentage would be reduced to 40% of such fee if the Company were to terminate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agreement between January 2014 and January 2015, and 30% of such fee if the Company were to terminate the agreement between January 2015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2016. The Company is amortizing the co-promotion fee over a four-year period, which is management’s best estimate of the life of the arrangement,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because after that period either party may terminate the agreement without penalty. The Company amortized $625,000 in each of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2013 and 2012, respectively, and $1.9 million and $1.8 million in the nine months ended September 30, 2013 and 2012,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are reflected as a reduction to selling and marketing expenses in the unaudited interim condensed statements of operations and comprehensive loss.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unamortized balance of the co-promotion fee is $5.7 million as of September 30, 2013. The Company incurred co-promotion expenses of $2.3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in the three months ended September 30, 2013 and 2012, respectively, and $6.0 million and $3.3 million in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2013 and 2012, respectively, which are reflected in selling and marketing expenses in the unaudited interim condensed statements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comprehensive loss. The Company’s outstanding obligation to Genzyme totaled $6.0 million and $2.2 million at September 30, 2013 and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2012, respectively. Of the $6.0 million obligation at September 30, 2013, $3.7 million is included in accounts payable and $2.3 million is included in accrued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in the Company’s condensed balance sheets. All of the $2.2 million obligation at December 31, 2012 is included in accrued liabilities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Thyroid Cytology Partners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w:t>
      </w:r>
    </w:p>
    <w:p>
      <w:pPr>
        <w:sectPr>
          <w:pgSz w:w="11900" w:h="16838" w:orient="portrait"/>
          <w:cols w:equalWidth="0" w:num="1">
            <w:col w:w="11420"/>
          </w:cols>
          <w:pgMar w:left="240" w:top="125" w:right="239" w:bottom="0" w:gutter="0" w:footer="0" w:header="0"/>
        </w:sectPr>
      </w:pPr>
    </w:p>
    <w:bookmarkStart w:id="10" w:name="page11"/>
    <w:bookmarkEnd w:id="10"/>
    <w:p>
      <w:pPr>
        <w:ind w:right="180"/>
        <w:spacing w:after="0" w:line="277" w:lineRule="auto"/>
        <w:rPr>
          <w:sz w:val="20"/>
          <w:szCs w:val="20"/>
          <w:color w:val="auto"/>
        </w:rPr>
      </w:pPr>
      <w:r>
        <w:rPr>
          <w:rFonts w:ascii="Arial" w:cs="Arial" w:eastAsia="Arial" w:hAnsi="Arial"/>
          <w:sz w:val="18"/>
          <w:szCs w:val="18"/>
          <w:color w:val="auto"/>
        </w:rPr>
        <w:t>related operating expense costs for the leased facility. The Company does not have an ownership interest in or provide any form of financial or other support to TCP.</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87"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TCP provided $816,000 and $491,000 in cytopathology testing and evaluation services in the three months ended September 30, 2013 and 2012, respectively, and $2,333,000 and $1,135,000 in the nine months ended September 30, 2013 and 2012, respectively. The Company also reimbursed TCP for licensure fees of $0 and $37,000 in three months ended September 30, 2013 and 2012, respectively, and $0 and $103,000 in the nine months ended September 30, 2013 and 2012, respectively. Expenses for testing and evaluation services and reimbursed professional licensure fees are included in cost of revenue in the statements of operations and comprehensive loss. The Company’s outstanding obligations to TCP were $546,000 and $458,000 as of September 30, 2013 and December 31, 2012, respectively, which were included in accounts payable in the Company’s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three and nine months ended September 30, 2013 and 2012 (in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4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220" w:type="dxa"/>
            <w:vAlign w:val="bottom"/>
          </w:tcPr>
          <w:p>
            <w:pPr>
              <w:spacing w:after="0"/>
              <w:rPr>
                <w:sz w:val="12"/>
                <w:szCs w:val="12"/>
                <w:color w:val="auto"/>
              </w:rPr>
            </w:pPr>
          </w:p>
        </w:tc>
      </w:tr>
      <w:tr>
        <w:trPr>
          <w:trHeight w:val="210"/>
        </w:trPr>
        <w:tc>
          <w:tcPr>
            <w:tcW w:w="1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2"/>
        </w:trPr>
        <w:tc>
          <w:tcPr>
            <w:tcW w:w="140" w:type="dxa"/>
            <w:vAlign w:val="bottom"/>
          </w:tcPr>
          <w:p>
            <w:pPr>
              <w:spacing w:after="0"/>
              <w:rPr>
                <w:sz w:val="15"/>
                <w:szCs w:val="15"/>
                <w:color w:val="auto"/>
              </w:rPr>
            </w:pPr>
          </w:p>
        </w:tc>
        <w:tc>
          <w:tcPr>
            <w:tcW w:w="4780" w:type="dxa"/>
            <w:vAlign w:val="bottom"/>
          </w:tcPr>
          <w:p>
            <w:pPr>
              <w:spacing w:after="0" w:line="182" w:lineRule="exact"/>
              <w:rPr>
                <w:sz w:val="20"/>
                <w:szCs w:val="20"/>
                <w:color w:val="auto"/>
              </w:rPr>
            </w:pPr>
            <w:r>
              <w:rPr>
                <w:rFonts w:ascii="Arial" w:cs="Arial" w:eastAsia="Arial" w:hAnsi="Arial"/>
                <w:sz w:val="18"/>
                <w:szCs w:val="18"/>
                <w:color w:val="auto"/>
                <w:w w:val="94"/>
              </w:rPr>
              <w:t>Shares used to compute net loss per common share, basic and</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140" w:type="dxa"/>
            <w:vAlign w:val="bottom"/>
          </w:tcPr>
          <w:p>
            <w:pPr>
              <w:spacing w:after="0"/>
              <w:rPr>
                <w:sz w:val="20"/>
                <w:szCs w:val="20"/>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955,890</w:t>
            </w: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659,129</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860,957</w:t>
            </w:r>
          </w:p>
        </w:tc>
        <w:tc>
          <w:tcPr>
            <w:tcW w:w="2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645,306</w:t>
            </w:r>
          </w:p>
        </w:tc>
        <w:tc>
          <w:tcPr>
            <w:tcW w:w="100" w:type="dxa"/>
            <w:vAlign w:val="bottom"/>
            <w:tcBorders>
              <w:bottom w:val="single" w:sz="8" w:color="CCEEFF"/>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14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8"/>
                <w:szCs w:val="8"/>
                <w:color w:val="auto"/>
                <w:w w:val="73"/>
              </w:rPr>
              <w:t>)</w:t>
            </w: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658"/>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outstanding common stock equivalents were excluded from the computation of diluted net loss per common share for the periods presented because including them would have been antidilutive:</w:t>
      </w:r>
    </w:p>
    <w:p>
      <w:pPr>
        <w:spacing w:after="0" w:line="162"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Nine Months Ended</w:t>
      </w:r>
    </w:p>
    <w:p>
      <w:pPr>
        <w:jc w:val="center"/>
        <w:ind w:left="78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42"/>
        </w:trPr>
        <w:tc>
          <w:tcPr>
            <w:tcW w:w="79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14,997,312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11,286,998</w:t>
            </w: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2,355,579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2,179,805</w:t>
            </w: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 (as converted)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17,377,692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13,466,803</w:t>
            </w:r>
          </w:p>
        </w:tc>
        <w:tc>
          <w:tcPr>
            <w:tcW w:w="1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nine months ended September 30, 2013 and 2012, respectively. The Company continues to maintain a valuation allowance for its U.S. federal and state deferred tax assets.</w:t>
      </w:r>
    </w:p>
    <w:p>
      <w:pPr>
        <w:spacing w:after="0" w:line="170"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On January 2, 2013, The American Taxpayer Relief Act of 2012, or ATRA, was signed into law. Under prior law, a taxpayer was entitled to a research tax credit for qualifying amounts incurred through December 31, 2011. The ATRA extends the research credit for two years for qualified research expenditures incurred through the end of 2013. The extension of the research credit is retroactive and includes amounts incurred after 2011.</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September 30, 2013, the Company had $0.7 million of unrecognized tax benefit, none of which, if recognized, would affect the effective tax rate as most of the unrecognized tax benefit is deferred tax assets currently offset by a valuation allowance.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recognized any interest and penalties related to uncertain tax positions as part of the income tax provision.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files annual income tax returns in the United States only. 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 As of September 30, 2013, changes to the Company’s uncertain tax positions in the next twelve months that are reasonably possible are not expected to have a significant impact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November 4, 2013, the Company completed an initial public offering of its common stock. In connection with the IPO, the Company issued and sold 5,000,000 shares of its common stock at a price to the public of $13.00 per share. As a result of the IPO, the Company received approximately $57.9 million in net proceeds, after deducting underwriting discounts and commissions of $4.6 million and estimated offering expenses of $2.5 million payable by the Company. The condensed financial</w:t>
      </w:r>
    </w:p>
    <w:p>
      <w:pPr>
        <w:sectPr>
          <w:pgSz w:w="11900" w:h="16838" w:orient="portrait"/>
          <w:cols w:equalWidth="0" w:num="1">
            <w:col w:w="11460"/>
          </w:cols>
          <w:pgMar w:left="240" w:top="125" w:right="199" w:bottom="136"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36"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statements, including share and per share amounts, do not give effect to the IPO. At the closing of the IPO, 59,989,268 shares of outstanding convertible preferred stock were automatically converted into 14,997,312 shares of common stock. In addition, upon the closing of the IPO, outstanding warrants to purchase 99,206 shares of convertible preferred stock warrants were converted into warrants to purchase 24,801 shares of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condensed financial statements have been retroactively adjusted to reflect the reverse stock split for all periods presented. A proportional adjustment to the conversion ratio for each series of convertible preferred stock was also effected in connection with the reverse stock split. These financial statements have not been retroactively adjusted to give effect to the conversion of the preferred stock into 0.25 of a share of our common stock upon the closing of the IPO.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Certificate of Incorporation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Following the conversion of each share of convertible preferred stock into shares of common stock, in connection with the IPO, the Company amended and restated its Certificate of Incorporation to delete all references to the prior series of convertible preferred stock and to give the Board of Directors the authority, without further action by the stockholders, to issue from time to time up to 5,000,000 shares of preferred stock, par value $0.001 per share, in one or more series. The Board of Directors will have the authority to establish the number of shares to be included in each series and fix the powers, preferences and rights of the shares of each wholly unissued series and any of its qualifications, limitations or restrictions. The Board of Directors will also be able to increase or decrease the number of shares of any series, but not below the number of shares of that series then outstanding, without any further vote or action by the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should be read together with the condensed financial statements and the related notes included in Item 1 of Part I of this Quarterly Report on Form 10-Q and with the audited financial statements and the related notes included in our final prospectus filed with the Securities and Exchange Commission dated October 29, 2013, which we refer to as the Prospectus.</w:t>
      </w:r>
    </w:p>
    <w:p>
      <w:pPr>
        <w:spacing w:after="0" w:line="14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statements about or relating to: the factors that may impact our financial results; our expectations regarding revenue; our expectation that our research and development, general and administrative and selling and marketing expenses will increase and our anticipated uses of those funds; our expectations regarding capital expenditures; our anticipated cash needs and our estimates regarding our capital requirements; our need for additional financing; our expected future sources of cash; our business strategy and our ability to execute our strategy; our ability to achieve reimbursement from third-party payers; the potential benefits of the Afirma solution to patients, physicians and payers; the factors we believe drive demand for our test and our ability to sustain or increase such demand; our ability to develop new tests, including the Afirma Malignant GEC and a test for interstitial lung disease, and the timeframes for development or commercial launch; our dependence on our agreements with Genzyme and TCP, and on other strategic relationships and the success of those relationships; the applicability of clinical results to actual outcomes; our estimates and assumptions with respect to potential market opportunities; our expectations regarding our international expansion and opportunities; the occurrence, timing, outcome or success of clinical trials or studies; the ability of our tests to impact treatment decisions; our beliefs regarding our competitive position; our compliance with federal and state regulations; the potential impact of regulation of our test by the FDA;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Item 1A of this report, as well as risks and uncertainties related to: our limited operating history and history of losses since inception; our ability to increase usage of and reimbursement for Afirma;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and changes in legislation reforming the U.S. healthcare system; our dependence on strategic relationships, collaborations and co-promotion arrangements; unanticipated delays in research and development efforts; our ability to develop and commercialize new products and the timing of commercialization; our ability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successfully enter new product or geographic markets; the outcome of clinical studies; the applicability of clinical results to actual outcomes; trends and challenges in our business; our ability to compete against third parties;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ectPr>
          <w:pgSz w:w="11900" w:h="16838" w:orient="portrait"/>
          <w:cols w:equalWidth="0" w:num="1">
            <w:col w:w="11420"/>
          </w:cols>
          <w:pgMar w:left="240" w:top="125"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addresses a $500 million market opportunity in the United States where over 525,000 fine needle aspiration, or FNA, biopsies are performed on thyroid nodules suspicious for cancer. In approximately 15% to 30% of patients, FNAs analyzed using cytopathology testing alone yield inconclusive, or indeterminate, results. The Afirma solution includes as its centerpiece our Gene Expression Classifier, which we refer to as the GEC. The GEC helps physicians reduce the number of unnecessary surgeries by approximately 50%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Since we commercially launched Afirma in January 2011, we have received over 60,000 FNA samples for evaluation using Afirma and performed approximately 12,000 GECs to resolve indeterminate cytopathology results. We estimate the global market opportunity for Afirma to be $800 million.</w:t>
      </w:r>
    </w:p>
    <w:p>
      <w:pPr>
        <w:spacing w:after="0" w:line="16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of September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coverage decisions from a number of other smaller payers. Collectively, these payers represent more than 100 million covered lives. Reimbursement rates vary by payer.</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revenue increased from $7.2 million for the nine months ended September 30, 2012 to $15.0 million for nine months ended September 30, 2013. We incurred a net loss of $19.7 million and $13.8 million for the nine months ended September 30, 2013 and 2012, respectively, and $6.3 million and $4.9 million for the three months ended September 30, 2013 and 2012, respectively. As of September 30, 2013, we had an accumulated deficit of $76.6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November 4, 2013, we completed an initial public offering, or IPO, of our common stock. In connection with the IPO, we issued and sold 5,000,000 shares of common stock at a price to the public of $13.00 per share, resulting in net proceeds to us of approximately $57.9 million, after deducting underwriting discounts and commissions of $4.6 million and estimated offering expenses of $2.5 million payable by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growth in our business is tied to the number of FNAs we receive. Approximately 95% of FNAs we receive are for the Afirma solution, which consists of cytopathology, and if the cytopathology finding is indeterminate, the GEC. The remaining approximate 5% of FNAs are received from centers performing cytopathology in their institution where the cytopathology result is indeterminate and we perform the GEC only. Generally 5%-10% of the FNA samples we receive for cytopathology have insufficient cellular material from which to render a cytopathology diagnosis. We only bill the technical component, including slide preparation, for these tests. For results that are benign or suspicious/malignant, we bill for the cytopathology test. If the sample is indeterminate, defined as atypia/follicular lesions of undetermined significance (AUS/FLUS) or suspicious for FN/HCN, we perform the GEC. Historically, approximately 14%-17% of samples we have received for the Afirma solution have yielded indeterminate results by cytopathology. Of the FNA samples sent for GEC testing, approximately 5%-10% have insufficient RNA from which to render a finding. We issue a patient report classifying the sample as GEC Benign, GEC Suspicious or GEC No Result. We bill for the GEC Benign and GEC Suspicious results only. After the GEC is completed, we issue the cytopathology report for the indeterminate samples, and bill for the cytopathology portion of the test at this time.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1"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 xml:space="preserve">As of September 30, 2013, the list price for the GEC is </w:t>
      </w:r>
      <w:r>
        <w:rPr>
          <w:rFonts w:ascii="Arial" w:cs="Arial" w:eastAsia="Arial" w:hAnsi="Arial"/>
          <w:sz w:val="17"/>
          <w:szCs w:val="17"/>
          <w:b w:val="1"/>
          <w:bCs w:val="1"/>
          <w:color w:val="auto"/>
        </w:rPr>
        <w:t>$</w:t>
      </w:r>
      <w:r>
        <w:rPr>
          <w:rFonts w:ascii="Arial" w:cs="Arial" w:eastAsia="Arial" w:hAnsi="Arial"/>
          <w:sz w:val="17"/>
          <w:szCs w:val="17"/>
          <w:color w:val="auto"/>
        </w:rPr>
        <w:t>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ectPr>
          <w:pgSz w:w="11900" w:h="16838" w:orient="portrait"/>
          <w:cols w:equalWidth="0" w:num="1">
            <w:col w:w="11420"/>
          </w:cols>
          <w:pgMar w:left="240" w:top="121" w:right="239" w:bottom="0" w:gutter="0" w:footer="0" w:header="0"/>
        </w:sectPr>
      </w:pPr>
    </w:p>
    <w:bookmarkStart w:id="13" w:name="page14"/>
    <w:bookmarkEnd w:id="13"/>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of December 31, 2012, amounts billed for tests processed which were not recognized as revenue upon delivery of a patient report because our accrual revenue recognition criteria were not met and for which we have not recognized either notification of payment or collected cash, totaled $17.0 million. Of this amount, we recognized revenue of $2.6 million in the nine months ended September 30, 2013.</w:t>
      </w:r>
    </w:p>
    <w:p>
      <w:pPr>
        <w:spacing w:after="0" w:line="181"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As of September 30, 2013, amounts billed for tests processed which were not recognized as revenue upon delivery of a patient report because our accrual revenue recognition criteria were not met and for which we have not received either notification of payment or collected cash totaled $38.0 million.</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receive in respect of previously performed but unpaid Afirma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$10.0 million fee we received from Genzyme under our co-promotion agreement is being amortized over a four-year period beginning in 2012, and is recorded as a reduction of selling and marketing expenses. Under the agreement, we pay a portion of our cash receipts to Genzyme for co-promoting Afirma, and such amounts are recorded in selling and marketing expense. We incurred $5.5 million in co-promotion fees in the year ended December 31, 2012, and $1.7 million and $3.7 million in the nine months ended September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States in which we obtain regulatory authorization to market Afirma and achieve a specified level of reimbursement. Genzyme has also agreed to spend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to support clinical development expenses required for entry into the international markets covered by our agreement. This obligation expires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2014.</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important in our efforts to grow our business by expanding the potential market for our products and diversifying our sources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w:t>
      </w:r>
    </w:p>
    <w:p>
      <w:pPr>
        <w:sectPr>
          <w:pgSz w:w="11900" w:h="16975" w:orient="portrait"/>
          <w:cols w:equalWidth="0" w:num="1">
            <w:col w:w="11380"/>
          </w:cols>
          <w:pgMar w:left="240" w:top="125" w:right="279" w:bottom="0" w:gutter="0" w:footer="0" w:header="0"/>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t>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Collections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We generate revenue from the sale of our Afirma solution. We generally invoice third-party payers upon delivery of a patient report to the prescribing physician. As such, we take the assignment of benefits and the risk of collection from the third-party payer and individual patients.</w:t>
      </w:r>
    </w:p>
    <w:p>
      <w:pPr>
        <w:spacing w:after="0" w:line="12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process efficiencies and other cost reductions.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15" w:name="page16"/>
    <w:bookmarkEnd w:id="15"/>
    <w:p>
      <w:pPr>
        <w:ind w:right="360"/>
        <w:spacing w:after="0" w:line="277" w:lineRule="auto"/>
        <w:rPr>
          <w:sz w:val="20"/>
          <w:szCs w:val="20"/>
          <w:color w:val="auto"/>
        </w:rPr>
      </w:pPr>
      <w:r>
        <w:rPr>
          <w:rFonts w:ascii="Arial" w:cs="Arial" w:eastAsia="Arial" w:hAnsi="Arial"/>
          <w:sz w:val="18"/>
          <w:szCs w:val="18"/>
          <w:color w:val="auto"/>
        </w:rPr>
        <w:t>additional internal sales and marketing personnel associated with further penetrating the domestic market, and marketing and education expenses to drive market penetration and reimbursement.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w:t>
      </w:r>
    </w:p>
    <w:p>
      <w:pPr>
        <w:spacing w:after="0" w:line="254" w:lineRule="auto"/>
        <w:rPr>
          <w:sz w:val="20"/>
          <w:szCs w:val="20"/>
          <w:color w:val="auto"/>
        </w:rPr>
      </w:pPr>
      <w:r>
        <w:rPr>
          <w:rFonts w:ascii="Arial" w:cs="Arial" w:eastAsia="Arial" w:hAnsi="Arial"/>
          <w:sz w:val="18"/>
          <w:szCs w:val="18"/>
          <w:color w:val="auto"/>
        </w:rPr>
        <w:t>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is from interest on our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the loan agreement entered into in June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Other income (expense), net is related primarily to the change in value of the preferred stock liability associated with our obligation to issue additional shares of Series C convertible preferred stock. In November 2012, we entered into a tranched Series C convertible preferred stock purchase agreement. In connection with the initial closing, we agreed to issue to the purchasers, and the purchasers agreed to purchase, additional shares of the Series C convertible preferred stock within a specified timeframe.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 the liability at each reporting period with the corresponding gain or loss from the adjustment recorded as other income (expense), net. The Series C liability expired in June 2013.</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addition, other income (expense), net includes changes in value of the preferred stock warrant liability. In June 2013, in conjunction with the execution of the loan and security agreement, we issued to the lender a warrant to purchase up to 198,412 shares of Series C convertible preferred stock with an exercise price of $1.89 per share. Upon the draw-down of the $5.0 million term loan, the warrant became exercisable for 99,206 shares. Accordingly, we recorded a liability related to this warrant at the time of the initial close in June 2013 and re-measure the liability at each reporting period with the corresponding gain or loss from the adjustment recorded as other income (expense), net.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these unaudited interim condensed financial statements requires us to make estimates and assumptions that affect the reported amounts of assets and liabilities and the disclosure of contingent assets and liabilities at the date of the unaudited interim condensed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8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For all services performed, we consider whether or not the following revenue recognition criteria are met: persuasive evidence of an arrangement exists; delivery has occurred or services have been rendered; the fee is fixed or determinable; and collectability is reasonably assured.</w:t>
      </w:r>
    </w:p>
    <w:p>
      <w:pPr>
        <w:spacing w:after="0" w:line="147"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 health plans. Some payers may not cover the GEC</w:t>
      </w:r>
    </w:p>
    <w:p>
      <w:pPr>
        <w:sectPr>
          <w:pgSz w:w="11900" w:h="16838" w:orient="portrait"/>
          <w:cols w:equalWidth="0" w:num="1">
            <w:col w:w="11420"/>
          </w:cols>
          <w:pgMar w:left="240" w:top="125"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ordered by the prescribing physician under their reimbursement policies. We pursue reimbursement from such patients on a case-by-case basis. In the absence of contracted reimbursement coverage or a predictable pattern and history of collectability, we believe that the fee is fixed or determinable and collectability is reasonably assured only upon receipt of third-party payer notification of payment or when cash is received and accordingly, recognize revenue at that time.</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provisions. The annual limitation may result in the expiration of certain net operating loss and tax credit carryforwards before their utilization.</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valuation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2013 and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13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Change</w:t>
            </w:r>
          </w:p>
        </w:tc>
        <w:tc>
          <w:tcPr>
            <w:tcW w:w="14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2,370</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1,148</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1380" w:type="dxa"/>
            <w:vAlign w:val="bottom"/>
          </w:tcPr>
          <w:p>
            <w:pPr>
              <w:ind w:left="4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2,103</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1,141</w:t>
            </w:r>
          </w:p>
        </w:tc>
        <w:tc>
          <w:tcPr>
            <w:tcW w:w="1380" w:type="dxa"/>
            <w:vAlign w:val="bottom"/>
          </w:tcPr>
          <w:p>
            <w:pPr>
              <w:ind w:left="4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11,695</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(6,101)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8"/>
                <w:szCs w:val="18"/>
                <w:color w:val="auto"/>
              </w:rPr>
            </w:pPr>
          </w:p>
        </w:tc>
        <w:tc>
          <w:tcPr>
            <w:tcW w:w="1380" w:type="dxa"/>
            <w:vAlign w:val="bottom"/>
          </w:tcPr>
          <w:p>
            <w:pPr>
              <w:ind w:left="4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4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(6,303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increased $2.4 million, or 74%, in the three months ended September 30, 2013 compared to the same period in 2012 primarily as a result of a $1.6 million increase in commercial revenue from increased reimbursement and collections and a $0.8 million increase in Medicare revenue as a result of increased Afirma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Cost of revenue increased $1.1 million, or 58%, in the three months ended September 30, 2013 compared to the same period in 2012. This increase was primarily due to an increase in variable costs which are directly related to the increase in the number of FNAs received for analysis from 7,052 in the three months ended September 30, 2012 to 12,417 in the three months ended September 30, 2013, offset by continuing refinements in our testing process and economies of scale related to the increase in FNAs.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Research and development expense increased $0.3 million, or 17%, in the three months ended September 30, 2013 compared to the same period in 2012. This increase was primarily due to a $0.5 million increase in licensing expenses to secure intellectual property to augment our existing thyroid patent portfolio, and a $0.1 million increase in personnel expenses related to headcount increase, offset in part by a $0.2 million decrease in costs to support our product pipeline and ongoing support for Afirma and a decrease of $0.1 million in consulting fees.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Selling and marketing expense increased $0.9 million, or 40%, in the three months ended September 30, 2013 compared to the same period in 2012. This increase was primarily due to $0.7 million in net expense recognized under our co-promotion agreement with Genzyme, partially offset by amortization of the deferred fee. The remaining $0.2 million increase was due to increased personnel expenses and marketing and promotional materials, offset in part by a decrease in consulting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General and administrative expense increased $1.1 million, or 54%, for the three months ended September 30, 2013 compared to the same period in 2012. This increase was primarily due to a $0.5 million increase in personnel expenses primarily from an increase in headcount, a $0.5 million increase in professional fees primarily due to non-capitalizable IPO related audit and legal services, and a $0.1 million increase in facilities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Interest expense increased $0.1 million in the three months ended September 30, 2013 compared to the same period in 2012. In June 2013, we entered into a loan and security agreement with a financial institution. Interest expense of $0.1 million for the three months ended September 30, 2013 is interest incurred on the initial drawdown of $5.0 million under the agreement. We did not have any debt in the same period in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income (expense), net, was ($0.1) million for the three months ended September 30, 2013 and is primarily related to the increase in the fair value of the preferred stock warrant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2013 and 2012</w:t>
      </w:r>
    </w:p>
    <w:p>
      <w:pPr>
        <w:spacing w:after="0" w:line="204"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1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Nine Months Ended</w:t>
            </w:r>
          </w:p>
        </w:tc>
        <w:tc>
          <w:tcPr>
            <w:tcW w:w="1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38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89"/>
              </w:rPr>
              <w:t>September 30,</w:t>
            </w:r>
          </w:p>
        </w:tc>
        <w:tc>
          <w:tcPr>
            <w:tcW w:w="190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18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2012</w:t>
            </w:r>
          </w:p>
        </w:tc>
        <w:tc>
          <w:tcPr>
            <w:tcW w:w="1620" w:type="dxa"/>
            <w:vAlign w:val="bottom"/>
            <w:tcBorders>
              <w:bottom w:val="single" w:sz="8" w:color="auto"/>
            </w:tcBorders>
          </w:tcPr>
          <w:p>
            <w:pPr>
              <w:jc w:val="center"/>
              <w:ind w:left="208"/>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8" w:name="page19"/>
    <w:bookmarkEnd w:id="1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(Unaudited)</w:t>
            </w: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7,171</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7,875</w:t>
            </w:r>
          </w:p>
        </w:tc>
        <w:tc>
          <w:tcPr>
            <w:tcW w:w="13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1"/>
              </w:rPr>
              <w:t>110%</w:t>
            </w:r>
          </w:p>
        </w:tc>
        <w:tc>
          <w:tcPr>
            <w:tcW w:w="0" w:type="dxa"/>
            <w:vAlign w:val="bottom"/>
          </w:tcPr>
          <w:p>
            <w:pPr>
              <w:spacing w:after="0"/>
              <w:rPr>
                <w:sz w:val="1"/>
                <w:szCs w:val="1"/>
                <w:color w:val="auto"/>
              </w:rPr>
            </w:pPr>
          </w:p>
        </w:tc>
      </w:tr>
      <w:tr>
        <w:trPr>
          <w:trHeight w:val="196"/>
        </w:trPr>
        <w:tc>
          <w:tcPr>
            <w:tcW w:w="35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4,152</w:t>
            </w:r>
          </w:p>
        </w:tc>
        <w:tc>
          <w:tcPr>
            <w:tcW w:w="13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4"/>
              </w:rPr>
              <w:t>83%</w:t>
            </w: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4,887</w:t>
            </w:r>
          </w:p>
        </w:tc>
        <w:tc>
          <w:tcPr>
            <w:tcW w:w="4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1,053</w:t>
            </w: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5,392</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3,217</w:t>
            </w:r>
          </w:p>
        </w:tc>
        <w:tc>
          <w:tcPr>
            <w:tcW w:w="13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4"/>
              </w:rPr>
              <w:t>60%</w:t>
            </w: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5,721</w:t>
            </w:r>
          </w:p>
        </w:tc>
        <w:tc>
          <w:tcPr>
            <w:tcW w:w="4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3,051</w:t>
            </w: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94"/>
              </w:rPr>
              <w:t>53%</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4"/>
              </w:rPr>
              <w:t>55%</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(13,813)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(3,598)</w:t>
            </w:r>
          </w:p>
        </w:tc>
        <w:tc>
          <w:tcPr>
            <w:tcW w:w="38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(2,147)</w:t>
            </w:r>
          </w:p>
        </w:tc>
        <w:tc>
          <w:tcPr>
            <w:tcW w:w="1380" w:type="dxa"/>
            <w:vAlign w:val="bottom"/>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38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CCEEFF"/>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increased $7.9 million, or 110%, for the nine months ended September 30, 2013 compared to the same period in 2012 primarily as a result of a $5.4 million increase in commercial revenue from increased reimbursement and collections and a $2.5 million increase in Medicare revenue as a result of increased adoption of Afirma.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Cost of revenue increased $4.2 million, or 83%, for the nine months ended September 30, 2013 compared to the same period in 2012. This increase is primarily due to a $3.9 million increase in variable costs which are directly related to the increase in the number of FNAs received for analysis from 16,587 for the nine months ended September 30, 2012 to 35,611 in the same period in 2013. This increase in variable costs reflects savings from efficiencies related to our continuing refinements in our testing process, including automation, and economies of scale related to increased FNA volumes. The remaining increase of $0.3 million relates to increases in indirect labor costs, supplies, and depreciation and facility allocations.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Research and development expense increased $1.1 million, or 22%, for the nine months ended September 30, 2013 compared to the same period in 2012. The increase was primarily due to a $0.5 million increase in personnel expenses related to headcount increase, a $0.5 million increase in licensing expenses to secure intellectual property to augment our existing thyroid patent portfolio, and a $0.2 million increase in costs to support our product pipeline and Afirma, offset in part by a decrease of $0.1 million in consulting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Selling and marketing expense increased $3.2 million, or 60%, for the nine months ended September 30, 2013 compared to the same period in 2012. The increase was primarily due to a $2.6 million increase in net expense recognized under our co-promotion agreement with Genzyme, which was entered into in January 2012. The net expense is comprised of the co-promotion fee to Genzyme offset in part by amortization of the deferred upfront fee paid to us by Genzyme. The remaining $0.6 million increase was due to increased personnel expenses and marketing and promotional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General and administrative expense increased $3.1 million, or 53%, for the nine months ended September 30, 2013 compared to the same period in 2012. The increase is primarily related to a $1.5 million increase in personnel expenses resulting from an increase in headcount and employee severance, a $1.0 million increase in professional fees primarily due to non-capitalizable IPO-related audit and legal services, a $0.3 million increase in facility expenses, and a $0.3 million increase in billing and customer care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Interest expense increased $0.1 million in the nine months ended September 30, 2013 compared to the same period in 2012. In June 2013, we entered into a loan and security agreement with a financial institution. Interest expense of $0.1 million for the nine months ended September 30, 2013 is interest incurred on the initial drawdown of $5.0 million under the agreement. We did not have any debt in the same period in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Other income (expense), net, was ($2.1) million for the nine months ended September 30, 2013 and is primarily related to the increase in the fair value of the preferred stock liability associated with our obligation to issue additional shares of Series C convertible preferred stock, and the increase in the fair value of the preferred stock warrant liability. We will not incur any additional expense associated with the preferred stock liability as the related second tranche of Series C preferred stock was issued in June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have incurred net losses since our inception. For the nine months ended September 30, 2013, and the year ended December 31, 2012, we had a net loss of $19.7 million and $18.6 million, respectively, and we expect to incur additional losses in 2013 and in future years. As of September 30, 2013, we had an accumulated deficit of $76.6 million. To date, we have generated only limited revenue, and we may never achieve revenue sufficient to offset our expenses.</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Since inception, our operations have been financed primarily by net proceeds of $78.6 million from sales of our preferred stock, a $10.0 million payment from our co-promotion agreement with Genzyme, and borrowings of $5.0 million under our loan and security agreement. As of September 30, 2013</w:t>
      </w:r>
    </w:p>
    <w:p>
      <w:pPr>
        <w:sectPr>
          <w:pgSz w:w="11900" w:h="16867" w:orient="portrait"/>
          <w:cols w:equalWidth="0" w:num="1">
            <w:col w:w="11420"/>
          </w:cols>
          <w:pgMar w:left="240" w:top="118"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and December 31, 2012, we had $15.4 million and $14.0 million of cash and cash equivalents,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draw-down of the initial $5.0 million term loan under the loan and security agreement, we issued the lender a warrant to purchase 99,206 shares of our Series C preferred stock, which became exercisable for 24,801 shares of our common stock following completion of the IPO. The warrant will expire on the seventh anniversary of the IPO. If we draw-down the second term loan under the loan and security agreement, we will issue the lender a second warrant with identical terms.</w:t>
      </w:r>
    </w:p>
    <w:p>
      <w:pPr>
        <w:spacing w:after="0" w:line="187"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On November 4, 2013, we completed an initial public offering of our common stock. In connection with the IPO, we issued and sold 5,000,000 shares of common stock at a price to the public of $13.00 per share resulting in net proceeds of approximately $57.9 million after deducting underwriting discounts and commissions of $4.6 million and estimated offering expenses of $2.5 million payable by us.</w:t>
      </w:r>
    </w:p>
    <w:p>
      <w:pPr>
        <w:spacing w:after="0" w:line="16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Malignant GEC for rare forms of thyroid cancer or metastases to the thyroid, continue our research and development efforts with respect to our lung program and further develop our product pipeline. Cash used to fund operating expenses is impacted by the timing of when we pay expenses, as reflected in the change in our outstanding accounts payable and accrued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expect that our near-and longer-term liquidity requirements will continue to consist of selling and marketing expenses, research and development expenses, working capital, and general corporate expenses associated with the growth of our business. Based on our current business plan, we believe that the net proceeds from the initial public offering, together with our existing cash and cash equivalents as of September 30, 2013 and our revenue from the sale of Afirma,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nine months ended September 30, 2013 and 2012:</w:t>
      </w:r>
    </w:p>
    <w:p>
      <w:pPr>
        <w:spacing w:after="0" w:line="217"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Nine Months Ended</w:t>
      </w:r>
    </w:p>
    <w:p>
      <w:pPr>
        <w:jc w:val="center"/>
        <w:ind w:left="63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4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40"/>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19"/>
        </w:trPr>
        <w:tc>
          <w:tcPr>
            <w:tcW w:w="4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gridSpan w:val="2"/>
          </w:tcPr>
          <w:p>
            <w:pPr>
              <w:jc w:val="center"/>
              <w:ind w:left="540"/>
              <w:spacing w:after="0" w:line="119" w:lineRule="exact"/>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left="540"/>
              <w:spacing w:after="0"/>
              <w:rPr>
                <w:sz w:val="20"/>
                <w:szCs w:val="20"/>
                <w:color w:val="auto"/>
              </w:rPr>
            </w:pPr>
            <w:r>
              <w:rPr>
                <w:rFonts w:ascii="Arial" w:cs="Arial" w:eastAsia="Arial" w:hAnsi="Arial"/>
                <w:sz w:val="14"/>
                <w:szCs w:val="14"/>
                <w:b w:val="1"/>
                <w:bCs w:val="1"/>
                <w:color w:val="auto"/>
                <w:w w:val="95"/>
              </w:rPr>
              <w:t>(Unaudited)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(15,861)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18,296</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Cash used in operating activities for the nine months ended September 30, 2013 was $15.9 million. The net loss of $19.7 million reflects non-cash charges of $2.1 million for the change in the value of the preferred stock liability, $1.9 million in amortization of the deferred fee received from Genzyme, $0.8 million of stock-based and equity-based compensation, $0.7 million of depreciation and amortization, $0.2 million of bad debt expense, and a $0.1 charge for the change in value of the preferred stock warrant liability and the non-cash interest on the outstanding debt. The increase in net operating assets of $1.8 million was primarily due to a $4.6 million increase in accounts payable and accrued liabilities due to timing of payments offset by a $2.8 million increase in assets, including a $2.2 million increase in prepaid expenses due to expenses to be capitalized upon the October closing of the initial public offering, a $0.4 million increase in supply inventory due to the increase in volume of testing performed, and a $0.2 million increase in accounts receivable due to increased revenues from Medicare.</w:t>
      </w:r>
    </w:p>
    <w:p>
      <w:pPr>
        <w:sectPr>
          <w:pgSz w:w="11900" w:h="16838" w:orient="portrait"/>
          <w:cols w:equalWidth="0" w:num="1">
            <w:col w:w="11420"/>
          </w:cols>
          <w:pgMar w:left="240" w:top="125" w:right="239" w:bottom="0" w:gutter="0" w:footer="0" w:header="0"/>
        </w:sectPr>
      </w:pPr>
    </w:p>
    <w:bookmarkStart w:id="20" w:name="page21"/>
    <w:bookmarkEnd w:id="20"/>
    <w:p>
      <w:pPr>
        <w:ind w:right="300" w:firstLine="648"/>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2012 was $3.3 million. The net loss of $13.8 million reflects non-cash charges of $1.8 million in amortization of the deferred fee from Genzyme, $0.7 million of stock-based and equity-based compensation, $0.5 million of depreciation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$0.1 million of bad debt expense. The increase in net operating assets of $11.0 million was primarily due to the $10.0 million we received from Genzyme under the co-promotion agreement. Accounts payable and accrued liabilities decreased $2.3 million due to the timing of our payments. Accounts receivable increased by $0.5 million due to the increase in accrued revenue in 2012. In addition, there was a $0.5 million increase in supplies inventory related to increased test volume and an increase of $0.3 million in prepaid expenses due to the growth of the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Cash used in investing activities is primarily related to the acquisition of property and equipment totaling $1.0 million and $0.9 million for the nine months ended September 30, 2013 and 2012, respectively. Purchases of property and equipment were primarily related to leasehold improvements and laboratory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Cash provided by financing activities for the nine months ended September 30, 2013 of $18.3 million primarily is from net proceeds of $12.9 million from the sale of our convertible preferred stock, net proceeds of $4.9 million from the loan and security agreement we entered into in June 2013, and $0.5 million in cash received from the exercise of options to purchase our common stock. Cash provided by financing activities for the nine months ended September 30, 2012 of $0.1 million primarily is from cash received from the exercise of options to purchase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three months ended September 30, 2013, there were no material changes to our contractual obligations and commitments described under Management’s Discussion and Analysis of Financial Condition and Results of Operations in the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In February 2013, the Financial Accounting Standards Board, or FASB, issued Accounting Standards Update (ASU) No. 2013-02, </w:t>
      </w:r>
      <w:r>
        <w:rPr>
          <w:rFonts w:ascii="Arial" w:cs="Arial" w:eastAsia="Arial" w:hAnsi="Arial"/>
          <w:sz w:val="18"/>
          <w:szCs w:val="18"/>
          <w:i w:val="1"/>
          <w:iCs w:val="1"/>
          <w:color w:val="auto"/>
        </w:rPr>
        <w:t>Reporting of</w:t>
      </w:r>
      <w:r>
        <w:rPr>
          <w:rFonts w:ascii="Arial" w:cs="Arial" w:eastAsia="Arial" w:hAnsi="Arial"/>
          <w:sz w:val="18"/>
          <w:szCs w:val="18"/>
          <w:color w:val="auto"/>
        </w:rPr>
        <w:t xml:space="preserve"> </w:t>
      </w:r>
      <w:r>
        <w:rPr>
          <w:rFonts w:ascii="Arial" w:cs="Arial" w:eastAsia="Arial" w:hAnsi="Arial"/>
          <w:sz w:val="18"/>
          <w:szCs w:val="18"/>
          <w:i w:val="1"/>
          <w:iCs w:val="1"/>
          <w:color w:val="auto"/>
        </w:rPr>
        <w:t>Amounts Reclassified Out of Accumulated Other Comprehensive Income</w:t>
      </w:r>
      <w:r>
        <w:rPr>
          <w:rFonts w:ascii="Arial" w:cs="Arial" w:eastAsia="Arial" w:hAnsi="Arial"/>
          <w:sz w:val="18"/>
          <w:szCs w:val="18"/>
          <w:color w:val="auto"/>
        </w:rPr>
        <w:t>. This ASU requires reporting and disclosure about changes in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balances and reclassifications out of accumulated other comprehensive income. We adopted this guidance as of January 1, 2013 on a prospective basis and the adoption did not have a material effect on our unaudited interim condensed financial statements as we do not have comprehensive income (loss).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guidance as of January 1, 2012. As this guidance provides only presentation requirements, its adoption did not impact our financial condition or results of operations.</w:t>
      </w:r>
    </w:p>
    <w:p>
      <w:pPr>
        <w:spacing w:after="0" w:line="17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We adopted this standard in January 2012, as reflected in Note 3 to the unaudited interim condensed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rates. We had cash and cash equivalents of $15.4 million and $14.0 million as of September 30, 2013 and December 31, 2012, respectively, which consist of bank deposits and money market funds.</w:t>
      </w:r>
    </w:p>
    <w:p>
      <w:pPr>
        <w:sectPr>
          <w:pgSz w:w="11900" w:h="16838" w:orient="portrait"/>
          <w:cols w:equalWidth="0" w:num="1">
            <w:col w:w="11400"/>
          </w:cols>
          <w:pgMar w:left="240" w:top="125" w:right="259" w:bottom="0" w:gutter="0" w:footer="0" w:header="0"/>
        </w:sectPr>
      </w:pPr>
    </w:p>
    <w:bookmarkStart w:id="21" w:name="page22"/>
    <w:bookmarkEnd w:id="21"/>
    <w:p>
      <w:pPr>
        <w:ind w:right="180"/>
        <w:spacing w:after="0" w:line="264" w:lineRule="auto"/>
        <w:rPr>
          <w:sz w:val="20"/>
          <w:szCs w:val="20"/>
          <w:color w:val="auto"/>
        </w:rPr>
      </w:pPr>
      <w:r>
        <w:rPr>
          <w:rFonts w:ascii="Arial" w:cs="Arial" w:eastAsia="Arial" w:hAnsi="Arial"/>
          <w:sz w:val="18"/>
          <w:szCs w:val="18"/>
          <w:color w:val="auto"/>
        </w:rPr>
        <w:t>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unaudited interim condensed financial statements.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incurred net losses since our inception. For the nine months ended September 30, 2013 and for the year ended December 31, 2012, we had a net loss of $19.7 million and $18.6, respectively, and we expect to incur additional losses this year and in future years. As of September 30, 2013, we had an accumulated deficit of $76.6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Reimbursement on behalf of patients covered by Medicare accounted for 33% and 34% of our revenue for the nine months ended September 30, 2013 and the year ended December 31, 2012, respectively. UnitedHealthcare accounted for 17% and 12% of our revenue for the nine months ended September 30, 2013 and the year ended December 31, 2012, respectively. Aetna accounted for 8% and 13% of our revenue for the nine months ended September 30, 2013 and the year ended December 31, 2012, respectively. Effective January 2012, Palmetto GBA, the regional Medicare administrative contractor, or MAC, that handled claims processing for Medicare services with jurisdiction at that time, issued coverage and payment determinations 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GEC. On a five-year rotational basis, Medicare requests bids for its regional MAC services. In mid-September 2013, Noridian Administrative Services succeeded Palmetto as the MAC for our region. We believe the transition is complete with claims being processed by Noridian using the Z code established by Palmetto at the prior negotiated pricing level. The change in the MAC processing Medicare claims for the GEC could result in a change in the coverage or reimbursement rates for the GEC, or the loss of coverage. In addition, the transition to Noridian has resulted in some delays in payments made to us on behalf of Medicare patients, and future changes in the MAC could also result in delays in payment.</w:t>
      </w:r>
    </w:p>
    <w:p>
      <w:pPr>
        <w:sectPr>
          <w:pgSz w:w="11900" w:h="16838" w:orient="portrait"/>
          <w:cols w:equalWidth="0" w:num="1">
            <w:col w:w="11420"/>
          </w:cols>
          <w:pgMar w:left="240" w:top="125" w:right="239" w:bottom="0" w:gutter="0" w:footer="0" w:header="0"/>
        </w:sectPr>
      </w:pPr>
    </w:p>
    <w:bookmarkStart w:id="22" w:name="page23"/>
    <w:bookmarkEnd w:id="22"/>
    <w:p>
      <w:pPr>
        <w:ind w:firstLine="648"/>
        <w:spacing w:after="0" w:line="264" w:lineRule="auto"/>
        <w:rPr>
          <w:sz w:val="20"/>
          <w:szCs w:val="20"/>
          <w:color w:val="auto"/>
        </w:rPr>
      </w:pPr>
      <w:r>
        <w:rPr>
          <w:rFonts w:ascii="Arial" w:cs="Arial" w:eastAsia="Arial" w:hAnsi="Arial"/>
          <w:sz w:val="18"/>
          <w:szCs w:val="18"/>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81"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adoption of and reimbursement for our products, or if we are unable to maintain existing reimbursement from payers, our ability to generate revenue could be harmed and our future prospects and our business could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3" w:name="page24"/>
    <w:bookmarkEnd w:id="23"/>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TCP. Locating another suitable cytopathology provider could be time consuming and would result in delays in processing tests until a replacement was fully integrated with our test processing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24" w:name="page25"/>
    <w:bookmarkEnd w:id="24"/>
    <w:p>
      <w:pPr>
        <w:spacing w:after="0" w:line="3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6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between the list price for Afirma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25" w:name="page26"/>
    <w:bookmarkEnd w:id="25"/>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business strategy includes international expansion, primarily through our co-promotion agreement with Genzyme, and may include establishing and maintaining physician outreach and education capabilities outside of the United States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to conduct analytical and clinical studies;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w:t>
      </w:r>
    </w:p>
    <w:p>
      <w:pPr>
        <w:sectPr>
          <w:pgSz w:w="11900" w:h="16838" w:orient="portrait"/>
          <w:cols w:equalWidth="0" w:num="1">
            <w:col w:w="11400"/>
          </w:cols>
          <w:pgMar w:left="240" w:top="341" w:right="25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inspection every two years. Moreover, CLIA inspectors may make random inspections of our clinical reference laboratories.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both of our clinical reference laboratories are required to be licensed on a test-specific basis by New York State.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w:t>
      </w:r>
    </w:p>
    <w:p>
      <w:pPr>
        <w:spacing w:after="0" w:line="18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79" w:lineRule="exact"/>
        <w:rPr>
          <w:sz w:val="20"/>
          <w:szCs w:val="20"/>
          <w:color w:val="auto"/>
        </w:rPr>
      </w:pPr>
    </w:p>
    <w:p>
      <w:pPr>
        <w:ind w:right="580" w:firstLine="648"/>
        <w:spacing w:after="0" w:line="312"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9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 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6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ectPr>
          <w:pgSz w:w="11900" w:h="16838" w:orient="portrait"/>
          <w:cols w:equalWidth="0" w:num="1">
            <w:col w:w="11420"/>
          </w:cols>
          <w:pgMar w:left="240" w:top="125" w:right="239" w:bottom="5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other regulation by both the federal government and the states in which we conduct our business, including:</w:t>
      </w:r>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anti-kickback law and state anti-kickback prohibitions;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physician self-referral prohibition, commonly known as the Stark Law, and state equivalents;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Medicare civil money penalty and exclusion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False Claims Act civil and criminal penalties and state equivalents;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Foreign Corrupt Practices Act of 1977, which applies to our international activities.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ectPr>
          <w:pgSz w:w="11900" w:h="16838" w:orient="portrait"/>
          <w:cols w:equalWidth="0" w:num="1">
            <w:col w:w="11420"/>
          </w:cols>
          <w:pgMar w:left="240" w:top="368" w:right="239" w:bottom="18" w:gutter="0" w:footer="0" w:header="0"/>
        </w:sectPr>
      </w:pPr>
    </w:p>
    <w:bookmarkStart w:id="29" w:name="page30"/>
    <w:bookmarkEnd w:id="29"/>
    <w:p>
      <w:pPr>
        <w:ind w:right="140" w:firstLine="648"/>
        <w:spacing w:after="0" w:line="264" w:lineRule="auto"/>
        <w:rPr>
          <w:sz w:val="20"/>
          <w:szCs w:val="20"/>
          <w:color w:val="auto"/>
        </w:rPr>
      </w:pPr>
      <w:r>
        <w:rPr>
          <w:rFonts w:ascii="Arial" w:cs="Arial" w:eastAsia="Arial" w:hAnsi="Arial"/>
          <w:sz w:val="18"/>
          <w:szCs w:val="18"/>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w:t>
      </w:r>
    </w:p>
    <w:p>
      <w:pPr>
        <w:sectPr>
          <w:pgSz w:w="11900" w:h="16838" w:orient="portrait"/>
          <w:cols w:equalWidth="0" w:num="1">
            <w:col w:w="11420"/>
          </w:cols>
          <w:pgMar w:left="240" w:top="125" w:right="239" w:bottom="0" w:gutter="0" w:footer="0" w:header="0"/>
        </w:sectPr>
      </w:pPr>
    </w:p>
    <w:bookmarkStart w:id="30" w:name="page31"/>
    <w:bookmarkEnd w:id="30"/>
    <w:p>
      <w:pPr>
        <w:ind w:right="80"/>
        <w:spacing w:after="0" w:line="342" w:lineRule="auto"/>
        <w:rPr>
          <w:sz w:val="20"/>
          <w:szCs w:val="20"/>
          <w:color w:val="auto"/>
        </w:rPr>
      </w:pPr>
      <w:r>
        <w:rPr>
          <w:rFonts w:ascii="Arial" w:cs="Arial" w:eastAsia="Arial" w:hAnsi="Arial"/>
          <w:sz w:val="16"/>
          <w:szCs w:val="16"/>
          <w:color w:val="auto"/>
        </w:rPr>
        <w:t>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October 1, 2013, we had six pending United States non-provisional patent applications, one issued United States patent and one pending United States provisional patent.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infringement of our patents in such countries. Proceedings to enforce our patent rights in foreign jurisdictions could result in substantial cost and divert our efforts and attention from other aspects of our business.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w:t>
      </w:r>
    </w:p>
    <w:p>
      <w:pPr>
        <w:sectPr>
          <w:pgSz w:w="11900" w:h="16838" w:orient="portrait"/>
          <w:cols w:equalWidth="0" w:num="1">
            <w:col w:w="11420"/>
          </w:cols>
          <w:pgMar w:left="240" w:top="125" w:right="239" w:bottom="0" w:gutter="0" w:footer="0" w:header="0"/>
        </w:sectPr>
      </w:pPr>
    </w:p>
    <w:bookmarkStart w:id="31" w:name="page32"/>
    <w:bookmarkEnd w:id="31"/>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intellectual property does not adequately protect us against competitors’ products and methods, our competitive position could be adversely affected, as could our business.</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survive such proceedings. If we do not secure registrations for our trademarks, we may encounter more difficulty in enforcing them against third parties than we otherwise would.</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69"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w:t>
      </w:r>
    </w:p>
    <w:p>
      <w:pPr>
        <w:sectPr>
          <w:pgSz w:w="11900" w:h="16952" w:orient="portrait"/>
          <w:cols w:equalWidth="0" w:num="1">
            <w:col w:w="11400"/>
          </w:cols>
          <w:pgMar w:left="240" w:top="125" w:right="259" w:bottom="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are required or agree to defend or indemnify third parties in connection with any infringement claims, we could incur significant costs and expenses that could adversely affect our business, operating results, or financial condition.</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Some patients may decide not to use Afirma due to its price, all or part of which may be payable directly by the patient if the patient’s insurer denies reimbursement in full or in part. There is a growing trend among insurers to shift more of the cost of healthcare to patients in the form of higher co-payments or premiums. In addition, the current economic environment in the United States has and may continue to result in the loss of healthcare coverage. These events may result in patients delaying or forgoing medical checkups or treatment due to their inability to pay for our test, which could have an adverse effect on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w:t>
      </w:r>
    </w:p>
    <w:p>
      <w:pPr>
        <w:ind w:right="180"/>
        <w:spacing w:after="0" w:line="253" w:lineRule="auto"/>
        <w:rPr>
          <w:sz w:val="20"/>
          <w:szCs w:val="20"/>
          <w:color w:val="auto"/>
        </w:rPr>
      </w:pPr>
      <w:r>
        <w:rPr>
          <w:rFonts w:ascii="Arial" w:cs="Arial" w:eastAsia="Arial" w:hAnsi="Arial"/>
          <w:sz w:val="18"/>
          <w:szCs w:val="18"/>
          <w:color w:val="auto"/>
        </w:rPr>
        <w:t>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 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ectPr>
          <w:pgSz w:w="11900" w:h="16838" w:orient="portrait"/>
          <w:cols w:equalWidth="0" w:num="1">
            <w:col w:w="11420"/>
          </w:cols>
          <w:pgMar w:left="240" w:top="125" w:right="239" w:bottom="0" w:gutter="0" w:footer="0" w:header="0"/>
        </w:sectPr>
      </w:pPr>
    </w:p>
    <w:bookmarkStart w:id="33" w:name="page34"/>
    <w:bookmarkEnd w:id="33"/>
    <w:p>
      <w:pPr>
        <w:spacing w:after="0" w:line="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has been no public market for our common stock, and an active and liquid public market for our stock may not develop or be sustained. In addition, the trading price of our common stock is likely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our initial public offering. In addition, in the past, following periods of volatility in the overall market and the market price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ectPr>
          <w:pgSz w:w="11900" w:h="16839" w:orient="portrait"/>
          <w:cols w:equalWidth="0" w:num="1">
            <w:col w:w="11420"/>
          </w:cols>
          <w:pgMar w:left="240" w:top="125" w:right="239" w:bottom="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by existing stockholders could cause our stock price to decline.</w:t>
      </w:r>
    </w:p>
    <w:p>
      <w:pPr>
        <w:sectPr>
          <w:pgSz w:w="11900" w:h="16839" w:orient="portrait"/>
          <w:cols w:equalWidth="0" w:num="1">
            <w:col w:w="11420"/>
          </w:cols>
          <w:pgMar w:left="240" w:top="125" w:right="239" w:bottom="0" w:gutter="0" w:footer="0" w:header="0"/>
          <w:type w:val="continuous"/>
        </w:sectPr>
      </w:pPr>
    </w:p>
    <w:bookmarkStart w:id="34" w:name="page35"/>
    <w:bookmarkEnd w:id="34"/>
    <w:p>
      <w:pPr>
        <w:ind w:right="80" w:firstLine="648"/>
        <w:spacing w:after="0" w:line="268"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resulting from our recent initial public offering, the trading price of our common stock could decline. On November 15, 2013, 21,035,046 shares of common stock were outstanding. Of these shares, 5,000,000 are freely tradable, without restriction, in the public market. Each of our directors and officers and substantially all of our other stockholders has entered into a lock-up agreement with the underwriters of our initial public offering that restricts their ability to sell or transfer their shares. The lock-up agreements will expire in April 2014. The underwriters, however, may, in their sole discretion, waive the contractual lock-up prior to the expiration of the lock-up agreements. After the lock-up agreements expire, based on shares outstanding as of November 15, 2013, up to an additional 16,035,046 shares of common stock will be eligible for sale in the public market, of which 14,825,544 shares are held by directors, executive officers and other affiliates and will be subject to volume limitations under Rule 144 under the Securities Act, and various vesting agreements. In addition, 2,368,797 shares of common stock that are subject to outstanding options as of November 15, 2013 will become eligible for sale in the public market to the extent permitted by the provisions of various vesting agreements, the lock-up agreements and Rules 144 and 701 under the Securities Act. We have filed a registration statement on Form S-8 under the Securities Act covering all of the shares of common stock subject to options outstanding and reserved for issuance under our stock plans. This registration statement became effective immediately upon filing, and shares covered by this registration statement are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November 15, 2013, directors and executive officers and their affiliates beneficially owned, in the aggregate, 70.5%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shares of undesignated preferred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ectPr>
          <w:pgSz w:w="11900" w:h="16838" w:orient="portrait"/>
          <w:cols w:equalWidth="0" w:num="1">
            <w:col w:w="11420"/>
          </w:cols>
          <w:pgMar w:left="240" w:top="341" w:right="239" w:bottom="36" w:gutter="0" w:footer="0" w:header="0"/>
        </w:sectPr>
      </w:pPr>
    </w:p>
    <w:bookmarkStart w:id="35" w:name="page36"/>
    <w:bookmarkEnd w:id="35"/>
    <w:p>
      <w:pPr>
        <w:ind w:right="200" w:firstLine="648"/>
        <w:spacing w:after="0" w:line="276" w:lineRule="auto"/>
        <w:rPr>
          <w:sz w:val="20"/>
          <w:szCs w:val="20"/>
          <w:color w:val="auto"/>
        </w:rPr>
      </w:pPr>
      <w:r>
        <w:rPr>
          <w:rFonts w:ascii="Arial" w:cs="Arial" w:eastAsia="Arial" w:hAnsi="Arial"/>
          <w:sz w:val="17"/>
          <w:szCs w:val="17"/>
          <w:color w:val="auto"/>
        </w:rPr>
        <w:t>Subsequent to September 30, 2013, we sold 5,000,000 shares of our common stock at a price to the public of $13.00 per share in our IPO. We received net proceeds of $57.9 million, after deducting underwriting discounts and commissions of $4.6 million and estimated expenses of $2.5 million payable by us. None of the expenses associated with the IPO were paid to directors, officers, persons owning 10% or more of any class of our equity securities, or to their associates, or to our affiliates. Morgan Stanley &amp; Co. LLC and Leerink Swann LLC acted as joint book-running managers and William Blair &amp; Company, L.L.C. and Cowen and Company, LLC acted as co-managers for the offering.</w:t>
      </w:r>
    </w:p>
    <w:p>
      <w:pPr>
        <w:spacing w:after="0" w:line="173"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shares were registered under the Securities Act on a Registration Statement on Form S-1 (Registration No. 333-191282), which was filed on September 20, 2013 and declared effective on October 29, 2013, and on a Registration Statement on Form S-1 (Registration No. 333-1919782), which was filed on October 30, 2013 and was immediately effective.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our common stock began trading on The NASDAQ Global Market on October 30, 2013.</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IPO closed on November 4, 2013. From the date of the closing through November 15, 2013, we have used a portion of the net proceeds from the sale of these securities to fund our operations, to make capital expenditures, for working capital and for other general corporate purposes.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66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9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420" w:type="dxa"/>
            <w:vAlign w:val="bottom"/>
          </w:tcPr>
          <w:p>
            <w:pPr>
              <w:spacing w:after="0"/>
              <w:rPr>
                <w:sz w:val="16"/>
                <w:szCs w:val="16"/>
                <w:color w:val="auto"/>
              </w:rPr>
            </w:pPr>
          </w:p>
        </w:tc>
        <w:tc>
          <w:tcPr>
            <w:tcW w:w="9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31.2</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32.1*</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32.2*</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187" w:lineRule="exact"/>
        <w:rPr>
          <w:sz w:val="20"/>
          <w:szCs w:val="20"/>
          <w:color w:val="auto"/>
        </w:rPr>
      </w:pPr>
    </w:p>
    <w:p>
      <w:pPr>
        <w:jc w:val="both"/>
        <w:ind w:right="280" w:firstLine="8"/>
        <w:spacing w:after="0" w:line="264" w:lineRule="auto"/>
        <w:tabs>
          <w:tab w:leader="none" w:pos="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2"/>
          </w:tcPr>
          <w:p>
            <w:pPr>
              <w:ind w:left="4040"/>
              <w:spacing w:after="0"/>
              <w:rPr>
                <w:sz w:val="20"/>
                <w:szCs w:val="20"/>
                <w:color w:val="auto"/>
              </w:rPr>
            </w:pPr>
            <w:r>
              <w:rPr>
                <w:rFonts w:ascii="Arial" w:cs="Arial" w:eastAsia="Arial" w:hAnsi="Arial"/>
                <w:sz w:val="18"/>
                <w:szCs w:val="18"/>
                <w:color w:val="auto"/>
              </w:rPr>
              <w:t>VERACYTE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2"/>
          </w:tcPr>
          <w:p>
            <w:pPr>
              <w:ind w:left="404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2"/>
          </w:tcPr>
          <w:p>
            <w:pPr>
              <w:jc w:val="right"/>
              <w:ind w:right="270"/>
              <w:spacing w:after="0"/>
              <w:rPr>
                <w:sz w:val="20"/>
                <w:szCs w:val="20"/>
                <w:color w:val="auto"/>
              </w:rPr>
            </w:pPr>
            <w:r>
              <w:rPr>
                <w:rFonts w:ascii="Arial" w:cs="Arial" w:eastAsia="Arial" w:hAnsi="Arial"/>
                <w:sz w:val="18"/>
                <w:szCs w:val="18"/>
                <w:color w:val="auto"/>
              </w:rPr>
              <w:t>67</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3"/>
          </w:tcPr>
          <w:p>
            <w:pPr>
              <w:ind w:left="20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3"/>
          </w:tcPr>
          <w:p>
            <w:pPr>
              <w:ind w:left="20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3"/>
          </w:tcPr>
          <w:p>
            <w:pPr>
              <w:ind w:left="20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#101.SCH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Document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226060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60" w:space="720"/>
            <w:col w:w="9540"/>
          </w:cols>
          <w:pgMar w:left="240" w:top="125" w:right="439" w:bottom="1440" w:gutter="0" w:footer="0" w:header="0"/>
        </w:sectPr>
      </w:pP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187" w:lineRule="exact"/>
        <w:rPr>
          <w:sz w:val="20"/>
          <w:szCs w:val="20"/>
          <w:color w:val="auto"/>
        </w:rPr>
      </w:pPr>
    </w:p>
    <w:p>
      <w:pPr>
        <w:jc w:val="both"/>
        <w:ind w:right="40" w:firstLine="8"/>
        <w:spacing w:after="0" w:line="264"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440" w:hanging="173"/>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440" w:hanging="173"/>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259"/>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2013,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520" w:hanging="253"/>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25, 2013</w:t>
      </w: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firstLine="259"/>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2013,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520" w:hanging="253"/>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25, 2013</w:t>
      </w: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2019-12-07T15:36:40Z</dcterms:created>
  <dcterms:modified xsi:type="dcterms:W3CDTF">2019-12-07T15:36:40Z</dcterms:modified>
</cp:coreProperties>
</file>