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20"/>
        <w:spacing w:after="0"/>
        <w:rPr>
          <w:sz w:val="20"/>
          <w:szCs w:val="20"/>
          <w:color w:val="auto"/>
        </w:rPr>
      </w:pPr>
      <w:r>
        <w:rPr>
          <w:rFonts w:ascii="Arial" w:cs="Arial" w:eastAsia="Arial" w:hAnsi="Arial"/>
          <w:sz w:val="18"/>
          <w:szCs w:val="18"/>
          <w:color w:val="auto"/>
        </w:rPr>
        <w:t>As filed with the Securities and Exchange Commission on June 8, 2023</w:t>
      </w:r>
    </w:p>
    <w:p>
      <w:pPr>
        <w:spacing w:after="0" w:line="36"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333-270147</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333-263116</w:t>
      </w:r>
    </w:p>
    <w:p>
      <w:pPr>
        <w:spacing w:after="0" w:line="9"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333-253363</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333-236630</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333-229848</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333-223292</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333-216388</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333-210185</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333-203097</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333-191992</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UNITED STATES</w:t>
      </w:r>
    </w:p>
    <w:p>
      <w:pPr>
        <w:spacing w:after="0" w:line="66"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58"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Washington, D.C. 20549</w:t>
      </w:r>
    </w:p>
    <w:p>
      <w:pPr>
        <w:spacing w:after="0" w:line="76"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333-270147</w:t>
      </w:r>
    </w:p>
    <w:p>
      <w:pPr>
        <w:spacing w:after="0" w:line="1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333-263116</w:t>
      </w:r>
    </w:p>
    <w:p>
      <w:pPr>
        <w:ind w:left="340"/>
        <w:spacing w:after="0" w:line="234" w:lineRule="auto"/>
        <w:rPr>
          <w:sz w:val="20"/>
          <w:szCs w:val="20"/>
          <w:color w:val="auto"/>
        </w:rPr>
      </w:pPr>
      <w:r>
        <w:rPr>
          <w:rFonts w:ascii="Arial" w:cs="Arial" w:eastAsia="Arial" w:hAnsi="Arial"/>
          <w:sz w:val="18"/>
          <w:szCs w:val="18"/>
          <w:b w:val="1"/>
          <w:bCs w:val="1"/>
          <w:color w:val="auto"/>
        </w:rPr>
        <w:t>POST-EFFECTIVE AMENDMENT NO. 1 TO FORM S-8 REGISTRATION STATEMENT NO. 333-253363</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333-236630</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333-229848</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333-223292</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333-216388</w:t>
      </w:r>
    </w:p>
    <w:p>
      <w:pPr>
        <w:ind w:left="340"/>
        <w:spacing w:after="0" w:line="234" w:lineRule="auto"/>
        <w:rPr>
          <w:sz w:val="20"/>
          <w:szCs w:val="20"/>
          <w:color w:val="auto"/>
        </w:rPr>
      </w:pPr>
      <w:r>
        <w:rPr>
          <w:rFonts w:ascii="Arial" w:cs="Arial" w:eastAsia="Arial" w:hAnsi="Arial"/>
          <w:sz w:val="18"/>
          <w:szCs w:val="18"/>
          <w:b w:val="1"/>
          <w:bCs w:val="1"/>
          <w:color w:val="auto"/>
        </w:rPr>
        <w:t>POST-EFFECTIVE AMENDMENT NO. 1 TO FORM S-8 REGISTRATION STATEMENT NO. 333-210185</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333-203097</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333-191992</w:t>
      </w:r>
    </w:p>
    <w:p>
      <w:pPr>
        <w:spacing w:after="0" w:line="255"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UNDER THE SECURITIES ACT OF 1933</w:t>
      </w:r>
    </w:p>
    <w:p>
      <w:pPr>
        <w:spacing w:after="0" w:line="35"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w:t>
      </w:r>
    </w:p>
    <w:p>
      <w:pPr>
        <w:spacing w:after="0" w:line="120" w:lineRule="exact"/>
        <w:rPr>
          <w:sz w:val="24"/>
          <w:szCs w:val="24"/>
          <w:color w:val="auto"/>
        </w:rPr>
      </w:pPr>
    </w:p>
    <w:p>
      <w:pPr>
        <w:ind w:left="3020"/>
        <w:spacing w:after="0"/>
        <w:rPr>
          <w:sz w:val="20"/>
          <w:szCs w:val="20"/>
          <w:color w:val="auto"/>
        </w:rPr>
      </w:pPr>
      <w:r>
        <w:rPr>
          <w:rFonts w:ascii="Arial" w:cs="Arial" w:eastAsia="Arial" w:hAnsi="Arial"/>
          <w:sz w:val="36"/>
          <w:szCs w:val="36"/>
          <w:b w:val="1"/>
          <w:bCs w:val="1"/>
          <w:color w:val="auto"/>
        </w:rPr>
        <w:t>VERACYTE, INC.</w:t>
      </w:r>
    </w:p>
    <w:p>
      <w:pPr>
        <w:spacing w:after="0" w:line="65"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120"/>
          </w:cols>
          <w:pgMar w:left="1440" w:top="1016" w:right="339" w:bottom="1440" w:gutter="0" w:footer="0" w:header="0"/>
        </w:sectPr>
      </w:pPr>
    </w:p>
    <w:bookmarkStart w:id="1" w:name="page2"/>
    <w:bookmarkEnd w:id="1"/>
    <w:tbl>
      <w:tblPr>
        <w:tblLayout w:type="fixed"/>
        <w:tblInd w:w="1360" w:type="dxa"/>
        <w:tblCellMar>
          <w:top w:w="0" w:type="dxa"/>
          <w:left w:w="0" w:type="dxa"/>
          <w:bottom w:w="0" w:type="dxa"/>
          <w:right w:w="0" w:type="dxa"/>
        </w:tblCellMar>
      </w:tblP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2"/>
              </w:rPr>
              <w:t>Delaware</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20-5455398</w:t>
            </w:r>
          </w:p>
        </w:tc>
      </w:t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3"/>
              </w:rPr>
              <w:t>(State or other jurisdiction of</w:t>
            </w:r>
          </w:p>
        </w:tc>
        <w:tc>
          <w:tcPr>
            <w:tcW w:w="1640" w:type="dxa"/>
            <w:vAlign w:val="bottom"/>
          </w:tcPr>
          <w:p>
            <w:pPr>
              <w:ind w:left="380"/>
              <w:spacing w:after="0"/>
              <w:rPr>
                <w:sz w:val="20"/>
                <w:szCs w:val="20"/>
                <w:color w:val="auto"/>
              </w:rPr>
            </w:pPr>
            <w:r>
              <w:rPr>
                <w:rFonts w:ascii="Arial" w:cs="Arial" w:eastAsia="Arial" w:hAnsi="Arial"/>
                <w:sz w:val="18"/>
                <w:szCs w:val="18"/>
                <w:color w:val="auto"/>
                <w:w w:val="93"/>
              </w:rPr>
              <w:t>(I.R.S. Employer</w:t>
            </w:r>
          </w:p>
        </w:tc>
      </w:tr>
      <w:tr>
        <w:trPr>
          <w:trHeight w:val="230"/>
        </w:trPr>
        <w:tc>
          <w:tcPr>
            <w:tcW w:w="5920" w:type="dxa"/>
            <w:vAlign w:val="bottom"/>
          </w:tcPr>
          <w:p>
            <w:pPr>
              <w:jc w:val="center"/>
              <w:ind w:right="2910"/>
              <w:spacing w:after="0"/>
              <w:rPr>
                <w:sz w:val="20"/>
                <w:szCs w:val="20"/>
                <w:color w:val="auto"/>
              </w:rPr>
            </w:pPr>
            <w:r>
              <w:rPr>
                <w:rFonts w:ascii="Arial" w:cs="Arial" w:eastAsia="Arial" w:hAnsi="Arial"/>
                <w:sz w:val="18"/>
                <w:szCs w:val="18"/>
                <w:color w:val="auto"/>
                <w:w w:val="92"/>
              </w:rPr>
              <w:t>incorporation or organization)</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Identification No.)</w:t>
            </w:r>
          </w:p>
        </w:tc>
      </w:tr>
      <w:tr>
        <w:trPr>
          <w:trHeight w:val="485"/>
        </w:trPr>
        <w:tc>
          <w:tcPr>
            <w:tcW w:w="5920" w:type="dxa"/>
            <w:vAlign w:val="bottom"/>
          </w:tcPr>
          <w:p>
            <w:pPr>
              <w:jc w:val="center"/>
              <w:ind w:right="2910"/>
              <w:spacing w:after="0"/>
              <w:rPr>
                <w:sz w:val="20"/>
                <w:szCs w:val="20"/>
                <w:color w:val="auto"/>
              </w:rPr>
            </w:pPr>
            <w:r>
              <w:rPr>
                <w:rFonts w:ascii="Arial" w:cs="Arial" w:eastAsia="Arial" w:hAnsi="Arial"/>
                <w:sz w:val="18"/>
                <w:szCs w:val="18"/>
                <w:color w:val="auto"/>
                <w:w w:val="90"/>
              </w:rPr>
              <w:t>6000 Shoreline Court, Suite 300</w:t>
            </w:r>
          </w:p>
        </w:tc>
        <w:tc>
          <w:tcPr>
            <w:tcW w:w="1640" w:type="dxa"/>
            <w:vAlign w:val="bottom"/>
          </w:tcPr>
          <w:p>
            <w:pPr>
              <w:spacing w:after="0"/>
              <w:rPr>
                <w:sz w:val="24"/>
                <w:szCs w:val="24"/>
                <w:color w:val="auto"/>
              </w:rPr>
            </w:pPr>
          </w:p>
        </w:tc>
      </w:t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0"/>
              </w:rPr>
              <w:t>South San Francisco, California</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94080</w:t>
            </w:r>
          </w:p>
        </w:tc>
      </w:tr>
      <w:tr>
        <w:trPr>
          <w:trHeight w:val="271"/>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2"/>
              </w:rPr>
              <w:t>(Address of Principal Executive Offices)</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r>
        <w:trPr>
          <w:trHeight w:val="418"/>
        </w:trPr>
        <w:tc>
          <w:tcPr>
            <w:tcW w:w="5920" w:type="dxa"/>
            <w:vAlign w:val="bottom"/>
          </w:tcPr>
          <w:p>
            <w:pPr>
              <w:jc w:val="center"/>
              <w:ind w:left="2210"/>
              <w:spacing w:after="0"/>
              <w:rPr>
                <w:sz w:val="20"/>
                <w:szCs w:val="20"/>
                <w:color w:val="auto"/>
              </w:rPr>
            </w:pPr>
            <w:r>
              <w:rPr>
                <w:rFonts w:ascii="Arial" w:cs="Arial" w:eastAsia="Arial" w:hAnsi="Arial"/>
                <w:sz w:val="18"/>
                <w:szCs w:val="18"/>
                <w:color w:val="auto"/>
                <w:w w:val="90"/>
              </w:rPr>
              <w:t>Veracyte, Inc. 2008 Stock Plan</w:t>
            </w:r>
          </w:p>
        </w:tc>
        <w:tc>
          <w:tcPr>
            <w:tcW w:w="1640" w:type="dxa"/>
            <w:vAlign w:val="bottom"/>
          </w:tcPr>
          <w:p>
            <w:pPr>
              <w:spacing w:after="0"/>
              <w:rPr>
                <w:sz w:val="24"/>
                <w:szCs w:val="24"/>
                <w:color w:val="auto"/>
              </w:rPr>
            </w:pPr>
          </w:p>
        </w:tc>
      </w:tr>
      <w:tr>
        <w:trPr>
          <w:trHeight w:val="216"/>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0"/>
              </w:rPr>
              <w:t>Veracyte, Inc. 2013 Stock Incentive Plan</w:t>
            </w:r>
          </w:p>
        </w:tc>
        <w:tc>
          <w:tcPr>
            <w:tcW w:w="1640" w:type="dxa"/>
            <w:vAlign w:val="bottom"/>
          </w:tcPr>
          <w:p>
            <w:pPr>
              <w:spacing w:after="0"/>
              <w:rPr>
                <w:sz w:val="18"/>
                <w:szCs w:val="18"/>
                <w:color w:val="auto"/>
              </w:rPr>
            </w:pPr>
          </w:p>
        </w:tc>
      </w:tr>
      <w:tr>
        <w:trPr>
          <w:trHeight w:val="230"/>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1"/>
              </w:rPr>
              <w:t>Veracyte, Inc. 2023 Equity Incentive Plan</w:t>
            </w:r>
          </w:p>
        </w:tc>
        <w:tc>
          <w:tcPr>
            <w:tcW w:w="1640" w:type="dxa"/>
            <w:vAlign w:val="bottom"/>
          </w:tcPr>
          <w:p>
            <w:pPr>
              <w:spacing w:after="0"/>
              <w:rPr>
                <w:sz w:val="20"/>
                <w:szCs w:val="20"/>
                <w:color w:val="auto"/>
              </w:rPr>
            </w:pPr>
          </w:p>
        </w:tc>
      </w:tr>
      <w:tr>
        <w:trPr>
          <w:trHeight w:val="270"/>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2"/>
              </w:rPr>
              <w:t>(Full titles of the plans)</w:t>
            </w:r>
          </w:p>
        </w:tc>
        <w:tc>
          <w:tcPr>
            <w:tcW w:w="1640" w:type="dxa"/>
            <w:vAlign w:val="bottom"/>
          </w:tcPr>
          <w:p>
            <w:pPr>
              <w:spacing w:after="0"/>
              <w:rPr>
                <w:sz w:val="23"/>
                <w:szCs w:val="23"/>
                <w:color w:val="auto"/>
              </w:rPr>
            </w:pPr>
          </w:p>
        </w:tc>
      </w:tr>
    </w:tbl>
    <w:p>
      <w:pPr>
        <w:spacing w:after="0" w:line="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Marc Stapley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(Name and address of agent for service)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(650) 243-6300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Copies to:</w:t>
      </w:r>
    </w:p>
    <w:p>
      <w:pPr>
        <w:spacing w:after="0" w:line="116"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4160" w:type="dxa"/>
            <w:vAlign w:val="bottom"/>
          </w:tcPr>
          <w:p>
            <w:pPr>
              <w:jc w:val="center"/>
              <w:ind w:right="1210"/>
              <w:spacing w:after="0"/>
              <w:rPr>
                <w:sz w:val="20"/>
                <w:szCs w:val="20"/>
                <w:color w:val="auto"/>
              </w:rPr>
            </w:pPr>
            <w:r>
              <w:rPr>
                <w:rFonts w:ascii="Arial" w:cs="Arial" w:eastAsia="Arial" w:hAnsi="Arial"/>
                <w:sz w:val="18"/>
                <w:szCs w:val="18"/>
                <w:color w:val="auto"/>
                <w:w w:val="89"/>
              </w:rPr>
              <w:t>Ran Ben-Tzur, Esq.</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2"/>
              </w:rPr>
              <w:t>Annie McGuire Esq.</w:t>
            </w:r>
          </w:p>
        </w:tc>
      </w:tr>
      <w:tr>
        <w:trPr>
          <w:trHeight w:val="216"/>
        </w:trPr>
        <w:tc>
          <w:tcPr>
            <w:tcW w:w="4160" w:type="dxa"/>
            <w:vAlign w:val="bottom"/>
          </w:tcPr>
          <w:p>
            <w:pPr>
              <w:jc w:val="center"/>
              <w:ind w:right="1230"/>
              <w:spacing w:after="0"/>
              <w:rPr>
                <w:sz w:val="20"/>
                <w:szCs w:val="20"/>
                <w:color w:val="auto"/>
              </w:rPr>
            </w:pPr>
            <w:r>
              <w:rPr>
                <w:rFonts w:ascii="Arial" w:cs="Arial" w:eastAsia="Arial" w:hAnsi="Arial"/>
                <w:sz w:val="18"/>
                <w:szCs w:val="18"/>
                <w:color w:val="auto"/>
                <w:w w:val="93"/>
              </w:rPr>
              <w:t>Fenwick &amp; West LLP</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Executive Vice President and</w:t>
            </w:r>
          </w:p>
        </w:tc>
      </w:tr>
      <w:tr>
        <w:trPr>
          <w:trHeight w:val="216"/>
        </w:trPr>
        <w:tc>
          <w:tcPr>
            <w:tcW w:w="4160" w:type="dxa"/>
            <w:vAlign w:val="bottom"/>
          </w:tcPr>
          <w:p>
            <w:pPr>
              <w:jc w:val="center"/>
              <w:ind w:right="1230"/>
              <w:spacing w:after="0"/>
              <w:rPr>
                <w:sz w:val="20"/>
                <w:szCs w:val="20"/>
                <w:color w:val="auto"/>
              </w:rPr>
            </w:pPr>
            <w:r>
              <w:rPr>
                <w:rFonts w:ascii="Arial" w:cs="Arial" w:eastAsia="Arial" w:hAnsi="Arial"/>
                <w:sz w:val="18"/>
                <w:szCs w:val="18"/>
                <w:color w:val="auto"/>
                <w:w w:val="90"/>
              </w:rPr>
              <w:t>228 Santa Monica Boulevard Suite 300</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88"/>
              </w:rPr>
              <w:t>General Counsel</w:t>
            </w:r>
          </w:p>
        </w:tc>
      </w:tr>
      <w:tr>
        <w:trPr>
          <w:trHeight w:val="216"/>
        </w:trPr>
        <w:tc>
          <w:tcPr>
            <w:tcW w:w="4160" w:type="dxa"/>
            <w:vAlign w:val="bottom"/>
          </w:tcPr>
          <w:p>
            <w:pPr>
              <w:jc w:val="center"/>
              <w:ind w:right="1210"/>
              <w:spacing w:after="0"/>
              <w:rPr>
                <w:sz w:val="20"/>
                <w:szCs w:val="20"/>
                <w:color w:val="auto"/>
              </w:rPr>
            </w:pPr>
            <w:r>
              <w:rPr>
                <w:rFonts w:ascii="Arial" w:cs="Arial" w:eastAsia="Arial" w:hAnsi="Arial"/>
                <w:sz w:val="18"/>
                <w:szCs w:val="18"/>
                <w:color w:val="auto"/>
                <w:w w:val="91"/>
              </w:rPr>
              <w:t>Santa Monica, California 90401</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Veracyte, Inc.</w:t>
            </w:r>
          </w:p>
        </w:tc>
      </w:tr>
      <w:tr>
        <w:trPr>
          <w:trHeight w:val="216"/>
        </w:trPr>
        <w:tc>
          <w:tcPr>
            <w:tcW w:w="4160" w:type="dxa"/>
            <w:vAlign w:val="bottom"/>
          </w:tcPr>
          <w:p>
            <w:pPr>
              <w:spacing w:after="0"/>
              <w:rPr>
                <w:sz w:val="18"/>
                <w:szCs w:val="18"/>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6000 Shoreline Court, Suite 300</w:t>
            </w:r>
          </w:p>
        </w:tc>
      </w:tr>
      <w:tr>
        <w:trPr>
          <w:trHeight w:val="216"/>
        </w:trPr>
        <w:tc>
          <w:tcPr>
            <w:tcW w:w="4160" w:type="dxa"/>
            <w:vAlign w:val="bottom"/>
          </w:tcPr>
          <w:p>
            <w:pPr>
              <w:spacing w:after="0"/>
              <w:rPr>
                <w:sz w:val="18"/>
                <w:szCs w:val="18"/>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South San Francisco, California 94080</w:t>
            </w:r>
          </w:p>
        </w:tc>
      </w:tr>
      <w:tr>
        <w:trPr>
          <w:trHeight w:val="230"/>
        </w:trPr>
        <w:tc>
          <w:tcPr>
            <w:tcW w:w="4160" w:type="dxa"/>
            <w:vAlign w:val="bottom"/>
          </w:tcPr>
          <w:p>
            <w:pPr>
              <w:spacing w:after="0"/>
              <w:rPr>
                <w:sz w:val="20"/>
                <w:szCs w:val="20"/>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(650) 243-6300</w:t>
            </w:r>
          </w:p>
        </w:tc>
      </w:tr>
    </w:tbl>
    <w:p>
      <w:pPr>
        <w:spacing w:after="0" w:line="200" w:lineRule="exact"/>
        <w:rPr>
          <w:sz w:val="20"/>
          <w:szCs w:val="20"/>
          <w:color w:val="auto"/>
        </w:rPr>
      </w:pPr>
    </w:p>
    <w:p>
      <w:pPr>
        <w:spacing w:after="0" w:line="2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80" w:type="dxa"/>
            <w:vAlign w:val="bottom"/>
          </w:tcPr>
          <w:p>
            <w:pPr>
              <w:ind w:left="190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0"/>
          <w:szCs w:val="20"/>
          <w:color w:val="auto"/>
        </w:rPr>
      </w:pPr>
    </w:p>
    <w:p>
      <w:pPr>
        <w:spacing w:after="0" w:line="217" w:lineRule="exact"/>
        <w:rPr>
          <w:sz w:val="20"/>
          <w:szCs w:val="20"/>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080"/>
          </w:cols>
          <w:pgMar w:left="320" w:top="989"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Veracyte, Inc. (the “Registrant”) previously filed a Registration Statement on Form S-8 (File No. 333-270147) with respect to 2,878,378 shares of the Registrant’s Common Stock (“Common Stock”) issuable under the Veracyte, Inc. 2013 Stock Incentive Plan (the “Prior Plan”) with the Securities and Exchange Commission (the “Commission”) on March 1, 2023, a Registration Statement on Form S-8 (File No. 333-263116) with respect to 2,844,924 shares of Common Stock issuable under the Prior Plan filed with the Commission on March 1, 2022, a Registration Statement on Form S-8 (File No. 333-253363) with respect to 2,328,021 shares of Common Stock issuable under the Prior Plan filed with the Commission on February 22, 2021, a Registration Statement on Form S-8 (File No. 333-236630) with respect to 1,985,013 shares of Common Stock issuable under the Prior Plan filed with the Commission on February 25, 2020, a Registration Statement (File No. 333-229848) with respect to 1,634,528 shares of Common Stock issuable under the Prior Plan filed with the Commission on February 25, 2019, a Registration Statement on Form S-8 (File No. 333-223292) with respect to 1,368,159 shares of Common Stock issuable under the Prior Plan filed with the Commission on February 28, 2018, a Registration Statement on Form S-8 (File No. 333-216388) with respect to 1,350,491 shares of Common Stock issuable under the Prior Plan filed with the Commission on March 2, 2017, a Registration Statement on Form S-8 (File No. 333-210185) with respect to 1,107,411 shares of Common Stock issuable under the Prior Plan filed with the Commission on March 14, 2016, a Registration Statement on Form S-8 (File No. 333-203097) with respect to 1,746,673 shares of Common Stock issuable under the Prior Plan filed with the Commission on March 30, 2015, and a Registration Statement on Form S-8 (File No. 333-191992) with respect to 1,786,209 shares of Common Stock issuable under the Prior Plan and 2,368,797 shares of Common Stock issuable under the Veracyte, Inc. 2008 Stock Plan filed with the Commission on October 30, 2013 (each a “Registration Statement”, and collectively, the “Registration Statements”).</w:t>
      </w:r>
    </w:p>
    <w:p>
      <w:pPr>
        <w:spacing w:after="0" w:line="1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On June 8, 2023 (the “Effective Date”), the Registrant’s stockholders approved the Veracyte, Inc. 2023 Equity Incentive Plan (the “2023 Plan”), and in connection therewith, no further awards will be made under the Prior Plan as of and following the Effective Date. Pursuant to the terms of the 2023 Plan, the number of shares reserved and available for grant and issuance pursuant to the 2023 Plan is the number of reserved shares of Common Stock not issued or subject to outstanding grants under the Prior Plan on the Effective Date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Registrant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(collectively, the “Rollover Shares”).</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Accordingly, the Registrant is filing this Post-Effective Amendment No. 1 to Registration Statement on Form S-8 (the “Post-Effective Amendment”) pursuant to Item 512(a)(1)(iii) of Regulation S-K and SEC Compliance and Disclosure Interpretation 126.43 to amend each of the Registration Statements to register the offer of the Rollover Shares under the 2023 Plan (as such shares would no longer be issuable under the Prior Plan as of the Effective Date). In accordance with SEC Compliance and Disclosure Interpretation 126.43, no new filing fee is due upon the filing of this Post-Effective Amendment. This Post-Effective Amendment constitutes Post-Effective Amendment No. 1 to each of the Registration Statements. For the avoidance of doubt, the Company is not registering any additional shares of Common Stock on this Post-Effective Amendment that were not previously approved by the Company’s stockholders as of the Effective Date.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information specified in Part I of Form S-8 is omitted from this Post-Effective Amendment in accordance with the provisions of Rule 428 under the Securities Act of 1933, as amended (the “Securities Act”) and the Note to Part I of Form S-8. The documents containing the information specified in Part I of Form S-8 will be delivered to the participants in the equity benefit plans covered by this Post-Effective Amendment as specified by Rule 428(b)</w:t>
      </w:r>
    </w:p>
    <w:p>
      <w:pPr>
        <w:spacing w:after="0"/>
        <w:rPr>
          <w:sz w:val="20"/>
          <w:szCs w:val="20"/>
          <w:color w:val="auto"/>
        </w:rPr>
      </w:pPr>
      <w:r>
        <w:rPr>
          <w:rFonts w:ascii="Arial" w:cs="Arial" w:eastAsia="Arial" w:hAnsi="Arial"/>
          <w:sz w:val="18"/>
          <w:szCs w:val="18"/>
          <w:color w:val="auto"/>
        </w:rPr>
        <w:t>(1) under the Securities Act.</w:t>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documents filed by the Registrant with the Commission are hereby incorporated by reference in this Post-Effective Amendment:</w:t>
      </w:r>
    </w:p>
    <w:p>
      <w:pPr>
        <w:spacing w:after="0" w:line="194" w:lineRule="exact"/>
        <w:rPr>
          <w:sz w:val="20"/>
          <w:szCs w:val="20"/>
          <w:color w:val="auto"/>
        </w:rPr>
      </w:pPr>
    </w:p>
    <w:p>
      <w:pPr>
        <w:ind w:left="1040" w:hanging="384"/>
        <w:spacing w:after="0"/>
        <w:tabs>
          <w:tab w:leader="none" w:pos="1040" w:val="left"/>
        </w:tabs>
        <w:numPr>
          <w:ilvl w:val="0"/>
          <w:numId w:val="1"/>
        </w:numPr>
        <w:rPr>
          <w:rFonts w:ascii="Arial" w:cs="Arial" w:eastAsia="Arial" w:hAnsi="Arial"/>
          <w:sz w:val="17"/>
          <w:szCs w:val="17"/>
          <w:u w:val="single" w:color="auto"/>
          <w:color w:val="0000FF"/>
        </w:rPr>
      </w:pPr>
      <w:hyperlink r:id="rId8">
        <w:r>
          <w:rPr>
            <w:rFonts w:ascii="Arial" w:cs="Arial" w:eastAsia="Arial" w:hAnsi="Arial"/>
            <w:sz w:val="17"/>
            <w:szCs w:val="17"/>
            <w:u w:val="single" w:color="auto"/>
            <w:color w:val="0000FF"/>
          </w:rPr>
          <w:t>The Registrant’s Annual Report on Form 10-K for the year ended December 31, 2022, filed with the Commission on March 1, 2023.</w:t>
        </w:r>
      </w:hyperlink>
    </w:p>
    <w:p>
      <w:pPr>
        <w:spacing w:after="0" w:line="209" w:lineRule="exact"/>
        <w:rPr>
          <w:rFonts w:ascii="Arial" w:cs="Arial" w:eastAsia="Arial" w:hAnsi="Arial"/>
          <w:sz w:val="17"/>
          <w:szCs w:val="17"/>
          <w:u w:val="single" w:color="auto"/>
          <w:color w:val="0000FF"/>
        </w:rPr>
      </w:pPr>
    </w:p>
    <w:p>
      <w:pPr>
        <w:jc w:val="both"/>
        <w:ind w:left="980" w:hanging="324"/>
        <w:spacing w:after="0" w:line="263" w:lineRule="auto"/>
        <w:tabs>
          <w:tab w:leader="none" w:pos="1058"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w:t>
      </w:r>
    </w:p>
    <w:p>
      <w:pPr>
        <w:spacing w:after="0" w:line="129" w:lineRule="exact"/>
        <w:rPr>
          <w:rFonts w:ascii="Arial" w:cs="Arial" w:eastAsia="Arial" w:hAnsi="Arial"/>
          <w:sz w:val="18"/>
          <w:szCs w:val="18"/>
          <w:color w:val="auto"/>
        </w:rPr>
      </w:pPr>
    </w:p>
    <w:p>
      <w:pPr>
        <w:jc w:val="both"/>
        <w:ind w:left="980" w:hanging="324"/>
        <w:spacing w:after="0" w:line="243" w:lineRule="auto"/>
        <w:tabs>
          <w:tab w:leader="none" w:pos="1068" w:val="left"/>
        </w:tabs>
        <w:numPr>
          <w:ilvl w:val="0"/>
          <w:numId w:val="1"/>
        </w:numPr>
        <w:rPr>
          <w:rFonts w:ascii="Arial" w:cs="Arial" w:eastAsia="Arial" w:hAnsi="Arial"/>
          <w:sz w:val="18"/>
          <w:szCs w:val="18"/>
          <w:color w:val="0000FF"/>
        </w:rPr>
      </w:pPr>
      <w:hyperlink r:id="rId9">
        <w:r>
          <w:rPr>
            <w:rFonts w:ascii="Arial" w:cs="Arial" w:eastAsia="Arial" w:hAnsi="Arial"/>
            <w:sz w:val="18"/>
            <w:szCs w:val="18"/>
            <w:u w:val="single" w:color="auto"/>
            <w:color w:val="0000FF"/>
          </w:rPr>
          <w:t>The description of the Registrant’s Common Stock contained in Registrant’s registration statement on Form 8-A, filed on October 28, 2013</w:t>
        </w:r>
      </w:hyperlink>
      <w:r>
        <w:rPr>
          <w:rFonts w:ascii="Arial" w:cs="Arial" w:eastAsia="Arial" w:hAnsi="Arial"/>
          <w:sz w:val="18"/>
          <w:szCs w:val="18"/>
          <w:u w:val="single" w:color="auto"/>
          <w:color w:val="0000FF"/>
        </w:rPr>
        <w:t xml:space="preserve"> </w:t>
      </w:r>
      <w:hyperlink r:id="rId9">
        <w:r>
          <w:rPr>
            <w:rFonts w:ascii="Arial" w:cs="Arial" w:eastAsia="Arial" w:hAnsi="Arial"/>
            <w:sz w:val="18"/>
            <w:szCs w:val="18"/>
            <w:u w:val="single" w:color="auto"/>
            <w:color w:val="0000FF"/>
          </w:rPr>
          <w:t>pursuant to Section 12(b) of the Exchange Act</w:t>
        </w:r>
        <w:r>
          <w:rPr>
            <w:rFonts w:ascii="Arial" w:cs="Arial" w:eastAsia="Arial" w:hAnsi="Arial"/>
            <w:sz w:val="18"/>
            <w:szCs w:val="18"/>
            <w:color w:val="000000"/>
          </w:rPr>
          <w:t>, including any amendment or report filed for the purpose of updating such description,</w:t>
        </w:r>
      </w:hyperlink>
      <w:r>
        <w:rPr>
          <w:rFonts w:ascii="Arial" w:cs="Arial" w:eastAsia="Arial" w:hAnsi="Arial"/>
          <w:sz w:val="18"/>
          <w:szCs w:val="18"/>
          <w:color w:val="0000FF"/>
        </w:rPr>
        <w:t xml:space="preserve"> </w:t>
      </w:r>
      <w:hyperlink r:id="rId10">
        <w:r>
          <w:rPr>
            <w:rFonts w:ascii="Arial" w:cs="Arial" w:eastAsia="Arial" w:hAnsi="Arial"/>
            <w:sz w:val="18"/>
            <w:szCs w:val="18"/>
            <w:u w:val="single" w:color="auto"/>
            <w:color w:val="0000FF"/>
          </w:rPr>
          <w:t>including Exhibit 4.2 to the Registrant's Annual Report on Form 10-K for the fiscal year ended December 31, 2020, filed with the</w:t>
        </w:r>
      </w:hyperlink>
      <w:r>
        <w:rPr>
          <w:rFonts w:ascii="Arial" w:cs="Arial" w:eastAsia="Arial" w:hAnsi="Arial"/>
          <w:sz w:val="18"/>
          <w:szCs w:val="18"/>
          <w:u w:val="single" w:color="auto"/>
          <w:color w:val="0000FF"/>
        </w:rPr>
        <w:t xml:space="preserve"> </w:t>
      </w:r>
      <w:hyperlink r:id="rId10">
        <w:r>
          <w:rPr>
            <w:rFonts w:ascii="Arial" w:cs="Arial" w:eastAsia="Arial" w:hAnsi="Arial"/>
            <w:sz w:val="18"/>
            <w:szCs w:val="18"/>
            <w:u w:val="single" w:color="auto"/>
            <w:color w:val="0000FF"/>
          </w:rPr>
          <w:t>Commission on February 22, 2021</w:t>
        </w:r>
      </w:hyperlink>
      <w:r>
        <w:rPr>
          <w:rFonts w:ascii="Arial" w:cs="Arial" w:eastAsia="Arial" w:hAnsi="Arial"/>
          <w:sz w:val="18"/>
          <w:szCs w:val="18"/>
          <w:color w:val="000000"/>
        </w:rPr>
        <w:t>.</w:t>
      </w:r>
    </w:p>
    <w:p>
      <w:pPr>
        <w:spacing w:after="0" w:line="215" w:lineRule="exact"/>
        <w:rPr>
          <w:rFonts w:ascii="Arial" w:cs="Arial" w:eastAsia="Arial" w:hAnsi="Arial"/>
          <w:sz w:val="18"/>
          <w:szCs w:val="18"/>
          <w:color w:val="0000FF"/>
        </w:rPr>
      </w:pPr>
    </w:p>
    <w:p>
      <w:pPr>
        <w:jc w:val="both"/>
        <w:ind w:firstLine="648"/>
        <w:spacing w:after="0" w:line="252"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Post-Effective Amendment and prior to the filing of a post-effective amendment to this Post-Effective Amendment which indicates that all securities offered hereby have been sold or which deregisters all securities then remaining unsold, shall be deemed to be incorporated by reference into this Post-Effective Amendment and to be a part hereof from the date of filing such documents. Any statement contained in a document incorporated or deemed to be incorporated by reference herein shall be deemed to be modified or superseded for purposes of this Post-Effective Amendment to the extent that a statement contained in any subsequently filed document which also is deemed to be incorporated by reference herein modifies or supersedes such statement.</w:t>
      </w:r>
    </w:p>
    <w:p>
      <w:pPr>
        <w:spacing w:after="0" w:line="231"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97"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97"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70" w:lineRule="exact"/>
        <w:rPr>
          <w:rFonts w:ascii="Arial" w:cs="Arial" w:eastAsia="Arial" w:hAnsi="Arial"/>
          <w:sz w:val="18"/>
          <w:szCs w:val="18"/>
          <w:color w:val="0000FF"/>
        </w:rPr>
      </w:pPr>
    </w:p>
    <w:p>
      <w:pPr>
        <w:jc w:val="both"/>
        <w:ind w:firstLine="648"/>
        <w:spacing w:after="0" w:line="294" w:lineRule="auto"/>
        <w:rPr>
          <w:sz w:val="20"/>
          <w:szCs w:val="20"/>
          <w:color w:val="auto"/>
        </w:rPr>
      </w:pPr>
      <w:r>
        <w:rPr>
          <w:rFonts w:ascii="Arial" w:cs="Arial" w:eastAsia="Arial" w:hAnsi="Arial"/>
          <w:sz w:val="16"/>
          <w:szCs w:val="16"/>
          <w:color w:val="auto"/>
        </w:rPr>
        <w:t>Section 145 of the Delaware General Corporation Law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161" w:lineRule="exact"/>
        <w:rPr>
          <w:rFonts w:ascii="Arial" w:cs="Arial" w:eastAsia="Arial" w:hAnsi="Arial"/>
          <w:sz w:val="18"/>
          <w:szCs w:val="18"/>
          <w:color w:val="0000FF"/>
        </w:rPr>
      </w:pPr>
    </w:p>
    <w:p>
      <w:pPr>
        <w:jc w:val="both"/>
        <w:ind w:firstLine="648"/>
        <w:spacing w:after="0" w:line="243" w:lineRule="auto"/>
        <w:rPr>
          <w:sz w:val="20"/>
          <w:szCs w:val="20"/>
          <w:color w:val="auto"/>
        </w:rPr>
      </w:pPr>
      <w:r>
        <w:rPr>
          <w:rFonts w:ascii="Arial" w:cs="Arial" w:eastAsia="Arial" w:hAnsi="Arial"/>
          <w:sz w:val="18"/>
          <w:szCs w:val="18"/>
          <w:color w:val="auto"/>
        </w:rPr>
        <w:t>The Registrant’s restated certificate of incorporation contains provisions that eliminate the personal liability of the Registrant’s directors to the Registrant or the Registrant’s stockholders for monetary damages for breach of fiduciary duty to the fullest extent permitted by the DGCL. Consequently, the Registrant’s directors are not personally liable to the Registrant or the Registrant’s stockholders for monetary damages for any breach of fiduciary duties as directors, except liability for:</w:t>
      </w:r>
    </w:p>
    <w:p>
      <w:pPr>
        <w:spacing w:after="0" w:line="215" w:lineRule="exact"/>
        <w:rPr>
          <w:rFonts w:ascii="Arial" w:cs="Arial" w:eastAsia="Arial" w:hAnsi="Arial"/>
          <w:sz w:val="18"/>
          <w:szCs w:val="18"/>
          <w:color w:val="0000FF"/>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the Registrant’s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ectPr>
          <w:pgSz w:w="11900" w:h="16838" w:orient="portrait"/>
          <w:cols w:equalWidth="0" w:num="1">
            <w:col w:w="11240"/>
          </w:cols>
          <w:pgMar w:left="320" w:top="891" w:right="339" w:bottom="1440" w:gutter="0" w:footer="0" w:header="0"/>
        </w:sectPr>
      </w:pPr>
    </w:p>
    <w:bookmarkStart w:id="4" w:name="page5"/>
    <w:bookmarkEnd w:id="4"/>
    <w:p>
      <w:pPr>
        <w:jc w:val="both"/>
        <w:ind w:firstLine="648"/>
        <w:spacing w:after="0" w:line="259" w:lineRule="auto"/>
        <w:rPr>
          <w:sz w:val="20"/>
          <w:szCs w:val="20"/>
          <w:color w:val="auto"/>
        </w:rPr>
      </w:pPr>
      <w:r>
        <w:rPr>
          <w:rFonts w:ascii="Arial" w:cs="Arial" w:eastAsia="Arial" w:hAnsi="Arial"/>
          <w:sz w:val="17"/>
          <w:szCs w:val="17"/>
          <w:color w:val="auto"/>
        </w:rPr>
        <w:t>The Registrant’s restated certificate of incorporation and the Registrant’s amended and restated bylaws require the Registrant to indemnify its directors and officers to the maximum extent not prohibited by the DGCL and allow it to indemnify other employees and agents as authorized by its Board of Directors or by the action of a committee of the Board of Directors or designated officers established by or designated in resolutions approved by its Board of Directors. Subject to certain limitations, the Registrant’s amended and restated bylaws also require it to advance expenses incurred by its directors and officers for the defense of any action for which indemnification is required or permitted.</w:t>
      </w:r>
    </w:p>
    <w:p>
      <w:pPr>
        <w:spacing w:after="0" w:line="2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Registrant has entered, and intends to continue to enter, into separate indemnification agreements with its directors, officers and certain other employees, in addition to the indemnification provided for in its restated certificate of incorporation and amended and restated bylaws. These agreements, among other things, require the Registrant to indemnify its directors, officers and certain other employees for certain expenses, including attorneys’ fees, judgments, penalties, fines and settlement amounts actually incurred by these individuals in any action or proceeding arising out of their service to the Registrant or any of its subsidiaries or any other company or enterprise to which these individuals provide services at the Registrant’s request. Subject to certain limitations, the Registrant’s indemnification agreements also require it to advance expenses incurred by its directors, officers and certain other employees for the defense of any action for which indemnification is required or permitted.</w:t>
      </w:r>
    </w:p>
    <w:p>
      <w:pPr>
        <w:spacing w:after="0" w:line="21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Registrant currently carries liability insurance for its directors and officers. The indemnification provisions in the Registrant’s restated certificate of incorporation, amended and restated bylaws and the indemnification agreements entered into between the Registrant and each of its directors and officers is sufficiently broad to permit indemnification of the Registrant’s directors and officers for liabilities arising under the Securities Act.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response to Item 9 of this Post-Effective Amendment.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00" w:type="dxa"/>
            <w:vAlign w:val="bottom"/>
            <w:gridSpan w:val="2"/>
          </w:tcPr>
          <w:p>
            <w:pPr>
              <w:ind w:left="300"/>
              <w:spacing w:after="0"/>
              <w:rPr>
                <w:sz w:val="20"/>
                <w:szCs w:val="20"/>
                <w:color w:val="auto"/>
              </w:rPr>
            </w:pPr>
            <w:r>
              <w:rPr>
                <w:rFonts w:ascii="Arial" w:cs="Arial" w:eastAsia="Arial" w:hAnsi="Arial"/>
                <w:sz w:val="18"/>
                <w:szCs w:val="18"/>
                <w:color w:val="auto"/>
                <w:w w:val="92"/>
              </w:rPr>
              <w:t>Incorporated by Reference</w:t>
            </w: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2"/>
              </w:rPr>
              <w:t>Filed</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80"/>
              <w:spacing w:after="0"/>
              <w:rPr>
                <w:sz w:val="20"/>
                <w:szCs w:val="20"/>
                <w:color w:val="auto"/>
              </w:rPr>
            </w:pPr>
            <w:r>
              <w:rPr>
                <w:rFonts w:ascii="Arial" w:cs="Arial" w:eastAsia="Arial" w:hAnsi="Arial"/>
                <w:sz w:val="18"/>
                <w:szCs w:val="18"/>
                <w:color w:val="auto"/>
              </w:rPr>
              <w:t>Exhibit No.</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60" w:type="dxa"/>
            <w:vAlign w:val="bottom"/>
            <w:gridSpan w:val="13"/>
          </w:tcPr>
          <w:p>
            <w:pPr>
              <w:ind w:left="120"/>
              <w:spacing w:after="0"/>
              <w:rPr>
                <w:sz w:val="20"/>
                <w:szCs w:val="20"/>
                <w:color w:val="auto"/>
              </w:rPr>
            </w:pPr>
            <w:r>
              <w:rPr>
                <w:rFonts w:ascii="Arial" w:cs="Arial" w:eastAsia="Arial" w:hAnsi="Arial"/>
                <w:sz w:val="18"/>
                <w:szCs w:val="18"/>
                <w:color w:val="auto"/>
              </w:rPr>
              <w:t>Description</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Form</w:t>
            </w:r>
          </w:p>
        </w:tc>
        <w:tc>
          <w:tcPr>
            <w:tcW w:w="1120" w:type="dxa"/>
            <w:vAlign w:val="bottom"/>
          </w:tcPr>
          <w:p>
            <w:pPr>
              <w:ind w:left="240"/>
              <w:spacing w:after="0"/>
              <w:rPr>
                <w:sz w:val="20"/>
                <w:szCs w:val="20"/>
                <w:color w:val="auto"/>
              </w:rPr>
            </w:pPr>
            <w:r>
              <w:rPr>
                <w:rFonts w:ascii="Arial" w:cs="Arial" w:eastAsia="Arial" w:hAnsi="Arial"/>
                <w:sz w:val="18"/>
                <w:szCs w:val="18"/>
                <w:color w:val="auto"/>
              </w:rPr>
              <w:t>File No.</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1080" w:type="dxa"/>
            <w:vAlign w:val="bottom"/>
          </w:tcPr>
          <w:p>
            <w:pPr>
              <w:ind w:left="120"/>
              <w:spacing w:after="0"/>
              <w:rPr>
                <w:sz w:val="20"/>
                <w:szCs w:val="20"/>
                <w:color w:val="auto"/>
              </w:rPr>
            </w:pPr>
            <w:r>
              <w:rPr>
                <w:rFonts w:ascii="Arial" w:cs="Arial" w:eastAsia="Arial" w:hAnsi="Arial"/>
                <w:sz w:val="18"/>
                <w:szCs w:val="18"/>
                <w:color w:val="auto"/>
              </w:rPr>
              <w:t>Filing Date</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Herewith</w:t>
            </w: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3900" w:type="dxa"/>
            <w:vAlign w:val="bottom"/>
            <w:tcBorders>
              <w:bottom w:val="single" w:sz="8" w:color="0000FF"/>
            </w:tcBorders>
            <w:gridSpan w:val="7"/>
          </w:tcPr>
          <w:p>
            <w:pPr>
              <w:spacing w:after="0"/>
              <w:rPr>
                <w:rFonts w:ascii="Arial" w:cs="Arial" w:eastAsia="Arial" w:hAnsi="Arial"/>
                <w:sz w:val="18"/>
                <w:szCs w:val="18"/>
                <w:color w:val="0000FF"/>
                <w:w w:val="91"/>
              </w:rPr>
            </w:pPr>
            <w:hyperlink r:id="rId11">
              <w:r>
                <w:rPr>
                  <w:rFonts w:ascii="Arial" w:cs="Arial" w:eastAsia="Arial" w:hAnsi="Arial"/>
                  <w:sz w:val="18"/>
                  <w:szCs w:val="18"/>
                  <w:color w:val="0000FF"/>
                  <w:w w:val="91"/>
                </w:rPr>
                <w:t>Restated Certificate of Incorporation of the Registrant</w:t>
              </w:r>
            </w:hyperlink>
          </w:p>
        </w:tc>
        <w:tc>
          <w:tcPr>
            <w:tcW w:w="1120" w:type="dxa"/>
            <w:vAlign w:val="bottom"/>
            <w:gridSpan w:val="8"/>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20"/>
              <w:spacing w:after="0"/>
              <w:rPr>
                <w:sz w:val="20"/>
                <w:szCs w:val="20"/>
                <w:color w:val="auto"/>
              </w:rPr>
            </w:pPr>
            <w:r>
              <w:rPr>
                <w:rFonts w:ascii="Arial" w:cs="Arial" w:eastAsia="Arial" w:hAnsi="Arial"/>
                <w:sz w:val="18"/>
                <w:szCs w:val="18"/>
                <w:color w:val="auto"/>
              </w:rPr>
              <w:t>4.2</w:t>
            </w:r>
          </w:p>
        </w:tc>
        <w:tc>
          <w:tcPr>
            <w:tcW w:w="5020" w:type="dxa"/>
            <w:vAlign w:val="bottom"/>
            <w:gridSpan w:val="15"/>
          </w:tcPr>
          <w:p>
            <w:pPr>
              <w:spacing w:after="0"/>
              <w:rPr>
                <w:rFonts w:ascii="Arial" w:cs="Arial" w:eastAsia="Arial" w:hAnsi="Arial"/>
                <w:sz w:val="18"/>
                <w:szCs w:val="18"/>
                <w:color w:val="0000FF"/>
              </w:rPr>
            </w:pPr>
            <w:hyperlink r:id="rId12">
              <w:r>
                <w:rPr>
                  <w:rFonts w:ascii="Arial" w:cs="Arial" w:eastAsia="Arial" w:hAnsi="Arial"/>
                  <w:sz w:val="18"/>
                  <w:szCs w:val="18"/>
                  <w:color w:val="0000FF"/>
                </w:rPr>
                <w:t>Amended and Restated Bylaws of the Registrant</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2/10/2023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4.3</w:t>
            </w:r>
          </w:p>
        </w:tc>
        <w:tc>
          <w:tcPr>
            <w:tcW w:w="3500" w:type="dxa"/>
            <w:vAlign w:val="bottom"/>
            <w:tcBorders>
              <w:top w:val="single" w:sz="8" w:color="0000FF"/>
            </w:tcBorders>
            <w:gridSpan w:val="6"/>
          </w:tcPr>
          <w:p>
            <w:pPr>
              <w:spacing w:after="0"/>
              <w:rPr>
                <w:rFonts w:ascii="Arial" w:cs="Arial" w:eastAsia="Arial" w:hAnsi="Arial"/>
                <w:sz w:val="18"/>
                <w:szCs w:val="18"/>
                <w:color w:val="0000FF"/>
              </w:rPr>
            </w:pPr>
            <w:hyperlink r:id="rId13">
              <w:r>
                <w:rPr>
                  <w:rFonts w:ascii="Arial" w:cs="Arial" w:eastAsia="Arial" w:hAnsi="Arial"/>
                  <w:sz w:val="18"/>
                  <w:szCs w:val="18"/>
                  <w:color w:val="0000FF"/>
                </w:rPr>
                <w:t>Form of Common Stock Certificate</w:t>
              </w:r>
            </w:hyperlink>
          </w:p>
        </w:tc>
        <w:tc>
          <w:tcPr>
            <w:tcW w:w="1520" w:type="dxa"/>
            <w:vAlign w:val="bottom"/>
            <w:gridSpan w:val="9"/>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10/15/2013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0" w:type="dxa"/>
            <w:vAlign w:val="bottom"/>
          </w:tcPr>
          <w:p>
            <w:pPr>
              <w:ind w:left="20"/>
              <w:spacing w:after="0"/>
              <w:rPr>
                <w:sz w:val="20"/>
                <w:szCs w:val="20"/>
                <w:color w:val="auto"/>
              </w:rPr>
            </w:pPr>
            <w:r>
              <w:rPr>
                <w:rFonts w:ascii="Arial" w:cs="Arial" w:eastAsia="Arial" w:hAnsi="Arial"/>
                <w:sz w:val="18"/>
                <w:szCs w:val="18"/>
                <w:color w:val="auto"/>
              </w:rPr>
              <w:t>5.1</w:t>
            </w:r>
          </w:p>
        </w:tc>
        <w:tc>
          <w:tcPr>
            <w:tcW w:w="25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Opinion of Fenwick &amp; West LLP</w:t>
            </w:r>
          </w:p>
        </w:tc>
        <w:tc>
          <w:tcPr>
            <w:tcW w:w="2460" w:type="dxa"/>
            <w:vAlign w:val="bottom"/>
            <w:gridSpan w:val="11"/>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70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23.2</w:t>
            </w:r>
          </w:p>
        </w:tc>
        <w:tc>
          <w:tcPr>
            <w:tcW w:w="5020" w:type="dxa"/>
            <w:vAlign w:val="bottom"/>
            <w:gridSpan w:val="15"/>
          </w:tcPr>
          <w:p>
            <w:pPr>
              <w:spacing w:after="0"/>
              <w:rPr>
                <w:sz w:val="20"/>
                <w:szCs w:val="20"/>
                <w:color w:val="auto"/>
              </w:rPr>
            </w:pPr>
            <w:r>
              <w:rPr>
                <w:rFonts w:ascii="Arial" w:cs="Arial" w:eastAsia="Arial" w:hAnsi="Arial"/>
                <w:sz w:val="18"/>
                <w:szCs w:val="18"/>
                <w:color w:val="0000FF"/>
              </w:rPr>
              <w:t>Consent of Fenwick &amp; West LLP (included in Exhibit 5.1)</w:t>
            </w: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24.1</w:t>
            </w:r>
          </w:p>
        </w:tc>
        <w:tc>
          <w:tcPr>
            <w:tcW w:w="42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w w:val="94"/>
              </w:rPr>
              <w:t>Power of Attorney (contained on signature page hereto)</w:t>
            </w:r>
          </w:p>
        </w:tc>
        <w:tc>
          <w:tcPr>
            <w:tcW w:w="820" w:type="dxa"/>
            <w:vAlign w:val="bottom"/>
            <w:gridSpan w:val="5"/>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99.1</w:t>
            </w:r>
          </w:p>
        </w:tc>
        <w:tc>
          <w:tcPr>
            <w:tcW w:w="4380" w:type="dxa"/>
            <w:vAlign w:val="bottom"/>
            <w:tcBorders>
              <w:bottom w:val="single" w:sz="8" w:color="0000FF"/>
            </w:tcBorders>
            <w:gridSpan w:val="12"/>
          </w:tcPr>
          <w:p>
            <w:pPr>
              <w:spacing w:after="0"/>
              <w:rPr>
                <w:rFonts w:ascii="Arial" w:cs="Arial" w:eastAsia="Arial" w:hAnsi="Arial"/>
                <w:sz w:val="18"/>
                <w:szCs w:val="18"/>
                <w:color w:val="0000FF"/>
                <w:w w:val="89"/>
              </w:rPr>
            </w:pPr>
            <w:hyperlink r:id="rId14">
              <w:r>
                <w:rPr>
                  <w:rFonts w:ascii="Arial" w:cs="Arial" w:eastAsia="Arial" w:hAnsi="Arial"/>
                  <w:sz w:val="18"/>
                  <w:szCs w:val="18"/>
                  <w:color w:val="0000FF"/>
                  <w:w w:val="89"/>
                </w:rPr>
                <w:t>2008 Stock Option Plan and forms of agreements thereunder</w:t>
              </w:r>
            </w:hyperlink>
          </w:p>
        </w:tc>
        <w:tc>
          <w:tcPr>
            <w:tcW w:w="640" w:type="dxa"/>
            <w:vAlign w:val="bottom"/>
            <w:gridSpan w:val="3"/>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9/20/2013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99.2</w:t>
            </w:r>
          </w:p>
        </w:tc>
        <w:tc>
          <w:tcPr>
            <w:tcW w:w="2840" w:type="dxa"/>
            <w:vAlign w:val="bottom"/>
            <w:tcBorders>
              <w:bottom w:val="single" w:sz="8" w:color="0000FF"/>
            </w:tcBorders>
            <w:gridSpan w:val="5"/>
          </w:tcPr>
          <w:p>
            <w:pPr>
              <w:spacing w:after="0"/>
              <w:rPr>
                <w:rFonts w:ascii="Arial" w:cs="Arial" w:eastAsia="Arial" w:hAnsi="Arial"/>
                <w:sz w:val="18"/>
                <w:szCs w:val="18"/>
                <w:color w:val="0000FF"/>
                <w:w w:val="88"/>
              </w:rPr>
            </w:pPr>
            <w:hyperlink r:id="rId15">
              <w:r>
                <w:rPr>
                  <w:rFonts w:ascii="Arial" w:cs="Arial" w:eastAsia="Arial" w:hAnsi="Arial"/>
                  <w:sz w:val="18"/>
                  <w:szCs w:val="18"/>
                  <w:color w:val="0000FF"/>
                  <w:w w:val="88"/>
                </w:rPr>
                <w:t>2013 Stock Incentive Plan, as amended</w:t>
              </w:r>
            </w:hyperlink>
          </w:p>
        </w:tc>
        <w:tc>
          <w:tcPr>
            <w:tcW w:w="2180" w:type="dxa"/>
            <w:vAlign w:val="bottom"/>
            <w:gridSpan w:val="10"/>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99.3</w:t>
            </w:r>
          </w:p>
        </w:tc>
        <w:tc>
          <w:tcPr>
            <w:tcW w:w="5020" w:type="dxa"/>
            <w:vAlign w:val="bottom"/>
            <w:gridSpan w:val="15"/>
          </w:tcPr>
          <w:p>
            <w:pPr>
              <w:spacing w:after="0"/>
              <w:rPr>
                <w:rFonts w:ascii="Arial" w:cs="Arial" w:eastAsia="Arial" w:hAnsi="Arial"/>
                <w:sz w:val="18"/>
                <w:szCs w:val="18"/>
                <w:color w:val="0000FF"/>
                <w:w w:val="94"/>
              </w:rPr>
            </w:pPr>
            <w:hyperlink r:id="rId16">
              <w:r>
                <w:rPr>
                  <w:rFonts w:ascii="Arial" w:cs="Arial" w:eastAsia="Arial" w:hAnsi="Arial"/>
                  <w:sz w:val="18"/>
                  <w:szCs w:val="18"/>
                  <w:color w:val="0000FF"/>
                  <w:w w:val="94"/>
                </w:rPr>
                <w:t>Form of stock option award agreement under 2013 Stock Incentive</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11/2/2020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8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Plan</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99.4</w:t>
            </w:r>
          </w:p>
        </w:tc>
        <w:tc>
          <w:tcPr>
            <w:tcW w:w="5020" w:type="dxa"/>
            <w:vAlign w:val="bottom"/>
            <w:gridSpan w:val="15"/>
          </w:tcPr>
          <w:p>
            <w:pPr>
              <w:spacing w:after="0"/>
              <w:rPr>
                <w:rFonts w:ascii="Arial" w:cs="Arial" w:eastAsia="Arial" w:hAnsi="Arial"/>
                <w:sz w:val="18"/>
                <w:szCs w:val="18"/>
                <w:color w:val="0000FF"/>
                <w:w w:val="97"/>
              </w:rPr>
            </w:pPr>
            <w:hyperlink r:id="rId17">
              <w:r>
                <w:rPr>
                  <w:rFonts w:ascii="Arial" w:cs="Arial" w:eastAsia="Arial" w:hAnsi="Arial"/>
                  <w:sz w:val="18"/>
                  <w:szCs w:val="18"/>
                  <w:color w:val="0000FF"/>
                  <w:w w:val="97"/>
                </w:rPr>
                <w:t>Form of stock unit award agreement under 2013 Stock Incentive</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11/2/2020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6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Plan</w:t>
              </w:r>
            </w:hyperlink>
          </w:p>
        </w:tc>
        <w:tc>
          <w:tcPr>
            <w:tcW w:w="3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99.5</w:t>
            </w:r>
          </w:p>
        </w:tc>
        <w:tc>
          <w:tcPr>
            <w:tcW w:w="5020" w:type="dxa"/>
            <w:vAlign w:val="bottom"/>
            <w:gridSpan w:val="15"/>
          </w:tcPr>
          <w:p>
            <w:pPr>
              <w:spacing w:after="0"/>
              <w:rPr>
                <w:rFonts w:ascii="Arial" w:cs="Arial" w:eastAsia="Arial" w:hAnsi="Arial"/>
                <w:sz w:val="18"/>
                <w:szCs w:val="18"/>
                <w:color w:val="0000FF"/>
              </w:rPr>
            </w:pPr>
            <w:hyperlink r:id="rId18">
              <w:r>
                <w:rPr>
                  <w:rFonts w:ascii="Arial" w:cs="Arial" w:eastAsia="Arial" w:hAnsi="Arial"/>
                  <w:sz w:val="18"/>
                  <w:szCs w:val="18"/>
                  <w:color w:val="0000FF"/>
                </w:rPr>
                <w:t>2023 Equity Incentive Plan</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6"/>
              </w:rPr>
              <w:t>DEF 14-A</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04/27/2023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99.6</w:t>
            </w:r>
          </w:p>
        </w:tc>
        <w:tc>
          <w:tcPr>
            <w:tcW w:w="5020" w:type="dxa"/>
            <w:vAlign w:val="bottom"/>
            <w:gridSpan w:val="15"/>
          </w:tcPr>
          <w:p>
            <w:pPr>
              <w:spacing w:after="0"/>
              <w:rPr>
                <w:sz w:val="20"/>
                <w:szCs w:val="20"/>
                <w:color w:val="auto"/>
              </w:rPr>
            </w:pPr>
            <w:r>
              <w:rPr>
                <w:rFonts w:ascii="Arial" w:cs="Arial" w:eastAsia="Arial" w:hAnsi="Arial"/>
                <w:sz w:val="18"/>
                <w:szCs w:val="18"/>
                <w:color w:val="0000FF"/>
              </w:rPr>
              <w:t>Form of agreements under the 2023 Equity Incentive Plan</w:t>
            </w: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24" w:right="339" w:bottom="1440" w:gutter="0" w:footer="0" w:header="0"/>
        </w:sectPr>
      </w:pPr>
    </w:p>
    <w:bookmarkStart w:id="5" w:name="page6"/>
    <w:bookmarkEnd w:id="5"/>
    <w:p>
      <w:pPr>
        <w:spacing w:after="0" w:line="180"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undersigned Registrant hereby undertakes:</w:t>
      </w:r>
    </w:p>
    <w:p>
      <w:pPr>
        <w:spacing w:after="0" w:line="212" w:lineRule="exact"/>
        <w:rPr>
          <w:sz w:val="20"/>
          <w:szCs w:val="20"/>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Post-Effective Amendment:</w:t>
      </w:r>
    </w:p>
    <w:p>
      <w:pPr>
        <w:spacing w:after="0" w:line="2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12" w:lineRule="exact"/>
        <w:rPr>
          <w:sz w:val="20"/>
          <w:szCs w:val="20"/>
          <w:color w:val="auto"/>
        </w:rPr>
      </w:pPr>
    </w:p>
    <w:p>
      <w:pPr>
        <w:jc w:val="both"/>
        <w:ind w:firstLine="656"/>
        <w:spacing w:after="0" w:line="276" w:lineRule="auto"/>
        <w:tabs>
          <w:tab w:leader="none" w:pos="923"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1" w:lineRule="exact"/>
        <w:rPr>
          <w:rFonts w:ascii="Arial" w:cs="Arial" w:eastAsia="Arial" w:hAnsi="Arial"/>
          <w:sz w:val="16"/>
          <w:szCs w:val="16"/>
          <w:color w:val="auto"/>
        </w:rPr>
      </w:pPr>
    </w:p>
    <w:p>
      <w:pPr>
        <w:ind w:firstLine="656"/>
        <w:spacing w:after="0" w:line="261" w:lineRule="auto"/>
        <w:tabs>
          <w:tab w:leader="none" w:pos="9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Post-Effective Amendment.</w:t>
      </w:r>
    </w:p>
    <w:p>
      <w:pPr>
        <w:spacing w:after="0" w:line="182" w:lineRule="exact"/>
        <w:rPr>
          <w:sz w:val="20"/>
          <w:szCs w:val="20"/>
          <w:color w:val="auto"/>
        </w:rPr>
      </w:pPr>
    </w:p>
    <w:p>
      <w:pPr>
        <w:jc w:val="both"/>
        <w:ind w:firstLine="656"/>
        <w:spacing w:after="0" w:line="248" w:lineRule="auto"/>
        <w:tabs>
          <w:tab w:leader="none" w:pos="9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656"/>
        <w:spacing w:after="0" w:line="261" w:lineRule="auto"/>
        <w:tabs>
          <w:tab w:leader="none" w:pos="9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1" w:lineRule="exact"/>
        <w:rPr>
          <w:sz w:val="20"/>
          <w:szCs w:val="20"/>
          <w:color w:val="auto"/>
        </w:rPr>
      </w:pPr>
    </w:p>
    <w:p>
      <w:pPr>
        <w:jc w:val="both"/>
        <w:ind w:firstLine="656"/>
        <w:spacing w:after="0" w:line="241" w:lineRule="auto"/>
        <w:tabs>
          <w:tab w:leader="none" w:pos="92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Arial" w:cs="Arial" w:eastAsia="Arial" w:hAnsi="Arial"/>
          <w:sz w:val="18"/>
          <w:szCs w:val="18"/>
          <w:color w:val="auto"/>
        </w:rPr>
      </w:pPr>
    </w:p>
    <w:p>
      <w:pPr>
        <w:jc w:val="both"/>
        <w:ind w:firstLine="656"/>
        <w:spacing w:after="0" w:line="238" w:lineRule="auto"/>
        <w:tabs>
          <w:tab w:leader="none" w:pos="90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Pursuant to the requirements of the Securities Act, the Registrant certifies that it has reasonable grounds to believe that it meets all of the requirements for filing on Form S-8 and has duly caused this Post-Effective Amendment No. 1 to the Registration Statements on Form S-8 to be signed on its behalf by the undersigned, thereunto duly authorized in the City of South San Francisco, State of California, on the 8th day of June, 2023.</w:t>
      </w:r>
    </w:p>
    <w:p>
      <w:pPr>
        <w:spacing w:after="0" w:line="20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VERACYTE, INC.</w:t>
      </w:r>
    </w:p>
    <w:p>
      <w:pPr>
        <w:spacing w:after="0" w:line="63" w:lineRule="exact"/>
        <w:rPr>
          <w:sz w:val="20"/>
          <w:szCs w:val="20"/>
          <w:color w:val="auto"/>
        </w:rPr>
      </w:pPr>
    </w:p>
    <w:p>
      <w:pPr>
        <w:ind w:left="526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wp:posOffset>
            </wp:positionV>
            <wp:extent cx="270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Marc Stapley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Marc Stapley and Rebecca Chambers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Post-Effective Amendment No. 1 to the Registration Statements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Post-Effective Amendment No. 1 to the Registration Statements on Form S-8 has been signed by the following persons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2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5"/>
              </w:rPr>
              <w:t>/s/ MARC STAPLEY</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Executive Officer and 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41"/>
        </w:trPr>
        <w:tc>
          <w:tcPr>
            <w:tcW w:w="1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08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Executive Officer)</w:t>
            </w: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Marc Stapley</w:t>
            </w:r>
          </w:p>
        </w:tc>
        <w:tc>
          <w:tcPr>
            <w:tcW w:w="50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4"/>
              </w:rPr>
              <w:t>/s/ REBECCA CHAMBERS</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Financial Officer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41"/>
        </w:trPr>
        <w:tc>
          <w:tcPr>
            <w:tcW w:w="1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08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Financial Officer)</w:t>
            </w: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6"/>
              </w:rPr>
              <w:t>Rebecca Chambers</w:t>
            </w:r>
          </w:p>
        </w:tc>
        <w:tc>
          <w:tcPr>
            <w:tcW w:w="50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7"/>
              </w:rPr>
              <w:t>/s/ JONATHAN WYGANT</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Accounting Officer (Principal Accounting Officer)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8"/>
              </w:rPr>
              <w:t>Jonathan Wygant</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/s/ ROBERT S. EPSTEIN</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Chairperson, 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9"/>
              </w:rPr>
              <w:t>Robert S. Epstein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JOHN L. BISHOP</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43"/>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2"/>
              </w:rPr>
              <w:t>John L. Bishop</w:t>
            </w:r>
          </w:p>
        </w:tc>
        <w:tc>
          <w:tcPr>
            <w:tcW w:w="2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6"/>
              </w:rPr>
              <w:t>/s/ ELIAV BARR</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5"/>
              </w:rPr>
              <w:t>Eliav Barr, M.D.</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8"/>
              </w:rPr>
              <w:t>/s/ MUNA BHANJI</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3"/>
              </w:rPr>
              <w:t>Muna Bhanji</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9"/>
              </w:rPr>
              <w:t>/s/ KARIN EASTHAM</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Karin Eastham</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3"/>
              </w:rPr>
              <w:t>/s/ JENS HOLSTEIN</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8"/>
              </w:rPr>
              <w:t>Jens Holstein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2"/>
              </w:rPr>
              <w:t>/s/ EVAN JONES</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7"/>
              </w:rPr>
              <w:t>Evan Jones</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ind w:left="10100"/>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340350"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extLst>
                    </a:blip>
                    <a:srcRect/>
                    <a:stretch>
                      <a:fillRect/>
                    </a:stretch>
                  </pic:blipFill>
                  <pic:spPr bwMode="auto">
                    <a:xfrm>
                      <a:off x="0" y="0"/>
                      <a:ext cx="53403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June 8, 2023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Veracyte,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6000 Shoreline Court, Suite 300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South San Francisco, California 94080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 Post-Effective Amendment No. 1 to Registration Statements on Form S-8</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As counsel to Veracyte,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we have examined the Post-Effective Amendment No. 1 to Registration Statements No. 333-270147, 333-263116, 333-253363, 333-236630, 333-229848, 333-223292, 333-216388, 333-210185, 333-203097 and 333-191992 on Form S-8 (the “</w:t>
      </w:r>
      <w:r>
        <w:rPr>
          <w:rFonts w:ascii="Arial" w:cs="Arial" w:eastAsia="Arial" w:hAnsi="Arial"/>
          <w:sz w:val="19"/>
          <w:szCs w:val="19"/>
          <w:b w:val="1"/>
          <w:bCs w:val="1"/>
          <w:i w:val="1"/>
          <w:iCs w:val="1"/>
          <w:color w:val="auto"/>
        </w:rPr>
        <w:t>Post-Effective Amendment</w:t>
      </w:r>
      <w:r>
        <w:rPr>
          <w:rFonts w:ascii="Arial" w:cs="Arial" w:eastAsia="Arial" w:hAnsi="Arial"/>
          <w:sz w:val="19"/>
          <w:szCs w:val="19"/>
          <w:color w:val="auto"/>
        </w:rPr>
        <w:t>”) to be filed by the Company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or about June 8, 2023 in connection with the registration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of an aggregate number of shares of the Company’s Common Stock, $0.001 par value per share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equal to such shares of Common Stock not issued or subject to outstanding grants under the Company’s 2013 Stock Incentive Plan (the “</w:t>
      </w:r>
      <w:r>
        <w:rPr>
          <w:rFonts w:ascii="Arial" w:cs="Arial" w:eastAsia="Arial" w:hAnsi="Arial"/>
          <w:sz w:val="19"/>
          <w:szCs w:val="19"/>
          <w:b w:val="1"/>
          <w:bCs w:val="1"/>
          <w:i w:val="1"/>
          <w:iCs w:val="1"/>
          <w:color w:val="auto"/>
        </w:rPr>
        <w:t>Prior Plan</w:t>
      </w:r>
      <w:r>
        <w:rPr>
          <w:rFonts w:ascii="Arial" w:cs="Arial" w:eastAsia="Arial" w:hAnsi="Arial"/>
          <w:sz w:val="19"/>
          <w:szCs w:val="19"/>
          <w:color w:val="auto"/>
        </w:rPr>
        <w:t>”) on June 8, 2023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Company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(such shares of Common Stock collectively,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reserved and subject to issuance by the Company upon the exercise or settlement of awards to be granted under the Company’s 2023 Equity Incentive Plan (the “</w:t>
      </w:r>
      <w:r>
        <w:rPr>
          <w:rFonts w:ascii="Arial" w:cs="Arial" w:eastAsia="Arial" w:hAnsi="Arial"/>
          <w:sz w:val="19"/>
          <w:szCs w:val="19"/>
          <w:b w:val="1"/>
          <w:bCs w:val="1"/>
          <w:i w:val="1"/>
          <w:iCs w:val="1"/>
          <w:color w:val="auto"/>
        </w:rPr>
        <w:t>2023 Plan</w:t>
      </w:r>
      <w:r>
        <w:rPr>
          <w:rFonts w:ascii="Arial" w:cs="Arial" w:eastAsia="Arial" w:hAnsi="Arial"/>
          <w:sz w:val="19"/>
          <w:szCs w:val="19"/>
          <w:color w:val="auto"/>
        </w:rPr>
        <w:t>”).</w:t>
      </w:r>
    </w:p>
    <w:p>
      <w:pPr>
        <w:spacing w:after="0" w:line="1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(the “</w:t>
      </w:r>
      <w:r>
        <w:rPr>
          <w:rFonts w:ascii="Arial" w:cs="Arial" w:eastAsia="Arial" w:hAnsi="Arial"/>
          <w:sz w:val="21"/>
          <w:szCs w:val="21"/>
          <w:b w:val="1"/>
          <w:bCs w:val="1"/>
          <w:i w:val="1"/>
          <w:iCs w:val="1"/>
          <w:color w:val="auto"/>
        </w:rPr>
        <w:t>Opinion Certificate</w:t>
      </w:r>
      <w:r>
        <w:rPr>
          <w:rFonts w:ascii="Arial" w:cs="Arial" w:eastAsia="Arial" w:hAnsi="Arial"/>
          <w:sz w:val="21"/>
          <w:szCs w:val="21"/>
          <w:color w:val="auto"/>
        </w:rPr>
        <w:t>”).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w:t>
      </w:r>
    </w:p>
    <w:p>
      <w:pPr>
        <w:spacing w:after="0" w:line="1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our examination of documents for purposes of this letter, we have assumed, and express no opinion as to, the genuineness and authenticity of all signatures on original</w:t>
      </w:r>
    </w:p>
    <w:p>
      <w:pPr>
        <w:sectPr>
          <w:pgSz w:w="11900" w:h="16838" w:orient="portrait"/>
          <w:cols w:equalWidth="0" w:num="1">
            <w:col w:w="11240"/>
          </w:cols>
          <w:pgMar w:left="320" w:top="115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June 8, 2023</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9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Arial" w:cs="Arial" w:eastAsia="Arial" w:hAnsi="Arial"/>
          <w:sz w:val="19"/>
          <w:szCs w:val="19"/>
          <w:b w:val="1"/>
          <w:bCs w:val="1"/>
          <w:i w:val="1"/>
          <w:iCs w:val="1"/>
          <w:color w:val="auto"/>
        </w:rPr>
        <w:t>EDGAR</w:t>
      </w:r>
      <w:r>
        <w:rPr>
          <w:rFonts w:ascii="Arial" w:cs="Arial" w:eastAsia="Arial" w:hAnsi="Arial"/>
          <w:sz w:val="19"/>
          <w:szCs w:val="19"/>
          <w:color w:val="auto"/>
        </w:rPr>
        <w:t>”), except for required EDGAR formatting changes, to physical copies submitted for our examination.</w:t>
      </w:r>
    </w:p>
    <w:p>
      <w:pPr>
        <w:spacing w:after="0" w:line="1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opinions in this letter are limited to the existing General Corporation Law of the State of Delaware now in effect. We express no opinion with respect to any other laws.</w:t>
      </w:r>
    </w:p>
    <w:p>
      <w:pPr>
        <w:spacing w:after="0" w:line="1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Based upon, and subject to, the foregoing, it is our opinion that the Shares, when issued and sold by the Company in accordance with the terms (including, without limitation, payment and authorization provisions) of the 2023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spacing w:after="0" w:line="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consent to the use of this opinion as an exhibit to the Post-Effective Amendment and further consent to all references to us, if any, in the Post-Effective Amendment, the prospectuses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This opinion is intended solely for your use in connection with the issuance and sale of the Shares subject to the Post-Effective Amendment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-17780</wp:posOffset>
            </wp:positionV>
            <wp:extent cx="1495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extLst>
                    </a:blip>
                    <a:srcRect/>
                    <a:stretch>
                      <a:fillRect/>
                    </a:stretch>
                  </pic:blipFill>
                  <pic:spPr bwMode="auto">
                    <a:xfrm>
                      <a:off x="0" y="0"/>
                      <a:ext cx="1495425" cy="8255"/>
                    </a:xfrm>
                    <a:prstGeom prst="rect">
                      <a:avLst/>
                    </a:prstGeom>
                    <a:noFill/>
                  </pic:spPr>
                </pic:pic>
              </a:graphicData>
            </a:graphic>
          </wp:anchor>
        </w:drawing>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FENWICK &amp; WEST LLP</w:t>
      </w:r>
    </w:p>
    <w:p>
      <w:pPr>
        <w:sectPr>
          <w:pgSz w:w="11900" w:h="16838" w:orient="portrait"/>
          <w:cols w:equalWidth="0" w:num="1">
            <w:col w:w="11240"/>
          </w:cols>
          <w:pgMar w:left="320" w:top="13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We consent to the incorporation by reference in the Post-Effective Amendment No. 1 to the Registration Statements (Form S-8) pertaining to the Veracyte, Inc. 2008 Stock Plan, Veracyte, Inc. 2013 Stock Incentive Plan and Veracyte, Inc. 2023 Equity Incentive Plan of our reports dated February 28, 2023, with respect to the consolidated financial statements of Veracyte, Inc. and the effectiveness of internal control over financial reporting of Veracyte, Inc. included in its Annual Report (Form 10-K) for the year ended December 31, 2022, filed with the Securities and Exchange Commission.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June 8, 2023</w:t>
      </w:r>
    </w:p>
    <w:p>
      <w:pPr>
        <w:sectPr>
          <w:pgSz w:w="11900" w:h="16838" w:orient="portrait"/>
          <w:cols w:equalWidth="0" w:num="1">
            <w:col w:w="11240"/>
          </w:cols>
          <w:pgMar w:left="320" w:top="1417" w:right="339" w:bottom="1440" w:gutter="0" w:footer="0" w:header="0"/>
        </w:sectPr>
      </w:pPr>
    </w:p>
    <w:bookmarkStart w:id="10" w:name="page11"/>
    <w:bookmarkEnd w:id="10"/>
    <w:p>
      <w:pPr>
        <w:ind w:left="10120"/>
        <w:spacing w:after="0"/>
        <w:rPr>
          <w:sz w:val="20"/>
          <w:szCs w:val="20"/>
          <w:color w:val="auto"/>
        </w:rPr>
      </w:pPr>
      <w:r>
        <w:rPr>
          <w:rFonts w:ascii="Arial" w:cs="Arial" w:eastAsia="Arial" w:hAnsi="Arial"/>
          <w:sz w:val="19"/>
          <w:szCs w:val="19"/>
          <w:b w:val="1"/>
          <w:bCs w:val="1"/>
          <w:color w:val="auto"/>
        </w:rPr>
        <w:t>Exhibit 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STOCK OPTION GRANT</w:t>
      </w:r>
    </w:p>
    <w:p>
      <w:pPr>
        <w:spacing w:after="0" w:line="26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Unless otherwise defined in this Notice of Global Stock Option Grant (this “</w:t>
      </w:r>
      <w:r>
        <w:rPr>
          <w:rFonts w:ascii="Arial" w:cs="Arial" w:eastAsia="Arial" w:hAnsi="Arial"/>
          <w:sz w:val="21"/>
          <w:szCs w:val="21"/>
          <w:b w:val="1"/>
          <w:bCs w:val="1"/>
          <w:i w:val="1"/>
          <w:iCs w:val="1"/>
          <w:color w:val="auto"/>
        </w:rPr>
        <w:t>Notice</w:t>
      </w:r>
      <w:r>
        <w:rPr>
          <w:rFonts w:ascii="Arial" w:cs="Arial" w:eastAsia="Arial" w:hAnsi="Arial"/>
          <w:sz w:val="21"/>
          <w:szCs w:val="21"/>
          <w:color w:val="auto"/>
        </w:rPr>
        <w:t>”), any capitalized terms used herein shall have the meaning ascribed to them in the Veracyte,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2023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option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to purchase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under the Plan, subject to the terms and conditions of the Plan, the attached Global Stock Option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23"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following schedule: [</w:t>
      </w:r>
      <w:r>
        <w:rPr>
          <w:rFonts w:ascii="Arial" w:cs="Arial" w:eastAsia="Arial" w:hAnsi="Arial"/>
          <w:sz w:val="22"/>
          <w:szCs w:val="22"/>
          <w:i w:val="1"/>
          <w:iCs w:val="1"/>
          <w:color w:val="auto"/>
        </w:rPr>
        <w:t>Veracyte to insert vesting schedule</w:t>
      </w:r>
      <w:r>
        <w:rPr>
          <w:rFonts w:ascii="Arial" w:cs="Arial" w:eastAsia="Arial" w:hAnsi="Arial"/>
          <w:sz w:val="22"/>
          <w:szCs w:val="22"/>
          <w:color w:val="auto"/>
        </w:rPr>
        <w:t>]</w:t>
      </w:r>
    </w:p>
    <w:p>
      <w:pPr>
        <w:spacing w:after="0" w:line="381"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Option</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98" w:right="339" w:bottom="1440" w:gutter="0" w:footer="0" w:header="0"/>
        </w:sectPr>
      </w:pPr>
    </w:p>
    <w:bookmarkStart w:id="11" w:name="page12"/>
    <w:bookmarkEnd w:id="11"/>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Option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6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xml:space="preserve">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12" w:name="page13"/>
    <w:bookmarkEnd w:id="12"/>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Unless otherwise defined in the Notice of Global Stock Option Grant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to which this Global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5" w:lineRule="exact"/>
        <w:rPr>
          <w:sz w:val="20"/>
          <w:szCs w:val="20"/>
          <w:color w:val="auto"/>
        </w:rPr>
      </w:pPr>
    </w:p>
    <w:p>
      <w:pPr>
        <w:jc w:val="both"/>
        <w:ind w:firstLine="656"/>
        <w:spacing w:after="0" w:line="225" w:lineRule="auto"/>
        <w:tabs>
          <w:tab w:leader="none" w:pos="1039" w:val="left"/>
        </w:tabs>
        <w:numPr>
          <w:ilvl w:val="1"/>
          <w:numId w:val="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2" w:lineRule="auto"/>
        <w:tabs>
          <w:tab w:leader="none" w:pos="426"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Participant’s continuing Service, and may be exercised, in whole or in part, during its term in accordance with the Vesting Schedule as set forth in the Notice.</w:t>
      </w:r>
    </w:p>
    <w:p>
      <w:pPr>
        <w:spacing w:after="0" w:line="154"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8"/>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3(c))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jc w:val="both"/>
        <w:ind w:firstLine="1304"/>
        <w:spacing w:after="0" w:line="214" w:lineRule="auto"/>
        <w:tabs>
          <w:tab w:leader="none" w:pos="1785" w:val="left"/>
        </w:tabs>
        <w:numPr>
          <w:ilvl w:val="2"/>
          <w:numId w:val="8"/>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xml:space="preserve">. Except as provided in the Notice or as provided otherwise by the Committee, and subject to the Plan, if Participant’s Service terminates because of Participant’s death (or Participant dies within three (3) months after Participant’s Service terminates </w:t>
      </w:r>
      <w:r>
        <w:rPr>
          <w:rFonts w:ascii="Arial" w:cs="Arial" w:eastAsia="Arial" w:hAnsi="Arial"/>
          <w:sz w:val="22"/>
          <w:szCs w:val="22"/>
          <w:u w:val="single" w:color="auto"/>
          <w:color w:val="auto"/>
        </w:rPr>
        <w:t>except</w:t>
      </w:r>
      <w:r>
        <w:rPr>
          <w:rFonts w:ascii="Arial" w:cs="Arial" w:eastAsia="Arial" w:hAnsi="Arial"/>
          <w:sz w:val="22"/>
          <w:szCs w:val="22"/>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w:t>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months after the Termination Date, but in any event no later than the Expiration Date of the Option as set forth in the Notice.</w:t>
      </w:r>
    </w:p>
    <w:p>
      <w:pPr>
        <w:spacing w:after="0" w:line="214" w:lineRule="exact"/>
        <w:rPr>
          <w:sz w:val="20"/>
          <w:szCs w:val="20"/>
          <w:color w:val="auto"/>
        </w:rPr>
      </w:pPr>
    </w:p>
    <w:p>
      <w:pPr>
        <w:jc w:val="both"/>
        <w:ind w:firstLine="1304"/>
        <w:spacing w:after="0" w:line="220" w:lineRule="auto"/>
        <w:tabs>
          <w:tab w:leader="none" w:pos="1809"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153" w:lineRule="exact"/>
        <w:rPr>
          <w:rFonts w:ascii="Arial" w:cs="Arial" w:eastAsia="Arial" w:hAnsi="Arial"/>
          <w:sz w:val="21"/>
          <w:szCs w:val="21"/>
          <w:color w:val="010000"/>
        </w:rPr>
      </w:pPr>
    </w:p>
    <w:p>
      <w:pPr>
        <w:ind w:left="1040" w:hanging="384"/>
        <w:spacing w:after="0"/>
        <w:tabs>
          <w:tab w:leader="none" w:pos="1040" w:val="left"/>
        </w:tabs>
        <w:numPr>
          <w:ilvl w:val="0"/>
          <w:numId w:val="1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firstLine="1304"/>
        <w:spacing w:after="0" w:line="223" w:lineRule="auto"/>
        <w:tabs>
          <w:tab w:leader="none" w:pos="1810" w:val="left"/>
        </w:tabs>
        <w:numPr>
          <w:ilvl w:val="1"/>
          <w:numId w:val="10"/>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4" w:name="page15"/>
    <w:bookmarkEnd w:id="14"/>
    <w:p>
      <w:pPr>
        <w:jc w:val="both"/>
        <w:ind w:left="-220" w:firstLine="1304"/>
        <w:spacing w:after="0" w:line="246" w:lineRule="auto"/>
        <w:tabs>
          <w:tab w:leader="none" w:pos="1709" w:val="left"/>
        </w:tabs>
        <w:numPr>
          <w:ilvl w:val="1"/>
          <w:numId w:val="11"/>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11"/>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11"/>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0" w:val="left"/>
        </w:tabs>
        <w:numPr>
          <w:ilvl w:val="0"/>
          <w:numId w:val="1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12"/>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jc w:val="both"/>
        <w:ind w:left="-220" w:firstLine="1304"/>
        <w:spacing w:after="0" w:line="216" w:lineRule="auto"/>
        <w:tabs>
          <w:tab w:leader="none" w:pos="1582"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 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7" w:lineRule="exact"/>
        <w:rPr>
          <w:rFonts w:ascii="Arial" w:cs="Arial" w:eastAsia="Arial" w:hAnsi="Arial"/>
          <w:sz w:val="22"/>
          <w:szCs w:val="22"/>
          <w:color w:val="010000"/>
        </w:rPr>
      </w:pPr>
    </w:p>
    <w:p>
      <w:pPr>
        <w:ind w:left="1540" w:hanging="456"/>
        <w:spacing w:after="0"/>
        <w:tabs>
          <w:tab w:leader="none" w:pos="154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0"/>
          </w:cols>
          <w:pgMar w:left="540" w:top="1401" w:right="339" w:bottom="1440" w:gutter="0" w:footer="0" w:header="0"/>
        </w:sectPr>
      </w:pPr>
    </w:p>
    <w:bookmarkStart w:id="15" w:name="page16"/>
    <w:bookmarkEnd w:id="15"/>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1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1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38" w:lineRule="auto"/>
        <w:tabs>
          <w:tab w:leader="none" w:pos="1769" w:val="left"/>
        </w:tabs>
        <w:numPr>
          <w:ilvl w:val="2"/>
          <w:numId w:val="13"/>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i w:val="1"/>
          <w:iCs w:val="1"/>
          <w:color w:val="auto"/>
        </w:rPr>
        <w:t>PARTICIPANT SHOULD CONSULT A TAX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6" w:name="page17"/>
    <w:bookmarkEnd w:id="16"/>
    <w:p>
      <w:pPr>
        <w:jc w:val="both"/>
        <w:spacing w:after="0" w:line="223" w:lineRule="auto"/>
        <w:rPr>
          <w:sz w:val="20"/>
          <w:szCs w:val="20"/>
          <w:color w:val="auto"/>
        </w:rPr>
      </w:pP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9" w:lineRule="exact"/>
        <w:rPr>
          <w:sz w:val="20"/>
          <w:szCs w:val="20"/>
          <w:color w:val="auto"/>
        </w:rPr>
      </w:pPr>
    </w:p>
    <w:p>
      <w:pPr>
        <w:jc w:val="both"/>
        <w:ind w:firstLine="1304"/>
        <w:spacing w:after="0" w:line="257" w:lineRule="auto"/>
        <w:tabs>
          <w:tab w:leader="none" w:pos="1794" w:val="left"/>
        </w:tabs>
        <w:numPr>
          <w:ilvl w:val="0"/>
          <w:numId w:val="14"/>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14"/>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14"/>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14"/>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14"/>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14"/>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7" w:name="page18"/>
    <w:bookmarkEnd w:id="17"/>
    <w:p>
      <w:pPr>
        <w:jc w:val="both"/>
        <w:ind w:firstLine="1304"/>
        <w:spacing w:after="0" w:line="249" w:lineRule="auto"/>
        <w:tabs>
          <w:tab w:leader="none" w:pos="1880" w:val="left"/>
        </w:tabs>
        <w:numPr>
          <w:ilvl w:val="1"/>
          <w:numId w:val="15"/>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99" w:val="left"/>
        </w:tabs>
        <w:numPr>
          <w:ilvl w:val="0"/>
          <w:numId w:val="1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any special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16"/>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1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794"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 awards, or benefits in lieu thereof, even if Options or other equity awards have been granted in the past;</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1"/>
          <w:numId w:val="16"/>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Company;</w:t>
      </w:r>
    </w:p>
    <w:p>
      <w:pPr>
        <w:spacing w:after="0" w:line="161" w:lineRule="exact"/>
        <w:rPr>
          <w:rFonts w:ascii="Arial" w:cs="Arial" w:eastAsia="Arial" w:hAnsi="Arial"/>
          <w:sz w:val="19"/>
          <w:szCs w:val="19"/>
          <w:color w:val="010000"/>
        </w:rPr>
      </w:pPr>
    </w:p>
    <w:p>
      <w:pPr>
        <w:ind w:firstLine="1304"/>
        <w:spacing w:after="0" w:line="232" w:lineRule="auto"/>
        <w:tabs>
          <w:tab w:leader="none" w:pos="1802"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8" w:name="page19"/>
    <w:bookmarkEnd w:id="18"/>
    <w:p>
      <w:pPr>
        <w:spacing w:after="0" w:line="298" w:lineRule="auto"/>
        <w:rPr>
          <w:sz w:val="20"/>
          <w:szCs w:val="20"/>
          <w:color w:val="auto"/>
        </w:rPr>
      </w:pPr>
      <w:r>
        <w:rPr>
          <w:rFonts w:ascii="Arial" w:cs="Arial" w:eastAsia="Arial" w:hAnsi="Arial"/>
          <w:sz w:val="19"/>
          <w:szCs w:val="19"/>
          <w:color w:val="auto"/>
        </w:rPr>
        <w:t>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05" w:lineRule="exact"/>
        <w:rPr>
          <w:sz w:val="20"/>
          <w:szCs w:val="20"/>
          <w:color w:val="auto"/>
        </w:rPr>
      </w:pPr>
    </w:p>
    <w:p>
      <w:pPr>
        <w:ind w:firstLine="1304"/>
        <w:spacing w:after="0" w:line="298" w:lineRule="auto"/>
        <w:tabs>
          <w:tab w:leader="none" w:pos="1982"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17"/>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52"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9" w:name="page20"/>
    <w:bookmarkEnd w:id="19"/>
    <w:p>
      <w:pPr>
        <w:ind w:left="920" w:hanging="484"/>
        <w:spacing w:after="0"/>
        <w:tabs>
          <w:tab w:leader="none" w:pos="920" w:val="left"/>
        </w:tabs>
        <w:numPr>
          <w:ilvl w:val="0"/>
          <w:numId w:val="1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010000"/>
        </w:rPr>
      </w:pPr>
    </w:p>
    <w:p>
      <w:pPr>
        <w:jc w:val="both"/>
        <w:ind w:left="-220" w:firstLine="1304"/>
        <w:spacing w:after="0" w:line="257" w:lineRule="auto"/>
        <w:tabs>
          <w:tab w:leader="none" w:pos="1585"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20"/>
          </w:cols>
          <w:pgMar w:left="540" w:top="1395" w:right="339" w:bottom="1440" w:gutter="0" w:footer="0" w:header="0"/>
        </w:sectPr>
      </w:pPr>
    </w:p>
    <w:bookmarkStart w:id="20" w:name="page21"/>
    <w:bookmarkEnd w:id="20"/>
    <w:p>
      <w:pPr>
        <w:spacing w:after="0" w:line="298" w:lineRule="auto"/>
        <w:rPr>
          <w:sz w:val="20"/>
          <w:szCs w:val="20"/>
          <w:color w:val="auto"/>
        </w:rPr>
      </w:pPr>
      <w:r>
        <w:rPr>
          <w:rFonts w:ascii="Arial" w:cs="Arial" w:eastAsia="Arial" w:hAnsi="Arial"/>
          <w:sz w:val="19"/>
          <w:szCs w:val="19"/>
          <w:b w:val="1"/>
          <w:bCs w:val="1"/>
          <w:i w:val="1"/>
          <w:iCs w:val="1"/>
          <w:color w:val="auto"/>
        </w:rPr>
        <w:t>Data would be compliance with the relevant laws or regulations. When the Company no longer needs Participant’s Personal Data for any of the above purposes, Participant understands the Company will remove it from its systems.</w:t>
      </w:r>
    </w:p>
    <w:p>
      <w:pPr>
        <w:spacing w:after="0" w:line="105" w:lineRule="exact"/>
        <w:rPr>
          <w:sz w:val="20"/>
          <w:szCs w:val="20"/>
          <w:color w:val="auto"/>
        </w:rPr>
      </w:pPr>
    </w:p>
    <w:p>
      <w:pPr>
        <w:jc w:val="both"/>
        <w:ind w:firstLine="1304"/>
        <w:spacing w:after="0" w:line="221" w:lineRule="auto"/>
        <w:tabs>
          <w:tab w:leader="none" w:pos="2032" w:val="left"/>
        </w:tabs>
        <w:numPr>
          <w:ilvl w:val="1"/>
          <w:numId w:val="19"/>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firstLine="1304"/>
        <w:spacing w:after="0" w:line="255" w:lineRule="auto"/>
        <w:tabs>
          <w:tab w:leader="none" w:pos="1766" w:val="left"/>
        </w:tabs>
        <w:numPr>
          <w:ilvl w:val="1"/>
          <w:numId w:val="19"/>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firstLine="1304"/>
        <w:spacing w:after="0" w:line="246" w:lineRule="auto"/>
        <w:tabs>
          <w:tab w:leader="none" w:pos="1719" w:val="left"/>
        </w:tabs>
        <w:numPr>
          <w:ilvl w:val="1"/>
          <w:numId w:val="19"/>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010000"/>
        </w:rPr>
      </w:pPr>
    </w:p>
    <w:p>
      <w:pPr>
        <w:jc w:val="both"/>
        <w:ind w:firstLine="656"/>
        <w:spacing w:after="0" w:line="230" w:lineRule="auto"/>
        <w:tabs>
          <w:tab w:leader="none" w:pos="1152" w:val="left"/>
        </w:tabs>
        <w:numPr>
          <w:ilvl w:val="0"/>
          <w:numId w:val="20"/>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Insider Trading Restrictions/Market Abuse Laws</w:t>
      </w:r>
      <w:r>
        <w:rPr>
          <w:rFonts w:ascii="Arial" w:cs="Arial" w:eastAsia="Arial" w:hAnsi="Arial"/>
          <w:sz w:val="21"/>
          <w:szCs w:val="21"/>
          <w:color w:val="auto"/>
        </w:rPr>
        <w:t>. By participating in the Plan, Participant agrees to comply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21" w:name="page22"/>
    <w:bookmarkEnd w:id="21"/>
    <w:p>
      <w:pPr>
        <w:jc w:val="both"/>
        <w:spacing w:after="0" w:line="241" w:lineRule="auto"/>
        <w:rPr>
          <w:sz w:val="20"/>
          <w:szCs w:val="20"/>
          <w:color w:val="auto"/>
        </w:rPr>
      </w:pPr>
      <w:r>
        <w:rPr>
          <w:rFonts w:ascii="Arial" w:cs="Arial" w:eastAsia="Arial" w:hAnsi="Arial"/>
          <w:sz w:val="19"/>
          <w:szCs w:val="19"/>
          <w:color w:val="auto"/>
        </w:rPr>
        <w:t>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w:t>
      </w:r>
    </w:p>
    <w:p>
      <w:pPr>
        <w:spacing w:after="0" w:line="1" w:lineRule="exact"/>
        <w:rPr>
          <w:sz w:val="20"/>
          <w:szCs w:val="20"/>
          <w:color w:val="auto"/>
        </w:rPr>
      </w:pPr>
    </w:p>
    <w:p>
      <w:pPr>
        <w:jc w:val="both"/>
        <w:ind w:firstLine="8"/>
        <w:spacing w:after="0" w:line="214" w:lineRule="auto"/>
        <w:tabs>
          <w:tab w:leader="none" w:pos="311" w:val="left"/>
        </w:tabs>
        <w:numPr>
          <w:ilvl w:val="0"/>
          <w:numId w:val="21"/>
        </w:numPr>
        <w:rPr>
          <w:rFonts w:ascii="Arial" w:cs="Arial" w:eastAsia="Arial" w:hAnsi="Arial"/>
          <w:sz w:val="22"/>
          <w:szCs w:val="22"/>
          <w:color w:val="auto"/>
        </w:rPr>
      </w:pPr>
      <w:r>
        <w:rPr>
          <w:rFonts w:ascii="Arial" w:cs="Arial" w:eastAsia="Arial" w:hAnsi="Arial"/>
          <w:sz w:val="22"/>
          <w:szCs w:val="22"/>
          <w:color w:val="auto"/>
        </w:rPr>
        <w:t>“tipping”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22"/>
          <w:szCs w:val="22"/>
          <w:color w:val="auto"/>
        </w:rPr>
      </w:pPr>
    </w:p>
    <w:p>
      <w:pPr>
        <w:jc w:val="both"/>
        <w:ind w:firstLine="656"/>
        <w:spacing w:after="0" w:line="245" w:lineRule="auto"/>
        <w:tabs>
          <w:tab w:leader="none" w:pos="1233" w:val="left"/>
        </w:tabs>
        <w:numPr>
          <w:ilvl w:val="1"/>
          <w:numId w:val="2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firstLine="656"/>
        <w:spacing w:after="0" w:line="235" w:lineRule="auto"/>
        <w:tabs>
          <w:tab w:leader="none" w:pos="1198"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firstLine="656"/>
        <w:spacing w:after="0" w:line="225" w:lineRule="auto"/>
        <w:tabs>
          <w:tab w:leader="none" w:pos="1139"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158" w:val="left"/>
        </w:tabs>
        <w:numPr>
          <w:ilvl w:val="1"/>
          <w:numId w:val="2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firstLine="656"/>
        <w:spacing w:after="0" w:line="215" w:lineRule="auto"/>
        <w:tabs>
          <w:tab w:leader="none" w:pos="1148"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152" w:lineRule="exact"/>
        <w:rPr>
          <w:rFonts w:ascii="Arial" w:cs="Arial" w:eastAsia="Arial" w:hAnsi="Arial"/>
          <w:sz w:val="22"/>
          <w:szCs w:val="22"/>
          <w:b w:val="1"/>
          <w:bCs w:val="1"/>
          <w:color w:val="010000"/>
        </w:rPr>
      </w:pPr>
    </w:p>
    <w:p>
      <w:pPr>
        <w:jc w:val="both"/>
        <w:ind w:firstLine="656"/>
        <w:spacing w:after="0" w:line="230" w:lineRule="auto"/>
        <w:tabs>
          <w:tab w:leader="none" w:pos="1150" w:val="left"/>
        </w:tabs>
        <w:numPr>
          <w:ilvl w:val="1"/>
          <w:numId w:val="21"/>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Consent to Electronic Delivery of All Plan Documents and Disclosures</w:t>
      </w:r>
      <w:r>
        <w:rPr>
          <w:rFonts w:ascii="Arial" w:cs="Arial" w:eastAsia="Arial" w:hAnsi="Arial"/>
          <w:sz w:val="21"/>
          <w:szCs w:val="21"/>
          <w:color w:val="auto"/>
        </w:rPr>
        <w:t>. By acceptance of the Notice (whether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22" w:name="page23"/>
    <w:bookmarkEnd w:id="22"/>
    <w:p>
      <w:pPr>
        <w:jc w:val="both"/>
        <w:spacing w:after="0" w:line="241" w:lineRule="auto"/>
        <w:rPr>
          <w:sz w:val="20"/>
          <w:szCs w:val="20"/>
          <w:color w:val="auto"/>
        </w:rPr>
      </w:pPr>
      <w:r>
        <w:rPr>
          <w:rFonts w:ascii="Arial" w:cs="Arial" w:eastAsia="Arial" w:hAnsi="Arial"/>
          <w:sz w:val="19"/>
          <w:szCs w:val="19"/>
          <w:color w:val="auto"/>
        </w:rPr>
        <w:t xml:space="preserve">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any change in Participant’s residence address indicated in the Notice or any electronic mail address provided</w:t>
      </w:r>
      <w:r>
        <w:rPr>
          <w:rFonts w:ascii="Arial" w:cs="Arial" w:eastAsia="Arial" w:hAnsi="Arial"/>
          <w:sz w:val="19"/>
          <w:szCs w:val="19"/>
          <w:color w:val="auto"/>
        </w:rPr>
        <w:t>.</w:t>
      </w:r>
    </w:p>
    <w:p>
      <w:pPr>
        <w:spacing w:after="0" w:line="152" w:lineRule="exact"/>
        <w:rPr>
          <w:sz w:val="20"/>
          <w:szCs w:val="20"/>
          <w:color w:val="auto"/>
        </w:rPr>
      </w:pPr>
    </w:p>
    <w:p>
      <w:pPr>
        <w:jc w:val="both"/>
        <w:ind w:firstLine="656"/>
        <w:spacing w:after="0" w:line="254" w:lineRule="auto"/>
        <w:tabs>
          <w:tab w:leader="none" w:pos="1288" w:val="left"/>
        </w:tabs>
        <w:numPr>
          <w:ilvl w:val="0"/>
          <w:numId w:val="2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firstLine="656"/>
        <w:spacing w:after="0" w:line="220" w:lineRule="auto"/>
        <w:tabs>
          <w:tab w:leader="none" w:pos="1148" w:val="left"/>
        </w:tabs>
        <w:numPr>
          <w:ilvl w:val="0"/>
          <w:numId w:val="2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firstLine="656"/>
        <w:spacing w:after="0" w:line="215" w:lineRule="auto"/>
        <w:tabs>
          <w:tab w:leader="none" w:pos="1238" w:val="left"/>
        </w:tabs>
        <w:numPr>
          <w:ilvl w:val="0"/>
          <w:numId w:val="2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298" w:val="left"/>
        </w:tabs>
        <w:numPr>
          <w:ilvl w:val="0"/>
          <w:numId w:val="2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23" w:name="page24"/>
    <w:bookmarkEnd w:id="23"/>
    <w:p>
      <w:pPr>
        <w:jc w:val="both"/>
        <w:ind w:firstLine="656"/>
        <w:spacing w:after="0" w:line="220" w:lineRule="auto"/>
        <w:tabs>
          <w:tab w:leader="none" w:pos="1187" w:val="left"/>
        </w:tabs>
        <w:numPr>
          <w:ilvl w:val="0"/>
          <w:numId w:val="23"/>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2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ectPr>
          <w:pgSz w:w="11900" w:h="16838" w:orient="portrait"/>
          <w:cols w:equalWidth="0" w:num="1">
            <w:col w:w="11240"/>
          </w:cols>
          <w:pgMar w:left="320" w:top="1408"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26" w:name="page27"/>
    <w:bookmarkEnd w:id="26"/>
    <w:p>
      <w:pPr>
        <w:jc w:val="both"/>
        <w:spacing w:after="0" w:line="212"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 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shall not be required to issue, allot or transfer Shares until the Participant has satisfied this obligation.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28" w:name="page29"/>
    <w:bookmarkEnd w:id="28"/>
    <w:p>
      <w:pPr>
        <w:jc w:val="both"/>
        <w:spacing w:after="0" w:line="232" w:lineRule="auto"/>
        <w:rPr>
          <w:sz w:val="20"/>
          <w:szCs w:val="20"/>
          <w:color w:val="auto"/>
        </w:rPr>
      </w:pPr>
      <w:r>
        <w:rPr>
          <w:rFonts w:ascii="Arial" w:cs="Arial" w:eastAsia="Arial" w:hAnsi="Arial"/>
          <w:sz w:val="22"/>
          <w:szCs w:val="22"/>
          <w:color w:val="auto"/>
        </w:rPr>
        <w:t>development of the investment in non-resident entities by filing the corresponding D-8 form, within the first nine months of each calendar year.</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29" w:name="page30"/>
    <w:bookmarkEnd w:id="29"/>
    <w:p>
      <w:pPr>
        <w:spacing w:after="0" w:line="204"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 approved by the Company and Her Majesty’s Revenue &amp; Customs (a “</w:t>
      </w:r>
      <w:r>
        <w:rPr>
          <w:rFonts w:ascii="Arial" w:cs="Arial" w:eastAsia="Arial" w:hAnsi="Arial"/>
          <w:sz w:val="22"/>
          <w:szCs w:val="22"/>
          <w:b w:val="1"/>
          <w:bCs w:val="1"/>
          <w:i w:val="1"/>
          <w:iCs w:val="1"/>
          <w:color w:val="auto"/>
        </w:rPr>
        <w:t>Joint Election</w:t>
      </w:r>
      <w:r>
        <w:rPr>
          <w:rFonts w:ascii="Arial" w:cs="Arial" w:eastAsia="Arial" w:hAnsi="Arial"/>
          <w:sz w:val="22"/>
          <w:szCs w:val="22"/>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STOCK OPTION GRANT</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Performance Stock Option Grant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individual named below (the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has been granted an option (the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to purchase shares of Common Stock of the Company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xml:space="preserve">”) under the Plan, subject to the terms and conditions of the Plan, the Global Performance Stock Option Award Agreement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thereto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xml:space="preserve">”)) and this Notice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w:t>
      </w:r>
      <w:r>
        <w:rPr>
          <w:rFonts w:ascii="Arial" w:cs="Arial" w:eastAsia="Arial" w:hAnsi="Arial"/>
          <w:sz w:val="22"/>
          <w:szCs w:val="22"/>
          <w:b w:val="1"/>
          <w:bCs w:val="1"/>
          <w:i w:val="1"/>
          <w:iCs w:val="1"/>
          <w:color w:val="auto"/>
        </w:rPr>
        <w:t>Vesting Appendix</w:t>
      </w:r>
      <w:r>
        <w:rPr>
          <w:rFonts w:ascii="Arial" w:cs="Arial" w:eastAsia="Arial" w:hAnsi="Arial"/>
          <w:sz w:val="22"/>
          <w:szCs w:val="22"/>
          <w:color w:val="auto"/>
        </w:rPr>
        <w:t>”)), which incorporates the Plan and the Agreement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Vesting Appendix.</w:t>
      </w:r>
    </w:p>
    <w:p>
      <w:pPr>
        <w:spacing w:after="0" w:line="200" w:lineRule="exact"/>
        <w:rPr>
          <w:sz w:val="20"/>
          <w:szCs w:val="20"/>
          <w:color w:val="auto"/>
        </w:rPr>
      </w:pP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vesting of the Option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w:t>
      </w:r>
    </w:p>
    <w:p>
      <w:pPr>
        <w:sectPr>
          <w:pgSz w:w="11900" w:h="16838" w:orient="portrait"/>
          <w:cols w:equalWidth="0" w:num="1">
            <w:col w:w="11240"/>
          </w:cols>
          <w:pgMar w:left="320" w:top="1382" w:right="339" w:bottom="1440" w:gutter="0" w:footer="0" w:header="0"/>
        </w:sectPr>
      </w:pPr>
    </w:p>
    <w:bookmarkStart w:id="31" w:name="page32"/>
    <w:bookmarkEnd w:id="31"/>
    <w:p>
      <w:pPr>
        <w:jc w:val="both"/>
        <w:spacing w:after="0" w:line="244" w:lineRule="auto"/>
        <w:rPr>
          <w:sz w:val="20"/>
          <w:szCs w:val="20"/>
          <w:color w:val="auto"/>
        </w:rPr>
      </w:pPr>
      <w:r>
        <w:rPr>
          <w:rFonts w:ascii="Arial" w:cs="Arial" w:eastAsia="Arial" w:hAnsi="Arial"/>
          <w:sz w:val="19"/>
          <w:szCs w:val="19"/>
          <w:color w:val="auto"/>
        </w:rPr>
        <w:t>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5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32" w:name="page33"/>
    <w:bookmarkEnd w:id="32"/>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EXHIBIT B</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 xml:space="preserve">Unless otherwise defined in the Notice of Global Performance Stock Option Grant (the “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jc w:val="both"/>
        <w:ind w:firstLine="656"/>
        <w:spacing w:after="0" w:line="225" w:lineRule="auto"/>
        <w:tabs>
          <w:tab w:leader="none" w:pos="1039" w:val="left"/>
        </w:tabs>
        <w:numPr>
          <w:ilvl w:val="1"/>
          <w:numId w:val="25"/>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2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1" w:lineRule="auto"/>
        <w:tabs>
          <w:tab w:leader="none" w:pos="426"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both Participant’s continuing Service and satisfaction of any vesting and performance terms and conditions as set forth in the Vesting Appendix, and may be exercised, in whole or in part, during its term in accordance with the Vesting Schedule as set forth in the Notice.</w:t>
      </w:r>
    </w:p>
    <w:p>
      <w:pPr>
        <w:spacing w:after="0" w:line="153"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2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26"/>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3(d)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ind w:firstLine="1304"/>
        <w:spacing w:after="0" w:line="232" w:lineRule="auto"/>
        <w:tabs>
          <w:tab w:leader="none" w:pos="1785" w:val="left"/>
        </w:tabs>
        <w:numPr>
          <w:ilvl w:val="2"/>
          <w:numId w:val="26"/>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Except as provided in the Notice or as provided otherwise by the Committee, and subject to the Plan, if Participant’s Service terminates because of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34" w:name="page35"/>
    <w:bookmarkEnd w:id="34"/>
    <w:p>
      <w:pPr>
        <w:jc w:val="both"/>
        <w:spacing w:after="0" w:line="252" w:lineRule="auto"/>
        <w:rPr>
          <w:sz w:val="20"/>
          <w:szCs w:val="20"/>
          <w:color w:val="auto"/>
        </w:rPr>
      </w:pPr>
      <w:r>
        <w:rPr>
          <w:rFonts w:ascii="Arial" w:cs="Arial" w:eastAsia="Arial" w:hAnsi="Arial"/>
          <w:sz w:val="19"/>
          <w:szCs w:val="19"/>
          <w:color w:val="auto"/>
        </w:rPr>
        <w:t xml:space="preserve">death (or Participant dies within three (3) months after Participant’s Service terminates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 months after the Termination Date, but in any event no later than the Expiration Date of the Option as set forth in the Notice.</w:t>
      </w:r>
    </w:p>
    <w:p>
      <w:pPr>
        <w:spacing w:after="0" w:line="149" w:lineRule="exact"/>
        <w:rPr>
          <w:sz w:val="20"/>
          <w:szCs w:val="20"/>
          <w:color w:val="auto"/>
        </w:rPr>
      </w:pPr>
    </w:p>
    <w:p>
      <w:pPr>
        <w:jc w:val="both"/>
        <w:ind w:firstLine="1304"/>
        <w:spacing w:after="0" w:line="220" w:lineRule="auto"/>
        <w:tabs>
          <w:tab w:leader="none" w:pos="1809"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35" w:name="page36"/>
    <w:bookmarkEnd w:id="35"/>
    <w:p>
      <w:pPr>
        <w:ind w:left="820" w:hanging="384"/>
        <w:spacing w:after="0"/>
        <w:tabs>
          <w:tab w:leader="none" w:pos="820" w:val="left"/>
        </w:tabs>
        <w:numPr>
          <w:ilvl w:val="0"/>
          <w:numId w:val="2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23" w:lineRule="auto"/>
        <w:tabs>
          <w:tab w:leader="none" w:pos="1590"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158" w:lineRule="exact"/>
        <w:rPr>
          <w:rFonts w:ascii="Arial" w:cs="Arial" w:eastAsia="Arial" w:hAnsi="Arial"/>
          <w:sz w:val="22"/>
          <w:szCs w:val="22"/>
          <w:color w:val="010000"/>
        </w:rPr>
      </w:pPr>
    </w:p>
    <w:p>
      <w:pPr>
        <w:jc w:val="both"/>
        <w:ind w:left="-220" w:firstLine="1304"/>
        <w:spacing w:after="0" w:line="246" w:lineRule="auto"/>
        <w:tabs>
          <w:tab w:leader="none" w:pos="1709" w:val="left"/>
        </w:tabs>
        <w:numPr>
          <w:ilvl w:val="1"/>
          <w:numId w:val="28"/>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3" w:val="left"/>
        </w:tabs>
        <w:numPr>
          <w:ilvl w:val="0"/>
          <w:numId w:val="2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28"/>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ind w:left="-220" w:firstLine="1304"/>
        <w:spacing w:after="0" w:line="232" w:lineRule="auto"/>
        <w:tabs>
          <w:tab w:leader="none" w:pos="1582"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540" w:top="1395" w:right="339" w:bottom="1440" w:gutter="0" w:footer="0" w:header="0"/>
        </w:sectPr>
      </w:pPr>
    </w:p>
    <w:bookmarkStart w:id="36" w:name="page37"/>
    <w:bookmarkEnd w:id="36"/>
    <w:p>
      <w:pPr>
        <w:jc w:val="both"/>
        <w:spacing w:after="0" w:line="223" w:lineRule="auto"/>
        <w:rPr>
          <w:sz w:val="20"/>
          <w:szCs w:val="20"/>
          <w:color w:val="auto"/>
        </w:rPr>
      </w:pPr>
      <w:r>
        <w:rPr>
          <w:rFonts w:ascii="Arial" w:cs="Arial" w:eastAsia="Arial" w:hAnsi="Arial"/>
          <w:sz w:val="22"/>
          <w:szCs w:val="22"/>
          <w:color w:val="auto"/>
        </w:rPr>
        <w:t>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9" w:lineRule="exact"/>
        <w:rPr>
          <w:sz w:val="20"/>
          <w:szCs w:val="20"/>
          <w:color w:val="auto"/>
        </w:rPr>
      </w:pPr>
    </w:p>
    <w:p>
      <w:pPr>
        <w:ind w:left="1760" w:hanging="456"/>
        <w:spacing w:after="0"/>
        <w:tabs>
          <w:tab w:leader="none" w:pos="1760"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3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3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769" w:val="left"/>
        </w:tabs>
        <w:numPr>
          <w:ilvl w:val="2"/>
          <w:numId w:val="30"/>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37" w:name="page38"/>
    <w:bookmarkEnd w:id="37"/>
    <w:p>
      <w:pPr>
        <w:jc w:val="both"/>
        <w:spacing w:after="0" w:line="211" w:lineRule="auto"/>
        <w:rPr>
          <w:sz w:val="20"/>
          <w:szCs w:val="20"/>
          <w:color w:val="auto"/>
        </w:rPr>
      </w:pPr>
      <w:r>
        <w:rPr>
          <w:rFonts w:ascii="Arial" w:cs="Arial" w:eastAsia="Arial" w:hAnsi="Arial"/>
          <w:sz w:val="22"/>
          <w:szCs w:val="22"/>
          <w:color w:val="auto"/>
        </w:rPr>
        <w:t xml:space="preserve">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Arial" w:cs="Arial" w:eastAsia="Arial" w:hAnsi="Arial"/>
          <w:sz w:val="22"/>
          <w:szCs w:val="22"/>
          <w:i w:val="1"/>
          <w:iCs w:val="1"/>
          <w:color w:val="auto"/>
        </w:rPr>
        <w:t>PARTICIPANT SHOULD CONSULT A TAX ADVISER</w:t>
      </w:r>
      <w:r>
        <w:rPr>
          <w:rFonts w:ascii="Arial" w:cs="Arial" w:eastAsia="Arial" w:hAnsi="Arial"/>
          <w:sz w:val="22"/>
          <w:szCs w:val="22"/>
          <w:color w:val="auto"/>
        </w:rPr>
        <w:t xml:space="preserve"> </w:t>
      </w: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8" w:lineRule="exact"/>
        <w:rPr>
          <w:sz w:val="20"/>
          <w:szCs w:val="20"/>
          <w:color w:val="auto"/>
        </w:rPr>
      </w:pPr>
    </w:p>
    <w:p>
      <w:pPr>
        <w:jc w:val="both"/>
        <w:ind w:firstLine="1304"/>
        <w:spacing w:after="0" w:line="257" w:lineRule="auto"/>
        <w:tabs>
          <w:tab w:leader="none" w:pos="1794" w:val="left"/>
        </w:tabs>
        <w:numPr>
          <w:ilvl w:val="0"/>
          <w:numId w:val="31"/>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38" w:name="page39"/>
    <w:bookmarkEnd w:id="38"/>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44" w:lineRule="exact"/>
        <w:rPr>
          <w:sz w:val="20"/>
          <w:szCs w:val="20"/>
          <w:color w:val="auto"/>
        </w:rPr>
      </w:pPr>
    </w:p>
    <w:p>
      <w:pPr>
        <w:jc w:val="both"/>
        <w:ind w:firstLine="1304"/>
        <w:spacing w:after="0" w:line="249" w:lineRule="auto"/>
        <w:tabs>
          <w:tab w:leader="none" w:pos="1880" w:val="left"/>
        </w:tabs>
        <w:numPr>
          <w:ilvl w:val="1"/>
          <w:numId w:val="32"/>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43" w:val="left"/>
        </w:tabs>
        <w:numPr>
          <w:ilvl w:val="0"/>
          <w:numId w:val="3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 the Vesting Appendix</w:t>
      </w:r>
      <w:r>
        <w:rPr>
          <w:rFonts w:ascii="Arial" w:cs="Arial" w:eastAsia="Arial" w:hAnsi="Arial"/>
          <w:sz w:val="22"/>
          <w:szCs w:val="22"/>
          <w:b w:val="1"/>
          <w:bCs w:val="1"/>
          <w:color w:val="auto"/>
        </w:rPr>
        <w:t xml:space="preserve"> </w:t>
      </w:r>
      <w:r>
        <w:rPr>
          <w:rFonts w:ascii="Arial" w:cs="Arial" w:eastAsia="Arial" w:hAnsi="Arial"/>
          <w:sz w:val="22"/>
          <w:szCs w:val="22"/>
          <w:color w:val="auto"/>
        </w:rPr>
        <w:t>and (b) 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3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3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ind w:firstLine="1304"/>
        <w:spacing w:after="0" w:line="232" w:lineRule="auto"/>
        <w:tabs>
          <w:tab w:leader="none" w:pos="1794"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awards, or benefits in lieu thereof, even if Options or other equity awards have been granted in the past;</w:t>
      </w:r>
    </w:p>
    <w:p>
      <w:pPr>
        <w:spacing w:after="0" w:line="179" w:lineRule="exact"/>
        <w:rPr>
          <w:sz w:val="20"/>
          <w:szCs w:val="20"/>
          <w:color w:val="auto"/>
        </w:rPr>
      </w:pPr>
    </w:p>
    <w:p>
      <w:pPr>
        <w:ind w:left="1800" w:hanging="496"/>
        <w:spacing w:after="0"/>
        <w:tabs>
          <w:tab w:leader="none" w:pos="1800"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61" w:lineRule="exact"/>
        <w:rPr>
          <w:sz w:val="20"/>
          <w:szCs w:val="20"/>
          <w:color w:val="auto"/>
        </w:rPr>
      </w:pPr>
    </w:p>
    <w:p>
      <w:pPr>
        <w:jc w:val="both"/>
        <w:ind w:firstLine="1304"/>
        <w:spacing w:after="0" w:line="218" w:lineRule="auto"/>
        <w:tabs>
          <w:tab w:leader="none" w:pos="1802"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010000"/>
        </w:rPr>
      </w:pPr>
    </w:p>
    <w:p>
      <w:pPr>
        <w:ind w:firstLine="1304"/>
        <w:spacing w:after="0" w:line="298" w:lineRule="auto"/>
        <w:tabs>
          <w:tab w:leader="none" w:pos="1982"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35"/>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40" w:name="page41"/>
    <w:bookmarkEnd w:id="40"/>
    <w:p>
      <w:pPr>
        <w:jc w:val="both"/>
        <w:ind w:left="-220" w:firstLine="1304"/>
        <w:spacing w:after="0" w:line="218" w:lineRule="auto"/>
        <w:tabs>
          <w:tab w:leader="none" w:pos="1632"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54" w:lineRule="exact"/>
        <w:rPr>
          <w:rFonts w:ascii="Arial" w:cs="Arial" w:eastAsia="Arial" w:hAnsi="Arial"/>
          <w:sz w:val="22"/>
          <w:szCs w:val="22"/>
          <w:color w:val="010000"/>
        </w:rPr>
      </w:pPr>
    </w:p>
    <w:p>
      <w:pPr>
        <w:ind w:left="920" w:hanging="484"/>
        <w:spacing w:after="0"/>
        <w:tabs>
          <w:tab w:leader="none" w:pos="920" w:val="left"/>
        </w:tabs>
        <w:numPr>
          <w:ilvl w:val="0"/>
          <w:numId w:val="3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20"/>
          </w:cols>
          <w:pgMar w:left="540" w:top="1401" w:right="339" w:bottom="1440" w:gutter="0" w:footer="0" w:header="0"/>
        </w:sectPr>
      </w:pPr>
    </w:p>
    <w:bookmarkStart w:id="41" w:name="page42"/>
    <w:bookmarkEnd w:id="41"/>
    <w:p>
      <w:pPr>
        <w:jc w:val="both"/>
        <w:ind w:left="-220" w:firstLine="1304"/>
        <w:spacing w:after="0" w:line="249" w:lineRule="auto"/>
        <w:tabs>
          <w:tab w:leader="none" w:pos="1585" w:val="left"/>
        </w:tabs>
        <w:numPr>
          <w:ilvl w:val="0"/>
          <w:numId w:val="3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010000"/>
        </w:rPr>
      </w:pPr>
    </w:p>
    <w:p>
      <w:pPr>
        <w:jc w:val="both"/>
        <w:ind w:left="-220" w:firstLine="1304"/>
        <w:spacing w:after="0" w:line="221" w:lineRule="auto"/>
        <w:tabs>
          <w:tab w:leader="none" w:pos="1812" w:val="left"/>
        </w:tabs>
        <w:numPr>
          <w:ilvl w:val="0"/>
          <w:numId w:val="38"/>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left="-220" w:firstLine="1304"/>
        <w:spacing w:after="0" w:line="255" w:lineRule="auto"/>
        <w:tabs>
          <w:tab w:leader="none" w:pos="1546" w:val="left"/>
        </w:tabs>
        <w:numPr>
          <w:ilvl w:val="0"/>
          <w:numId w:val="38"/>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left="-220" w:firstLine="1304"/>
        <w:spacing w:after="0" w:line="246" w:lineRule="auto"/>
        <w:tabs>
          <w:tab w:leader="none" w:pos="1499" w:val="left"/>
        </w:tabs>
        <w:numPr>
          <w:ilvl w:val="0"/>
          <w:numId w:val="3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01" w:right="339" w:bottom="1440" w:gutter="0" w:footer="0" w:header="0"/>
        </w:sectPr>
      </w:pPr>
    </w:p>
    <w:bookmarkStart w:id="42" w:name="page43"/>
    <w:bookmarkEnd w:id="42"/>
    <w:p>
      <w:pPr>
        <w:jc w:val="both"/>
        <w:ind w:left="-220" w:firstLine="656"/>
        <w:spacing w:after="0" w:line="243" w:lineRule="auto"/>
        <w:tabs>
          <w:tab w:leader="none" w:pos="932"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010000"/>
        </w:rPr>
      </w:pPr>
    </w:p>
    <w:p>
      <w:pPr>
        <w:jc w:val="both"/>
        <w:ind w:left="-220" w:firstLine="656"/>
        <w:spacing w:after="0" w:line="245" w:lineRule="auto"/>
        <w:tabs>
          <w:tab w:leader="none" w:pos="1013"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left="-220" w:firstLine="656"/>
        <w:spacing w:after="0" w:line="235" w:lineRule="auto"/>
        <w:tabs>
          <w:tab w:leader="none" w:pos="978"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left="-220" w:firstLine="656"/>
        <w:spacing w:after="0" w:line="225" w:lineRule="auto"/>
        <w:tabs>
          <w:tab w:leader="none" w:pos="919"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left="-220" w:firstLine="656"/>
        <w:spacing w:after="0" w:line="254" w:lineRule="auto"/>
        <w:tabs>
          <w:tab w:leader="none" w:pos="938"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left="-220" w:firstLine="656"/>
        <w:spacing w:after="0" w:line="215" w:lineRule="auto"/>
        <w:tabs>
          <w:tab w:leader="none" w:pos="928"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0"/>
          </w:cols>
          <w:pgMar w:left="540" w:top="1395" w:right="339" w:bottom="1440" w:gutter="0" w:footer="0" w:header="0"/>
        </w:sectPr>
      </w:pPr>
    </w:p>
    <w:bookmarkStart w:id="43" w:name="page44"/>
    <w:bookmarkEnd w:id="43"/>
    <w:p>
      <w:pPr>
        <w:jc w:val="both"/>
        <w:ind w:left="-8" w:firstLine="656"/>
        <w:spacing w:after="0" w:line="238" w:lineRule="auto"/>
        <w:tabs>
          <w:tab w:leader="none" w:pos="1142" w:val="left"/>
        </w:tabs>
        <w:numPr>
          <w:ilvl w:val="1"/>
          <w:numId w:val="4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w:t>
      </w:r>
    </w:p>
    <w:p>
      <w:pPr>
        <w:spacing w:after="0" w:line="11" w:lineRule="exact"/>
        <w:rPr>
          <w:rFonts w:ascii="Arial" w:cs="Arial" w:eastAsia="Arial" w:hAnsi="Arial"/>
          <w:sz w:val="19"/>
          <w:szCs w:val="19"/>
          <w:b w:val="1"/>
          <w:bCs w:val="1"/>
          <w:color w:val="010000"/>
        </w:rPr>
      </w:pPr>
    </w:p>
    <w:p>
      <w:pPr>
        <w:ind w:left="-8" w:firstLine="8"/>
        <w:spacing w:after="0" w:line="224" w:lineRule="auto"/>
        <w:tabs>
          <w:tab w:leader="none" w:pos="537"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243-6300. </w:t>
      </w:r>
      <w:r>
        <w:rPr>
          <w:rFonts w:ascii="Arial" w:cs="Arial" w:eastAsia="Arial" w:hAnsi="Arial"/>
          <w:sz w:val="22"/>
          <w:szCs w:val="22"/>
          <w:u w:val="single" w:color="auto"/>
          <w:color w:val="auto"/>
        </w:rPr>
        <w:t>Participant agrees to notify the Company upon any change in Participant’s residence address indicated in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 or any electronic mail address provided</w:t>
      </w:r>
      <w:r>
        <w:rPr>
          <w:rFonts w:ascii="Arial" w:cs="Arial" w:eastAsia="Arial" w:hAnsi="Arial"/>
          <w:sz w:val="22"/>
          <w:szCs w:val="22"/>
          <w:color w:val="auto"/>
        </w:rPr>
        <w:t>.</w:t>
      </w:r>
    </w:p>
    <w:p>
      <w:pPr>
        <w:spacing w:after="0" w:line="151" w:lineRule="exact"/>
        <w:rPr>
          <w:rFonts w:ascii="Arial" w:cs="Arial" w:eastAsia="Arial" w:hAnsi="Arial"/>
          <w:sz w:val="22"/>
          <w:szCs w:val="22"/>
          <w:color w:val="auto"/>
        </w:rPr>
      </w:pPr>
    </w:p>
    <w:p>
      <w:pPr>
        <w:jc w:val="both"/>
        <w:ind w:left="-8" w:firstLine="656"/>
        <w:spacing w:after="0" w:line="254" w:lineRule="auto"/>
        <w:tabs>
          <w:tab w:leader="none" w:pos="1280" w:val="left"/>
        </w:tabs>
        <w:numPr>
          <w:ilvl w:val="1"/>
          <w:numId w:val="4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left="-8" w:firstLine="656"/>
        <w:spacing w:after="0" w:line="220" w:lineRule="auto"/>
        <w:tabs>
          <w:tab w:leader="none" w:pos="114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left="-8" w:firstLine="656"/>
        <w:spacing w:after="0" w:line="215" w:lineRule="auto"/>
        <w:tabs>
          <w:tab w:leader="none" w:pos="123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ind w:left="-8" w:firstLine="656"/>
        <w:spacing w:after="0" w:line="235" w:lineRule="auto"/>
        <w:tabs>
          <w:tab w:leader="none" w:pos="129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one or more provisions of the Notice or this Agreement are held to be unenforceable under</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 then such provision will be enforced to the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32"/>
          </w:cols>
          <w:pgMar w:left="328" w:top="1395" w:right="339" w:bottom="1440" w:gutter="0" w:footer="0" w:header="0"/>
        </w:sectPr>
      </w:pPr>
    </w:p>
    <w:bookmarkStart w:id="44" w:name="page45"/>
    <w:bookmarkEnd w:id="44"/>
    <w:p>
      <w:pPr>
        <w:jc w:val="both"/>
        <w:spacing w:after="0" w:line="218" w:lineRule="auto"/>
        <w:rPr>
          <w:sz w:val="20"/>
          <w:szCs w:val="20"/>
          <w:color w:val="auto"/>
        </w:rPr>
      </w:pPr>
      <w:r>
        <w:rPr>
          <w:rFonts w:ascii="Arial" w:cs="Arial" w:eastAsia="Arial" w:hAnsi="Arial"/>
          <w:sz w:val="22"/>
          <w:szCs w:val="22"/>
          <w:color w:val="auto"/>
        </w:rPr>
        <w:t>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55" w:lineRule="exact"/>
        <w:rPr>
          <w:sz w:val="20"/>
          <w:szCs w:val="20"/>
          <w:color w:val="auto"/>
        </w:rPr>
      </w:pPr>
    </w:p>
    <w:p>
      <w:pPr>
        <w:jc w:val="both"/>
        <w:ind w:firstLine="656"/>
        <w:spacing w:after="0" w:line="220" w:lineRule="auto"/>
        <w:tabs>
          <w:tab w:leader="none" w:pos="1187" w:val="left"/>
        </w:tabs>
        <w:numPr>
          <w:ilvl w:val="0"/>
          <w:numId w:val="42"/>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4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ectPr>
          <w:pgSz w:w="11900" w:h="16838" w:orient="portrait"/>
          <w:cols w:equalWidth="0" w:num="1">
            <w:col w:w="11240"/>
          </w:cols>
          <w:pgMar w:left="320" w:top="1408" w:right="339" w:bottom="1440" w:gutter="0" w:footer="0" w:header="0"/>
        </w:sectPr>
      </w:pPr>
    </w:p>
    <w:bookmarkStart w:id="46" w:name="page47"/>
    <w:bookmarkEnd w:id="46"/>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9"/>
          <w:szCs w:val="19"/>
          <w:color w:val="auto"/>
        </w:rPr>
        <w:t>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48" w:name="page49"/>
    <w:bookmarkEnd w:id="48"/>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49" w:name="page50"/>
    <w:bookmarkEnd w:id="49"/>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50" w:name="page51"/>
    <w:bookmarkEnd w:id="50"/>
    <w:p>
      <w:pPr>
        <w:jc w:val="both"/>
        <w:spacing w:after="0" w:line="268" w:lineRule="auto"/>
        <w:rPr>
          <w:sz w:val="20"/>
          <w:szCs w:val="20"/>
          <w:color w:val="auto"/>
        </w:rPr>
      </w:pPr>
      <w:r>
        <w:rPr>
          <w:rFonts w:ascii="Arial" w:cs="Arial" w:eastAsia="Arial" w:hAnsi="Arial"/>
          <w:sz w:val="19"/>
          <w:szCs w:val="19"/>
          <w:color w:val="auto"/>
        </w:rPr>
        <w:t>approved by the Company and Her Majesty’s Revenue &amp; Customs (a “</w:t>
      </w:r>
      <w:r>
        <w:rPr>
          <w:rFonts w:ascii="Arial" w:cs="Arial" w:eastAsia="Arial" w:hAnsi="Arial"/>
          <w:sz w:val="19"/>
          <w:szCs w:val="19"/>
          <w:b w:val="1"/>
          <w:bCs w:val="1"/>
          <w:i w:val="1"/>
          <w:iCs w:val="1"/>
          <w:color w:val="auto"/>
        </w:rPr>
        <w:t>Joint Election</w:t>
      </w:r>
      <w:r>
        <w:rPr>
          <w:rFonts w:ascii="Arial" w:cs="Arial" w:eastAsia="Arial" w:hAnsi="Arial"/>
          <w:sz w:val="19"/>
          <w:szCs w:val="19"/>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0" w:lineRule="exact"/>
        <w:rPr>
          <w:sz w:val="20"/>
          <w:szCs w:val="20"/>
          <w:color w:val="auto"/>
        </w:rPr>
      </w:pPr>
    </w:p>
    <w:p>
      <w:pPr>
        <w:jc w:val="center"/>
        <w:spacing w:after="0" w:line="236" w:lineRule="auto"/>
        <w:rPr>
          <w:sz w:val="20"/>
          <w:szCs w:val="20"/>
          <w:color w:val="auto"/>
        </w:rPr>
      </w:pPr>
      <w:r>
        <w:rPr>
          <w:rFonts w:ascii="Arial" w:cs="Arial" w:eastAsia="Arial" w:hAnsi="Arial"/>
          <w:sz w:val="21"/>
          <w:szCs w:val="21"/>
          <w:b w:val="1"/>
          <w:bCs w:val="1"/>
          <w:u w:val="single" w:color="auto"/>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RESTRICTED STOCK UNIT AWARD</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Restricted Stock Unit Award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award of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for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xml:space="preserve"> ”) under the Plan, subject to the terms and conditions of the Plan, the attached Global Restricted Stock Unit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46"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Subject to the limitations set forth in this Notice, the Agreement and the Plan, the RSUs will vest in</w:t>
      </w:r>
    </w:p>
    <w:p>
      <w:pPr>
        <w:ind w:left="3900"/>
        <w:spacing w:after="0"/>
        <w:rPr>
          <w:sz w:val="20"/>
          <w:szCs w:val="20"/>
          <w:color w:val="auto"/>
        </w:rPr>
      </w:pPr>
      <w:r>
        <w:rPr>
          <w:rFonts w:ascii="Arial" w:cs="Arial" w:eastAsia="Arial" w:hAnsi="Arial"/>
          <w:sz w:val="21"/>
          <w:szCs w:val="21"/>
          <w:color w:val="auto"/>
        </w:rPr>
        <w:t>accordance with the following schedule,: [</w:t>
      </w:r>
      <w:r>
        <w:rPr>
          <w:rFonts w:ascii="Arial" w:cs="Arial" w:eastAsia="Arial" w:hAnsi="Arial"/>
          <w:sz w:val="21"/>
          <w:szCs w:val="21"/>
          <w:i w:val="1"/>
          <w:iCs w:val="1"/>
          <w:color w:val="auto"/>
        </w:rPr>
        <w:t>Veracyte to insert vesting schedule</w:t>
      </w:r>
      <w:r>
        <w:rPr>
          <w:rFonts w:ascii="Arial" w:cs="Arial" w:eastAsia="Arial" w:hAnsi="Arial"/>
          <w:sz w:val="21"/>
          <w:szCs w:val="21"/>
          <w:color w:val="auto"/>
        </w:rPr>
        <w:t>]</w:t>
      </w:r>
    </w:p>
    <w:p>
      <w:pPr>
        <w:spacing w:after="0" w:line="200" w:lineRule="exact"/>
        <w:rPr>
          <w:sz w:val="20"/>
          <w:szCs w:val="20"/>
          <w:color w:val="auto"/>
        </w:rPr>
      </w:pPr>
    </w:p>
    <w:p>
      <w:pPr>
        <w:spacing w:after="0" w:line="216"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RSU</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1382" w:right="339" w:bottom="1440" w:gutter="0" w:footer="0" w:header="0"/>
        </w:sectPr>
      </w:pPr>
    </w:p>
    <w:bookmarkStart w:id="52" w:name="page53"/>
    <w:bookmarkEnd w:id="52"/>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RSUs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53" w:name="page54"/>
    <w:bookmarkEnd w:id="53"/>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RESTRICTED STOCK UNIT AWARD AGREEMENT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Unless otherwise defined in the Notice of Global Restricted Stock Unit Award (the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to which this Global Restricted Stock Unit Award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is attached or this Agreement,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38" w:lineRule="exact"/>
        <w:rPr>
          <w:sz w:val="20"/>
          <w:szCs w:val="20"/>
          <w:color w:val="auto"/>
        </w:rPr>
      </w:pPr>
    </w:p>
    <w:p>
      <w:pPr>
        <w:ind w:firstLine="8"/>
        <w:spacing w:after="0" w:line="235" w:lineRule="auto"/>
        <w:tabs>
          <w:tab w:leader="none" w:pos="49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jc w:val="both"/>
        <w:ind w:firstLine="8"/>
        <w:spacing w:after="0" w:line="271" w:lineRule="auto"/>
        <w:tabs>
          <w:tab w:leader="none" w:pos="409"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 Consequences</w:t>
      </w:r>
      <w:r>
        <w:rPr>
          <w:rFonts w:ascii="Arial" w:cs="Arial" w:eastAsia="Arial" w:hAnsi="Arial"/>
          <w:sz w:val="19"/>
          <w:szCs w:val="19"/>
          <w:color w:val="auto"/>
        </w:rPr>
        <w:t>. Participant acknowledges that there may be tax consequences related to the RSUs and/or disposition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Shares, if any, received in connection therewith, and Participant should consult a tax adviser regarding Participant’s tax obligations prior to such settlement of the RSUs or disposition of the Shares in the jurisdiction where Participant is subject to tax.</w:t>
      </w:r>
    </w:p>
    <w:p>
      <w:pPr>
        <w:sectPr>
          <w:pgSz w:w="11900" w:h="16838" w:orient="portrait"/>
          <w:cols w:equalWidth="0" w:num="1">
            <w:col w:w="11240"/>
          </w:cols>
          <w:pgMar w:left="320" w:top="1440" w:right="339" w:bottom="1440" w:gutter="0" w:footer="0" w:header="0"/>
        </w:sectPr>
      </w:pPr>
    </w:p>
    <w:bookmarkStart w:id="54" w:name="page55"/>
    <w:bookmarkEnd w:id="54"/>
    <w:p>
      <w:pPr>
        <w:jc w:val="both"/>
        <w:ind w:firstLine="656"/>
        <w:spacing w:after="0" w:line="238" w:lineRule="auto"/>
        <w:tabs>
          <w:tab w:leader="none" w:pos="1129"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 unless determined otherwise by the Committee in advance of a Tax-Related Items withholding event, the method of withholding for this RSU will be (ii) above.</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Depending on the withholding method, the Company may withhold or account for Tax-Related Items by considering applicable statutory withholding rates or other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55" w:name="page56"/>
    <w:bookmarkEnd w:id="55"/>
    <w:p>
      <w:pPr>
        <w:jc w:val="both"/>
        <w:spacing w:after="0" w:line="222" w:lineRule="auto"/>
        <w:rPr>
          <w:sz w:val="20"/>
          <w:szCs w:val="20"/>
          <w:color w:val="auto"/>
        </w:rPr>
      </w:pPr>
      <w:r>
        <w:rPr>
          <w:rFonts w:ascii="Arial" w:cs="Arial" w:eastAsia="Arial" w:hAnsi="Arial"/>
          <w:sz w:val="21"/>
          <w:szCs w:val="21"/>
          <w:color w:val="auto"/>
        </w:rPr>
        <w:t>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59" w:lineRule="auto"/>
        <w:tabs>
          <w:tab w:leader="none" w:pos="408"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Appendix</w:t>
      </w:r>
      <w:r>
        <w:rPr>
          <w:rFonts w:ascii="Arial" w:cs="Arial" w:eastAsia="Arial" w:hAnsi="Arial"/>
          <w:sz w:val="19"/>
          <w:szCs w:val="19"/>
          <w:color w:val="auto"/>
        </w:rPr>
        <w:t>. Notwithstanding any provisions in this Agreement, the RSUs will be subject to any special terms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36" w:lineRule="exact"/>
        <w:rPr>
          <w:rFonts w:ascii="Arial" w:cs="Arial" w:eastAsia="Arial" w:hAnsi="Arial"/>
          <w:sz w:val="19"/>
          <w:szCs w:val="19"/>
          <w:b w:val="1"/>
          <w:bCs w:val="1"/>
          <w:color w:val="auto"/>
        </w:rPr>
      </w:pPr>
    </w:p>
    <w:p>
      <w:pPr>
        <w:jc w:val="both"/>
        <w:ind w:firstLine="8"/>
        <w:spacing w:after="0" w:line="221" w:lineRule="auto"/>
        <w:tabs>
          <w:tab w:leader="none" w:pos="524"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Compliance with Laws and Regulations; Legends</w:t>
      </w:r>
      <w:r>
        <w:rPr>
          <w:rFonts w:ascii="Arial" w:cs="Arial" w:eastAsia="Arial" w:hAnsi="Arial"/>
          <w:sz w:val="21"/>
          <w:szCs w:val="21"/>
          <w:color w:val="auto"/>
        </w:rPr>
        <w:t>. The issuance of Shares and any restriction on the sale of Shares will</w:t>
      </w:r>
      <w:r>
        <w:rPr>
          <w:rFonts w:ascii="Arial" w:cs="Arial" w:eastAsia="Arial" w:hAnsi="Arial"/>
          <w:sz w:val="21"/>
          <w:szCs w:val="21"/>
          <w:b w:val="1"/>
          <w:bCs w:val="1"/>
          <w:color w:val="auto"/>
        </w:rPr>
        <w:t xml:space="preserve"> </w:t>
      </w:r>
      <w:r>
        <w:rPr>
          <w:rFonts w:ascii="Arial" w:cs="Arial" w:eastAsia="Arial" w:hAnsi="Arial"/>
          <w:sz w:val="21"/>
          <w:szCs w:val="21"/>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56" w:name="page57"/>
    <w:bookmarkEnd w:id="56"/>
    <w:p>
      <w:pPr>
        <w:jc w:val="both"/>
        <w:spacing w:after="0" w:line="249" w:lineRule="auto"/>
        <w:rPr>
          <w:sz w:val="20"/>
          <w:szCs w:val="20"/>
          <w:color w:val="auto"/>
        </w:rPr>
      </w:pPr>
      <w:r>
        <w:rPr>
          <w:rFonts w:ascii="Arial" w:cs="Arial" w:eastAsia="Arial" w:hAnsi="Arial"/>
          <w:sz w:val="19"/>
          <w:szCs w:val="19"/>
          <w:color w:val="auto"/>
        </w:rPr>
        <w:t>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6" w:lineRule="exact"/>
        <w:rPr>
          <w:sz w:val="20"/>
          <w:szCs w:val="20"/>
          <w:color w:val="auto"/>
        </w:rPr>
      </w:pPr>
    </w:p>
    <w:p>
      <w:pPr>
        <w:ind w:firstLine="8"/>
        <w:spacing w:after="0" w:line="235" w:lineRule="auto"/>
        <w:tabs>
          <w:tab w:leader="none" w:pos="554"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47"/>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47"/>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auto"/>
        </w:rPr>
      </w:pPr>
    </w:p>
    <w:p>
      <w:pPr>
        <w:ind w:left="1220" w:hanging="564"/>
        <w:spacing w:after="0"/>
        <w:tabs>
          <w:tab w:leader="none" w:pos="1220"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47"/>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57" w:name="page58"/>
    <w:bookmarkEnd w:id="57"/>
    <w:p>
      <w:pPr>
        <w:ind w:left="1072" w:hanging="424"/>
        <w:spacing w:after="0"/>
        <w:tabs>
          <w:tab w:leader="none" w:pos="1072" w:val="left"/>
        </w:tabs>
        <w:numPr>
          <w:ilvl w:val="1"/>
          <w:numId w:val="48"/>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left="-8" w:firstLine="656"/>
        <w:spacing w:after="0" w:line="218" w:lineRule="auto"/>
        <w:tabs>
          <w:tab w:leader="none" w:pos="1341" w:val="left"/>
        </w:tabs>
        <w:numPr>
          <w:ilvl w:val="1"/>
          <w:numId w:val="48"/>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left="-8" w:firstLine="656"/>
        <w:spacing w:after="0" w:line="218" w:lineRule="auto"/>
        <w:tabs>
          <w:tab w:leader="none" w:pos="1148" w:val="left"/>
        </w:tabs>
        <w:numPr>
          <w:ilvl w:val="1"/>
          <w:numId w:val="48"/>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left="-8" w:firstLine="656"/>
        <w:spacing w:after="0" w:line="268" w:lineRule="auto"/>
        <w:tabs>
          <w:tab w:leader="none" w:pos="1150" w:val="left"/>
        </w:tabs>
        <w:numPr>
          <w:ilvl w:val="1"/>
          <w:numId w:val="48"/>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492" w:hanging="492"/>
        <w:spacing w:after="0"/>
        <w:tabs>
          <w:tab w:leader="none" w:pos="492"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left="-8" w:firstLine="656"/>
        <w:spacing w:after="0" w:line="252" w:lineRule="auto"/>
        <w:tabs>
          <w:tab w:leader="none" w:pos="1194"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left="-8" w:firstLine="656"/>
        <w:spacing w:after="0" w:line="252" w:lineRule="auto"/>
        <w:tabs>
          <w:tab w:leader="none" w:pos="1113"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left="-8" w:firstLine="656"/>
        <w:spacing w:after="0" w:line="221" w:lineRule="auto"/>
        <w:tabs>
          <w:tab w:leader="none" w:pos="1216" w:val="left"/>
        </w:tabs>
        <w:numPr>
          <w:ilvl w:val="1"/>
          <w:numId w:val="49"/>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65" w:lineRule="exact"/>
        <w:rPr>
          <w:rFonts w:ascii="Arial" w:cs="Arial" w:eastAsia="Arial" w:hAnsi="Arial"/>
          <w:sz w:val="21"/>
          <w:szCs w:val="21"/>
          <w:color w:val="auto"/>
        </w:rPr>
      </w:pPr>
    </w:p>
    <w:p>
      <w:pPr>
        <w:jc w:val="both"/>
        <w:ind w:left="-8" w:firstLine="656"/>
        <w:spacing w:after="0" w:line="257" w:lineRule="auto"/>
        <w:tabs>
          <w:tab w:leader="none" w:pos="1395"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1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32"/>
          </w:cols>
          <w:pgMar w:left="328" w:top="1401" w:right="339" w:bottom="1440" w:gutter="0" w:footer="0" w:header="0"/>
        </w:sectPr>
      </w:pPr>
    </w:p>
    <w:bookmarkStart w:id="58" w:name="page59"/>
    <w:bookmarkEnd w:id="58"/>
    <w:p>
      <w:pPr>
        <w:spacing w:after="0" w:line="298" w:lineRule="auto"/>
        <w:rPr>
          <w:sz w:val="20"/>
          <w:szCs w:val="20"/>
          <w:color w:val="auto"/>
        </w:rPr>
      </w:pPr>
      <w:r>
        <w:rPr>
          <w:rFonts w:ascii="Arial" w:cs="Arial" w:eastAsia="Arial" w:hAnsi="Arial"/>
          <w:sz w:val="19"/>
          <w:szCs w:val="19"/>
          <w:b w:val="1"/>
          <w:bCs w:val="1"/>
          <w:i w:val="1"/>
          <w:iCs w:val="1"/>
          <w:color w:val="auto"/>
        </w:rPr>
        <w:t>Shares acquired under the Plan and that Participant will be asked to agree on separate terms and data processing practices with the service provider, which is a condition of Participant’s ability to participate in the Plan.</w:t>
      </w:r>
    </w:p>
    <w:p>
      <w:pPr>
        <w:spacing w:after="0" w:line="105" w:lineRule="exact"/>
        <w:rPr>
          <w:sz w:val="20"/>
          <w:szCs w:val="20"/>
          <w:color w:val="auto"/>
        </w:rPr>
      </w:pPr>
    </w:p>
    <w:p>
      <w:pPr>
        <w:jc w:val="both"/>
        <w:ind w:firstLine="656"/>
        <w:spacing w:after="0" w:line="247" w:lineRule="auto"/>
        <w:tabs>
          <w:tab w:leader="none" w:pos="1194"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firstLine="656"/>
        <w:spacing w:after="0" w:line="249" w:lineRule="auto"/>
        <w:tabs>
          <w:tab w:leader="none" w:pos="1096"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firstLine="656"/>
        <w:spacing w:after="0" w:line="247" w:lineRule="auto"/>
        <w:tabs>
          <w:tab w:leader="none" w:pos="1210"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firstLine="656"/>
        <w:spacing w:after="0" w:line="256" w:lineRule="auto"/>
        <w:tabs>
          <w:tab w:leader="none" w:pos="1154"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9" w:name="page60"/>
    <w:bookmarkEnd w:id="59"/>
    <w:p>
      <w:pPr>
        <w:spacing w:after="0" w:line="232" w:lineRule="auto"/>
        <w:rPr>
          <w:sz w:val="20"/>
          <w:szCs w:val="20"/>
          <w:color w:val="auto"/>
        </w:rPr>
      </w:pPr>
      <w:r>
        <w:rPr>
          <w:rFonts w:ascii="Arial" w:cs="Arial" w:eastAsia="Arial" w:hAnsi="Arial"/>
          <w:sz w:val="22"/>
          <w:szCs w:val="22"/>
          <w:b w:val="1"/>
          <w:bCs w:val="1"/>
          <w:i w:val="1"/>
          <w:iCs w:val="1"/>
          <w:color w:val="auto"/>
        </w:rPr>
        <w:t>receive clarification of, or to exercise any of, Participant’s rights, Participant understands that Participant should contact Participant’s local human resources representative.</w:t>
      </w:r>
    </w:p>
    <w:p>
      <w:pPr>
        <w:spacing w:after="0" w:line="159" w:lineRule="exact"/>
        <w:rPr>
          <w:sz w:val="20"/>
          <w:szCs w:val="20"/>
          <w:color w:val="auto"/>
        </w:rPr>
      </w:pPr>
    </w:p>
    <w:p>
      <w:pPr>
        <w:jc w:val="both"/>
        <w:ind w:firstLine="656"/>
        <w:spacing w:after="0" w:line="246" w:lineRule="auto"/>
        <w:tabs>
          <w:tab w:leader="none" w:pos="1215" w:val="left"/>
        </w:tabs>
        <w:numPr>
          <w:ilvl w:val="1"/>
          <w:numId w:val="5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152" w:lineRule="exact"/>
        <w:rPr>
          <w:rFonts w:ascii="Arial" w:cs="Arial" w:eastAsia="Arial" w:hAnsi="Arial"/>
          <w:sz w:val="22"/>
          <w:szCs w:val="22"/>
          <w:b w:val="1"/>
          <w:bCs w:val="1"/>
          <w:color w:val="auto"/>
        </w:rPr>
      </w:pPr>
    </w:p>
    <w:p>
      <w:pPr>
        <w:jc w:val="both"/>
        <w:ind w:firstLine="8"/>
        <w:spacing w:after="0" w:line="225" w:lineRule="auto"/>
        <w:tabs>
          <w:tab w:leader="none" w:pos="553"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60" w:name="page61"/>
    <w:bookmarkEnd w:id="60"/>
    <w:p>
      <w:pPr>
        <w:jc w:val="both"/>
        <w:ind w:left="-8" w:firstLine="8"/>
        <w:spacing w:after="0" w:line="254" w:lineRule="auto"/>
        <w:tabs>
          <w:tab w:leader="none" w:pos="52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54" w:lineRule="auto"/>
        <w:tabs>
          <w:tab w:leader="none" w:pos="571"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 consulted</w:t>
      </w:r>
      <w:r>
        <w:rPr>
          <w:rFonts w:ascii="Arial" w:cs="Arial" w:eastAsia="Arial" w:hAnsi="Arial"/>
          <w:sz w:val="19"/>
          <w:szCs w:val="19"/>
          <w:b w:val="1"/>
          <w:bCs w:val="1"/>
          <w:color w:val="auto"/>
        </w:rPr>
        <w:t xml:space="preserve"> </w:t>
      </w:r>
      <w:r>
        <w:rPr>
          <w:rFonts w:ascii="Arial" w:cs="Arial" w:eastAsia="Arial" w:hAnsi="Arial"/>
          <w:sz w:val="19"/>
          <w:szCs w:val="19"/>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2"/>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32"/>
          </w:cols>
          <w:pgMar w:left="328" w:top="1395" w:right="339" w:bottom="1440" w:gutter="0" w:footer="0" w:header="0"/>
        </w:sectPr>
      </w:pPr>
    </w:p>
    <w:bookmarkStart w:id="61" w:name="page62"/>
    <w:bookmarkEnd w:id="61"/>
    <w:p>
      <w:pPr>
        <w:jc w:val="both"/>
        <w:ind w:firstLine="8"/>
        <w:spacing w:after="0" w:line="220" w:lineRule="auto"/>
        <w:tabs>
          <w:tab w:leader="none" w:pos="644"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9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395" w:right="339" w:bottom="1440" w:gutter="0" w:footer="0" w:header="0"/>
        </w:sectPr>
      </w:pPr>
    </w:p>
    <w:bookmarkStart w:id="64" w:name="page65"/>
    <w:bookmarkEnd w:id="64"/>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65" w:name="page66"/>
    <w:bookmarkEnd w:id="65"/>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66" w:name="page67"/>
    <w:bookmarkEnd w:id="66"/>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67" w:name="page68"/>
    <w:bookmarkEnd w:id="67"/>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RESTRICTED STOCK UNIT AWARD</w:t>
      </w:r>
    </w:p>
    <w:p>
      <w:pPr>
        <w:spacing w:after="0" w:line="26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Unless otherwise defined in this Notice of Global Performance Restricted Stock Unit Award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individual named below (the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 has been granted an award of Restricted Stock Units (the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for shares of Common Stock of the Company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xml:space="preserve">”) under the Plan, subject to the terms and conditions of the Plan, the Global Performance Restricted Stock Unit Award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which shall include and incorporate by reference any appendix thereto for Participant’s country (the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xml:space="preserve">”)) and this Notice (which shall include and incorporate by reference the vesting and performance terms and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(the “</w:t>
      </w:r>
      <w:r>
        <w:rPr>
          <w:rFonts w:ascii="Arial" w:cs="Arial" w:eastAsia="Arial" w:hAnsi="Arial"/>
          <w:sz w:val="21"/>
          <w:szCs w:val="21"/>
          <w:b w:val="1"/>
          <w:bCs w:val="1"/>
          <w:i w:val="1"/>
          <w:iCs w:val="1"/>
          <w:color w:val="auto"/>
        </w:rPr>
        <w:t>Vesting</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which incorporates the Plan and the Agreement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59"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   Subject to the limitations set forth in this Notice, the Agreement and the Plan, the RSUs will vest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Vesting Appendix.</w:t>
      </w:r>
    </w:p>
    <w:p>
      <w:pPr>
        <w:spacing w:after="0" w:line="3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vesting of the RSUs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w:t>
      </w:r>
    </w:p>
    <w:p>
      <w:pPr>
        <w:sectPr>
          <w:pgSz w:w="11900" w:h="16838" w:orient="portrait"/>
          <w:cols w:equalWidth="0" w:num="1">
            <w:col w:w="11240"/>
          </w:cols>
          <w:pgMar w:left="320" w:top="1382" w:right="339" w:bottom="1440" w:gutter="0" w:footer="0" w:header="0"/>
        </w:sectPr>
      </w:pPr>
    </w:p>
    <w:bookmarkStart w:id="69" w:name="page70"/>
    <w:bookmarkEnd w:id="69"/>
    <w:p>
      <w:pPr>
        <w:jc w:val="both"/>
        <w:spacing w:after="0" w:line="249" w:lineRule="auto"/>
        <w:rPr>
          <w:sz w:val="20"/>
          <w:szCs w:val="20"/>
          <w:color w:val="auto"/>
        </w:rPr>
      </w:pPr>
      <w:r>
        <w:rPr>
          <w:rFonts w:ascii="Arial" w:cs="Arial" w:eastAsia="Arial" w:hAnsi="Arial"/>
          <w:sz w:val="19"/>
          <w:szCs w:val="19"/>
          <w:color w:val="auto"/>
        </w:rPr>
        <w:t>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5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70" w:name="page71"/>
    <w:bookmarkEnd w:id="70"/>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71" w:name="page72"/>
    <w:bookmarkEnd w:id="71"/>
    <w:p>
      <w:pPr>
        <w:ind w:left="5060"/>
        <w:spacing w:after="0"/>
        <w:rPr>
          <w:sz w:val="20"/>
          <w:szCs w:val="20"/>
          <w:color w:val="auto"/>
        </w:rPr>
      </w:pPr>
      <w:r>
        <w:rPr>
          <w:rFonts w:ascii="Arial" w:cs="Arial" w:eastAsia="Arial" w:hAnsi="Arial"/>
          <w:sz w:val="22"/>
          <w:szCs w:val="22"/>
          <w:b w:val="1"/>
          <w:bCs w:val="1"/>
          <w:color w:val="auto"/>
        </w:rPr>
        <w:t>EXHIBIT B</w:t>
      </w:r>
    </w:p>
    <w:p>
      <w:pPr>
        <w:spacing w:after="0" w:line="16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RESTRICTED STOCK UNIT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Unless otherwise defined in the Notice of Global Performance Restricted Stock Unit Award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Restricted Stock Unit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ind w:firstLine="8"/>
        <w:spacing w:after="0" w:line="235" w:lineRule="auto"/>
        <w:tabs>
          <w:tab w:leader="none" w:pos="496"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5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ind w:firstLine="8"/>
        <w:spacing w:after="0" w:line="235" w:lineRule="auto"/>
        <w:tabs>
          <w:tab w:leader="none" w:pos="409"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RSUs and/or disposition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if any, received in connection therewith,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72" w:name="page73"/>
    <w:bookmarkEnd w:id="72"/>
    <w:p>
      <w:pPr>
        <w:spacing w:after="0" w:line="232" w:lineRule="auto"/>
        <w:rPr>
          <w:sz w:val="20"/>
          <w:szCs w:val="20"/>
          <w:color w:val="auto"/>
        </w:rPr>
      </w:pPr>
      <w:r>
        <w:rPr>
          <w:rFonts w:ascii="Arial" w:cs="Arial" w:eastAsia="Arial" w:hAnsi="Arial"/>
          <w:sz w:val="22"/>
          <w:szCs w:val="22"/>
          <w:color w:val="auto"/>
        </w:rPr>
        <w:t>Participant should consult a tax adviser regarding Participant’s tax obligations prior to such settlement of the RSUs or disposition of the Shares in the jurisdiction where Participant is subject to tax.</w:t>
      </w:r>
    </w:p>
    <w:p>
      <w:pPr>
        <w:spacing w:after="0" w:line="159" w:lineRule="exact"/>
        <w:rPr>
          <w:sz w:val="20"/>
          <w:szCs w:val="20"/>
          <w:color w:val="auto"/>
        </w:rPr>
      </w:pPr>
    </w:p>
    <w:p>
      <w:pPr>
        <w:jc w:val="both"/>
        <w:ind w:firstLine="656"/>
        <w:spacing w:after="0" w:line="238" w:lineRule="auto"/>
        <w:tabs>
          <w:tab w:leader="none" w:pos="1129"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73" w:name="page74"/>
    <w:bookmarkEnd w:id="73"/>
    <w:p>
      <w:pPr>
        <w:jc w:val="both"/>
        <w:spacing w:after="0" w:line="232" w:lineRule="auto"/>
        <w:rPr>
          <w:sz w:val="20"/>
          <w:szCs w:val="20"/>
          <w:color w:val="auto"/>
        </w:rPr>
      </w:pPr>
      <w:r>
        <w:rPr>
          <w:rFonts w:ascii="Arial" w:cs="Arial" w:eastAsia="Arial" w:hAnsi="Arial"/>
          <w:sz w:val="22"/>
          <w:szCs w:val="22"/>
          <w:color w:val="auto"/>
        </w:rPr>
        <w:t>unless determined otherwise by the Committee in advance of a Tax-Related Items withholding event, the method of withholding for this RSU will be (ii) above.</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17" w:lineRule="auto"/>
        <w:tabs>
          <w:tab w:leader="none" w:pos="406"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RSUs will be subject to (a) the Vesting Appendix and (b)</w:t>
      </w:r>
      <w:r>
        <w:rPr>
          <w:rFonts w:ascii="Arial" w:cs="Arial" w:eastAsia="Arial" w:hAnsi="Arial"/>
          <w:sz w:val="22"/>
          <w:szCs w:val="22"/>
          <w:b w:val="1"/>
          <w:bCs w:val="1"/>
          <w:color w:val="auto"/>
        </w:rPr>
        <w:t xml:space="preserve"> </w:t>
      </w:r>
      <w:r>
        <w:rPr>
          <w:rFonts w:ascii="Arial" w:cs="Arial" w:eastAsia="Arial" w:hAnsi="Arial"/>
          <w:sz w:val="22"/>
          <w:szCs w:val="22"/>
          <w:color w:val="auto"/>
        </w:rPr>
        <w:t>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auto"/>
        </w:rPr>
      </w:pPr>
    </w:p>
    <w:p>
      <w:pPr>
        <w:jc w:val="both"/>
        <w:ind w:firstLine="8"/>
        <w:spacing w:after="0" w:line="217" w:lineRule="auto"/>
        <w:tabs>
          <w:tab w:leader="none" w:pos="524"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Laws and Regulations; Legends</w:t>
      </w:r>
      <w:r>
        <w:rPr>
          <w:rFonts w:ascii="Arial" w:cs="Arial" w:eastAsia="Arial" w:hAnsi="Arial"/>
          <w:sz w:val="22"/>
          <w:szCs w:val="22"/>
          <w:color w:val="auto"/>
        </w:rPr>
        <w:t>. The issuance of Shares and any restriction on the sale of Shares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74" w:name="page75"/>
    <w:bookmarkEnd w:id="74"/>
    <w:p>
      <w:pPr>
        <w:jc w:val="both"/>
        <w:spacing w:after="0" w:line="244" w:lineRule="auto"/>
        <w:rPr>
          <w:sz w:val="20"/>
          <w:szCs w:val="20"/>
          <w:color w:val="auto"/>
        </w:rPr>
      </w:pPr>
      <w:r>
        <w:rPr>
          <w:rFonts w:ascii="Arial" w:cs="Arial" w:eastAsia="Arial" w:hAnsi="Arial"/>
          <w:sz w:val="19"/>
          <w:szCs w:val="19"/>
          <w:color w:val="auto"/>
        </w:rPr>
        <w:t>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9" w:lineRule="exact"/>
        <w:rPr>
          <w:sz w:val="20"/>
          <w:szCs w:val="20"/>
          <w:color w:val="auto"/>
        </w:rPr>
      </w:pPr>
    </w:p>
    <w:p>
      <w:pPr>
        <w:ind w:firstLine="8"/>
        <w:spacing w:after="0" w:line="235" w:lineRule="auto"/>
        <w:tabs>
          <w:tab w:leader="none" w:pos="554"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59"/>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59"/>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75" w:name="page76"/>
    <w:bookmarkEnd w:id="75"/>
    <w:p>
      <w:pPr>
        <w:ind w:left="1220" w:hanging="564"/>
        <w:spacing w:after="0"/>
        <w:tabs>
          <w:tab w:leader="none" w:pos="12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60"/>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firstLine="656"/>
        <w:spacing w:after="0" w:line="218" w:lineRule="auto"/>
        <w:tabs>
          <w:tab w:leader="none" w:pos="1349" w:val="left"/>
        </w:tabs>
        <w:numPr>
          <w:ilvl w:val="1"/>
          <w:numId w:val="60"/>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156" w:val="left"/>
        </w:tabs>
        <w:numPr>
          <w:ilvl w:val="1"/>
          <w:numId w:val="60"/>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firstLine="656"/>
        <w:spacing w:after="0" w:line="268" w:lineRule="auto"/>
        <w:tabs>
          <w:tab w:leader="none" w:pos="1158" w:val="left"/>
        </w:tabs>
        <w:numPr>
          <w:ilvl w:val="1"/>
          <w:numId w:val="60"/>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500" w:hanging="492"/>
        <w:spacing w:after="0"/>
        <w:tabs>
          <w:tab w:leader="none" w:pos="5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656"/>
        <w:spacing w:after="0" w:line="252" w:lineRule="auto"/>
        <w:tabs>
          <w:tab w:leader="none" w:pos="1202" w:val="left"/>
        </w:tabs>
        <w:numPr>
          <w:ilvl w:val="1"/>
          <w:numId w:val="6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firstLine="656"/>
        <w:spacing w:after="0" w:line="252" w:lineRule="auto"/>
        <w:tabs>
          <w:tab w:leader="none" w:pos="1121" w:val="left"/>
        </w:tabs>
        <w:numPr>
          <w:ilvl w:val="1"/>
          <w:numId w:val="6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firstLine="656"/>
        <w:spacing w:after="0" w:line="221" w:lineRule="auto"/>
        <w:tabs>
          <w:tab w:leader="none" w:pos="1224" w:val="left"/>
        </w:tabs>
        <w:numPr>
          <w:ilvl w:val="1"/>
          <w:numId w:val="61"/>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76" w:name="page77"/>
    <w:bookmarkEnd w:id="76"/>
    <w:p>
      <w:pPr>
        <w:jc w:val="both"/>
        <w:ind w:left="-220" w:firstLine="656"/>
        <w:spacing w:after="0" w:line="249" w:lineRule="auto"/>
        <w:tabs>
          <w:tab w:leader="none" w:pos="1183"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74"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left="-220" w:firstLine="656"/>
        <w:spacing w:after="0" w:line="249" w:lineRule="auto"/>
        <w:tabs>
          <w:tab w:leader="none" w:pos="876"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90"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left="-220" w:firstLine="656"/>
        <w:spacing w:after="0" w:line="243" w:lineRule="auto"/>
        <w:tabs>
          <w:tab w:leader="none" w:pos="934"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20"/>
          </w:cols>
          <w:pgMar w:left="540" w:top="1401" w:right="339" w:bottom="1440" w:gutter="0" w:footer="0" w:header="0"/>
        </w:sectPr>
      </w:pPr>
    </w:p>
    <w:bookmarkStart w:id="77" w:name="page78"/>
    <w:bookmarkEnd w:id="77"/>
    <w:p>
      <w:pPr>
        <w:jc w:val="both"/>
        <w:spacing w:after="0" w:line="224" w:lineRule="auto"/>
        <w:rPr>
          <w:sz w:val="20"/>
          <w:szCs w:val="20"/>
          <w:color w:val="auto"/>
        </w:rPr>
      </w:pPr>
      <w:r>
        <w:rPr>
          <w:rFonts w:ascii="Arial" w:cs="Arial" w:eastAsia="Arial" w:hAnsi="Arial"/>
          <w:sz w:val="21"/>
          <w:szCs w:val="21"/>
          <w:b w:val="1"/>
          <w:bCs w:val="1"/>
          <w:i w:val="1"/>
          <w:iCs w:val="1"/>
          <w:color w:val="auto"/>
        </w:rPr>
        <w:t>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60" w:lineRule="exact"/>
        <w:rPr>
          <w:sz w:val="20"/>
          <w:szCs w:val="20"/>
          <w:color w:val="auto"/>
        </w:rPr>
      </w:pPr>
    </w:p>
    <w:p>
      <w:pPr>
        <w:jc w:val="both"/>
        <w:ind w:firstLine="656"/>
        <w:spacing w:after="0" w:line="246" w:lineRule="auto"/>
        <w:tabs>
          <w:tab w:leader="none" w:pos="1215" w:val="left"/>
        </w:tabs>
        <w:numPr>
          <w:ilvl w:val="1"/>
          <w:numId w:val="63"/>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78" w:name="page79"/>
    <w:bookmarkEnd w:id="78"/>
    <w:p>
      <w:pPr>
        <w:jc w:val="both"/>
        <w:ind w:left="-8" w:firstLine="8"/>
        <w:spacing w:after="0" w:line="225" w:lineRule="auto"/>
        <w:tabs>
          <w:tab w:leader="none" w:pos="545"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auto"/>
        </w:rPr>
      </w:pPr>
    </w:p>
    <w:p>
      <w:pPr>
        <w:jc w:val="both"/>
        <w:ind w:left="-8" w:firstLine="8"/>
        <w:spacing w:after="0" w:line="254" w:lineRule="auto"/>
        <w:tabs>
          <w:tab w:leader="none" w:pos="524"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30" w:lineRule="auto"/>
        <w:tabs>
          <w:tab w:leader="none" w:pos="571"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Language</w:t>
      </w:r>
      <w:r>
        <w:rPr>
          <w:rFonts w:ascii="Arial" w:cs="Arial" w:eastAsia="Arial" w:hAnsi="Arial"/>
          <w:sz w:val="21"/>
          <w:szCs w:val="21"/>
          <w:color w:val="auto"/>
        </w:rPr>
        <w:t>. Participant acknowledges that Participant is sufficiently proficient in the English language, or has consulted</w:t>
      </w:r>
      <w:r>
        <w:rPr>
          <w:rFonts w:ascii="Arial" w:cs="Arial" w:eastAsia="Arial" w:hAnsi="Arial"/>
          <w:sz w:val="21"/>
          <w:szCs w:val="21"/>
          <w:b w:val="1"/>
          <w:bCs w:val="1"/>
          <w:color w:val="auto"/>
        </w:rPr>
        <w:t xml:space="preserve"> </w:t>
      </w:r>
      <w:r>
        <w:rPr>
          <w:rFonts w:ascii="Arial" w:cs="Arial" w:eastAsia="Arial" w:hAnsi="Arial"/>
          <w:sz w:val="21"/>
          <w:szCs w:val="21"/>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2"/>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32"/>
          </w:cols>
          <w:pgMar w:left="328" w:top="1395" w:right="339" w:bottom="1440" w:gutter="0" w:footer="0" w:header="0"/>
        </w:sectPr>
      </w:pPr>
    </w:p>
    <w:bookmarkStart w:id="79" w:name="page80"/>
    <w:bookmarkEnd w:id="79"/>
    <w:p>
      <w:pPr>
        <w:spacing w:after="0" w:line="232" w:lineRule="auto"/>
        <w:rPr>
          <w:sz w:val="20"/>
          <w:szCs w:val="20"/>
          <w:color w:val="auto"/>
        </w:rPr>
      </w:pPr>
      <w:r>
        <w:rPr>
          <w:rFonts w:ascii="Arial" w:cs="Arial" w:eastAsia="Arial" w:hAnsi="Arial"/>
          <w:sz w:val="22"/>
          <w:szCs w:val="22"/>
          <w:color w:val="auto"/>
        </w:rPr>
        <w:t>language, and if the meaning of the translated version is different than the English language version, the English language version will control.</w:t>
      </w:r>
    </w:p>
    <w:p>
      <w:pPr>
        <w:spacing w:after="0" w:line="153" w:lineRule="exact"/>
        <w:rPr>
          <w:sz w:val="20"/>
          <w:szCs w:val="20"/>
          <w:color w:val="auto"/>
        </w:rPr>
      </w:pPr>
    </w:p>
    <w:p>
      <w:pPr>
        <w:jc w:val="both"/>
        <w:ind w:firstLine="8"/>
        <w:spacing w:after="0" w:line="220" w:lineRule="auto"/>
        <w:tabs>
          <w:tab w:leader="none" w:pos="644"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Performance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82" w:name="page83"/>
    <w:bookmarkEnd w:id="82"/>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83" w:name="page84"/>
    <w:bookmarkEnd w:id="83"/>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84" w:name="page85"/>
    <w:bookmarkEnd w:id="84"/>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85" w:name="page86"/>
    <w:bookmarkEnd w:id="85"/>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lowerLetter"/>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lowerRoman"/>
      <w:start w:val="2"/>
    </w:lvl>
  </w:abstractNum>
  <w:abstractNum w:abstractNumId="4">
    <w:nsid w:val="5072367"/>
    <w:multiLevelType w:val="hybridMultilevel"/>
    <w:lvl w:ilvl="0">
      <w:lvlJc w:val="left"/>
      <w:lvlText w:val="(%1)"/>
      <w:numFmt w:val="decimal"/>
      <w:start w:val="2"/>
    </w:lvl>
  </w:abstractNum>
  <w:abstractNum w:abstractNumId="5">
    <w:nsid w:val="3804823E"/>
    <w:multiLevelType w:val="hybridMultilevel"/>
    <w:lvl w:ilvl="0">
      <w:lvlJc w:val="left"/>
      <w:lvlText w:val="(%1)"/>
      <w:numFmt w:val="lowerLetter"/>
      <w:start w:val="2"/>
    </w:lvl>
  </w:abstractNum>
  <w:abstractNum w:abstractNumId="6">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
    <w:nsid w:val="7724C67E"/>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8">
    <w:nsid w:val="5C482A97"/>
    <w:multiLevelType w:val="hybridMultilevel"/>
    <w:lvl w:ilvl="0">
      <w:lvlJc w:val="left"/>
      <w:lvlText w:val="%1"/>
      <w:numFmt w:val="decimal"/>
      <w:start w:val="1"/>
    </w:lvl>
    <w:lvl w:ilvl="1">
      <w:lvlJc w:val="left"/>
      <w:lvlText w:val="(%2)"/>
      <w:numFmt w:val="lowerLetter"/>
      <w:start w:val="3"/>
    </w:lvl>
  </w:abstractNum>
  <w:abstractNum w:abstractNumId="9">
    <w:nsid w:val="2463B9EA"/>
    <w:multiLevelType w:val="hybridMultilevel"/>
    <w:lvl w:ilvl="0">
      <w:lvlJc w:val="left"/>
      <w:lvlText w:val="%1."/>
      <w:numFmt w:val="decimal"/>
      <w:start w:val="4"/>
    </w:lvl>
    <w:lvl w:ilvl="1">
      <w:lvlJc w:val="left"/>
      <w:lvlText w:val="(%2)"/>
      <w:numFmt w:val="lowerLetter"/>
      <w:start w:val="1"/>
    </w:lvl>
  </w:abstractNum>
  <w:abstractNum w:abstractNumId="10">
    <w:nsid w:val="5E884ADC"/>
    <w:multiLevelType w:val="hybridMultilevel"/>
    <w:lvl w:ilvl="0">
      <w:lvlJc w:val="left"/>
      <w:lvlText w:val="%1"/>
      <w:numFmt w:val="decimal"/>
      <w:start w:val="1"/>
    </w:lvl>
    <w:lvl w:ilvl="1">
      <w:lvlJc w:val="left"/>
      <w:lvlText w:val="(%2)"/>
      <w:numFmt w:val="lowerLetter"/>
      <w:start w:val="2"/>
    </w:lvl>
  </w:abstractNum>
  <w:abstractNum w:abstractNumId="11">
    <w:nsid w:val="51EAD36B"/>
    <w:multiLevelType w:val="hybridMultilevel"/>
    <w:lvl w:ilvl="0">
      <w:lvlJc w:val="left"/>
      <w:lvlText w:val="%1."/>
      <w:numFmt w:val="decimal"/>
      <w:start w:val="5"/>
    </w:lvl>
    <w:lvl w:ilvl="1">
      <w:lvlJc w:val="left"/>
      <w:lvlText w:val="(%2)"/>
      <w:numFmt w:val="lowerLetter"/>
      <w:start w:val="1"/>
    </w:lvl>
  </w:abstractNum>
  <w:abstractNum w:abstractNumId="12">
    <w:nsid w:val="2D517796"/>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13">
    <w:nsid w:val="580BD78F"/>
    <w:multiLevelType w:val="hybridMultilevel"/>
    <w:lvl w:ilvl="0">
      <w:lvlJc w:val="left"/>
      <w:lvlText w:val="(%1)"/>
      <w:numFmt w:val="lowerLetter"/>
      <w:start w:val="2"/>
    </w:lvl>
    <w:lvl w:ilvl="1">
      <w:lvlJc w:val="left"/>
      <w:lvlText w:val="%2."/>
      <w:numFmt w:val="lowerRoman"/>
      <w:start w:val="1"/>
    </w:lvl>
  </w:abstractNum>
  <w:abstractNum w:abstractNumId="14">
    <w:nsid w:val="153EA438"/>
    <w:multiLevelType w:val="hybridMultilevel"/>
    <w:lvl w:ilvl="0">
      <w:lvlJc w:val="left"/>
      <w:lvlText w:val="%1"/>
      <w:numFmt w:val="decimal"/>
      <w:start w:val="1"/>
    </w:lvl>
    <w:lvl w:ilvl="1">
      <w:lvlJc w:val="left"/>
      <w:lvlText w:val="(%2)"/>
      <w:numFmt w:val="lowerLetter"/>
      <w:start w:val="3"/>
    </w:lvl>
  </w:abstractNum>
  <w:abstractNum w:abstractNumId="15">
    <w:nsid w:val="3855585C"/>
    <w:multiLevelType w:val="hybridMultilevel"/>
    <w:lvl w:ilvl="0">
      <w:lvlJc w:val="left"/>
      <w:lvlText w:val="%1."/>
      <w:numFmt w:val="decimal"/>
      <w:start w:val="8"/>
    </w:lvl>
    <w:lvl w:ilvl="1">
      <w:lvlJc w:val="left"/>
      <w:lvlText w:val="(%2)"/>
      <w:numFmt w:val="lowerLetter"/>
      <w:start w:val="1"/>
    </w:lvl>
  </w:abstractNum>
  <w:abstractNum w:abstractNumId="16">
    <w:nsid w:val="70A64E2A"/>
    <w:multiLevelType w:val="hybridMultilevel"/>
    <w:lvl w:ilvl="0">
      <w:lvlJc w:val="left"/>
      <w:lvlText w:val="(%1)"/>
      <w:numFmt w:val="lowerLetter"/>
      <w:start w:val="5"/>
    </w:lvl>
  </w:abstractNum>
  <w:abstractNum w:abstractNumId="17">
    <w:nsid w:val="6A2342EC"/>
    <w:multiLevelType w:val="hybridMultilevel"/>
    <w:lvl w:ilvl="0">
      <w:lvlJc w:val="left"/>
      <w:lvlText w:val="%1."/>
      <w:numFmt w:val="decimal"/>
      <w:start w:val="11"/>
    </w:lvl>
    <w:lvl w:ilvl="1">
      <w:lvlJc w:val="left"/>
      <w:lvlText w:val="(%2)"/>
      <w:numFmt w:val="lowerLetter"/>
      <w:start w:val="1"/>
    </w:lvl>
  </w:abstractNum>
  <w:abstractNum w:abstractNumId="18">
    <w:nsid w:val="2A487CB0"/>
    <w:multiLevelType w:val="hybridMultilevel"/>
    <w:lvl w:ilvl="0">
      <w:lvlJc w:val="left"/>
      <w:lvlText w:val="%1"/>
      <w:numFmt w:val="decimal"/>
      <w:start w:val="1"/>
    </w:lvl>
    <w:lvl w:ilvl="1">
      <w:lvlJc w:val="left"/>
      <w:lvlText w:val="(%2)"/>
      <w:numFmt w:val="lowerLetter"/>
      <w:start w:val="7"/>
    </w:lvl>
  </w:abstractNum>
  <w:abstractNum w:abstractNumId="19">
    <w:nsid w:val="1D4ED43B"/>
    <w:multiLevelType w:val="hybridMultilevel"/>
    <w:lvl w:ilvl="0">
      <w:lvlJc w:val="left"/>
      <w:lvlText w:val="%1."/>
      <w:numFmt w:val="decimal"/>
      <w:start w:val="12"/>
    </w:lvl>
    <w:lvl w:ilvl="1">
      <w:lvlJc w:val="left"/>
      <w:lvlText w:val="%2"/>
      <w:numFmt w:val="lowerLetter"/>
      <w:start w:val="1"/>
    </w:lvl>
  </w:abstractNum>
  <w:abstractNum w:abstractNumId="20">
    <w:nsid w:val="725A06FB"/>
    <w:multiLevelType w:val="hybridMultilevel"/>
    <w:lvl w:ilvl="0">
      <w:lvlJc w:val="left"/>
      <w:lvlText w:val="(%1)"/>
      <w:numFmt w:val="lowerLetter"/>
      <w:start w:val="2"/>
    </w:lvl>
    <w:lvl w:ilvl="1">
      <w:lvlJc w:val="left"/>
      <w:lvlText w:val="%2."/>
      <w:numFmt w:val="decimal"/>
      <w:start w:val="13"/>
    </w:lvl>
  </w:abstractNum>
  <w:abstractNum w:abstractNumId="21">
    <w:nsid w:val="2CD89A32"/>
    <w:multiLevelType w:val="hybridMultilevel"/>
    <w:lvl w:ilvl="0">
      <w:lvlJc w:val="left"/>
      <w:lvlText w:val="%1."/>
      <w:numFmt w:val="decimal"/>
      <w:start w:val="19"/>
    </w:lvl>
  </w:abstractNum>
  <w:abstractNum w:abstractNumId="22">
    <w:nsid w:val="57E4CCAF"/>
    <w:multiLevelType w:val="hybridMultilevel"/>
    <w:lvl w:ilvl="0">
      <w:lvlJc w:val="left"/>
      <w:lvlText w:val="%1."/>
      <w:numFmt w:val="decimal"/>
      <w:start w:val="23"/>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5">
    <w:nsid w:val="542289EC"/>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26">
    <w:nsid w:val="6DE91B18"/>
    <w:multiLevelType w:val="hybridMultilevel"/>
    <w:lvl w:ilvl="0">
      <w:lvlJc w:val="left"/>
      <w:lvlText w:val="(%1)"/>
      <w:numFmt w:val="lowerLetter"/>
      <w:start w:val="3"/>
    </w:lvl>
  </w:abstractNum>
  <w:abstractNum w:abstractNumId="27">
    <w:nsid w:val="38437FDB"/>
    <w:multiLevelType w:val="hybridMultilevel"/>
    <w:lvl w:ilvl="0">
      <w:lvlJc w:val="left"/>
      <w:lvlText w:val="%1."/>
      <w:numFmt w:val="decimal"/>
      <w:start w:val="4"/>
    </w:lvl>
    <w:lvl w:ilvl="1">
      <w:lvlJc w:val="left"/>
      <w:lvlText w:val="(%2)"/>
      <w:numFmt w:val="lowerLetter"/>
      <w:start w:val="1"/>
    </w:lvl>
  </w:abstractNum>
  <w:abstractNum w:abstractNumId="28">
    <w:nsid w:val="7644A45C"/>
    <w:multiLevelType w:val="hybridMultilevel"/>
    <w:lvl w:ilvl="0">
      <w:lvlJc w:val="left"/>
      <w:lvlText w:val="(%1)"/>
      <w:numFmt w:val="lowerLetter"/>
      <w:start w:val="5"/>
    </w:lvl>
  </w:abstractNum>
  <w:abstractNum w:abstractNumId="29">
    <w:nsid w:val="32FFF902"/>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30">
    <w:nsid w:val="684A481A"/>
    <w:multiLevelType w:val="hybridMultilevel"/>
    <w:lvl w:ilvl="0">
      <w:lvlJc w:val="left"/>
      <w:lvlText w:val="(%1)"/>
      <w:numFmt w:val="lowerLetter"/>
      <w:start w:val="2"/>
    </w:lvl>
    <w:lvl w:ilvl="1">
      <w:lvlJc w:val="left"/>
      <w:lvlText w:val="%2."/>
      <w:numFmt w:val="lowerRoman"/>
      <w:start w:val="1"/>
    </w:lvl>
  </w:abstractNum>
  <w:abstractNum w:abstractNumId="31">
    <w:nsid w:val="579478FE"/>
    <w:multiLevelType w:val="hybridMultilevel"/>
    <w:lvl w:ilvl="0">
      <w:lvlJc w:val="left"/>
      <w:lvlText w:val="%1"/>
      <w:numFmt w:val="decimal"/>
      <w:start w:val="1"/>
    </w:lvl>
    <w:lvl w:ilvl="1">
      <w:lvlJc w:val="left"/>
      <w:lvlText w:val="(%2)"/>
      <w:numFmt w:val="lowerLetter"/>
      <w:start w:val="3"/>
    </w:lvl>
  </w:abstractNum>
  <w:abstractNum w:abstractNumId="32">
    <w:nsid w:val="749ABB43"/>
    <w:multiLevelType w:val="hybridMultilevel"/>
    <w:lvl w:ilvl="0">
      <w:lvlJc w:val="left"/>
      <w:lvlText w:val="%1."/>
      <w:numFmt w:val="decimal"/>
      <w:start w:val="8"/>
    </w:lvl>
    <w:lvl w:ilvl="1">
      <w:lvlJc w:val="left"/>
      <w:lvlText w:val="(%2)"/>
      <w:numFmt w:val="lowerLetter"/>
      <w:start w:val="1"/>
    </w:lvl>
  </w:abstractNum>
  <w:abstractNum w:abstractNumId="33">
    <w:nsid w:val="3DC240FB"/>
    <w:multiLevelType w:val="hybridMultilevel"/>
    <w:lvl w:ilvl="0">
      <w:lvlJc w:val="left"/>
      <w:lvlText w:val="(%1)"/>
      <w:numFmt w:val="lowerLetter"/>
      <w:start w:val="3"/>
    </w:lvl>
  </w:abstractNum>
  <w:abstractNum w:abstractNumId="34">
    <w:nsid w:val="1BA026FA"/>
    <w:multiLevelType w:val="hybridMultilevel"/>
    <w:lvl w:ilvl="0">
      <w:lvlJc w:val="left"/>
      <w:lvlText w:val="(%1)"/>
      <w:numFmt w:val="lowerLetter"/>
      <w:start w:val="4"/>
    </w:lvl>
  </w:abstractNum>
  <w:abstractNum w:abstractNumId="35">
    <w:nsid w:val="79A1DEAA"/>
    <w:multiLevelType w:val="hybridMultilevel"/>
    <w:lvl w:ilvl="0">
      <w:lvlJc w:val="left"/>
      <w:lvlText w:val="%1"/>
      <w:numFmt w:val="decimal"/>
      <w:start w:val="1"/>
    </w:lvl>
    <w:lvl w:ilvl="1">
      <w:lvlJc w:val="left"/>
      <w:lvlText w:val="(%2)"/>
      <w:numFmt w:val="lowerLetter"/>
      <w:start w:val="15"/>
    </w:lvl>
  </w:abstractNum>
  <w:abstractNum w:abstractNumId="36">
    <w:nsid w:val="75C6C33A"/>
    <w:multiLevelType w:val="hybridMultilevel"/>
    <w:lvl w:ilvl="0">
      <w:lvlJc w:val="left"/>
      <w:lvlText w:val="%1."/>
      <w:numFmt w:val="decimal"/>
      <w:start w:val="11"/>
    </w:lvl>
    <w:lvl w:ilvl="1">
      <w:lvlJc w:val="left"/>
      <w:lvlText w:val="(%2)"/>
      <w:numFmt w:val="lowerLetter"/>
      <w:start w:val="1"/>
    </w:lvl>
  </w:abstractNum>
  <w:abstractNum w:abstractNumId="37">
    <w:nsid w:val="12E685FB"/>
    <w:multiLevelType w:val="hybridMultilevel"/>
    <w:lvl w:ilvl="0">
      <w:lvlJc w:val="left"/>
      <w:lvlText w:val="(%1)"/>
      <w:numFmt w:val="lowerLetter"/>
      <w:start w:val="6"/>
    </w:lvl>
  </w:abstractNum>
  <w:abstractNum w:abstractNumId="38">
    <w:nsid w:val="70C6A529"/>
    <w:multiLevelType w:val="hybridMultilevel"/>
    <w:lvl w:ilvl="0">
      <w:lvlJc w:val="left"/>
      <w:lvlText w:val="%1."/>
      <w:numFmt w:val="decimal"/>
      <w:start w:val="12"/>
    </w:lvl>
  </w:abstractNum>
  <w:abstractNum w:abstractNumId="39">
    <w:nsid w:val="520EEDD1"/>
    <w:multiLevelType w:val="hybridMultilevel"/>
    <w:lvl w:ilvl="0">
      <w:lvlJc w:val="left"/>
      <w:lvlText w:val="%1"/>
      <w:numFmt w:val="decimal"/>
      <w:start w:val="1"/>
    </w:lvl>
    <w:lvl w:ilvl="1">
      <w:lvlJc w:val="left"/>
      <w:lvlText w:val="%2."/>
      <w:numFmt w:val="decimal"/>
      <w:start w:val="18"/>
    </w:lvl>
  </w:abstractNum>
  <w:abstractNum w:abstractNumId="40">
    <w:nsid w:val="374A3FE6"/>
    <w:multiLevelType w:val="hybridMultilevel"/>
    <w:lvl w:ilvl="0">
      <w:lvlJc w:val="left"/>
      <w:lvlText w:val="(%1)"/>
      <w:numFmt w:val="decimal"/>
      <w:start w:val="650"/>
    </w:lvl>
    <w:lvl w:ilvl="1">
      <w:lvlJc w:val="left"/>
      <w:lvlText w:val="%2."/>
      <w:numFmt w:val="decimal"/>
      <w:start w:val="19"/>
    </w:lvl>
  </w:abstractNum>
  <w:abstractNum w:abstractNumId="41">
    <w:nsid w:val="4F4EF005"/>
    <w:multiLevelType w:val="hybridMultilevel"/>
    <w:lvl w:ilvl="0">
      <w:lvlJc w:val="left"/>
      <w:lvlText w:val="%1."/>
      <w:numFmt w:val="decimal"/>
      <w:start w:val="23"/>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lowerLetter"/>
      <w:start w:val="1"/>
    </w:lvl>
    <w:lvl w:ilvl="1">
      <w:lvlJc w:val="left"/>
      <w:lvlText w:val="(%2)"/>
      <w:numFmt w:val="lowerRoman"/>
      <w:start w:val="1"/>
    </w:lvl>
  </w:abstractNum>
  <w:abstractNum w:abstractNumId="45">
    <w:nsid w:val="39386575"/>
    <w:multiLevelType w:val="hybridMultilevel"/>
    <w:lvl w:ilvl="0">
      <w:lvlJc w:val="left"/>
      <w:lvlText w:val="%1."/>
      <w:numFmt w:val="decimal"/>
      <w:start w:val="8"/>
    </w:lvl>
  </w:abstractNum>
  <w:abstractNum w:abstractNumId="46">
    <w:nsid w:val="1CF10FD8"/>
    <w:multiLevelType w:val="hybridMultilevel"/>
    <w:lvl w:ilvl="0">
      <w:lvlJc w:val="left"/>
      <w:lvlText w:val="%1."/>
      <w:numFmt w:val="decimal"/>
      <w:start w:val="11"/>
    </w:lvl>
    <w:lvl w:ilvl="1">
      <w:lvlJc w:val="left"/>
      <w:lvlText w:val="(%2)"/>
      <w:numFmt w:val="lowerLetter"/>
      <w:start w:val="1"/>
    </w:lvl>
  </w:abstractNum>
  <w:abstractNum w:abstractNumId="47">
    <w:nsid w:val="180115BE"/>
    <w:multiLevelType w:val="hybridMultilevel"/>
    <w:lvl w:ilvl="0">
      <w:lvlJc w:val="left"/>
      <w:lvlText w:val="%1"/>
      <w:numFmt w:val="decimal"/>
      <w:start w:val="1"/>
    </w:lvl>
    <w:lvl w:ilvl="1">
      <w:lvlJc w:val="left"/>
      <w:lvlText w:val="(%2)"/>
      <w:numFmt w:val="lowerLetter"/>
      <w:start w:val="12"/>
    </w:lvl>
  </w:abstractNum>
  <w:abstractNum w:abstractNumId="48">
    <w:nsid w:val="235BA861"/>
    <w:multiLevelType w:val="hybridMultilevel"/>
    <w:lvl w:ilvl="0">
      <w:lvlJc w:val="left"/>
      <w:lvlText w:val="%1."/>
      <w:numFmt w:val="decimal"/>
      <w:start w:val="12"/>
    </w:lvl>
    <w:lvl w:ilvl="1">
      <w:lvlJc w:val="left"/>
      <w:lvlText w:val="(%2)"/>
      <w:numFmt w:val="lowerLetter"/>
      <w:start w:val="1"/>
    </w:lvl>
  </w:abstractNum>
  <w:abstractNum w:abstractNumId="49">
    <w:nsid w:val="47398C89"/>
    <w:multiLevelType w:val="hybridMultilevel"/>
    <w:lvl w:ilvl="0">
      <w:lvlJc w:val="left"/>
      <w:lvlText w:val="(%1)"/>
      <w:numFmt w:val="lowerLetter"/>
      <w:start w:val="5"/>
    </w:lvl>
  </w:abstractNum>
  <w:abstractNum w:abstractNumId="50">
    <w:nsid w:val="354FE9F9"/>
    <w:multiLevelType w:val="hybridMultilevel"/>
    <w:lvl w:ilvl="0">
      <w:lvlJc w:val="left"/>
      <w:lvlText w:val="%1"/>
      <w:numFmt w:val="decimal"/>
      <w:start w:val="1"/>
    </w:lvl>
    <w:lvl w:ilvl="1">
      <w:lvlJc w:val="left"/>
      <w:lvlText w:val="(%2)"/>
      <w:numFmt w:val="lowerRoman"/>
      <w:start w:val="1"/>
    </w:lvl>
  </w:abstractNum>
  <w:abstractNum w:abstractNumId="51">
    <w:nsid w:val="15B5AF5C"/>
    <w:multiLevelType w:val="hybridMultilevel"/>
    <w:lvl w:ilvl="0">
      <w:lvlJc w:val="left"/>
      <w:lvlText w:val="%1."/>
      <w:numFmt w:val="decimal"/>
      <w:start w:val="13"/>
    </w:lvl>
    <w:lvl w:ilvl="1">
      <w:lvlJc w:val="left"/>
      <w:lvlText w:val="%2"/>
      <w:numFmt w:val="lowerRoman"/>
      <w:start w:val="1"/>
    </w:lvl>
  </w:abstractNum>
  <w:abstractNum w:abstractNumId="52">
    <w:nsid w:val="741226BB"/>
    <w:multiLevelType w:val="hybridMultilevel"/>
    <w:lvl w:ilvl="0">
      <w:lvlJc w:val="left"/>
      <w:lvlText w:val="%1."/>
      <w:numFmt w:val="decimal"/>
      <w:start w:val="17"/>
    </w:lvl>
  </w:abstractNum>
  <w:abstractNum w:abstractNumId="53">
    <w:nsid w:val="D34B6A8"/>
    <w:multiLevelType w:val="hybridMultilevel"/>
    <w:lvl w:ilvl="0">
      <w:lvlJc w:val="left"/>
      <w:lvlText w:val="%1."/>
      <w:numFmt w:val="decimal"/>
      <w:start w:val="2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1)"/>
      <w:numFmt w:val="lowerLetter"/>
      <w:start w:val="1"/>
    </w:lvl>
    <w:lvl w:ilvl="1">
      <w:lvlJc w:val="left"/>
      <w:lvlText w:val="(%2)"/>
      <w:numFmt w:val="lowerRoman"/>
      <w:start w:val="1"/>
    </w:lvl>
  </w:abstractNum>
  <w:abstractNum w:abstractNumId="57">
    <w:nsid w:val="7E0C57B1"/>
    <w:multiLevelType w:val="hybridMultilevel"/>
    <w:lvl w:ilvl="0">
      <w:lvlJc w:val="left"/>
      <w:lvlText w:val="%1."/>
      <w:numFmt w:val="decimal"/>
      <w:start w:val="8"/>
    </w:lvl>
  </w:abstractNum>
  <w:abstractNum w:abstractNumId="58">
    <w:nsid w:val="77AE35EB"/>
    <w:multiLevelType w:val="hybridMultilevel"/>
    <w:lvl w:ilvl="0">
      <w:lvlJc w:val="left"/>
      <w:lvlText w:val="%1."/>
      <w:numFmt w:val="decimal"/>
      <w:start w:val="11"/>
    </w:lvl>
    <w:lvl w:ilvl="1">
      <w:lvlJc w:val="left"/>
      <w:lvlText w:val="(%2)"/>
      <w:numFmt w:val="lowerLetter"/>
      <w:start w:val="1"/>
    </w:lvl>
  </w:abstractNum>
  <w:abstractNum w:abstractNumId="59">
    <w:nsid w:val="579BE4F1"/>
    <w:multiLevelType w:val="hybridMultilevel"/>
    <w:lvl w:ilvl="0">
      <w:lvlJc w:val="left"/>
      <w:lvlText w:val="%1"/>
      <w:numFmt w:val="decimal"/>
      <w:start w:val="1"/>
    </w:lvl>
    <w:lvl w:ilvl="1">
      <w:lvlJc w:val="left"/>
      <w:lvlText w:val="(%2)"/>
      <w:numFmt w:val="lowerLetter"/>
      <w:start w:val="10"/>
    </w:lvl>
  </w:abstractNum>
  <w:abstractNum w:abstractNumId="60">
    <w:nsid w:val="310C50B3"/>
    <w:multiLevelType w:val="hybridMultilevel"/>
    <w:lvl w:ilvl="0">
      <w:lvlJc w:val="left"/>
      <w:lvlText w:val="%1."/>
      <w:numFmt w:val="decimal"/>
      <w:start w:val="12"/>
    </w:lvl>
    <w:lvl w:ilvl="1">
      <w:lvlJc w:val="left"/>
      <w:lvlText w:val="(%2)"/>
      <w:numFmt w:val="lowerLetter"/>
      <w:start w:val="1"/>
    </w:lvl>
  </w:abstractNum>
  <w:abstractNum w:abstractNumId="61">
    <w:nsid w:val="5FF87E05"/>
    <w:multiLevelType w:val="hybridMultilevel"/>
    <w:lvl w:ilvl="0">
      <w:lvlJc w:val="left"/>
      <w:lvlText w:val="(%1)"/>
      <w:numFmt w:val="lowerLetter"/>
      <w:start w:val="4"/>
    </w:lvl>
  </w:abstractNum>
  <w:abstractNum w:abstractNumId="62">
    <w:nsid w:val="2F305DEF"/>
    <w:multiLevelType w:val="hybridMultilevel"/>
    <w:lvl w:ilvl="0">
      <w:lvlJc w:val="left"/>
      <w:lvlText w:val="%1"/>
      <w:numFmt w:val="decimal"/>
      <w:start w:val="1"/>
    </w:lvl>
    <w:lvl w:ilvl="1">
      <w:lvlJc w:val="left"/>
      <w:lvlText w:val="(%2)"/>
      <w:numFmt w:val="lowerRoman"/>
      <w:start w:val="1"/>
    </w:lvl>
  </w:abstractNum>
  <w:abstractNum w:abstractNumId="63">
    <w:nsid w:val="25A70BF7"/>
    <w:multiLevelType w:val="hybridMultilevel"/>
    <w:lvl w:ilvl="0">
      <w:lvlJc w:val="left"/>
      <w:lvlText w:val="%1."/>
      <w:numFmt w:val="decimal"/>
      <w:start w:val="13"/>
    </w:lvl>
    <w:lvl w:ilvl="1">
      <w:lvlJc w:val="left"/>
      <w:lvlText w:val="%2"/>
      <w:numFmt w:val="lowerRoman"/>
      <w:start w:val="1"/>
    </w:lvl>
  </w:abstractNum>
  <w:abstractNum w:abstractNumId="64">
    <w:nsid w:val="1DBABF00"/>
    <w:multiLevelType w:val="hybridMultilevel"/>
    <w:lvl w:ilvl="0">
      <w:lvlJc w:val="left"/>
      <w:lvlText w:val="%1."/>
      <w:numFmt w:val="decimal"/>
      <w:start w:val="16"/>
    </w:lvl>
  </w:abstractNum>
  <w:abstractNum w:abstractNumId="65">
    <w:nsid w:val="4AD084E9"/>
    <w:multiLevelType w:val="hybridMultilevel"/>
    <w:lvl w:ilvl="0">
      <w:lvlJc w:val="left"/>
      <w:lvlText w:val="%1."/>
      <w:numFmt w:val="decimal"/>
      <w:start w:val="2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9" Type="http://schemas.openxmlformats.org/officeDocument/2006/relationships/image" Target="media/image1.png"/><Relationship Id="rId20" Type="http://schemas.openxmlformats.org/officeDocument/2006/relationships/image" Target="media/image2.jpeg"/><Relationship Id="rId21" Type="http://schemas.openxmlformats.org/officeDocument/2006/relationships/image" Target="media/image3.png"/><Relationship Id="rId8" Type="http://schemas.openxmlformats.org/officeDocument/2006/relationships/hyperlink" Target="https://www.sec.gov/Archives/edgar/data/1384101/000138410123000016/vcyt-20221231.htm" TargetMode="External"/><Relationship Id="rId9" Type="http://schemas.openxmlformats.org/officeDocument/2006/relationships/hyperlink" Target="https://www.sec.gov/Archives/edgar/data/1384101/000110465913078343/a13-16266_158a12b.htm" TargetMode="External"/><Relationship Id="rId10" Type="http://schemas.openxmlformats.org/officeDocument/2006/relationships/hyperlink" Target="https://www.sec.gov/Archives/edgar/data/1384101/000138410121000012/vcyt-12312020xex42.htm" TargetMode="External"/><Relationship Id="rId11" Type="http://schemas.openxmlformats.org/officeDocument/2006/relationships/hyperlink" Target="https://www.sec.gov/Archives/edgar/data/1384101/000110465913082910/a13-23874_1ex3d1.htm" TargetMode="External"/><Relationship Id="rId12" Type="http://schemas.openxmlformats.org/officeDocument/2006/relationships/hyperlink" Target="https://www.sec.gov/Archives/edgar/data/1384101/000138410123000007/ex31veracyte-amendedandres.htm" TargetMode="External"/><Relationship Id="rId13" Type="http://schemas.openxmlformats.org/officeDocument/2006/relationships/hyperlink" Target="http://www.sec.gov/Archives/edgar/data/1384101/000104746913009631/a2216954zex-4_1.htm" TargetMode="External"/><Relationship Id="rId14" Type="http://schemas.openxmlformats.org/officeDocument/2006/relationships/hyperlink" Target="https://www.sec.gov/Archives/edgar/data/1384101/000104746913009208/a2216719zex-10_2.htm" TargetMode="External"/><Relationship Id="rId15" Type="http://schemas.openxmlformats.org/officeDocument/2006/relationships/hyperlink" Target="https://www.sec.gov/Archives/edgar/data/1384101/000138410121000034/vcyt-2013stockincentivepla.htm" TargetMode="External"/><Relationship Id="rId16" Type="http://schemas.openxmlformats.org/officeDocument/2006/relationships/hyperlink" Target="https://www.sec.gov/Archives/edgar/data/1384101/000143774920022261/ex_207290.htm" TargetMode="External"/><Relationship Id="rId17" Type="http://schemas.openxmlformats.org/officeDocument/2006/relationships/hyperlink" Target="https://www.sec.gov/Archives/edgar/data/1384101/000143774920022261/ex_207336.htm" TargetMode="External"/><Relationship Id="rId18" Type="http://schemas.openxmlformats.org/officeDocument/2006/relationships/hyperlink" Target="https://www.sec.gov/ix?doc=/Archives/edgar/data/1384101/000138410123000055/vcyt-202304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2023-06-08T16:04:14Z</dcterms:created>
  <dcterms:modified xsi:type="dcterms:W3CDTF">2023-06-08T16:04:14Z</dcterms:modified>
</cp:coreProperties>
</file>