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(Name of Issuer)</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(CUSIP Number)</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47"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46" w:lineRule="exact"/>
        <w:rPr>
          <w:rFonts w:ascii="MS PGothic" w:cs="MS PGothic" w:eastAsia="MS PGothic" w:hAnsi="MS PGothic"/>
          <w:sz w:val="22"/>
          <w:szCs w:val="22"/>
          <w:color w:val="auto"/>
        </w:rPr>
      </w:pPr>
    </w:p>
    <w:p>
      <w:pPr>
        <w:ind w:left="260" w:hanging="252"/>
        <w:spacing w:after="0"/>
        <w:tabs>
          <w:tab w:leader="none" w:pos="2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33" w:lineRule="exact"/>
        <w:rPr>
          <w:sz w:val="24"/>
          <w:szCs w:val="24"/>
          <w:color w:val="auto"/>
        </w:rPr>
      </w:pPr>
    </w:p>
    <w:p>
      <w:pPr>
        <w:ind w:right="40" w:firstLine="8"/>
        <w:spacing w:after="0"/>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68237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823710"/>
                    </a:xfrm>
                    <a:prstGeom prst="rect">
                      <a:avLst/>
                    </a:prstGeom>
                    <a:noFill/>
                  </pic:spPr>
                </pic:pic>
              </a:graphicData>
            </a:graphic>
          </wp:anchor>
        </w:drawing>
      </w:r>
    </w:p>
    <w:p>
      <w:pPr>
        <w:spacing w:after="0" w:line="25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ind w:left="1440" w:hanging="818"/>
        <w:spacing w:after="0" w:line="181" w:lineRule="auto"/>
        <w:tabs>
          <w:tab w:leader="none" w:pos="1440" w:val="left"/>
        </w:tabs>
        <w:numPr>
          <w:ilvl w:val="0"/>
          <w:numId w:val="4"/>
        </w:numPr>
        <w:rPr>
          <w:rFonts w:ascii="Arial" w:cs="Arial" w:eastAsia="Arial" w:hAnsi="Arial"/>
          <w:sz w:val="59"/>
          <w:szCs w:val="59"/>
          <w:b w:val="1"/>
          <w:bCs w:val="1"/>
          <w:color w:val="auto"/>
          <w:vertAlign w:val="superscript"/>
        </w:rPr>
      </w:pPr>
      <w:r>
        <w:rPr>
          <w:rFonts w:ascii="Arial" w:cs="Arial" w:eastAsia="Arial" w:hAnsi="Arial"/>
          <w:sz w:val="17"/>
          <w:szCs w:val="17"/>
          <w:b w:val="1"/>
          <w:bCs w:val="1"/>
          <w:color w:val="auto"/>
        </w:rPr>
        <w:t>Nikko Asset Management Americas, Inc.</w:t>
      </w:r>
    </w:p>
    <w:p>
      <w:pPr>
        <w:spacing w:after="0" w:line="222" w:lineRule="exact"/>
        <w:rPr>
          <w:sz w:val="20"/>
          <w:szCs w:val="20"/>
          <w:color w:val="auto"/>
        </w:rPr>
      </w:pPr>
    </w:p>
    <w:p>
      <w:pPr>
        <w:jc w:val="right"/>
        <w:ind w:right="364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8"/>
        <w:spacing w:after="0" w:line="322" w:lineRule="exact"/>
        <w:tabs>
          <w:tab w:leader="none" w:pos="142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5" w:lineRule="exact"/>
        <w:rPr>
          <w:rFonts w:ascii="Arial" w:cs="Arial" w:eastAsia="Arial" w:hAnsi="Arial"/>
          <w:sz w:val="32"/>
          <w:szCs w:val="32"/>
          <w:b w:val="1"/>
          <w:bCs w:val="1"/>
          <w:color w:val="auto"/>
        </w:rPr>
      </w:pPr>
    </w:p>
    <w:p>
      <w:pPr>
        <w:ind w:left="1420"/>
        <w:spacing w:after="0" w:line="207" w:lineRule="exact"/>
        <w:rPr>
          <w:rFonts w:ascii="Arial" w:cs="Arial" w:eastAsia="Arial" w:hAnsi="Arial"/>
          <w:sz w:val="32"/>
          <w:szCs w:val="32"/>
          <w:b w:val="1"/>
          <w:bCs w:val="1"/>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5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8"/>
        <w:spacing w:after="0" w:line="181" w:lineRule="auto"/>
        <w:tabs>
          <w:tab w:leader="none" w:pos="1440" w:val="left"/>
        </w:tabs>
        <w:numPr>
          <w:ilvl w:val="0"/>
          <w:numId w:val="6"/>
        </w:numPr>
        <w:rPr>
          <w:rFonts w:ascii="Arial" w:cs="Arial" w:eastAsia="Arial" w:hAnsi="Arial"/>
          <w:sz w:val="59"/>
          <w:szCs w:val="59"/>
          <w:b w:val="1"/>
          <w:bCs w:val="1"/>
          <w:color w:val="auto"/>
          <w:vertAlign w:val="superscript"/>
        </w:rPr>
      </w:pPr>
      <w:r>
        <w:rPr>
          <w:rFonts w:ascii="Arial" w:cs="Arial" w:eastAsia="Arial" w:hAnsi="Arial"/>
          <w:sz w:val="17"/>
          <w:szCs w:val="17"/>
          <w:color w:val="auto"/>
        </w:rPr>
        <w:t>USA</w:t>
      </w:r>
    </w:p>
    <w:p>
      <w:pPr>
        <w:sectPr>
          <w:pgSz w:w="11900" w:h="16838" w:orient="portrait"/>
          <w:cols w:equalWidth="0" w:num="1">
            <w:col w:w="10360"/>
          </w:cols>
          <w:pgMar w:left="320" w:top="118"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100"/>
        <w:spacing w:after="0" w:line="277" w:lineRule="auto"/>
        <w:rPr>
          <w:sz w:val="20"/>
          <w:szCs w:val="20"/>
          <w:color w:val="auto"/>
        </w:rPr>
      </w:pPr>
      <w:r>
        <w:rPr>
          <w:rFonts w:ascii="Arial" w:cs="Arial" w:eastAsia="Arial" w:hAnsi="Arial"/>
          <w:sz w:val="17"/>
          <w:szCs w:val="17"/>
          <w:b w:val="1"/>
          <w:bCs w:val="1"/>
          <w:color w:val="auto"/>
        </w:rPr>
        <w:t>NUMBER OF SHARES BENEFICIALLY OWNED BY EACH REPORTING PERSON WITH</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SOLE VOTING POWER</w:t>
      </w:r>
    </w:p>
    <w:p>
      <w:pPr>
        <w:ind w:left="504" w:hanging="504"/>
        <w:spacing w:after="0" w:line="182" w:lineRule="auto"/>
        <w:tabs>
          <w:tab w:leader="none" w:pos="504" w:val="left"/>
        </w:tabs>
        <w:numPr>
          <w:ilvl w:val="0"/>
          <w:numId w:val="7"/>
        </w:numPr>
        <w:rPr>
          <w:rFonts w:ascii="Arial" w:cs="Arial" w:eastAsia="Arial" w:hAnsi="Arial"/>
          <w:sz w:val="50"/>
          <w:szCs w:val="50"/>
          <w:b w:val="1"/>
          <w:bCs w:val="1"/>
          <w:color w:val="auto"/>
          <w:vertAlign w:val="superscript"/>
        </w:rPr>
      </w:pPr>
      <w:r>
        <w:rPr>
          <w:rFonts w:ascii="Arial" w:cs="Arial" w:eastAsia="Arial" w:hAnsi="Arial"/>
          <w:sz w:val="16"/>
          <w:szCs w:val="16"/>
          <w:color w:val="auto"/>
        </w:rPr>
        <w:t>0</w:t>
      </w:r>
    </w:p>
    <w:p>
      <w:pPr>
        <w:spacing w:after="0" w:line="20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SHARED VOTING POWER</w:t>
      </w:r>
    </w:p>
    <w:p>
      <w:pPr>
        <w:ind w:left="464" w:hanging="464"/>
        <w:spacing w:after="0" w:line="180" w:lineRule="auto"/>
        <w:tabs>
          <w:tab w:leader="none" w:pos="464" w:val="left"/>
        </w:tabs>
        <w:numPr>
          <w:ilvl w:val="0"/>
          <w:numId w:val="8"/>
        </w:numPr>
        <w:rPr>
          <w:rFonts w:ascii="Arial" w:cs="Arial" w:eastAsia="Arial" w:hAnsi="Arial"/>
          <w:sz w:val="57"/>
          <w:szCs w:val="57"/>
          <w:b w:val="1"/>
          <w:bCs w:val="1"/>
          <w:color w:val="auto"/>
          <w:vertAlign w:val="superscript"/>
        </w:rPr>
      </w:pPr>
      <w:r>
        <w:rPr>
          <w:rFonts w:ascii="Arial" w:cs="Arial" w:eastAsia="Arial" w:hAnsi="Arial"/>
          <w:sz w:val="17"/>
          <w:szCs w:val="17"/>
          <w:b w:val="1"/>
          <w:bCs w:val="1"/>
          <w:color w:val="auto"/>
        </w:rPr>
        <w:t>2,665,030</w:t>
      </w:r>
    </w:p>
    <w:p>
      <w:pPr>
        <w:spacing w:after="0" w:line="22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SOLE DISPOSITIVE POWER</w:t>
      </w:r>
    </w:p>
    <w:p>
      <w:pPr>
        <w:ind w:left="504" w:hanging="504"/>
        <w:spacing w:after="0"/>
        <w:tabs>
          <w:tab w:leader="none" w:pos="504" w:val="left"/>
        </w:tabs>
        <w:numPr>
          <w:ilvl w:val="0"/>
          <w:numId w:val="9"/>
        </w:numPr>
        <w:rPr>
          <w:rFonts w:ascii="Arial" w:cs="Arial" w:eastAsia="Arial" w:hAnsi="Arial"/>
          <w:sz w:val="32"/>
          <w:szCs w:val="32"/>
          <w:b w:val="1"/>
          <w:bCs w:val="1"/>
          <w:color w:val="auto"/>
        </w:rPr>
      </w:pPr>
      <w:r>
        <w:rPr>
          <w:rFonts w:ascii="Arial" w:cs="Arial" w:eastAsia="Arial" w:hAnsi="Arial"/>
          <w:sz w:val="36"/>
          <w:szCs w:val="36"/>
          <w:color w:val="auto"/>
          <w:vertAlign w:val="subscript"/>
        </w:rPr>
        <w:t>0</w:t>
      </w:r>
    </w:p>
    <w:p>
      <w:pPr>
        <w:spacing w:after="0" w:line="207" w:lineRule="exact"/>
        <w:rPr>
          <w:sz w:val="20"/>
          <w:szCs w:val="20"/>
          <w:color w:val="auto"/>
        </w:rPr>
      </w:pPr>
    </w:p>
    <w:p>
      <w:pPr>
        <w:jc w:val="right"/>
        <w:ind w:right="4960"/>
        <w:spacing w:after="0"/>
        <w:rPr>
          <w:sz w:val="20"/>
          <w:szCs w:val="20"/>
          <w:color w:val="auto"/>
        </w:rPr>
      </w:pPr>
      <w:r>
        <w:rPr>
          <w:rFonts w:ascii="Arial" w:cs="Arial" w:eastAsia="Arial" w:hAnsi="Arial"/>
          <w:sz w:val="18"/>
          <w:szCs w:val="18"/>
          <w:b w:val="1"/>
          <w:bCs w:val="1"/>
          <w:color w:val="auto"/>
        </w:rPr>
        <w:t>SHARED DISPOSITIVE POWER</w:t>
      </w:r>
    </w:p>
    <w:p>
      <w:pPr>
        <w:ind w:left="464" w:hanging="464"/>
        <w:spacing w:after="0" w:line="181" w:lineRule="auto"/>
        <w:tabs>
          <w:tab w:leader="none" w:pos="464" w:val="left"/>
        </w:tabs>
        <w:numPr>
          <w:ilvl w:val="0"/>
          <w:numId w:val="10"/>
        </w:numPr>
        <w:rPr>
          <w:rFonts w:ascii="Arial" w:cs="Arial" w:eastAsia="Arial" w:hAnsi="Arial"/>
          <w:sz w:val="59"/>
          <w:szCs w:val="59"/>
          <w:b w:val="1"/>
          <w:bCs w:val="1"/>
          <w:color w:val="auto"/>
          <w:vertAlign w:val="superscript"/>
        </w:rPr>
      </w:pPr>
      <w:r>
        <w:rPr>
          <w:rFonts w:ascii="Arial" w:cs="Arial" w:eastAsia="Arial" w:hAnsi="Arial"/>
          <w:sz w:val="17"/>
          <w:szCs w:val="17"/>
          <w:b w:val="1"/>
          <w:bCs w:val="1"/>
          <w:color w:val="auto"/>
        </w:rPr>
        <w:t>3,121,103</w:t>
      </w:r>
    </w:p>
    <w:p>
      <w:pPr>
        <w:spacing w:after="0" w:line="200" w:lineRule="exact"/>
        <w:rPr>
          <w:sz w:val="20"/>
          <w:szCs w:val="20"/>
          <w:color w:val="auto"/>
        </w:rPr>
      </w:pPr>
    </w:p>
    <w:p>
      <w:pPr>
        <w:sectPr>
          <w:pgSz w:w="11900" w:h="16838" w:orient="portrait"/>
          <w:cols w:equalWidth="0" w:num="2">
            <w:col w:w="1960" w:space="316"/>
            <w:col w:w="8084"/>
          </w:cols>
          <w:pgMar w:left="320" w:top="118" w:right="1219" w:bottom="1440" w:gutter="0" w:footer="0" w:header="0"/>
          <w:type w:val="continuous"/>
        </w:sectPr>
      </w:pPr>
    </w:p>
    <w:p>
      <w:pPr>
        <w:spacing w:after="0" w:line="46"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ind w:left="1440" w:hanging="818"/>
        <w:spacing w:after="0" w:line="180" w:lineRule="auto"/>
        <w:tabs>
          <w:tab w:leader="none" w:pos="1440" w:val="left"/>
        </w:tabs>
        <w:numPr>
          <w:ilvl w:val="0"/>
          <w:numId w:val="11"/>
        </w:numPr>
        <w:rPr>
          <w:rFonts w:ascii="Arial" w:cs="Arial" w:eastAsia="Arial" w:hAnsi="Arial"/>
          <w:sz w:val="57"/>
          <w:szCs w:val="57"/>
          <w:b w:val="1"/>
          <w:bCs w:val="1"/>
          <w:color w:val="auto"/>
          <w:vertAlign w:val="superscript"/>
        </w:rPr>
      </w:pPr>
      <w:r>
        <w:rPr>
          <w:rFonts w:ascii="Arial" w:cs="Arial" w:eastAsia="Arial" w:hAnsi="Arial"/>
          <w:sz w:val="17"/>
          <w:szCs w:val="17"/>
          <w:b w:val="1"/>
          <w:bCs w:val="1"/>
          <w:color w:val="auto"/>
        </w:rPr>
        <w:t>3,121,103</w:t>
      </w:r>
    </w:p>
    <w:p>
      <w:pPr>
        <w:spacing w:after="0" w:line="22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p>
      <w:pPr>
        <w:ind w:left="540"/>
        <w:spacing w:after="0" w:line="378" w:lineRule="exact"/>
        <w:tabs>
          <w:tab w:leader="none" w:pos="140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MS PGothic" w:cs="MS PGothic" w:eastAsia="MS PGothic" w:hAnsi="MS PGothic"/>
          <w:sz w:val="36"/>
          <w:szCs w:val="36"/>
          <w:color w:val="auto"/>
          <w:vertAlign w:val="subscript"/>
        </w:rPr>
        <w:t>☐</w:t>
      </w:r>
    </w:p>
    <w:p>
      <w:pPr>
        <w:sectPr>
          <w:pgSz w:w="11900" w:h="16838" w:orient="portrait"/>
          <w:cols w:equalWidth="0" w:num="1">
            <w:col w:w="10360"/>
          </w:cols>
          <w:pgMar w:left="320" w:top="118" w:right="1219"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jc w:val="center"/>
        <w:ind w:left="560"/>
        <w:spacing w:after="0"/>
        <w:rPr>
          <w:sz w:val="20"/>
          <w:szCs w:val="20"/>
          <w:color w:val="auto"/>
        </w:rPr>
      </w:pPr>
      <w:r>
        <w:rPr>
          <w:rFonts w:ascii="Arial" w:cs="Arial" w:eastAsia="Arial" w:hAnsi="Arial"/>
          <w:sz w:val="26"/>
          <w:szCs w:val="26"/>
          <w:b w:val="1"/>
          <w:bCs w:val="1"/>
          <w:color w:val="auto"/>
        </w:rPr>
        <w:t>11</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PERCENT OF CLASS REPRESENTED BY AMOUNT IN ROW (9)</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4.39%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 OF REPORTING PERSON (SEE INSTRUCTIONS)</w:t>
      </w:r>
    </w:p>
    <w:p>
      <w:pPr>
        <w:spacing w:after="0" w:line="27" w:lineRule="exact"/>
        <w:rPr>
          <w:sz w:val="20"/>
          <w:szCs w:val="20"/>
          <w:color w:val="auto"/>
        </w:rPr>
      </w:pPr>
    </w:p>
    <w:p>
      <w:pPr>
        <w:sectPr>
          <w:pgSz w:w="11900" w:h="16838" w:orient="portrait"/>
          <w:cols w:equalWidth="0" w:num="2">
            <w:col w:w="860" w:space="560"/>
            <w:col w:w="8940"/>
          </w:cols>
          <w:pgMar w:left="320" w:top="118" w:right="1219" w:bottom="1440" w:gutter="0" w:footer="0" w:header="0"/>
          <w:type w:val="continuous"/>
        </w:sectPr>
      </w:pPr>
    </w:p>
    <w:p>
      <w:pPr>
        <w:ind w:left="540"/>
        <w:spacing w:after="0"/>
        <w:tabs>
          <w:tab w:leader="none" w:pos="1420" w:val="left"/>
        </w:tabs>
        <w:rPr>
          <w:sz w:val="20"/>
          <w:szCs w:val="20"/>
          <w:color w:val="auto"/>
        </w:rPr>
      </w:pPr>
      <w:r>
        <w:rPr>
          <w:rFonts w:ascii="Arial" w:cs="Arial" w:eastAsia="Arial" w:hAnsi="Arial"/>
          <w:sz w:val="27"/>
          <w:szCs w:val="27"/>
          <w:b w:val="1"/>
          <w:bCs w:val="1"/>
          <w:color w:val="auto"/>
        </w:rPr>
        <w:t>12</w:t>
      </w:r>
      <w:r>
        <w:rPr>
          <w:sz w:val="20"/>
          <w:szCs w:val="20"/>
          <w:color w:val="auto"/>
        </w:rPr>
        <w:tab/>
      </w:r>
      <w:r>
        <w:rPr>
          <w:rFonts w:ascii="Arial" w:cs="Arial" w:eastAsia="Arial" w:hAnsi="Arial"/>
          <w:sz w:val="30"/>
          <w:szCs w:val="30"/>
          <w:b w:val="1"/>
          <w:bCs w:val="1"/>
          <w:color w:val="auto"/>
          <w:vertAlign w:val="subscript"/>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492760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320" w:top="118" w:right="1219" w:bottom="144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247" w:lineRule="exact"/>
        <w:rPr>
          <w:sz w:val="20"/>
          <w:szCs w:val="20"/>
          <w:color w:val="auto"/>
        </w:rPr>
      </w:pPr>
    </w:p>
    <w:p>
      <w:pPr>
        <w:ind w:left="920" w:hanging="345"/>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Veracyte, Inc.</w:t>
      </w:r>
    </w:p>
    <w:p>
      <w:pPr>
        <w:spacing w:after="0" w:line="229" w:lineRule="exact"/>
        <w:rPr>
          <w:rFonts w:ascii="Arial" w:cs="Arial" w:eastAsia="Arial" w:hAnsi="Arial"/>
          <w:sz w:val="18"/>
          <w:szCs w:val="18"/>
          <w:color w:val="auto"/>
        </w:rPr>
      </w:pPr>
    </w:p>
    <w:p>
      <w:pPr>
        <w:ind w:left="920" w:hanging="345"/>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6000 Shoreline Court, Suite 300, South San Francisco, CA 94080</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46" w:lineRule="exact"/>
        <w:rPr>
          <w:sz w:val="20"/>
          <w:szCs w:val="20"/>
          <w:color w:val="auto"/>
        </w:rPr>
      </w:pPr>
    </w:p>
    <w:p>
      <w:pPr>
        <w:ind w:left="580"/>
        <w:spacing w:after="0"/>
        <w:tabs>
          <w:tab w:leader="none" w:pos="9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Name of Person Filing</w:t>
      </w:r>
    </w:p>
    <w:p>
      <w:pPr>
        <w:spacing w:after="0" w:line="217"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Nikko Asset Management Americas, Inc.</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  Address of Principal Business Office or, if none, Residence</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605 Third Avenue, 38</w:t>
      </w:r>
      <w:r>
        <w:rPr>
          <w:rFonts w:ascii="Arial" w:cs="Arial" w:eastAsia="Arial" w:hAnsi="Arial"/>
          <w:sz w:val="23"/>
          <w:szCs w:val="23"/>
          <w:b w:val="1"/>
          <w:bCs w:val="1"/>
          <w:color w:val="auto"/>
          <w:vertAlign w:val="superscript"/>
        </w:rPr>
        <w:t>th</w:t>
      </w:r>
      <w:r>
        <w:rPr>
          <w:rFonts w:ascii="Arial" w:cs="Arial" w:eastAsia="Arial" w:hAnsi="Arial"/>
          <w:sz w:val="14"/>
          <w:szCs w:val="14"/>
          <w:b w:val="1"/>
          <w:bCs w:val="1"/>
          <w:color w:val="auto"/>
        </w:rPr>
        <w:t xml:space="preserve"> Floor, New York, NY 10158</w:t>
      </w:r>
    </w:p>
    <w:p>
      <w:pPr>
        <w:spacing w:after="0" w:line="112" w:lineRule="exact"/>
        <w:rPr>
          <w:sz w:val="20"/>
          <w:szCs w:val="20"/>
          <w:color w:val="auto"/>
        </w:rPr>
      </w:pPr>
    </w:p>
    <w:p>
      <w:pPr>
        <w:ind w:left="580"/>
        <w:spacing w:after="0"/>
        <w:tabs>
          <w:tab w:leader="none" w:pos="9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Citizenship</w:t>
      </w:r>
    </w:p>
    <w:p>
      <w:pPr>
        <w:spacing w:after="0" w:line="217"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USA</w:t>
      </w:r>
    </w:p>
    <w:p>
      <w:pPr>
        <w:spacing w:after="0" w:line="212" w:lineRule="exact"/>
        <w:rPr>
          <w:sz w:val="20"/>
          <w:szCs w:val="20"/>
          <w:color w:val="auto"/>
        </w:rPr>
      </w:pPr>
    </w:p>
    <w:p>
      <w:pPr>
        <w:ind w:left="920" w:hanging="345"/>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Common stock, par value $0.001 per share</w:t>
      </w:r>
    </w:p>
    <w:p>
      <w:pPr>
        <w:spacing w:after="0" w:line="229" w:lineRule="exact"/>
        <w:rPr>
          <w:rFonts w:ascii="Arial" w:cs="Arial" w:eastAsia="Arial" w:hAnsi="Arial"/>
          <w:sz w:val="18"/>
          <w:szCs w:val="18"/>
          <w:color w:val="auto"/>
        </w:rPr>
      </w:pPr>
    </w:p>
    <w:p>
      <w:pPr>
        <w:ind w:left="920" w:hanging="345"/>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92337F107</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3" w:lineRule="exact"/>
        <w:rPr>
          <w:sz w:val="20"/>
          <w:szCs w:val="20"/>
          <w:color w:val="auto"/>
        </w:rPr>
      </w:pPr>
    </w:p>
    <w:p>
      <w:pPr>
        <w:ind w:left="920" w:hanging="345"/>
        <w:spacing w:after="0" w:line="207" w:lineRule="exact"/>
        <w:tabs>
          <w:tab w:leader="none" w:pos="92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920" w:hanging="345"/>
        <w:spacing w:after="0" w:line="207" w:lineRule="exact"/>
        <w:tabs>
          <w:tab w:leader="none" w:pos="92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920" w:hanging="345"/>
        <w:spacing w:after="0" w:line="207" w:lineRule="exact"/>
        <w:tabs>
          <w:tab w:leader="none" w:pos="92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920" w:hanging="345"/>
        <w:spacing w:after="0" w:line="207" w:lineRule="exact"/>
        <w:tabs>
          <w:tab w:leader="none" w:pos="92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920" w:hanging="345"/>
        <w:spacing w:after="0" w:line="207" w:lineRule="exact"/>
        <w:tabs>
          <w:tab w:leader="none" w:pos="92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920" w:hanging="345"/>
        <w:spacing w:after="0" w:line="207" w:lineRule="exact"/>
        <w:tabs>
          <w:tab w:leader="none" w:pos="92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920" w:hanging="345"/>
        <w:spacing w:after="0" w:line="207" w:lineRule="exact"/>
        <w:tabs>
          <w:tab w:leader="none" w:pos="92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225" w:lineRule="exact"/>
        <w:rPr>
          <w:rFonts w:ascii="Arial" w:cs="Arial" w:eastAsia="Arial" w:hAnsi="Arial"/>
          <w:sz w:val="18"/>
          <w:szCs w:val="18"/>
          <w:color w:val="auto"/>
        </w:rPr>
      </w:pPr>
    </w:p>
    <w:p>
      <w:pPr>
        <w:ind w:left="920" w:hanging="345"/>
        <w:spacing w:after="0" w:line="207" w:lineRule="exact"/>
        <w:tabs>
          <w:tab w:leader="none" w:pos="92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260" w:right="240" w:hanging="685"/>
        <w:spacing w:after="0" w:line="239" w:lineRule="exact"/>
        <w:tabs>
          <w:tab w:leader="none" w:pos="922"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920" w:hanging="345"/>
        <w:spacing w:after="0" w:line="207" w:lineRule="exact"/>
        <w:tabs>
          <w:tab w:leader="none" w:pos="92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left="1260" w:hanging="685"/>
        <w:spacing w:after="0" w:line="239" w:lineRule="exact"/>
        <w:tabs>
          <w:tab w:leader="none" w:pos="922"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group, in accordance with § 240.13d-1(b)(1)(ii)(K). If filing as a non-U.S. institution in accordance with §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49" w:lineRule="exact"/>
        <w:rPr>
          <w:sz w:val="20"/>
          <w:szCs w:val="20"/>
          <w:color w:val="auto"/>
        </w:rPr>
      </w:pPr>
    </w:p>
    <w:p>
      <w:pPr>
        <w:ind w:firstLine="81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920" w:hanging="345"/>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1"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b w:val="1"/>
          <w:bCs w:val="1"/>
          <w:color w:val="auto"/>
        </w:rPr>
        <w:t>3,121,103</w:t>
      </w:r>
    </w:p>
    <w:p>
      <w:pPr>
        <w:spacing w:after="0" w:line="229" w:lineRule="exact"/>
        <w:rPr>
          <w:rFonts w:ascii="Arial" w:cs="Arial" w:eastAsia="Arial" w:hAnsi="Arial"/>
          <w:sz w:val="18"/>
          <w:szCs w:val="18"/>
          <w:color w:val="auto"/>
        </w:rPr>
      </w:pPr>
    </w:p>
    <w:p>
      <w:pPr>
        <w:ind w:left="920" w:hanging="345"/>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4.39%</w:t>
      </w:r>
    </w:p>
    <w:p>
      <w:pPr>
        <w:spacing w:after="0" w:line="229" w:lineRule="exact"/>
        <w:rPr>
          <w:sz w:val="20"/>
          <w:szCs w:val="20"/>
          <w:color w:val="auto"/>
        </w:rPr>
      </w:pPr>
    </w:p>
    <w:p>
      <w:pPr>
        <w:ind w:left="920" w:hanging="345"/>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1260" w:hanging="348"/>
        <w:spacing w:after="0"/>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1"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29" w:lineRule="exact"/>
        <w:rPr>
          <w:rFonts w:ascii="Arial" w:cs="Arial" w:eastAsia="Arial" w:hAnsi="Arial"/>
          <w:sz w:val="18"/>
          <w:szCs w:val="18"/>
          <w:color w:val="auto"/>
        </w:rPr>
      </w:pPr>
    </w:p>
    <w:p>
      <w:pPr>
        <w:ind w:left="1260" w:hanging="348"/>
        <w:spacing w:after="0"/>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1"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b w:val="1"/>
          <w:bCs w:val="1"/>
          <w:color w:val="auto"/>
        </w:rPr>
        <w:t>2,665,030</w:t>
      </w:r>
    </w:p>
    <w:p>
      <w:pPr>
        <w:spacing w:after="0" w:line="229" w:lineRule="exact"/>
        <w:rPr>
          <w:rFonts w:ascii="Arial" w:cs="Arial" w:eastAsia="Arial" w:hAnsi="Arial"/>
          <w:sz w:val="18"/>
          <w:szCs w:val="18"/>
          <w:color w:val="auto"/>
        </w:rPr>
      </w:pPr>
    </w:p>
    <w:p>
      <w:pPr>
        <w:ind w:left="1260" w:hanging="348"/>
        <w:spacing w:after="0"/>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21"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29" w:lineRule="exact"/>
        <w:rPr>
          <w:rFonts w:ascii="Arial" w:cs="Arial" w:eastAsia="Arial" w:hAnsi="Arial"/>
          <w:sz w:val="18"/>
          <w:szCs w:val="18"/>
          <w:color w:val="auto"/>
        </w:rPr>
      </w:pPr>
    </w:p>
    <w:p>
      <w:pPr>
        <w:ind w:left="1260" w:hanging="348"/>
        <w:spacing w:after="0"/>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1"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b w:val="1"/>
          <w:bCs w:val="1"/>
          <w:color w:val="auto"/>
        </w:rPr>
        <w:t>3,121,103</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right="560" w:firstLine="810"/>
        <w:spacing w:after="0" w:line="278" w:lineRule="exact"/>
        <w:rPr>
          <w:sz w:val="20"/>
          <w:szCs w:val="20"/>
          <w:color w:val="auto"/>
        </w:rPr>
      </w:pPr>
      <w:r>
        <w:rPr>
          <w:rFonts w:ascii="Arial" w:cs="Arial" w:eastAsia="Arial" w:hAnsi="Arial"/>
          <w:sz w:val="22"/>
          <w:szCs w:val="22"/>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22"/>
          <w:szCs w:val="22"/>
          <w:color w:val="auto"/>
        </w:rPr>
        <w:t>☒</w:t>
      </w:r>
      <w:r>
        <w:rPr>
          <w:rFonts w:ascii="Arial" w:cs="Arial" w:eastAsia="Arial" w:hAnsi="Arial"/>
          <w:sz w:val="22"/>
          <w:szCs w:val="22"/>
          <w:color w:val="auto"/>
        </w:rPr>
        <w:t>.</w:t>
      </w:r>
    </w:p>
    <w:p>
      <w:pPr>
        <w:spacing w:after="0" w:line="19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See Exhibit A.</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4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See Exhibit A.</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3" w:lineRule="exact"/>
        <w:rPr>
          <w:sz w:val="20"/>
          <w:szCs w:val="20"/>
          <w:color w:val="auto"/>
        </w:rPr>
      </w:pPr>
    </w:p>
    <w:p>
      <w:pPr>
        <w:jc w:val="center"/>
        <w:ind w:right="8120"/>
        <w:spacing w:after="0"/>
        <w:rPr>
          <w:sz w:val="20"/>
          <w:szCs w:val="20"/>
          <w:color w:val="auto"/>
        </w:rPr>
      </w:pPr>
      <w:r>
        <w:rPr>
          <w:rFonts w:ascii="Arial" w:cs="Arial" w:eastAsia="Arial" w:hAnsi="Arial"/>
          <w:sz w:val="22"/>
          <w:szCs w:val="22"/>
          <w:b w:val="1"/>
          <w:bCs w:val="1"/>
          <w:color w:val="auto"/>
        </w:rPr>
        <w:t>Not Applicable.</w:t>
      </w:r>
    </w:p>
    <w:p>
      <w:pPr>
        <w:spacing w:after="0" w:line="242" w:lineRule="exact"/>
        <w:rPr>
          <w:sz w:val="20"/>
          <w:szCs w:val="20"/>
          <w:color w:val="auto"/>
        </w:rPr>
      </w:pPr>
    </w:p>
    <w:p>
      <w:pPr>
        <w:jc w:val="center"/>
        <w:ind w:right="8020"/>
        <w:spacing w:after="0"/>
        <w:tabs>
          <w:tab w:leader="none" w:pos="2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 w:name="page5"/>
    <w:bookmarkEnd w:id="4"/>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760"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Date: February 11, 2022</w:t>
            </w:r>
          </w:p>
        </w:tc>
        <w:tc>
          <w:tcPr>
            <w:tcW w:w="7340" w:type="dxa"/>
            <w:vAlign w:val="bottom"/>
          </w:tcPr>
          <w:p>
            <w:pPr>
              <w:ind w:left="216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i w:val="1"/>
                <w:iCs w:val="1"/>
                <w:color w:val="auto"/>
              </w:rPr>
              <w:t>Gary L. Beckham</w:t>
            </w:r>
          </w:p>
        </w:tc>
      </w:tr>
      <w:tr>
        <w:trPr>
          <w:trHeight w:val="216"/>
        </w:trPr>
        <w:tc>
          <w:tcPr>
            <w:tcW w:w="9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340" w:type="dxa"/>
            <w:vAlign w:val="bottom"/>
          </w:tcPr>
          <w:p>
            <w:pPr>
              <w:ind w:left="2480"/>
              <w:spacing w:after="0"/>
              <w:rPr>
                <w:sz w:val="20"/>
                <w:szCs w:val="20"/>
                <w:color w:val="auto"/>
              </w:rPr>
            </w:pPr>
            <w:r>
              <w:rPr>
                <w:rFonts w:ascii="Arial" w:cs="Arial" w:eastAsia="Arial" w:hAnsi="Arial"/>
                <w:sz w:val="18"/>
                <w:szCs w:val="18"/>
                <w:color w:val="auto"/>
              </w:rPr>
              <w:t>Name: Gary L. Beckham</w:t>
            </w:r>
          </w:p>
        </w:tc>
      </w:tr>
      <w:tr>
        <w:trPr>
          <w:trHeight w:val="230"/>
        </w:trPr>
        <w:tc>
          <w:tcPr>
            <w:tcW w:w="9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340" w:type="dxa"/>
            <w:vAlign w:val="bottom"/>
          </w:tcPr>
          <w:p>
            <w:pPr>
              <w:ind w:left="2480"/>
              <w:spacing w:after="0"/>
              <w:rPr>
                <w:sz w:val="20"/>
                <w:szCs w:val="20"/>
                <w:color w:val="auto"/>
              </w:rPr>
            </w:pPr>
            <w:r>
              <w:rPr>
                <w:rFonts w:ascii="Arial" w:cs="Arial" w:eastAsia="Arial" w:hAnsi="Arial"/>
                <w:sz w:val="18"/>
                <w:szCs w:val="18"/>
                <w:color w:val="auto"/>
              </w:rPr>
              <w:t>Title: Chief Compliance Officer</w:t>
            </w:r>
          </w:p>
        </w:tc>
      </w:tr>
      <w:tr>
        <w:trPr>
          <w:trHeight w:val="459"/>
        </w:trPr>
        <w:tc>
          <w:tcPr>
            <w:tcW w:w="96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10280" w:type="dxa"/>
            <w:vAlign w:val="bottom"/>
            <w:gridSpan w:val="2"/>
          </w:tcPr>
          <w:p>
            <w:pPr>
              <w:ind w:left="180"/>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tc>
      </w:tr>
      <w:tr>
        <w:trPr>
          <w:trHeight w:val="426"/>
        </w:trPr>
        <w:tc>
          <w:tcPr>
            <w:tcW w:w="9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40"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Pursuant to the instructions in Items 6 and 7 of Schedule 13G, the security being reported on by Nikko Asset Management Americas, Inc., as subsidiary to the parent holding companies listed below, are owned, or may be deemed to be beneficially owned, by its parent holding companies.</w:t>
      </w:r>
    </w:p>
    <w:p>
      <w:pPr>
        <w:spacing w:after="0" w:line="22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Sumitomo Mitsui Trust Holdings Inc.</w:t>
      </w:r>
    </w:p>
    <w:p>
      <w:pPr>
        <w:spacing w:after="0" w:line="23" w:lineRule="exact"/>
        <w:rPr>
          <w:sz w:val="20"/>
          <w:szCs w:val="20"/>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parent holding company or control person in accordance with §240.13d-1(b)(1)(ii)(G);</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non-U.S. institution in accordance with §240.13d-1(b)(1)(ii)(J).</w:t>
      </w:r>
    </w:p>
    <w:p>
      <w:pPr>
        <w:spacing w:after="0" w:line="23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Nikko Asset Management Co., Ltd.</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 investment adviser in accordance with §240.13d-1(b)(1)(ii)(E);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non-U.S. institution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bullet"/>
      <w:start w:val="1"/>
    </w:lvl>
  </w:abstractNum>
  <w:abstractNum w:abstractNumId="4">
    <w:nsid w:val="1F16E9E8"/>
    <w:multiLevelType w:val="hybridMultilevel"/>
    <w:lvl w:ilvl="0">
      <w:lvlJc w:val="left"/>
      <w:lvlText w:val="2"/>
      <w:numFmt w:val="bullet"/>
      <w:start w:val="1"/>
    </w:lvl>
  </w:abstractNum>
  <w:abstractNum w:abstractNumId="5">
    <w:nsid w:val="1190CDE7"/>
    <w:multiLevelType w:val="hybridMultilevel"/>
    <w:lvl w:ilvl="0">
      <w:lvlJc w:val="left"/>
      <w:lvlText w:val="4"/>
      <w:numFmt w:val="bullet"/>
      <w:start w:val="1"/>
    </w:lvl>
  </w:abstractNum>
  <w:abstractNum w:abstractNumId="6">
    <w:nsid w:val="66EF438D"/>
    <w:multiLevelType w:val="hybridMultilevel"/>
    <w:lvl w:ilvl="0">
      <w:lvlJc w:val="left"/>
      <w:lvlText w:val="5"/>
      <w:numFmt w:val="bullet"/>
      <w:start w:val="1"/>
    </w:lvl>
  </w:abstractNum>
  <w:abstractNum w:abstractNumId="7">
    <w:nsid w:val="140E0F76"/>
    <w:multiLevelType w:val="hybridMultilevel"/>
    <w:lvl w:ilvl="0">
      <w:lvlJc w:val="left"/>
      <w:lvlText w:val="6"/>
      <w:numFmt w:val="bullet"/>
      <w:start w:val="1"/>
    </w:lvl>
  </w:abstractNum>
  <w:abstractNum w:abstractNumId="8">
    <w:nsid w:val="3352255A"/>
    <w:multiLevelType w:val="hybridMultilevel"/>
    <w:lvl w:ilvl="0">
      <w:lvlJc w:val="left"/>
      <w:lvlText w:val="7"/>
      <w:numFmt w:val="bullet"/>
      <w:start w:val="1"/>
    </w:lvl>
  </w:abstractNum>
  <w:abstractNum w:abstractNumId="9">
    <w:nsid w:val="109CF92E"/>
    <w:multiLevelType w:val="hybridMultilevel"/>
    <w:lvl w:ilvl="0">
      <w:lvlJc w:val="left"/>
      <w:lvlText w:val="8"/>
      <w:numFmt w:val="bullet"/>
      <w:start w:val="1"/>
    </w:lvl>
  </w:abstractNum>
  <w:abstractNum w:abstractNumId="10">
    <w:nsid w:val="DED7263"/>
    <w:multiLevelType w:val="hybridMultilevel"/>
    <w:lvl w:ilvl="0">
      <w:lvlJc w:val="left"/>
      <w:lvlText w:val="9"/>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4"/>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3"/>
    </w:lvl>
    <w:lvl w:ilvl="1">
      <w:lvlJc w:val="left"/>
      <w:lvlText w:val="(%2)"/>
      <w:numFmt w:val="lowerRoman"/>
      <w:start w:val="1"/>
    </w:lvl>
  </w:abstractNum>
  <w:abstractNum w:abstractNumId="16">
    <w:nsid w:val="25E45D32"/>
    <w:multiLevelType w:val="hybridMultilevel"/>
    <w:lvl w:ilvl="0">
      <w:lvlJc w:val="left"/>
      <w:lvlText w:val="%1)"/>
      <w:numFmt w:val="decimal"/>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2022-02-14T05:32:10Z</dcterms:created>
  <dcterms:modified xsi:type="dcterms:W3CDTF">2022-02-14T05:32:10Z</dcterms:modified>
</cp:coreProperties>
</file>