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73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7377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02/28/2020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71"/>
        <w:spacing w:after="0"/>
        <w:rPr>
          <w:sz w:val="20"/>
          <w:szCs w:val="20"/>
          <w:color w:val="auto"/>
        </w:rPr>
      </w:pPr>
      <w:r>
        <w:rPr>
          <w:rFonts w:ascii="Arial" w:cs="Arial" w:eastAsia="Arial" w:hAnsi="Arial"/>
          <w:sz w:val="17"/>
          <w:szCs w:val="17"/>
          <w:color w:val="0000FF"/>
        </w:rPr>
        <w:t>Chairman and CEO</w:t>
      </w:r>
    </w:p>
    <w:p>
      <w:pPr>
        <w:spacing w:after="0" w:line="44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78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Borders>
              <w:top w:val="single" w:sz="8" w:color="2C2C2C"/>
              <w:bottom w:val="single" w:sz="8" w:color="2C2C2C"/>
            </w:tcBorders>
            <w:gridSpan w:val="5"/>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4"/>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5"/>
            <w:vMerge w:val="continue"/>
          </w:tcPr>
          <w:p>
            <w:pPr>
              <w:spacing w:after="0" w:line="20" w:lineRule="exact"/>
              <w:rPr>
                <w:sz w:val="1"/>
                <w:szCs w:val="1"/>
                <w:color w:val="auto"/>
              </w:rPr>
            </w:pPr>
          </w:p>
        </w:tc>
        <w:tc>
          <w:tcPr>
            <w:tcW w:w="36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gridSpan w:val="5"/>
            <w:vMerge w:val="continue"/>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ind w:left="2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0000FF"/>
              </w:rPr>
              <w:t>CA</w:t>
            </w:r>
          </w:p>
        </w:tc>
        <w:tc>
          <w:tcPr>
            <w:tcW w:w="1780" w:type="dxa"/>
            <w:vAlign w:val="bottom"/>
          </w:tcPr>
          <w:p>
            <w:pPr>
              <w:ind w:left="5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7"/>
                <w:szCs w:val="17"/>
                <w:color w:val="0000FF"/>
              </w:rPr>
              <w:t>X</w:t>
            </w:r>
          </w:p>
        </w:tc>
        <w:tc>
          <w:tcPr>
            <w:tcW w:w="2980" w:type="dxa"/>
            <w:vAlign w:val="bottom"/>
            <w:gridSpan w:val="4"/>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line="172" w:lineRule="exact"/>
              <w:rPr>
                <w:sz w:val="20"/>
                <w:szCs w:val="20"/>
                <w:color w:val="auto"/>
              </w:rPr>
            </w:pPr>
            <w:r>
              <w:rPr>
                <w:rFonts w:ascii="Arial" w:cs="Arial" w:eastAsia="Arial" w:hAnsi="Arial"/>
                <w:sz w:val="17"/>
                <w:szCs w:val="17"/>
                <w:color w:val="0000FF"/>
              </w:rPr>
              <w:t>FRANCISCO</w:t>
            </w: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ind w:left="160"/>
              <w:spacing w:after="0" w:line="100" w:lineRule="exact"/>
              <w:rPr>
                <w:sz w:val="20"/>
                <w:szCs w:val="20"/>
                <w:color w:val="auto"/>
              </w:rPr>
            </w:pPr>
            <w:r>
              <w:rPr>
                <w:rFonts w:ascii="Arial" w:cs="Arial" w:eastAsia="Arial" w:hAnsi="Arial"/>
                <w:sz w:val="11"/>
                <w:szCs w:val="11"/>
                <w:color w:val="auto"/>
              </w:rPr>
              <w:t>Person</w:t>
            </w: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120"/>
              <w:spacing w:after="0"/>
              <w:rPr>
                <w:sz w:val="20"/>
                <w:szCs w:val="20"/>
                <w:color w:val="auto"/>
              </w:rPr>
            </w:pPr>
            <w:r>
              <w:rPr>
                <w:rFonts w:ascii="Arial" w:cs="Arial" w:eastAsia="Arial" w:hAnsi="Arial"/>
                <w:sz w:val="13"/>
                <w:szCs w:val="13"/>
                <w:color w:val="auto"/>
              </w:rPr>
              <w:t>(State)</w:t>
            </w:r>
          </w:p>
        </w:tc>
        <w:tc>
          <w:tcPr>
            <w:tcW w:w="2400" w:type="dxa"/>
            <w:vAlign w:val="bottom"/>
            <w:gridSpan w:val="3"/>
          </w:tcPr>
          <w:p>
            <w:pPr>
              <w:ind w:left="54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58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0" w:type="dxa"/>
            <w:vAlign w:val="bottom"/>
            <w:gridSpan w:val="3"/>
          </w:tcPr>
          <w:p>
            <w:pPr>
              <w:ind w:left="1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0" w:type="dxa"/>
            <w:vAlign w:val="bottom"/>
            <w:gridSpan w:val="3"/>
          </w:tcPr>
          <w:p>
            <w:pPr>
              <w:ind w:left="13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0" w:type="dxa"/>
            <w:vAlign w:val="bottom"/>
            <w:gridSpan w:val="3"/>
          </w:tcPr>
          <w:p>
            <w:pPr>
              <w:ind w:left="13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3"/>
          </w:tcPr>
          <w:p>
            <w:pPr>
              <w:jc w:val="right"/>
              <w:ind w:right="94"/>
              <w:spacing w:after="0"/>
              <w:rPr>
                <w:sz w:val="20"/>
                <w:szCs w:val="20"/>
                <w:color w:val="auto"/>
              </w:rPr>
            </w:pPr>
            <w:r>
              <w:rPr>
                <w:rFonts w:ascii="Arial" w:cs="Arial" w:eastAsia="Arial" w:hAnsi="Arial"/>
                <w:sz w:val="17"/>
                <w:szCs w:val="17"/>
                <w:color w:val="0000FF"/>
              </w:rPr>
              <w:t>02/28/2020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7"/>
                <w:szCs w:val="17"/>
                <w:color w:val="0000FF"/>
              </w:rPr>
              <w:t>33,000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right"/>
              <w:ind w:right="1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261,250</w:t>
            </w:r>
          </w:p>
        </w:tc>
        <w:tc>
          <w:tcPr>
            <w:tcW w:w="9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3"/>
          </w:tcPr>
          <w:p>
            <w:pPr>
              <w:jc w:val="right"/>
              <w:ind w:right="94"/>
              <w:spacing w:after="0"/>
              <w:rPr>
                <w:sz w:val="20"/>
                <w:szCs w:val="20"/>
                <w:color w:val="auto"/>
              </w:rPr>
            </w:pPr>
            <w:r>
              <w:rPr>
                <w:rFonts w:ascii="Arial" w:cs="Arial" w:eastAsia="Arial" w:hAnsi="Arial"/>
                <w:sz w:val="17"/>
                <w:szCs w:val="17"/>
                <w:color w:val="0000FF"/>
              </w:rPr>
              <w:t>03/02/2020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4,937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right"/>
              <w:ind w:right="1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256,313</w:t>
            </w:r>
          </w:p>
        </w:tc>
        <w:tc>
          <w:tcPr>
            <w:tcW w:w="9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99,085</w:t>
            </w:r>
          </w:p>
        </w:tc>
        <w:tc>
          <w:tcPr>
            <w:tcW w:w="980" w:type="dxa"/>
            <w:vAlign w:val="bottom"/>
            <w:vMerge w:val="restart"/>
          </w:tcPr>
          <w:p>
            <w:pPr>
              <w:jc w:val="center"/>
              <w:ind w:left="9"/>
              <w:spacing w:after="0"/>
              <w:rPr>
                <w:sz w:val="20"/>
                <w:szCs w:val="20"/>
                <w:color w:val="auto"/>
              </w:rPr>
            </w:pPr>
            <w:r>
              <w:rPr>
                <w:rFonts w:ascii="Arial" w:cs="Arial" w:eastAsia="Arial" w:hAnsi="Arial"/>
                <w:sz w:val="17"/>
                <w:szCs w:val="17"/>
                <w:color w:val="0000FF"/>
              </w:rPr>
              <w:t>I</w:t>
            </w: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60"/>
        <w:spacing w:after="0"/>
        <w:rPr>
          <w:sz w:val="20"/>
          <w:szCs w:val="20"/>
          <w:color w:val="auto"/>
        </w:rPr>
      </w:pPr>
      <w:r>
        <w:rPr>
          <w:rFonts w:ascii="Arial" w:cs="Arial" w:eastAsia="Arial" w:hAnsi="Arial"/>
          <w:sz w:val="17"/>
          <w:szCs w:val="17"/>
          <w:color w:val="0000FF"/>
        </w:rPr>
        <w:t>Living</w:t>
      </w:r>
    </w:p>
    <w:p>
      <w:pPr>
        <w:spacing w:after="0" w:line="16" w:lineRule="exact"/>
        <w:rPr>
          <w:sz w:val="24"/>
          <w:szCs w:val="24"/>
          <w:color w:val="auto"/>
        </w:rPr>
      </w:pPr>
    </w:p>
    <w:p>
      <w:pPr>
        <w:ind w:left="10660"/>
        <w:spacing w:after="0"/>
        <w:rPr>
          <w:sz w:val="20"/>
          <w:szCs w:val="20"/>
          <w:color w:val="auto"/>
        </w:rPr>
      </w:pPr>
      <w:r>
        <w:rPr>
          <w:rFonts w:ascii="Arial" w:cs="Arial" w:eastAsia="Arial" w:hAnsi="Arial"/>
          <w:sz w:val="17"/>
          <w:szCs w:val="17"/>
          <w:color w:val="0000FF"/>
        </w:rPr>
        <w:t>Trust</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24.69</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02/28/2020</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192,500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02/27/2030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192,500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rPr>
                <w:sz w:val="20"/>
                <w:szCs w:val="20"/>
                <w:color w:val="auto"/>
              </w:rPr>
            </w:pPr>
            <w:r>
              <w:rPr>
                <w:rFonts w:ascii="Arial" w:cs="Arial" w:eastAsia="Arial" w:hAnsi="Arial"/>
                <w:sz w:val="13"/>
                <w:szCs w:val="13"/>
                <w:color w:val="0000FF"/>
              </w:rPr>
              <w:t>192,500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2020 which vest 25% on March 2, 2021 and 1/16 per quarter thereafter, based on continuing services on each vesting date.</w:t>
      </w:r>
    </w:p>
    <w:p>
      <w:pPr>
        <w:spacing w:after="0" w:line="48" w:lineRule="exact"/>
        <w:rPr>
          <w:rFonts w:ascii="Arial" w:cs="Arial" w:eastAsia="Arial" w:hAnsi="Arial"/>
          <w:sz w:val="13"/>
          <w:szCs w:val="13"/>
          <w:color w:val="008000"/>
        </w:rPr>
      </w:pPr>
    </w:p>
    <w:p>
      <w:pPr>
        <w:ind w:left="40" w:right="4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relinquished by the Reporting Person and cancelled by the Issuer in exchange for the Issuer's agreement to pay federal and state tax withholding obligations of the Reporting Person resulting from the vesting of restricted stock units. The Reporting Person did not sell or otherwise dispose of the shares for any reason other than to cover required taxes.</w:t>
      </w:r>
    </w:p>
    <w:p>
      <w:pPr>
        <w:spacing w:after="0" w:line="21"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2021, and the remaining shares vest at a rate of 1/48th of the total number of shares subject to the award for each month of continuous service thereafter.</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Keith Kennedy as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03/03/2020</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2020-03-03T16:52:44Z</dcterms:created>
  <dcterms:modified xsi:type="dcterms:W3CDTF">2020-03-03T16:52:44Z</dcterms:modified>
</cp:coreProperties>
</file>