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color w:val="auto"/>
        </w:rPr>
        <w:t>As filed with the Securities and Exchange Commission on July 30, 2020</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____________________</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 S-8</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REGISTRATION STATEMENT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THE SECURITIES ACT OF 1933</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____________________</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32"/>
          <w:szCs w:val="32"/>
          <w:color w:val="auto"/>
        </w:rPr>
        <w:t>Veracyte, Inc.</w:t>
      </w:r>
    </w:p>
    <w:p>
      <w:pPr>
        <w:spacing w:after="0" w:line="3" w:lineRule="exact"/>
        <w:rPr>
          <w:sz w:val="24"/>
          <w:szCs w:val="24"/>
          <w:color w:val="auto"/>
        </w:rPr>
      </w:pPr>
    </w:p>
    <w:tbl>
      <w:tblPr>
        <w:tblLayout w:type="fixed"/>
        <w:tblInd w:w="1100" w:type="dxa"/>
        <w:tblCellMar>
          <w:top w:w="0" w:type="dxa"/>
          <w:left w:w="0" w:type="dxa"/>
          <w:bottom w:w="0" w:type="dxa"/>
          <w:right w:w="0" w:type="dxa"/>
        </w:tblCellMar>
      </w:tblPr>
      <w:tr>
        <w:trPr>
          <w:trHeight w:val="230"/>
        </w:trPr>
        <w:tc>
          <w:tcPr>
            <w:tcW w:w="7640" w:type="dxa"/>
            <w:vAlign w:val="bottom"/>
            <w:gridSpan w:val="2"/>
          </w:tcPr>
          <w:p>
            <w:pPr>
              <w:ind w:left="2660"/>
              <w:spacing w:after="0"/>
              <w:rPr>
                <w:sz w:val="20"/>
                <w:szCs w:val="20"/>
                <w:color w:val="auto"/>
              </w:rPr>
            </w:pPr>
            <w:r>
              <w:rPr>
                <w:rFonts w:ascii="Arial" w:cs="Arial" w:eastAsia="Arial" w:hAnsi="Arial"/>
                <w:sz w:val="18"/>
                <w:szCs w:val="18"/>
                <w:color w:val="auto"/>
              </w:rPr>
              <w:t>(Exact name of registrant as specified in its charter)</w:t>
            </w:r>
          </w:p>
        </w:tc>
      </w:tr>
      <w:tr>
        <w:trPr>
          <w:trHeight w:val="402"/>
        </w:trPr>
        <w:tc>
          <w:tcPr>
            <w:tcW w:w="4600" w:type="dxa"/>
            <w:vAlign w:val="bottom"/>
          </w:tcPr>
          <w:p>
            <w:pPr>
              <w:jc w:val="center"/>
              <w:ind w:right="1590"/>
              <w:spacing w:after="0"/>
              <w:rPr>
                <w:sz w:val="20"/>
                <w:szCs w:val="20"/>
                <w:color w:val="auto"/>
              </w:rPr>
            </w:pPr>
            <w:r>
              <w:rPr>
                <w:rFonts w:ascii="Arial" w:cs="Arial" w:eastAsia="Arial" w:hAnsi="Arial"/>
                <w:sz w:val="18"/>
                <w:szCs w:val="18"/>
                <w:color w:val="auto"/>
                <w:w w:val="89"/>
              </w:rPr>
              <w:t>Delaware</w:t>
            </w:r>
          </w:p>
        </w:tc>
        <w:tc>
          <w:tcPr>
            <w:tcW w:w="3040" w:type="dxa"/>
            <w:vAlign w:val="bottom"/>
          </w:tcPr>
          <w:p>
            <w:pPr>
              <w:jc w:val="right"/>
              <w:ind w:right="150"/>
              <w:spacing w:after="0"/>
              <w:rPr>
                <w:sz w:val="20"/>
                <w:szCs w:val="20"/>
                <w:color w:val="auto"/>
              </w:rPr>
            </w:pPr>
            <w:r>
              <w:rPr>
                <w:rFonts w:ascii="Arial" w:cs="Arial" w:eastAsia="Arial" w:hAnsi="Arial"/>
                <w:sz w:val="18"/>
                <w:szCs w:val="18"/>
                <w:color w:val="auto"/>
              </w:rPr>
              <w:t>20-5455398</w:t>
            </w:r>
          </w:p>
        </w:tc>
      </w:tr>
      <w:tr>
        <w:trPr>
          <w:trHeight w:val="216"/>
        </w:trPr>
        <w:tc>
          <w:tcPr>
            <w:tcW w:w="4600" w:type="dxa"/>
            <w:vAlign w:val="bottom"/>
          </w:tcPr>
          <w:p>
            <w:pPr>
              <w:jc w:val="center"/>
              <w:ind w:right="1590"/>
              <w:spacing w:after="0"/>
              <w:rPr>
                <w:sz w:val="20"/>
                <w:szCs w:val="20"/>
                <w:color w:val="auto"/>
              </w:rPr>
            </w:pPr>
            <w:r>
              <w:rPr>
                <w:rFonts w:ascii="Arial" w:cs="Arial" w:eastAsia="Arial" w:hAnsi="Arial"/>
                <w:sz w:val="18"/>
                <w:szCs w:val="18"/>
                <w:color w:val="auto"/>
                <w:w w:val="92"/>
              </w:rPr>
              <w:t>(State or other jurisdiction of</w:t>
            </w:r>
          </w:p>
        </w:tc>
        <w:tc>
          <w:tcPr>
            <w:tcW w:w="3040" w:type="dxa"/>
            <w:vAlign w:val="bottom"/>
          </w:tcPr>
          <w:p>
            <w:pPr>
              <w:jc w:val="center"/>
              <w:ind w:left="1630"/>
              <w:spacing w:after="0"/>
              <w:rPr>
                <w:sz w:val="20"/>
                <w:szCs w:val="20"/>
                <w:color w:val="auto"/>
              </w:rPr>
            </w:pPr>
            <w:r>
              <w:rPr>
                <w:rFonts w:ascii="Arial" w:cs="Arial" w:eastAsia="Arial" w:hAnsi="Arial"/>
                <w:sz w:val="18"/>
                <w:szCs w:val="18"/>
                <w:color w:val="auto"/>
                <w:w w:val="93"/>
              </w:rPr>
              <w:t>(I.R.S. Employer</w:t>
            </w:r>
          </w:p>
        </w:tc>
      </w:tr>
      <w:tr>
        <w:trPr>
          <w:trHeight w:val="230"/>
        </w:trPr>
        <w:tc>
          <w:tcPr>
            <w:tcW w:w="4600" w:type="dxa"/>
            <w:vAlign w:val="bottom"/>
          </w:tcPr>
          <w:p>
            <w:pPr>
              <w:jc w:val="center"/>
              <w:ind w:right="1590"/>
              <w:spacing w:after="0"/>
              <w:rPr>
                <w:sz w:val="20"/>
                <w:szCs w:val="20"/>
                <w:color w:val="auto"/>
              </w:rPr>
            </w:pPr>
            <w:r>
              <w:rPr>
                <w:rFonts w:ascii="Arial" w:cs="Arial" w:eastAsia="Arial" w:hAnsi="Arial"/>
                <w:sz w:val="18"/>
                <w:szCs w:val="18"/>
                <w:color w:val="auto"/>
                <w:w w:val="92"/>
              </w:rPr>
              <w:t>incorporation or organization)</w:t>
            </w:r>
          </w:p>
        </w:tc>
        <w:tc>
          <w:tcPr>
            <w:tcW w:w="3040" w:type="dxa"/>
            <w:vAlign w:val="bottom"/>
          </w:tcPr>
          <w:p>
            <w:pPr>
              <w:jc w:val="center"/>
              <w:ind w:left="16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600" w:type="dxa"/>
            <w:vAlign w:val="bottom"/>
          </w:tcPr>
          <w:p>
            <w:pPr>
              <w:jc w:val="center"/>
              <w:ind w:right="1590"/>
              <w:spacing w:after="0"/>
              <w:rPr>
                <w:sz w:val="20"/>
                <w:szCs w:val="20"/>
                <w:color w:val="auto"/>
              </w:rPr>
            </w:pPr>
            <w:r>
              <w:rPr>
                <w:rFonts w:ascii="Arial" w:cs="Arial" w:eastAsia="Arial" w:hAnsi="Arial"/>
                <w:sz w:val="18"/>
                <w:szCs w:val="18"/>
                <w:color w:val="auto"/>
                <w:w w:val="90"/>
              </w:rPr>
              <w:t>6000 Shoreline Court, Suite 300</w:t>
            </w:r>
          </w:p>
        </w:tc>
        <w:tc>
          <w:tcPr>
            <w:tcW w:w="3040" w:type="dxa"/>
            <w:vAlign w:val="bottom"/>
          </w:tcPr>
          <w:p>
            <w:pPr>
              <w:spacing w:after="0"/>
              <w:rPr>
                <w:sz w:val="24"/>
                <w:szCs w:val="24"/>
                <w:color w:val="auto"/>
              </w:rPr>
            </w:pPr>
          </w:p>
        </w:tc>
      </w:tr>
      <w:tr>
        <w:trPr>
          <w:trHeight w:val="216"/>
        </w:trPr>
        <w:tc>
          <w:tcPr>
            <w:tcW w:w="4600" w:type="dxa"/>
            <w:vAlign w:val="bottom"/>
          </w:tcPr>
          <w:p>
            <w:pPr>
              <w:jc w:val="center"/>
              <w:ind w:right="1590"/>
              <w:spacing w:after="0"/>
              <w:rPr>
                <w:sz w:val="20"/>
                <w:szCs w:val="20"/>
                <w:color w:val="auto"/>
              </w:rPr>
            </w:pPr>
            <w:r>
              <w:rPr>
                <w:rFonts w:ascii="Arial" w:cs="Arial" w:eastAsia="Arial" w:hAnsi="Arial"/>
                <w:sz w:val="18"/>
                <w:szCs w:val="18"/>
                <w:color w:val="auto"/>
                <w:w w:val="90"/>
              </w:rPr>
              <w:t>South San Francisco, California</w:t>
            </w:r>
          </w:p>
        </w:tc>
        <w:tc>
          <w:tcPr>
            <w:tcW w:w="3040" w:type="dxa"/>
            <w:vAlign w:val="bottom"/>
          </w:tcPr>
          <w:p>
            <w:pPr>
              <w:jc w:val="right"/>
              <w:ind w:right="370"/>
              <w:spacing w:after="0"/>
              <w:rPr>
                <w:sz w:val="20"/>
                <w:szCs w:val="20"/>
                <w:color w:val="auto"/>
              </w:rPr>
            </w:pPr>
            <w:r>
              <w:rPr>
                <w:rFonts w:ascii="Arial" w:cs="Arial" w:eastAsia="Arial" w:hAnsi="Arial"/>
                <w:sz w:val="18"/>
                <w:szCs w:val="18"/>
                <w:color w:val="auto"/>
              </w:rPr>
              <w:t>94080</w:t>
            </w:r>
          </w:p>
        </w:tc>
      </w:tr>
      <w:tr>
        <w:trPr>
          <w:trHeight w:val="230"/>
        </w:trPr>
        <w:tc>
          <w:tcPr>
            <w:tcW w:w="4600" w:type="dxa"/>
            <w:vAlign w:val="bottom"/>
          </w:tcPr>
          <w:p>
            <w:pPr>
              <w:jc w:val="center"/>
              <w:ind w:right="1590"/>
              <w:spacing w:after="0"/>
              <w:rPr>
                <w:sz w:val="20"/>
                <w:szCs w:val="20"/>
                <w:color w:val="auto"/>
              </w:rPr>
            </w:pPr>
            <w:r>
              <w:rPr>
                <w:rFonts w:ascii="Arial" w:cs="Arial" w:eastAsia="Arial" w:hAnsi="Arial"/>
                <w:sz w:val="18"/>
                <w:szCs w:val="18"/>
                <w:color w:val="auto"/>
                <w:w w:val="92"/>
              </w:rPr>
              <w:t>(Address of Principal Executive Offices)</w:t>
            </w:r>
          </w:p>
        </w:tc>
        <w:tc>
          <w:tcPr>
            <w:tcW w:w="3040" w:type="dxa"/>
            <w:vAlign w:val="bottom"/>
          </w:tcPr>
          <w:p>
            <w:pPr>
              <w:jc w:val="center"/>
              <w:ind w:left="159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Amended and Restated Veracyte, Inc. Employee Stock Purchase Plan</w:t>
      </w:r>
    </w:p>
    <w:p>
      <w:pPr>
        <w:spacing w:after="0" w:line="23"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(Full title of the plan)</w:t>
      </w:r>
    </w:p>
    <w:p>
      <w:pPr>
        <w:spacing w:after="0" w:line="211"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Bonnie H. Anderson</w:t>
      </w:r>
    </w:p>
    <w:p>
      <w:pPr>
        <w:spacing w:after="0" w:line="23"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(Name and address agent for service)</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(650) 243-6300</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Copies to:</w:t>
      </w:r>
    </w:p>
    <w:p>
      <w:pPr>
        <w:spacing w:after="0" w:line="4" w:lineRule="exact"/>
        <w:rPr>
          <w:sz w:val="24"/>
          <w:szCs w:val="24"/>
          <w:color w:val="auto"/>
        </w:rPr>
      </w:pPr>
    </w:p>
    <w:tbl>
      <w:tblPr>
        <w:tblLayout w:type="fixed"/>
        <w:tblInd w:w="1140" w:type="dxa"/>
        <w:tblCellMar>
          <w:top w:w="0" w:type="dxa"/>
          <w:left w:w="0" w:type="dxa"/>
          <w:bottom w:w="0" w:type="dxa"/>
          <w:right w:w="0" w:type="dxa"/>
        </w:tblCellMar>
      </w:tblPr>
      <w:tr>
        <w:trPr>
          <w:trHeight w:val="207"/>
        </w:trPr>
        <w:tc>
          <w:tcPr>
            <w:tcW w:w="3940" w:type="dxa"/>
            <w:vAlign w:val="bottom"/>
          </w:tcPr>
          <w:p>
            <w:pPr>
              <w:jc w:val="center"/>
              <w:ind w:right="1010"/>
              <w:spacing w:after="0"/>
              <w:rPr>
                <w:sz w:val="20"/>
                <w:szCs w:val="20"/>
                <w:color w:val="auto"/>
              </w:rPr>
            </w:pPr>
            <w:r>
              <w:rPr>
                <w:rFonts w:ascii="Arial" w:cs="Arial" w:eastAsia="Arial" w:hAnsi="Arial"/>
                <w:sz w:val="18"/>
                <w:szCs w:val="18"/>
                <w:color w:val="auto"/>
                <w:w w:val="91"/>
              </w:rPr>
              <w:t>Ran Ben-Tzur, Esq.</w:t>
            </w:r>
          </w:p>
        </w:tc>
        <w:tc>
          <w:tcPr>
            <w:tcW w:w="4860" w:type="dxa"/>
            <w:vAlign w:val="bottom"/>
          </w:tcPr>
          <w:p>
            <w:pPr>
              <w:jc w:val="center"/>
              <w:ind w:left="1010"/>
              <w:spacing w:after="0"/>
              <w:rPr>
                <w:sz w:val="20"/>
                <w:szCs w:val="20"/>
                <w:color w:val="auto"/>
              </w:rPr>
            </w:pPr>
            <w:r>
              <w:rPr>
                <w:rFonts w:ascii="Arial" w:cs="Arial" w:eastAsia="Arial" w:hAnsi="Arial"/>
                <w:sz w:val="18"/>
                <w:szCs w:val="18"/>
                <w:color w:val="auto"/>
                <w:w w:val="92"/>
              </w:rPr>
              <w:t>Keith Kennedy</w:t>
            </w:r>
          </w:p>
        </w:tc>
      </w:tr>
      <w:tr>
        <w:trPr>
          <w:trHeight w:val="216"/>
        </w:trPr>
        <w:tc>
          <w:tcPr>
            <w:tcW w:w="3940" w:type="dxa"/>
            <w:vAlign w:val="bottom"/>
          </w:tcPr>
          <w:p>
            <w:pPr>
              <w:jc w:val="center"/>
              <w:ind w:right="1010"/>
              <w:spacing w:after="0"/>
              <w:rPr>
                <w:sz w:val="20"/>
                <w:szCs w:val="20"/>
                <w:color w:val="auto"/>
              </w:rPr>
            </w:pPr>
            <w:r>
              <w:rPr>
                <w:rFonts w:ascii="Arial" w:cs="Arial" w:eastAsia="Arial" w:hAnsi="Arial"/>
                <w:sz w:val="18"/>
                <w:szCs w:val="18"/>
                <w:color w:val="auto"/>
                <w:w w:val="93"/>
              </w:rPr>
              <w:t>Fenwick &amp; West LLP</w:t>
            </w:r>
          </w:p>
        </w:tc>
        <w:tc>
          <w:tcPr>
            <w:tcW w:w="4860" w:type="dxa"/>
            <w:vAlign w:val="bottom"/>
          </w:tcPr>
          <w:p>
            <w:pPr>
              <w:jc w:val="center"/>
              <w:ind w:left="1010"/>
              <w:spacing w:after="0"/>
              <w:rPr>
                <w:sz w:val="20"/>
                <w:szCs w:val="20"/>
                <w:color w:val="auto"/>
              </w:rPr>
            </w:pPr>
            <w:r>
              <w:rPr>
                <w:rFonts w:ascii="Arial" w:cs="Arial" w:eastAsia="Arial" w:hAnsi="Arial"/>
                <w:sz w:val="18"/>
                <w:szCs w:val="18"/>
                <w:color w:val="auto"/>
                <w:w w:val="93"/>
              </w:rPr>
              <w:t>Chief Operating Officer and Chief Financial Officer</w:t>
            </w:r>
          </w:p>
        </w:tc>
      </w:tr>
      <w:tr>
        <w:trPr>
          <w:trHeight w:val="216"/>
        </w:trPr>
        <w:tc>
          <w:tcPr>
            <w:tcW w:w="3940" w:type="dxa"/>
            <w:vAlign w:val="bottom"/>
          </w:tcPr>
          <w:p>
            <w:pPr>
              <w:jc w:val="center"/>
              <w:ind w:right="1010"/>
              <w:spacing w:after="0"/>
              <w:rPr>
                <w:sz w:val="20"/>
                <w:szCs w:val="20"/>
                <w:color w:val="auto"/>
              </w:rPr>
            </w:pPr>
            <w:r>
              <w:rPr>
                <w:rFonts w:ascii="Arial" w:cs="Arial" w:eastAsia="Arial" w:hAnsi="Arial"/>
                <w:sz w:val="18"/>
                <w:szCs w:val="18"/>
                <w:color w:val="auto"/>
                <w:w w:val="90"/>
              </w:rPr>
              <w:t>228 Santa Monica Boulevard Suite 300</w:t>
            </w:r>
          </w:p>
        </w:tc>
        <w:tc>
          <w:tcPr>
            <w:tcW w:w="4860" w:type="dxa"/>
            <w:vAlign w:val="bottom"/>
          </w:tcPr>
          <w:p>
            <w:pPr>
              <w:jc w:val="center"/>
              <w:ind w:left="1010"/>
              <w:spacing w:after="0"/>
              <w:rPr>
                <w:sz w:val="20"/>
                <w:szCs w:val="20"/>
                <w:color w:val="auto"/>
              </w:rPr>
            </w:pPr>
            <w:r>
              <w:rPr>
                <w:rFonts w:ascii="Arial" w:cs="Arial" w:eastAsia="Arial" w:hAnsi="Arial"/>
                <w:sz w:val="18"/>
                <w:szCs w:val="18"/>
                <w:color w:val="auto"/>
                <w:w w:val="90"/>
              </w:rPr>
              <w:t>Veracyte, Inc.</w:t>
            </w:r>
          </w:p>
        </w:tc>
      </w:tr>
      <w:tr>
        <w:trPr>
          <w:trHeight w:val="216"/>
        </w:trPr>
        <w:tc>
          <w:tcPr>
            <w:tcW w:w="3940" w:type="dxa"/>
            <w:vAlign w:val="bottom"/>
          </w:tcPr>
          <w:p>
            <w:pPr>
              <w:jc w:val="center"/>
              <w:ind w:right="1010"/>
              <w:spacing w:after="0"/>
              <w:rPr>
                <w:sz w:val="20"/>
                <w:szCs w:val="20"/>
                <w:color w:val="auto"/>
              </w:rPr>
            </w:pPr>
            <w:r>
              <w:rPr>
                <w:rFonts w:ascii="Arial" w:cs="Arial" w:eastAsia="Arial" w:hAnsi="Arial"/>
                <w:sz w:val="18"/>
                <w:szCs w:val="18"/>
                <w:color w:val="auto"/>
                <w:w w:val="92"/>
              </w:rPr>
              <w:t>Santa Monica, California 90401</w:t>
            </w:r>
          </w:p>
        </w:tc>
        <w:tc>
          <w:tcPr>
            <w:tcW w:w="4860" w:type="dxa"/>
            <w:vAlign w:val="bottom"/>
          </w:tcPr>
          <w:p>
            <w:pPr>
              <w:jc w:val="center"/>
              <w:ind w:left="1010"/>
              <w:spacing w:after="0"/>
              <w:rPr>
                <w:sz w:val="20"/>
                <w:szCs w:val="20"/>
                <w:color w:val="auto"/>
              </w:rPr>
            </w:pPr>
            <w:r>
              <w:rPr>
                <w:rFonts w:ascii="Arial" w:cs="Arial" w:eastAsia="Arial" w:hAnsi="Arial"/>
                <w:sz w:val="18"/>
                <w:szCs w:val="18"/>
                <w:color w:val="auto"/>
                <w:w w:val="90"/>
              </w:rPr>
              <w:t>6000 Shoreline Court, Suite 300</w:t>
            </w:r>
          </w:p>
        </w:tc>
      </w:tr>
      <w:tr>
        <w:trPr>
          <w:trHeight w:val="216"/>
        </w:trPr>
        <w:tc>
          <w:tcPr>
            <w:tcW w:w="3940" w:type="dxa"/>
            <w:vAlign w:val="bottom"/>
          </w:tcPr>
          <w:p>
            <w:pPr>
              <w:spacing w:after="0"/>
              <w:rPr>
                <w:sz w:val="18"/>
                <w:szCs w:val="18"/>
                <w:color w:val="auto"/>
              </w:rPr>
            </w:pPr>
          </w:p>
        </w:tc>
        <w:tc>
          <w:tcPr>
            <w:tcW w:w="4860" w:type="dxa"/>
            <w:vAlign w:val="bottom"/>
          </w:tcPr>
          <w:p>
            <w:pPr>
              <w:jc w:val="center"/>
              <w:ind w:left="1010"/>
              <w:spacing w:after="0"/>
              <w:rPr>
                <w:sz w:val="20"/>
                <w:szCs w:val="20"/>
                <w:color w:val="auto"/>
              </w:rPr>
            </w:pPr>
            <w:r>
              <w:rPr>
                <w:rFonts w:ascii="Arial" w:cs="Arial" w:eastAsia="Arial" w:hAnsi="Arial"/>
                <w:sz w:val="18"/>
                <w:szCs w:val="18"/>
                <w:color w:val="auto"/>
                <w:w w:val="90"/>
              </w:rPr>
              <w:t>South San Francisco, California 94080</w:t>
            </w:r>
          </w:p>
        </w:tc>
      </w:tr>
      <w:tr>
        <w:trPr>
          <w:trHeight w:val="230"/>
        </w:trPr>
        <w:tc>
          <w:tcPr>
            <w:tcW w:w="3940" w:type="dxa"/>
            <w:vAlign w:val="bottom"/>
          </w:tcPr>
          <w:p>
            <w:pPr>
              <w:spacing w:after="0"/>
              <w:rPr>
                <w:sz w:val="20"/>
                <w:szCs w:val="20"/>
                <w:color w:val="auto"/>
              </w:rPr>
            </w:pPr>
          </w:p>
        </w:tc>
        <w:tc>
          <w:tcPr>
            <w:tcW w:w="4860" w:type="dxa"/>
            <w:vAlign w:val="bottom"/>
          </w:tcPr>
          <w:p>
            <w:pPr>
              <w:jc w:val="center"/>
              <w:ind w:left="1010"/>
              <w:spacing w:after="0"/>
              <w:rPr>
                <w:sz w:val="20"/>
                <w:szCs w:val="20"/>
                <w:color w:val="auto"/>
              </w:rPr>
            </w:pPr>
            <w:r>
              <w:rPr>
                <w:rFonts w:ascii="Arial" w:cs="Arial" w:eastAsia="Arial" w:hAnsi="Arial"/>
                <w:sz w:val="18"/>
                <w:szCs w:val="18"/>
                <w:color w:val="auto"/>
                <w:w w:val="90"/>
              </w:rPr>
              <w:t>(650) 243-6300</w:t>
            </w:r>
          </w:p>
        </w:tc>
      </w:tr>
    </w:tbl>
    <w:p>
      <w:pPr>
        <w:spacing w:after="0" w:line="200" w:lineRule="exact"/>
        <w:rPr>
          <w:sz w:val="24"/>
          <w:szCs w:val="24"/>
          <w:color w:val="auto"/>
        </w:rPr>
      </w:pPr>
    </w:p>
    <w:p>
      <w:pPr>
        <w:spacing w:after="0" w:line="218" w:lineRule="exact"/>
        <w:rPr>
          <w:sz w:val="24"/>
          <w:szCs w:val="24"/>
          <w:color w:val="auto"/>
        </w:rPr>
      </w:pPr>
    </w:p>
    <w:p>
      <w:pPr>
        <w:ind w:left="140"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3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3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800" w:type="dxa"/>
            <w:vAlign w:val="bottom"/>
          </w:tcPr>
          <w:p>
            <w:pPr>
              <w:ind w:left="238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140"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CALCULATION OF REGISTRATION FEE</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29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Proposed Maximum</w:t>
            </w: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Proposed</w:t>
            </w: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16"/>
        </w:trPr>
        <w:tc>
          <w:tcPr>
            <w:tcW w:w="2980" w:type="dxa"/>
            <w:vAlign w:val="bottom"/>
          </w:tcPr>
          <w:p>
            <w:pPr>
              <w:jc w:val="center"/>
              <w:spacing w:after="0"/>
              <w:rPr>
                <w:sz w:val="20"/>
                <w:szCs w:val="20"/>
                <w:color w:val="auto"/>
              </w:rPr>
            </w:pPr>
            <w:r>
              <w:rPr>
                <w:rFonts w:ascii="Arial" w:cs="Arial" w:eastAsia="Arial" w:hAnsi="Arial"/>
                <w:sz w:val="18"/>
                <w:szCs w:val="18"/>
                <w:color w:val="auto"/>
                <w:w w:val="92"/>
              </w:rPr>
              <w:t>Title of Securities</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Amount To</w:t>
            </w:r>
          </w:p>
        </w:tc>
        <w:tc>
          <w:tcPr>
            <w:tcW w:w="1700" w:type="dxa"/>
            <w:vAlign w:val="bottom"/>
          </w:tcPr>
          <w:p>
            <w:pPr>
              <w:jc w:val="center"/>
              <w:ind w:left="10"/>
              <w:spacing w:after="0"/>
              <w:rPr>
                <w:sz w:val="20"/>
                <w:szCs w:val="20"/>
                <w:color w:val="auto"/>
              </w:rPr>
            </w:pPr>
            <w:r>
              <w:rPr>
                <w:rFonts w:ascii="Arial" w:cs="Arial" w:eastAsia="Arial" w:hAnsi="Arial"/>
                <w:sz w:val="18"/>
                <w:szCs w:val="18"/>
                <w:color w:val="auto"/>
                <w:w w:val="92"/>
              </w:rPr>
              <w:t>Offering Price Per</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Maximum Aggregate</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Amount of</w:t>
            </w:r>
          </w:p>
        </w:tc>
      </w:tr>
      <w:tr>
        <w:trPr>
          <w:trHeight w:val="230"/>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 Be Registered</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Be Registered (1)</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Share (2)</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Offering Price</w:t>
            </w:r>
          </w:p>
        </w:tc>
        <w:tc>
          <w:tcPr>
            <w:tcW w:w="3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Registration Fee</w:t>
            </w:r>
          </w:p>
        </w:tc>
      </w:tr>
      <w:tr>
        <w:trPr>
          <w:trHeight w:val="195"/>
        </w:trPr>
        <w:tc>
          <w:tcPr>
            <w:tcW w:w="2980" w:type="dxa"/>
            <w:vAlign w:val="bottom"/>
          </w:tcPr>
          <w:p>
            <w:pPr>
              <w:jc w:val="center"/>
              <w:spacing w:after="0" w:line="195" w:lineRule="exact"/>
              <w:rPr>
                <w:sz w:val="20"/>
                <w:szCs w:val="20"/>
                <w:color w:val="auto"/>
              </w:rPr>
            </w:pPr>
            <w:r>
              <w:rPr>
                <w:rFonts w:ascii="Arial" w:cs="Arial" w:eastAsia="Arial" w:hAnsi="Arial"/>
                <w:sz w:val="18"/>
                <w:szCs w:val="18"/>
                <w:color w:val="auto"/>
                <w:w w:val="90"/>
              </w:rPr>
              <w:t>Common stock, par value $0.001 per</w:t>
            </w:r>
          </w:p>
        </w:tc>
        <w:tc>
          <w:tcPr>
            <w:tcW w:w="1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0"/>
        </w:trPr>
        <w:tc>
          <w:tcPr>
            <w:tcW w:w="2980" w:type="dxa"/>
            <w:vAlign w:val="bottom"/>
          </w:tcPr>
          <w:p>
            <w:pPr>
              <w:jc w:val="center"/>
              <w:spacing w:after="0"/>
              <w:rPr>
                <w:sz w:val="20"/>
                <w:szCs w:val="20"/>
                <w:color w:val="auto"/>
              </w:rPr>
            </w:pPr>
            <w:r>
              <w:rPr>
                <w:rFonts w:ascii="Arial" w:cs="Arial" w:eastAsia="Arial" w:hAnsi="Arial"/>
                <w:sz w:val="18"/>
                <w:szCs w:val="18"/>
                <w:color w:val="auto"/>
                <w:w w:val="84"/>
              </w:rPr>
              <w:t>share</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1,500,000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$24.88</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$37,325,626</w:t>
            </w:r>
          </w:p>
        </w:tc>
        <w:tc>
          <w:tcPr>
            <w:tcW w:w="166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$5,700</w:t>
            </w:r>
          </w:p>
        </w:tc>
      </w:tr>
    </w:tbl>
    <w:p>
      <w:pPr>
        <w:spacing w:after="0" w:line="202" w:lineRule="exact"/>
        <w:rPr>
          <w:sz w:val="24"/>
          <w:szCs w:val="24"/>
          <w:color w:val="auto"/>
        </w:rPr>
      </w:pPr>
    </w:p>
    <w:p>
      <w:pPr>
        <w:jc w:val="both"/>
        <w:ind w:left="520" w:right="500" w:hanging="512"/>
        <w:spacing w:after="0" w:line="259"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promulgated under the Securities Act of 1933, as amended (the “Securities Act”), this registration statement shall also cover any additional shares of Registrant’s common stock that become issuable under the plan set forth herein by reason of any stock dividend, stock split, recapitalization, or other similar transaction effected that results in an increase to the number of outstanding shares of Registrant’s common stock.</w:t>
      </w:r>
    </w:p>
    <w:p>
      <w:pPr>
        <w:spacing w:after="0" w:line="186" w:lineRule="exact"/>
        <w:rPr>
          <w:rFonts w:ascii="Arial" w:cs="Arial" w:eastAsia="Arial" w:hAnsi="Arial"/>
          <w:sz w:val="18"/>
          <w:szCs w:val="18"/>
          <w:color w:val="auto"/>
        </w:rPr>
      </w:pPr>
    </w:p>
    <w:p>
      <w:pPr>
        <w:jc w:val="both"/>
        <w:ind w:left="520" w:right="480" w:hanging="512"/>
        <w:spacing w:after="0" w:line="257"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457(c) and 457(h) under the Securities Act, solely for the purposes of calculating the registration fee on the basis of $29.28, the average of the high and low prices of the Registrant’s Common Stock as reported on The Nasdaq Global Market on July 28, 2020, multiplied by 85%. The purchase price of a share for purchasers under the Amended and Restated Veracyte, Inc. Employee Stock Purchase Plan is 85% of the fair market value of the Registrant’s common stock, on the offering date or the purchase date, whichever is less.</w:t>
      </w:r>
    </w:p>
    <w:p>
      <w:pPr>
        <w:spacing w:after="0" w:line="188"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____________________</w:t>
      </w:r>
    </w:p>
    <w:p>
      <w:pPr>
        <w:sectPr>
          <w:pgSz w:w="11900" w:h="16838" w:orient="portrait"/>
          <w:cols w:equalWidth="0" w:num="1">
            <w:col w:w="11120"/>
          </w:cols>
          <w:pgMar w:left="320" w:top="233" w:right="459" w:bottom="322"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Instruction E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Pursuant to General Instruction E of Form S-8, Veracyte, Inc. (“Registrant”) is filing this Registration Statement on Form S-8 with the U.S. Securities and Exchange Commission (the “Commission”) to register 1,500,000 additional shares of the Registrant’s Common Stock (the “Share Increase”) for issuance under the Amended and Restated Veracyte, Inc. Employee Stock Purchase Plan (the “ESPP Plan”). At the Registrant’s Annual Meeting of Stockholders held on June 5, 2020, the Registrant’s stockholders, among other things, approved the Share Increase under the ESPP Plan. The Registrant’s Registration Statements on Form S-8 filed with the Commission on June 24, 2015 (File No. 333-205206), excluding reports that the Registrant filed with the Commission that were incorporated into the Form S-8 Registration Statements in order to maintain current information about the Registrant, are hereby incorporated by reference into this Registration Statement pursuant to General Instruction E of Form S-8. In accordance with the instructional note to Part I of Form S-8 as promulgated by the Commission, the information specified by Part I of Form S-8 has been omitted from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356870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364" w:right="45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documents filed by the Registrant with the Commission are hereby incorporated by reference in this Registration Statement:</w:t>
      </w:r>
    </w:p>
    <w:p>
      <w:pPr>
        <w:spacing w:after="0" w:line="248" w:lineRule="exact"/>
        <w:rPr>
          <w:sz w:val="20"/>
          <w:szCs w:val="20"/>
          <w:color w:val="auto"/>
        </w:rPr>
      </w:pPr>
    </w:p>
    <w:p>
      <w:pPr>
        <w:ind w:left="1120" w:hanging="334"/>
        <w:spacing w:after="0"/>
        <w:tabs>
          <w:tab w:leader="none" w:pos="1120" w:val="left"/>
        </w:tabs>
        <w:numPr>
          <w:ilvl w:val="0"/>
          <w:numId w:val="2"/>
        </w:numPr>
        <w:rPr>
          <w:rFonts w:ascii="Arial" w:cs="Arial" w:eastAsia="Arial" w:hAnsi="Arial"/>
          <w:sz w:val="16"/>
          <w:szCs w:val="16"/>
          <w:color w:val="0000EE"/>
        </w:rPr>
      </w:pPr>
      <w:hyperlink r:id="rId10">
        <w:r>
          <w:rPr>
            <w:rFonts w:ascii="Arial" w:cs="Arial" w:eastAsia="Arial" w:hAnsi="Arial"/>
            <w:sz w:val="16"/>
            <w:szCs w:val="16"/>
            <w:u w:val="single" w:color="auto"/>
            <w:color w:val="0000EE"/>
          </w:rPr>
          <w:t>The Registrant’s Annual Report on Form 10-K for the year ended December 31, 2019, filed with the Commission on February 25, 2020</w:t>
        </w:r>
      </w:hyperlink>
      <w:r>
        <w:rPr>
          <w:rFonts w:ascii="Arial" w:cs="Arial" w:eastAsia="Arial" w:hAnsi="Arial"/>
          <w:sz w:val="16"/>
          <w:szCs w:val="16"/>
          <w:color w:val="000000"/>
        </w:rPr>
        <w:t>;</w:t>
      </w:r>
    </w:p>
    <w:p>
      <w:pPr>
        <w:spacing w:after="0" w:line="248" w:lineRule="exact"/>
        <w:rPr>
          <w:rFonts w:ascii="Arial" w:cs="Arial" w:eastAsia="Arial" w:hAnsi="Arial"/>
          <w:sz w:val="16"/>
          <w:szCs w:val="16"/>
          <w:color w:val="0000EE"/>
        </w:rPr>
      </w:pPr>
    </w:p>
    <w:p>
      <w:pPr>
        <w:ind w:left="1100" w:right="20" w:hanging="314"/>
        <w:spacing w:after="0" w:line="277" w:lineRule="auto"/>
        <w:tabs>
          <w:tab w:leader="none" w:pos="1091"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Registrant’s Annual Report referred to in (a) above (other than the portions of these documents not deemed to be filed); and</w:t>
      </w:r>
    </w:p>
    <w:p>
      <w:pPr>
        <w:spacing w:after="0" w:line="170" w:lineRule="exact"/>
        <w:rPr>
          <w:rFonts w:ascii="Arial" w:cs="Arial" w:eastAsia="Arial" w:hAnsi="Arial"/>
          <w:sz w:val="18"/>
          <w:szCs w:val="18"/>
          <w:color w:val="auto"/>
        </w:rPr>
      </w:pPr>
    </w:p>
    <w:p>
      <w:pPr>
        <w:jc w:val="both"/>
        <w:ind w:left="1100" w:right="20" w:hanging="314"/>
        <w:spacing w:after="0" w:line="263" w:lineRule="auto"/>
        <w:tabs>
          <w:tab w:leader="none" w:pos="1066" w:val="left"/>
        </w:tabs>
        <w:numPr>
          <w:ilvl w:val="0"/>
          <w:numId w:val="2"/>
        </w:numPr>
        <w:rPr>
          <w:rFonts w:ascii="Arial" w:cs="Arial" w:eastAsia="Arial" w:hAnsi="Arial"/>
          <w:sz w:val="18"/>
          <w:szCs w:val="18"/>
          <w:color w:val="0000EE"/>
        </w:rPr>
      </w:pPr>
      <w:hyperlink r:id="rId11">
        <w:r>
          <w:rPr>
            <w:rFonts w:ascii="Arial" w:cs="Arial" w:eastAsia="Arial" w:hAnsi="Arial"/>
            <w:sz w:val="18"/>
            <w:szCs w:val="18"/>
            <w:u w:val="single" w:color="auto"/>
            <w:color w:val="0000EE"/>
          </w:rPr>
          <w:t>The description of the Registrant’s Common Stock contained in Registrant’s registration statement on Form 8-A, filed on October 28, 2013</w:t>
        </w:r>
      </w:hyperlink>
      <w:r>
        <w:rPr>
          <w:rFonts w:ascii="Arial" w:cs="Arial" w:eastAsia="Arial" w:hAnsi="Arial"/>
          <w:sz w:val="18"/>
          <w:szCs w:val="18"/>
          <w:u w:val="single" w:color="auto"/>
          <w:color w:val="0000EE"/>
        </w:rPr>
        <w:t xml:space="preserve"> </w:t>
      </w:r>
      <w:hyperlink r:id="rId11">
        <w:r>
          <w:rPr>
            <w:rFonts w:ascii="Arial" w:cs="Arial" w:eastAsia="Arial" w:hAnsi="Arial"/>
            <w:sz w:val="18"/>
            <w:szCs w:val="18"/>
            <w:u w:val="single" w:color="auto"/>
            <w:color w:val="0000EE"/>
          </w:rPr>
          <w:t>pursuant to Section 12(b) of the Securities Exchange Act of 1934, as amended (the “Exchange Act”), including any amendment or report</w:t>
        </w:r>
      </w:hyperlink>
      <w:r>
        <w:rPr>
          <w:rFonts w:ascii="Arial" w:cs="Arial" w:eastAsia="Arial" w:hAnsi="Arial"/>
          <w:sz w:val="18"/>
          <w:szCs w:val="18"/>
          <w:u w:val="single" w:color="auto"/>
          <w:color w:val="0000EE"/>
        </w:rPr>
        <w:t xml:space="preserve"> </w:t>
      </w:r>
      <w:hyperlink r:id="rId11">
        <w:r>
          <w:rPr>
            <w:rFonts w:ascii="Arial" w:cs="Arial" w:eastAsia="Arial" w:hAnsi="Arial"/>
            <w:sz w:val="18"/>
            <w:szCs w:val="18"/>
            <w:u w:val="single" w:color="auto"/>
            <w:color w:val="0000EE"/>
          </w:rPr>
          <w:t>filed for the purpose of updating such description</w:t>
        </w:r>
        <w:r>
          <w:rPr>
            <w:rFonts w:ascii="Arial" w:cs="Arial" w:eastAsia="Arial" w:hAnsi="Arial"/>
            <w:sz w:val="18"/>
            <w:szCs w:val="18"/>
            <w:color w:val="000000"/>
          </w:rPr>
          <w:t>.</w:t>
        </w:r>
      </w:hyperlink>
    </w:p>
    <w:p>
      <w:pPr>
        <w:spacing w:after="0" w:line="184" w:lineRule="exact"/>
        <w:rPr>
          <w:rFonts w:ascii="Arial" w:cs="Arial" w:eastAsia="Arial" w:hAnsi="Arial"/>
          <w:sz w:val="18"/>
          <w:szCs w:val="18"/>
          <w:u w:val="single" w:color="auto"/>
          <w:color w:val="0000EE"/>
        </w:rPr>
      </w:pPr>
    </w:p>
    <w:p>
      <w:pPr>
        <w:jc w:val="both"/>
        <w:ind w:left="140" w:firstLine="432"/>
        <w:spacing w:after="0" w:line="271" w:lineRule="auto"/>
        <w:rPr>
          <w:sz w:val="20"/>
          <w:szCs w:val="20"/>
          <w:color w:val="auto"/>
        </w:rPr>
      </w:pPr>
      <w:r>
        <w:rPr>
          <w:rFonts w:ascii="Arial" w:cs="Arial" w:eastAsia="Arial" w:hAnsi="Arial"/>
          <w:sz w:val="17"/>
          <w:szCs w:val="17"/>
          <w:color w:val="auto"/>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pacing w:after="0" w:line="174" w:lineRule="exact"/>
        <w:rPr>
          <w:rFonts w:ascii="Arial" w:cs="Arial" w:eastAsia="Arial" w:hAnsi="Arial"/>
          <w:sz w:val="18"/>
          <w:szCs w:val="18"/>
          <w:u w:val="single" w:color="auto"/>
          <w:color w:val="0000EE"/>
        </w:rPr>
      </w:pPr>
    </w:p>
    <w:p>
      <w:pPr>
        <w:ind w:left="140"/>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rFonts w:ascii="Arial" w:cs="Arial" w:eastAsia="Arial" w:hAnsi="Arial"/>
          <w:sz w:val="18"/>
          <w:szCs w:val="18"/>
          <w:u w:val="single" w:color="auto"/>
          <w:color w:val="0000EE"/>
        </w:rPr>
      </w:pPr>
    </w:p>
    <w:p>
      <w:pPr>
        <w:ind w:left="560"/>
        <w:spacing w:after="0"/>
        <w:rPr>
          <w:sz w:val="20"/>
          <w:szCs w:val="20"/>
          <w:color w:val="auto"/>
        </w:rPr>
      </w:pPr>
      <w:r>
        <w:rPr>
          <w:rFonts w:ascii="Arial" w:cs="Arial" w:eastAsia="Arial" w:hAnsi="Arial"/>
          <w:sz w:val="18"/>
          <w:szCs w:val="18"/>
          <w:color w:val="auto"/>
        </w:rPr>
        <w:t>The following exhibits are filed herewith:</w:t>
      </w:r>
    </w:p>
    <w:p>
      <w:pPr>
        <w:spacing w:after="0" w:line="225"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30"/>
        </w:trPr>
        <w:tc>
          <w:tcPr>
            <w:tcW w:w="760" w:type="dxa"/>
            <w:vAlign w:val="bottom"/>
            <w:vMerge w:val="restart"/>
          </w:tcPr>
          <w:p>
            <w:pPr>
              <w:ind w:left="120"/>
              <w:spacing w:after="0"/>
              <w:rPr>
                <w:sz w:val="20"/>
                <w:szCs w:val="20"/>
                <w:color w:val="auto"/>
              </w:rPr>
            </w:pPr>
            <w:r>
              <w:rPr>
                <w:rFonts w:ascii="Arial" w:cs="Arial" w:eastAsia="Arial" w:hAnsi="Arial"/>
                <w:sz w:val="18"/>
                <w:szCs w:val="18"/>
                <w:color w:val="auto"/>
              </w:rPr>
              <w:t>Exhibit</w:t>
            </w:r>
          </w:p>
        </w:tc>
        <w:tc>
          <w:tcPr>
            <w:tcW w:w="15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0" w:type="dxa"/>
            <w:vAlign w:val="bottom"/>
            <w:gridSpan w:val="2"/>
          </w:tcPr>
          <w:p>
            <w:pPr>
              <w:ind w:left="420"/>
              <w:spacing w:after="0"/>
              <w:rPr>
                <w:sz w:val="20"/>
                <w:szCs w:val="20"/>
                <w:color w:val="auto"/>
              </w:rPr>
            </w:pPr>
            <w:r>
              <w:rPr>
                <w:rFonts w:ascii="Arial" w:cs="Arial" w:eastAsia="Arial" w:hAnsi="Arial"/>
                <w:sz w:val="18"/>
                <w:szCs w:val="18"/>
                <w:color w:val="auto"/>
                <w:w w:val="91"/>
              </w:rPr>
              <w:t>Incorporated by Reference</w:t>
            </w: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No.</w:t>
            </w:r>
          </w:p>
        </w:tc>
        <w:tc>
          <w:tcPr>
            <w:tcW w:w="15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Description</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Form</w:t>
            </w: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File No.</w:t>
            </w: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Exhibit</w:t>
            </w: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Filing Date</w:t>
            </w:r>
          </w:p>
        </w:tc>
        <w:tc>
          <w:tcPr>
            <w:tcW w:w="12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3"/>
              </w:rPr>
              <w:t>Filed Herewith</w:t>
            </w:r>
          </w:p>
        </w:tc>
        <w:tc>
          <w:tcPr>
            <w:tcW w:w="0" w:type="dxa"/>
            <w:vAlign w:val="bottom"/>
          </w:tcPr>
          <w:p>
            <w:pPr>
              <w:spacing w:after="0"/>
              <w:rPr>
                <w:sz w:val="1"/>
                <w:szCs w:val="1"/>
                <w:color w:val="auto"/>
              </w:rPr>
            </w:pPr>
          </w:p>
        </w:tc>
      </w:tr>
      <w:tr>
        <w:trPr>
          <w:trHeight w:val="210"/>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4.1</w:t>
            </w:r>
          </w:p>
        </w:tc>
        <w:tc>
          <w:tcPr>
            <w:tcW w:w="4480" w:type="dxa"/>
            <w:vAlign w:val="bottom"/>
            <w:tcBorders>
              <w:bottom w:val="single" w:sz="8" w:color="auto"/>
            </w:tcBorders>
            <w:gridSpan w:val="3"/>
          </w:tcPr>
          <w:p>
            <w:pPr>
              <w:spacing w:after="0"/>
              <w:rPr>
                <w:rFonts w:ascii="Arial" w:cs="Arial" w:eastAsia="Arial" w:hAnsi="Arial"/>
                <w:sz w:val="18"/>
                <w:szCs w:val="18"/>
                <w:u w:val="single" w:color="auto"/>
                <w:color w:val="0000EE"/>
              </w:rPr>
            </w:pPr>
            <w:hyperlink r:id="rId12">
              <w:r>
                <w:rPr>
                  <w:rFonts w:ascii="Arial" w:cs="Arial" w:eastAsia="Arial" w:hAnsi="Arial"/>
                  <w:sz w:val="18"/>
                  <w:szCs w:val="18"/>
                  <w:u w:val="single" w:color="auto"/>
                  <w:color w:val="0000EE"/>
                </w:rPr>
                <w:t>Restated Certificate of Incorporation of the Registrant.</w:t>
              </w:r>
            </w:hyperlink>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001-36156</w:t>
            </w:r>
          </w:p>
        </w:tc>
        <w:tc>
          <w:tcPr>
            <w:tcW w:w="11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7"/>
              </w:rPr>
              <w:t>3.1</w:t>
            </w: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11/8/2013</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4.2</w:t>
            </w:r>
          </w:p>
        </w:tc>
        <w:tc>
          <w:tcPr>
            <w:tcW w:w="4480" w:type="dxa"/>
            <w:vAlign w:val="bottom"/>
            <w:tcBorders>
              <w:bottom w:val="single" w:sz="8" w:color="auto"/>
            </w:tcBorders>
            <w:gridSpan w:val="3"/>
          </w:tcPr>
          <w:p>
            <w:pPr>
              <w:spacing w:after="0"/>
              <w:rPr>
                <w:rFonts w:ascii="Arial" w:cs="Arial" w:eastAsia="Arial" w:hAnsi="Arial"/>
                <w:sz w:val="18"/>
                <w:szCs w:val="18"/>
                <w:u w:val="single" w:color="auto"/>
                <w:color w:val="0000EE"/>
              </w:rPr>
            </w:pPr>
            <w:hyperlink r:id="rId13">
              <w:r>
                <w:rPr>
                  <w:rFonts w:ascii="Arial" w:cs="Arial" w:eastAsia="Arial" w:hAnsi="Arial"/>
                  <w:sz w:val="18"/>
                  <w:szCs w:val="18"/>
                  <w:u w:val="single" w:color="auto"/>
                  <w:color w:val="0000EE"/>
                </w:rPr>
                <w:t>Restated Bylaws of the Registrant.</w:t>
              </w:r>
            </w:hyperlink>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001-36156</w:t>
            </w:r>
          </w:p>
        </w:tc>
        <w:tc>
          <w:tcPr>
            <w:tcW w:w="11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7"/>
              </w:rPr>
              <w:t>3.1</w:t>
            </w: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4/14/2020</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4.3</w:t>
            </w:r>
          </w:p>
        </w:tc>
        <w:tc>
          <w:tcPr>
            <w:tcW w:w="4480" w:type="dxa"/>
            <w:vAlign w:val="bottom"/>
            <w:tcBorders>
              <w:bottom w:val="single" w:sz="8" w:color="auto"/>
            </w:tcBorders>
            <w:gridSpan w:val="3"/>
          </w:tcPr>
          <w:p>
            <w:pPr>
              <w:spacing w:after="0"/>
              <w:rPr>
                <w:rFonts w:ascii="Arial" w:cs="Arial" w:eastAsia="Arial" w:hAnsi="Arial"/>
                <w:sz w:val="18"/>
                <w:szCs w:val="18"/>
                <w:u w:val="single" w:color="auto"/>
                <w:color w:val="0000EE"/>
              </w:rPr>
            </w:pPr>
            <w:hyperlink r:id="rId14">
              <w:r>
                <w:rPr>
                  <w:rFonts w:ascii="Arial" w:cs="Arial" w:eastAsia="Arial" w:hAnsi="Arial"/>
                  <w:sz w:val="18"/>
                  <w:szCs w:val="18"/>
                  <w:u w:val="single" w:color="auto"/>
                  <w:color w:val="0000EE"/>
                </w:rPr>
                <w:t>Form of Common Stock Certificate.</w:t>
              </w:r>
            </w:hyperlink>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S-1/A</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333-191282</w:t>
            </w:r>
          </w:p>
        </w:tc>
        <w:tc>
          <w:tcPr>
            <w:tcW w:w="11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7"/>
              </w:rPr>
              <w:t>4.1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10/15/2013</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w:t>
            </w:r>
          </w:p>
        </w:tc>
        <w:tc>
          <w:tcPr>
            <w:tcW w:w="4480" w:type="dxa"/>
            <w:vAlign w:val="bottom"/>
            <w:tcBorders>
              <w:bottom w:val="single" w:sz="8" w:color="auto"/>
            </w:tcBorders>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Opinion of Fenwick &amp; West, LLP.</w:t>
              </w:r>
            </w:hyperlink>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23.1</w:t>
            </w:r>
          </w:p>
        </w:tc>
        <w:tc>
          <w:tcPr>
            <w:tcW w:w="4480" w:type="dxa"/>
            <w:vAlign w:val="bottom"/>
            <w:tcBorders>
              <w:bottom w:val="single" w:sz="8" w:color="auto"/>
            </w:tcBorders>
            <w:gridSpan w:val="3"/>
          </w:tcPr>
          <w:p>
            <w:pPr>
              <w:spacing w:after="0"/>
              <w:rPr>
                <w:rFonts w:ascii="Arial" w:cs="Arial" w:eastAsia="Arial" w:hAnsi="Arial"/>
                <w:sz w:val="18"/>
                <w:szCs w:val="18"/>
                <w:u w:val="single" w:color="auto"/>
                <w:color w:val="0000EE"/>
                <w:w w:val="93"/>
              </w:rPr>
            </w:pPr>
            <w:hyperlink w:anchor="page8">
              <w:r>
                <w:rPr>
                  <w:rFonts w:ascii="Arial" w:cs="Arial" w:eastAsia="Arial" w:hAnsi="Arial"/>
                  <w:sz w:val="18"/>
                  <w:szCs w:val="18"/>
                  <w:u w:val="single" w:color="auto"/>
                  <w:color w:val="0000EE"/>
                  <w:w w:val="93"/>
                </w:rPr>
                <w:t>Consent of Independent Registered Public Accounting Firm.</w:t>
              </w:r>
            </w:hyperlink>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23.2</w:t>
            </w:r>
          </w:p>
        </w:tc>
        <w:tc>
          <w:tcPr>
            <w:tcW w:w="4480" w:type="dxa"/>
            <w:vAlign w:val="bottom"/>
            <w:tcBorders>
              <w:bottom w:val="single" w:sz="8" w:color="auto"/>
            </w:tcBorders>
            <w:gridSpan w:val="3"/>
          </w:tcPr>
          <w:p>
            <w:pPr>
              <w:spacing w:after="0"/>
              <w:rPr>
                <w:rFonts w:ascii="Arial" w:cs="Arial" w:eastAsia="Arial" w:hAnsi="Arial"/>
                <w:sz w:val="18"/>
                <w:szCs w:val="18"/>
                <w:color w:val="0000EE"/>
                <w:w w:val="97"/>
              </w:rPr>
            </w:pPr>
            <w:hyperlink w:anchor="page7">
              <w:r>
                <w:rPr>
                  <w:rFonts w:ascii="Arial" w:cs="Arial" w:eastAsia="Arial" w:hAnsi="Arial"/>
                  <w:sz w:val="18"/>
                  <w:szCs w:val="18"/>
                  <w:u w:val="single" w:color="auto"/>
                  <w:color w:val="0000EE"/>
                  <w:w w:val="97"/>
                </w:rPr>
                <w:t>Consent of Fenwick &amp; West LLP (included in Exhibit 5.1)</w:t>
              </w:r>
              <w:r>
                <w:rPr>
                  <w:rFonts w:ascii="Arial" w:cs="Arial" w:eastAsia="Arial" w:hAnsi="Arial"/>
                  <w:sz w:val="18"/>
                  <w:szCs w:val="18"/>
                  <w:color w:val="0000EE"/>
                  <w:w w:val="97"/>
                </w:rPr>
                <w:t>.</w:t>
              </w:r>
            </w:hyperlink>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9"/>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24.1</w:t>
            </w:r>
          </w:p>
        </w:tc>
        <w:tc>
          <w:tcPr>
            <w:tcW w:w="4480" w:type="dxa"/>
            <w:vAlign w:val="bottom"/>
            <w:tcBorders>
              <w:bottom w:val="single" w:sz="8" w:color="auto"/>
            </w:tcBorders>
            <w:gridSpan w:val="3"/>
          </w:tcPr>
          <w:p>
            <w:pPr>
              <w:spacing w:after="0"/>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Power of Attorney (contained on signature page hereto).</w:t>
              </w:r>
            </w:hyperlink>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99.1</w:t>
            </w:r>
          </w:p>
        </w:tc>
        <w:tc>
          <w:tcPr>
            <w:tcW w:w="4480" w:type="dxa"/>
            <w:vAlign w:val="bottom"/>
            <w:tcBorders>
              <w:bottom w:val="single" w:sz="8" w:color="auto"/>
            </w:tcBorders>
            <w:gridSpan w:val="3"/>
          </w:tcPr>
          <w:p>
            <w:pPr>
              <w:spacing w:after="0"/>
              <w:rPr>
                <w:rFonts w:ascii="Arial" w:cs="Arial" w:eastAsia="Arial" w:hAnsi="Arial"/>
                <w:sz w:val="18"/>
                <w:szCs w:val="18"/>
                <w:color w:val="0000EE"/>
                <w:w w:val="98"/>
              </w:rPr>
            </w:pPr>
            <w:hyperlink r:id="rId15">
              <w:r>
                <w:rPr>
                  <w:rFonts w:ascii="Arial" w:cs="Arial" w:eastAsia="Arial" w:hAnsi="Arial"/>
                  <w:sz w:val="18"/>
                  <w:szCs w:val="18"/>
                  <w:u w:val="single" w:color="auto"/>
                  <w:color w:val="0000EE"/>
                  <w:w w:val="98"/>
                </w:rPr>
                <w:t>Amended and Restated Employee Stock Purchase Plan</w:t>
              </w:r>
              <w:r>
                <w:rPr>
                  <w:rFonts w:ascii="Arial" w:cs="Arial" w:eastAsia="Arial" w:hAnsi="Arial"/>
                  <w:sz w:val="18"/>
                  <w:szCs w:val="18"/>
                  <w:color w:val="0000EE"/>
                  <w:w w:val="98"/>
                </w:rPr>
                <w:t>.</w:t>
              </w:r>
            </w:hyperlink>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001-36156</w:t>
            </w: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10.1</w:t>
            </w: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6/9/2020</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line="169" w:lineRule="exact"/>
              <w:rPr>
                <w:sz w:val="20"/>
                <w:szCs w:val="20"/>
                <w:color w:val="auto"/>
              </w:rPr>
            </w:pPr>
            <w:r>
              <w:rPr>
                <w:rFonts w:ascii="Arial" w:cs="Arial" w:eastAsia="Arial" w:hAnsi="Arial"/>
                <w:sz w:val="18"/>
                <w:szCs w:val="18"/>
                <w:color w:val="auto"/>
              </w:rPr>
              <w:t>99.2</w:t>
            </w:r>
          </w:p>
        </w:tc>
        <w:tc>
          <w:tcPr>
            <w:tcW w:w="4260" w:type="dxa"/>
            <w:vAlign w:val="bottom"/>
            <w:tcBorders>
              <w:bottom w:val="single" w:sz="8" w:color="0000EE"/>
            </w:tcBorders>
            <w:gridSpan w:val="2"/>
          </w:tcPr>
          <w:p>
            <w:pPr>
              <w:spacing w:after="0" w:line="169" w:lineRule="exact"/>
              <w:rPr>
                <w:rFonts w:ascii="Arial" w:cs="Arial" w:eastAsia="Arial" w:hAnsi="Arial"/>
                <w:sz w:val="18"/>
                <w:szCs w:val="18"/>
                <w:color w:val="0000EE"/>
                <w:w w:val="90"/>
              </w:rPr>
            </w:pPr>
            <w:hyperlink r:id="rId16">
              <w:r>
                <w:rPr>
                  <w:rFonts w:ascii="Arial" w:cs="Arial" w:eastAsia="Arial" w:hAnsi="Arial"/>
                  <w:sz w:val="18"/>
                  <w:szCs w:val="18"/>
                  <w:color w:val="0000EE"/>
                  <w:w w:val="90"/>
                </w:rPr>
                <w:t>Enrollment Form for the Amended and Restated Employee</w:t>
              </w:r>
            </w:hyperlink>
          </w:p>
        </w:tc>
        <w:tc>
          <w:tcPr>
            <w:tcW w:w="220" w:type="dxa"/>
            <w:vAlign w:val="bottom"/>
          </w:tcPr>
          <w:p>
            <w:pPr>
              <w:spacing w:after="0"/>
              <w:rPr>
                <w:sz w:val="14"/>
                <w:szCs w:val="14"/>
                <w:color w:val="auto"/>
              </w:rPr>
            </w:pPr>
          </w:p>
        </w:tc>
        <w:tc>
          <w:tcPr>
            <w:tcW w:w="740" w:type="dxa"/>
            <w:vAlign w:val="bottom"/>
          </w:tcPr>
          <w:p>
            <w:pPr>
              <w:jc w:val="center"/>
              <w:spacing w:after="0" w:line="169" w:lineRule="exact"/>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line="169" w:lineRule="exact"/>
              <w:rPr>
                <w:sz w:val="20"/>
                <w:szCs w:val="20"/>
                <w:color w:val="auto"/>
              </w:rPr>
            </w:pPr>
            <w:r>
              <w:rPr>
                <w:rFonts w:ascii="Arial" w:cs="Arial" w:eastAsia="Arial" w:hAnsi="Arial"/>
                <w:sz w:val="18"/>
                <w:szCs w:val="18"/>
                <w:color w:val="auto"/>
                <w:w w:val="90"/>
              </w:rPr>
              <w:t>001-36156</w:t>
            </w:r>
          </w:p>
        </w:tc>
        <w:tc>
          <w:tcPr>
            <w:tcW w:w="1140" w:type="dxa"/>
            <w:vAlign w:val="bottom"/>
          </w:tcPr>
          <w:p>
            <w:pPr>
              <w:jc w:val="center"/>
              <w:ind w:right="90"/>
              <w:spacing w:after="0" w:line="169" w:lineRule="exact"/>
              <w:rPr>
                <w:sz w:val="20"/>
                <w:szCs w:val="20"/>
                <w:color w:val="auto"/>
              </w:rPr>
            </w:pPr>
            <w:r>
              <w:rPr>
                <w:rFonts w:ascii="Arial" w:cs="Arial" w:eastAsia="Arial" w:hAnsi="Arial"/>
                <w:sz w:val="18"/>
                <w:szCs w:val="18"/>
                <w:color w:val="auto"/>
                <w:w w:val="91"/>
              </w:rPr>
              <w:t>10.2</w:t>
            </w:r>
          </w:p>
        </w:tc>
        <w:tc>
          <w:tcPr>
            <w:tcW w:w="1020" w:type="dxa"/>
            <w:vAlign w:val="bottom"/>
          </w:tcPr>
          <w:p>
            <w:pPr>
              <w:jc w:val="center"/>
              <w:ind w:right="10"/>
              <w:spacing w:after="0" w:line="169" w:lineRule="exact"/>
              <w:rPr>
                <w:sz w:val="20"/>
                <w:szCs w:val="20"/>
                <w:color w:val="auto"/>
              </w:rPr>
            </w:pPr>
            <w:r>
              <w:rPr>
                <w:rFonts w:ascii="Arial" w:cs="Arial" w:eastAsia="Arial" w:hAnsi="Arial"/>
                <w:sz w:val="18"/>
                <w:szCs w:val="18"/>
                <w:color w:val="auto"/>
                <w:w w:val="89"/>
              </w:rPr>
              <w:t>7/30/2020</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480" w:type="dxa"/>
            <w:vAlign w:val="bottom"/>
            <w:gridSpan w:val="3"/>
          </w:tcPr>
          <w:p>
            <w:pPr>
              <w:spacing w:after="0" w:line="196" w:lineRule="exact"/>
              <w:rPr>
                <w:rFonts w:ascii="Arial" w:cs="Arial" w:eastAsia="Arial" w:hAnsi="Arial"/>
                <w:sz w:val="18"/>
                <w:szCs w:val="18"/>
                <w:color w:val="0000EE"/>
              </w:rPr>
            </w:pPr>
            <w:hyperlink r:id="rId16">
              <w:r>
                <w:rPr>
                  <w:rFonts w:ascii="Arial" w:cs="Arial" w:eastAsia="Arial" w:hAnsi="Arial"/>
                  <w:sz w:val="18"/>
                  <w:szCs w:val="18"/>
                  <w:color w:val="0000EE"/>
                </w:rPr>
                <w:t>Stock Purchase Plan.</w:t>
              </w:r>
            </w:hyperlink>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820" w:hanging="25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25" w:lineRule="exact"/>
        <w:rPr>
          <w:sz w:val="20"/>
          <w:szCs w:val="20"/>
          <w:color w:val="auto"/>
        </w:rPr>
      </w:pPr>
    </w:p>
    <w:p>
      <w:pPr>
        <w:jc w:val="both"/>
        <w:ind w:left="140" w:right="20" w:firstLine="430"/>
        <w:spacing w:after="0" w:line="293" w:lineRule="auto"/>
        <w:tabs>
          <w:tab w:leader="none" w:pos="844"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left="140" w:right="20" w:firstLine="430"/>
        <w:spacing w:after="0" w:line="277" w:lineRule="auto"/>
        <w:tabs>
          <w:tab w:leader="none" w:pos="90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left="140" w:right="20" w:firstLine="432"/>
        <w:spacing w:after="0" w:line="263" w:lineRule="auto"/>
        <w:rPr>
          <w:sz w:val="20"/>
          <w:szCs w:val="20"/>
          <w:color w:val="auto"/>
        </w:rPr>
      </w:pPr>
      <w:r>
        <w:rPr>
          <w:rFonts w:ascii="Arial" w:cs="Arial" w:eastAsia="Arial" w:hAnsi="Arial"/>
          <w:sz w:val="18"/>
          <w:szCs w:val="18"/>
          <w:color w:val="auto"/>
        </w:rPr>
        <w:t>provided, however, 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84" w:lineRule="exact"/>
        <w:rPr>
          <w:sz w:val="20"/>
          <w:szCs w:val="20"/>
          <w:color w:val="auto"/>
        </w:rPr>
      </w:pPr>
    </w:p>
    <w:p>
      <w:pPr>
        <w:jc w:val="both"/>
        <w:ind w:left="140" w:right="20" w:firstLine="430"/>
        <w:spacing w:after="0" w:line="263" w:lineRule="auto"/>
        <w:tabs>
          <w:tab w:leader="none" w:pos="8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140" w:right="20" w:firstLine="430"/>
        <w:spacing w:after="0" w:line="277" w:lineRule="auto"/>
        <w:tabs>
          <w:tab w:leader="none" w:pos="856"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11120"/>
          </w:cols>
          <w:pgMar w:left="320" w:top="580" w:right="459" w:bottom="0" w:gutter="0" w:footer="0" w:header="0"/>
        </w:sectPr>
      </w:pPr>
    </w:p>
    <w:bookmarkStart w:id="4" w:name="page5"/>
    <w:bookmarkEnd w:id="4"/>
    <w:p>
      <w:pPr>
        <w:jc w:val="both"/>
        <w:ind w:left="-430" w:right="20" w:firstLine="430"/>
        <w:spacing w:after="0" w:line="257" w:lineRule="auto"/>
        <w:tabs>
          <w:tab w:leader="none" w:pos="28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jc w:val="both"/>
        <w:ind w:left="-430" w:firstLine="430"/>
        <w:spacing w:after="0" w:line="254" w:lineRule="auto"/>
        <w:tabs>
          <w:tab w:leader="none" w:pos="253"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353695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50"/>
          </w:cols>
          <w:pgMar w:left="890" w:top="125" w:right="4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the 30th day of July, 2020.</w:t>
      </w:r>
    </w:p>
    <w:p>
      <w:pPr>
        <w:spacing w:after="0" w:line="18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ind w:left="550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3987800</wp:posOffset>
            </wp:positionH>
            <wp:positionV relativeFrom="paragraph">
              <wp:posOffset>5715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Bonnie H. Anderson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Bonnie H. Anderson and Keith Kennedy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6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53"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200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89"/>
              </w:rPr>
              <w:t>Signature</w:t>
            </w:r>
          </w:p>
        </w:tc>
        <w:tc>
          <w:tcPr>
            <w:tcW w:w="5220" w:type="dxa"/>
            <w:vAlign w:val="bottom"/>
            <w:gridSpan w:val="3"/>
          </w:tcPr>
          <w:p>
            <w:pPr>
              <w:ind w:left="2480"/>
              <w:spacing w:after="0"/>
              <w:rPr>
                <w:sz w:val="20"/>
                <w:szCs w:val="20"/>
                <w:color w:val="auto"/>
              </w:rPr>
            </w:pPr>
            <w:r>
              <w:rPr>
                <w:rFonts w:ascii="Arial" w:cs="Arial" w:eastAsia="Arial" w:hAnsi="Arial"/>
                <w:sz w:val="18"/>
                <w:szCs w:val="18"/>
                <w:b w:val="1"/>
                <w:bCs w:val="1"/>
                <w:color w:val="auto"/>
              </w:rPr>
              <w:t>Title</w:t>
            </w:r>
          </w:p>
        </w:tc>
        <w:tc>
          <w:tcPr>
            <w:tcW w:w="800" w:type="dxa"/>
            <w:vAlign w:val="bottom"/>
          </w:tcPr>
          <w:p>
            <w:pPr>
              <w:spacing w:after="0"/>
              <w:rPr>
                <w:sz w:val="17"/>
                <w:szCs w:val="17"/>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324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95"/>
              </w:rPr>
              <w:t>/s/ BONNIE H. ANDERSON</w:t>
            </w:r>
          </w:p>
        </w:tc>
        <w:tc>
          <w:tcPr>
            <w:tcW w:w="5220" w:type="dxa"/>
            <w:vAlign w:val="bottom"/>
            <w:gridSpan w:val="3"/>
          </w:tcPr>
          <w:p>
            <w:pPr>
              <w:ind w:left="420"/>
              <w:spacing w:after="0"/>
              <w:rPr>
                <w:sz w:val="20"/>
                <w:szCs w:val="20"/>
                <w:color w:val="auto"/>
              </w:rPr>
            </w:pPr>
            <w:r>
              <w:rPr>
                <w:rFonts w:ascii="Arial" w:cs="Arial" w:eastAsia="Arial" w:hAnsi="Arial"/>
                <w:sz w:val="18"/>
                <w:szCs w:val="18"/>
                <w:color w:val="auto"/>
              </w:rPr>
              <w:t>Chairman and Chief Executive Officer (Principal Executive</w:t>
            </w:r>
          </w:p>
        </w:tc>
        <w:tc>
          <w:tcPr>
            <w:tcW w:w="148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July 30, 2020</w:t>
            </w:r>
          </w:p>
        </w:tc>
        <w:tc>
          <w:tcPr>
            <w:tcW w:w="0" w:type="dxa"/>
            <w:vAlign w:val="bottom"/>
          </w:tcPr>
          <w:p>
            <w:pPr>
              <w:spacing w:after="0"/>
              <w:rPr>
                <w:sz w:val="1"/>
                <w:szCs w:val="1"/>
                <w:color w:val="auto"/>
              </w:rPr>
            </w:pPr>
          </w:p>
        </w:tc>
      </w:tr>
      <w:tr>
        <w:trPr>
          <w:trHeight w:val="222"/>
        </w:trPr>
        <w:tc>
          <w:tcPr>
            <w:tcW w:w="3240" w:type="dxa"/>
            <w:vAlign w:val="bottom"/>
            <w:tcBorders>
              <w:bottom w:val="single" w:sz="8" w:color="auto"/>
            </w:tcBorders>
            <w:gridSpan w:val="3"/>
            <w:vMerge w:val="continue"/>
          </w:tcPr>
          <w:p>
            <w:pPr>
              <w:spacing w:after="0"/>
              <w:rPr>
                <w:sz w:val="18"/>
                <w:szCs w:val="18"/>
                <w:color w:val="auto"/>
              </w:rPr>
            </w:pPr>
          </w:p>
        </w:tc>
        <w:tc>
          <w:tcPr>
            <w:tcW w:w="5220" w:type="dxa"/>
            <w:vAlign w:val="bottom"/>
            <w:gridSpan w:val="3"/>
          </w:tcPr>
          <w:p>
            <w:pPr>
              <w:ind w:left="420"/>
              <w:spacing w:after="0"/>
              <w:rPr>
                <w:sz w:val="20"/>
                <w:szCs w:val="20"/>
                <w:color w:val="auto"/>
              </w:rPr>
            </w:pPr>
            <w:r>
              <w:rPr>
                <w:rFonts w:ascii="Arial" w:cs="Arial" w:eastAsia="Arial" w:hAnsi="Arial"/>
                <w:sz w:val="18"/>
                <w:szCs w:val="18"/>
                <w:color w:val="auto"/>
              </w:rPr>
              <w:t>Officer)</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4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Bonnie H. Anderson</w:t>
            </w:r>
          </w:p>
        </w:tc>
        <w:tc>
          <w:tcPr>
            <w:tcW w:w="2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324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98"/>
              </w:rPr>
              <w:t>/s/ KEITH KENNEDY</w:t>
            </w:r>
          </w:p>
        </w:tc>
        <w:tc>
          <w:tcPr>
            <w:tcW w:w="5220" w:type="dxa"/>
            <w:vAlign w:val="bottom"/>
            <w:gridSpan w:val="3"/>
          </w:tcPr>
          <w:p>
            <w:pPr>
              <w:ind w:left="420"/>
              <w:spacing w:after="0"/>
              <w:rPr>
                <w:sz w:val="20"/>
                <w:szCs w:val="20"/>
                <w:color w:val="auto"/>
              </w:rPr>
            </w:pPr>
            <w:r>
              <w:rPr>
                <w:rFonts w:ascii="Arial" w:cs="Arial" w:eastAsia="Arial" w:hAnsi="Arial"/>
                <w:sz w:val="18"/>
                <w:szCs w:val="18"/>
                <w:color w:val="auto"/>
              </w:rPr>
              <w:t>Chief Operating Officer and Chief Financial Officer</w:t>
            </w:r>
          </w:p>
        </w:tc>
        <w:tc>
          <w:tcPr>
            <w:tcW w:w="148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July 30, 2020</w:t>
            </w:r>
          </w:p>
        </w:tc>
        <w:tc>
          <w:tcPr>
            <w:tcW w:w="0" w:type="dxa"/>
            <w:vAlign w:val="bottom"/>
          </w:tcPr>
          <w:p>
            <w:pPr>
              <w:spacing w:after="0"/>
              <w:rPr>
                <w:sz w:val="1"/>
                <w:szCs w:val="1"/>
                <w:color w:val="auto"/>
              </w:rPr>
            </w:pPr>
          </w:p>
        </w:tc>
      </w:tr>
      <w:tr>
        <w:trPr>
          <w:trHeight w:val="222"/>
        </w:trPr>
        <w:tc>
          <w:tcPr>
            <w:tcW w:w="3240" w:type="dxa"/>
            <w:vAlign w:val="bottom"/>
            <w:tcBorders>
              <w:bottom w:val="single" w:sz="8" w:color="auto"/>
            </w:tcBorders>
            <w:gridSpan w:val="3"/>
            <w:vMerge w:val="continue"/>
          </w:tcPr>
          <w:p>
            <w:pPr>
              <w:spacing w:after="0"/>
              <w:rPr>
                <w:sz w:val="18"/>
                <w:szCs w:val="18"/>
                <w:color w:val="auto"/>
              </w:rPr>
            </w:pPr>
          </w:p>
        </w:tc>
        <w:tc>
          <w:tcPr>
            <w:tcW w:w="5220" w:type="dxa"/>
            <w:vAlign w:val="bottom"/>
            <w:gridSpan w:val="3"/>
          </w:tcPr>
          <w:p>
            <w:pPr>
              <w:ind w:left="420"/>
              <w:spacing w:after="0"/>
              <w:rPr>
                <w:sz w:val="20"/>
                <w:szCs w:val="20"/>
                <w:color w:val="auto"/>
              </w:rPr>
            </w:pPr>
            <w:r>
              <w:rPr>
                <w:rFonts w:ascii="Arial" w:cs="Arial" w:eastAsia="Arial" w:hAnsi="Arial"/>
                <w:sz w:val="18"/>
                <w:szCs w:val="18"/>
                <w:color w:val="auto"/>
              </w:rPr>
              <w:t>(Principal Financial Officer)</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4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Keith S. Kennedy</w:t>
            </w:r>
          </w:p>
        </w:tc>
        <w:tc>
          <w:tcPr>
            <w:tcW w:w="2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2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8"/>
              </w:rPr>
              <w:t>/s/ MARK HO</w:t>
            </w:r>
          </w:p>
        </w:tc>
        <w:tc>
          <w:tcPr>
            <w:tcW w:w="5220" w:type="dxa"/>
            <w:vAlign w:val="bottom"/>
            <w:gridSpan w:val="3"/>
          </w:tcPr>
          <w:p>
            <w:pPr>
              <w:ind w:left="420"/>
              <w:spacing w:after="0"/>
              <w:rPr>
                <w:sz w:val="20"/>
                <w:szCs w:val="20"/>
                <w:color w:val="auto"/>
              </w:rPr>
            </w:pPr>
            <w:r>
              <w:rPr>
                <w:rFonts w:ascii="Arial" w:cs="Arial" w:eastAsia="Arial" w:hAnsi="Arial"/>
                <w:sz w:val="18"/>
                <w:szCs w:val="18"/>
                <w:color w:val="auto"/>
              </w:rPr>
              <w:t>Vice President, Controller (Principal Accounting Officer)</w:t>
            </w:r>
          </w:p>
        </w:tc>
        <w:tc>
          <w:tcPr>
            <w:tcW w:w="148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July 30, 2020</w:t>
            </w:r>
          </w:p>
        </w:tc>
        <w:tc>
          <w:tcPr>
            <w:tcW w:w="0" w:type="dxa"/>
            <w:vAlign w:val="bottom"/>
          </w:tcPr>
          <w:p>
            <w:pPr>
              <w:spacing w:after="0"/>
              <w:rPr>
                <w:sz w:val="1"/>
                <w:szCs w:val="1"/>
                <w:color w:val="auto"/>
              </w:rPr>
            </w:pPr>
          </w:p>
        </w:tc>
      </w:tr>
      <w:tr>
        <w:trPr>
          <w:trHeight w:val="224"/>
        </w:trPr>
        <w:tc>
          <w:tcPr>
            <w:tcW w:w="1240" w:type="dxa"/>
            <w:vAlign w:val="bottom"/>
          </w:tcPr>
          <w:p>
            <w:pPr>
              <w:spacing w:after="0"/>
              <w:rPr>
                <w:sz w:val="19"/>
                <w:szCs w:val="19"/>
                <w:color w:val="auto"/>
              </w:rPr>
            </w:pPr>
          </w:p>
        </w:tc>
        <w:tc>
          <w:tcPr>
            <w:tcW w:w="2000" w:type="dxa"/>
            <w:vAlign w:val="bottom"/>
            <w:gridSpan w:val="2"/>
          </w:tcPr>
          <w:p>
            <w:pPr>
              <w:jc w:val="center"/>
              <w:ind w:right="1260"/>
              <w:spacing w:after="0"/>
              <w:rPr>
                <w:sz w:val="20"/>
                <w:szCs w:val="20"/>
                <w:color w:val="auto"/>
              </w:rPr>
            </w:pPr>
            <w:r>
              <w:rPr>
                <w:rFonts w:ascii="Arial" w:cs="Arial" w:eastAsia="Arial" w:hAnsi="Arial"/>
                <w:sz w:val="18"/>
                <w:szCs w:val="18"/>
                <w:color w:val="auto"/>
                <w:w w:val="96"/>
              </w:rPr>
              <w:t>Mark Ho</w:t>
            </w:r>
          </w:p>
        </w:tc>
        <w:tc>
          <w:tcPr>
            <w:tcW w:w="2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2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/s/ JOHN L. BISHOP</w:t>
            </w:r>
          </w:p>
        </w:tc>
        <w:tc>
          <w:tcPr>
            <w:tcW w:w="5220" w:type="dxa"/>
            <w:vAlign w:val="bottom"/>
            <w:gridSpan w:val="3"/>
          </w:tcPr>
          <w:p>
            <w:pPr>
              <w:ind w:left="420"/>
              <w:spacing w:after="0"/>
              <w:rPr>
                <w:sz w:val="20"/>
                <w:szCs w:val="20"/>
                <w:color w:val="auto"/>
              </w:rPr>
            </w:pPr>
            <w:r>
              <w:rPr>
                <w:rFonts w:ascii="Arial" w:cs="Arial" w:eastAsia="Arial" w:hAnsi="Arial"/>
                <w:sz w:val="18"/>
                <w:szCs w:val="18"/>
                <w:color w:val="auto"/>
              </w:rPr>
              <w:t>Lead Independent Director</w:t>
            </w:r>
          </w:p>
        </w:tc>
        <w:tc>
          <w:tcPr>
            <w:tcW w:w="148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July 30, 2020</w:t>
            </w:r>
          </w:p>
        </w:tc>
        <w:tc>
          <w:tcPr>
            <w:tcW w:w="0" w:type="dxa"/>
            <w:vAlign w:val="bottom"/>
          </w:tcPr>
          <w:p>
            <w:pPr>
              <w:spacing w:after="0"/>
              <w:rPr>
                <w:sz w:val="1"/>
                <w:szCs w:val="1"/>
                <w:color w:val="auto"/>
              </w:rPr>
            </w:pPr>
          </w:p>
        </w:tc>
      </w:tr>
      <w:tr>
        <w:trPr>
          <w:trHeight w:val="224"/>
        </w:trPr>
        <w:tc>
          <w:tcPr>
            <w:tcW w:w="324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John L. Bishop</w:t>
            </w:r>
          </w:p>
        </w:tc>
        <w:tc>
          <w:tcPr>
            <w:tcW w:w="2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2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5"/>
              </w:rPr>
              <w:t>/s/ FRED E. COHEN, M.D., D.PHIL.</w:t>
            </w:r>
          </w:p>
        </w:tc>
        <w:tc>
          <w:tcPr>
            <w:tcW w:w="522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July 30, 2020</w:t>
            </w:r>
          </w:p>
        </w:tc>
        <w:tc>
          <w:tcPr>
            <w:tcW w:w="0" w:type="dxa"/>
            <w:vAlign w:val="bottom"/>
          </w:tcPr>
          <w:p>
            <w:pPr>
              <w:spacing w:after="0"/>
              <w:rPr>
                <w:sz w:val="1"/>
                <w:szCs w:val="1"/>
                <w:color w:val="auto"/>
              </w:rPr>
            </w:pPr>
          </w:p>
        </w:tc>
      </w:tr>
      <w:tr>
        <w:trPr>
          <w:trHeight w:val="224"/>
        </w:trPr>
        <w:tc>
          <w:tcPr>
            <w:tcW w:w="324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Fred E. Cohen, M.D., D.Phil.</w:t>
            </w:r>
          </w:p>
        </w:tc>
        <w:tc>
          <w:tcPr>
            <w:tcW w:w="2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2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/s/ KARIN EASTHAM</w:t>
            </w:r>
          </w:p>
        </w:tc>
        <w:tc>
          <w:tcPr>
            <w:tcW w:w="522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July 30, 2020</w:t>
            </w:r>
          </w:p>
        </w:tc>
        <w:tc>
          <w:tcPr>
            <w:tcW w:w="0" w:type="dxa"/>
            <w:vAlign w:val="bottom"/>
          </w:tcPr>
          <w:p>
            <w:pPr>
              <w:spacing w:after="0"/>
              <w:rPr>
                <w:sz w:val="1"/>
                <w:szCs w:val="1"/>
                <w:color w:val="auto"/>
              </w:rPr>
            </w:pPr>
          </w:p>
        </w:tc>
      </w:tr>
      <w:tr>
        <w:trPr>
          <w:trHeight w:val="224"/>
        </w:trPr>
        <w:tc>
          <w:tcPr>
            <w:tcW w:w="32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Karin Eastham</w:t>
            </w:r>
          </w:p>
        </w:tc>
        <w:tc>
          <w:tcPr>
            <w:tcW w:w="2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2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/s/ ROBERT S. EPSTEIN</w:t>
            </w:r>
          </w:p>
        </w:tc>
        <w:tc>
          <w:tcPr>
            <w:tcW w:w="522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July 30, 2020</w:t>
            </w:r>
          </w:p>
        </w:tc>
        <w:tc>
          <w:tcPr>
            <w:tcW w:w="0" w:type="dxa"/>
            <w:vAlign w:val="bottom"/>
          </w:tcPr>
          <w:p>
            <w:pPr>
              <w:spacing w:after="0"/>
              <w:rPr>
                <w:sz w:val="1"/>
                <w:szCs w:val="1"/>
                <w:color w:val="auto"/>
              </w:rPr>
            </w:pPr>
          </w:p>
        </w:tc>
      </w:tr>
      <w:tr>
        <w:trPr>
          <w:trHeight w:val="224"/>
        </w:trPr>
        <w:tc>
          <w:tcPr>
            <w:tcW w:w="32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Robert S. Epstein</w:t>
            </w:r>
          </w:p>
        </w:tc>
        <w:tc>
          <w:tcPr>
            <w:tcW w:w="2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2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7"/>
              </w:rPr>
              <w:t>/s/ KEVIN K. GORDON</w:t>
            </w:r>
          </w:p>
        </w:tc>
        <w:tc>
          <w:tcPr>
            <w:tcW w:w="522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July 30, 2020</w:t>
            </w:r>
          </w:p>
        </w:tc>
        <w:tc>
          <w:tcPr>
            <w:tcW w:w="0" w:type="dxa"/>
            <w:vAlign w:val="bottom"/>
          </w:tcPr>
          <w:p>
            <w:pPr>
              <w:spacing w:after="0"/>
              <w:rPr>
                <w:sz w:val="1"/>
                <w:szCs w:val="1"/>
                <w:color w:val="auto"/>
              </w:rPr>
            </w:pPr>
          </w:p>
        </w:tc>
      </w:tr>
      <w:tr>
        <w:trPr>
          <w:trHeight w:val="224"/>
        </w:trPr>
        <w:tc>
          <w:tcPr>
            <w:tcW w:w="324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Kevin K. Gordon</w:t>
            </w:r>
          </w:p>
        </w:tc>
        <w:tc>
          <w:tcPr>
            <w:tcW w:w="2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2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/s/ EVAN JONES</w:t>
            </w:r>
          </w:p>
        </w:tc>
        <w:tc>
          <w:tcPr>
            <w:tcW w:w="522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July 30, 2020</w:t>
            </w:r>
          </w:p>
        </w:tc>
        <w:tc>
          <w:tcPr>
            <w:tcW w:w="0" w:type="dxa"/>
            <w:vAlign w:val="bottom"/>
          </w:tcPr>
          <w:p>
            <w:pPr>
              <w:spacing w:after="0"/>
              <w:rPr>
                <w:sz w:val="1"/>
                <w:szCs w:val="1"/>
                <w:color w:val="auto"/>
              </w:rPr>
            </w:pPr>
          </w:p>
        </w:tc>
      </w:tr>
      <w:tr>
        <w:trPr>
          <w:trHeight w:val="224"/>
        </w:trPr>
        <w:tc>
          <w:tcPr>
            <w:tcW w:w="324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Evan Jones</w:t>
            </w:r>
          </w:p>
        </w:tc>
        <w:tc>
          <w:tcPr>
            <w:tcW w:w="2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2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 TINA S. NOVA, PH.D.</w:t>
            </w:r>
          </w:p>
        </w:tc>
        <w:tc>
          <w:tcPr>
            <w:tcW w:w="522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July 30, 2020</w:t>
            </w:r>
          </w:p>
        </w:tc>
        <w:tc>
          <w:tcPr>
            <w:tcW w:w="0" w:type="dxa"/>
            <w:vAlign w:val="bottom"/>
          </w:tcPr>
          <w:p>
            <w:pPr>
              <w:spacing w:after="0"/>
              <w:rPr>
                <w:sz w:val="1"/>
                <w:szCs w:val="1"/>
                <w:color w:val="auto"/>
              </w:rPr>
            </w:pPr>
          </w:p>
        </w:tc>
      </w:tr>
      <w:tr>
        <w:trPr>
          <w:trHeight w:val="224"/>
        </w:trPr>
        <w:tc>
          <w:tcPr>
            <w:tcW w:w="324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Tina S. Nova, Ph.D.</w:t>
            </w:r>
          </w:p>
        </w:tc>
        <w:tc>
          <w:tcPr>
            <w:tcW w:w="2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580" w:right="4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1528445</wp:posOffset>
            </wp:positionH>
            <wp:positionV relativeFrom="page">
              <wp:posOffset>88900</wp:posOffset>
            </wp:positionV>
            <wp:extent cx="4911725" cy="115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4911725" cy="115697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July 30, 2020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your request, as your counsel, we have examined the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to be filed by Veracyte,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on or about July 30, 2020 in connection with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an aggregate of 1,500,000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Common Stock, $0.001 par value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subject to issuance by the Company under the Amended and Restated Veracyte, Inc. Employee Stock Purchase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your request we are providing this letter to express our opinion on the matters set forth below in this letter (“</w:t>
      </w:r>
      <w:r>
        <w:rPr>
          <w:rFonts w:ascii="Arial" w:cs="Arial" w:eastAsia="Arial" w:hAnsi="Arial"/>
          <w:sz w:val="18"/>
          <w:szCs w:val="18"/>
          <w:b w:val="1"/>
          <w:bCs w:val="1"/>
          <w:i w:val="1"/>
          <w:iCs w:val="1"/>
          <w:color w:val="auto"/>
        </w:rPr>
        <w:t>our opinion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our opinion, we have examined such matters of fact as we have deemed necessary, which included examination of originals or copies of: the Company’s current Certificate of Incorporation and Bylaws, as amended (collectively, the “</w:t>
      </w:r>
      <w:r>
        <w:rPr>
          <w:rFonts w:ascii="Arial" w:cs="Arial" w:eastAsia="Arial" w:hAnsi="Arial"/>
          <w:sz w:val="17"/>
          <w:szCs w:val="17"/>
          <w:b w:val="1"/>
          <w:bCs w:val="1"/>
          <w:i w:val="1"/>
          <w:iCs w:val="1"/>
          <w:color w:val="auto"/>
        </w:rPr>
        <w:t>Charter Documents</w:t>
      </w:r>
      <w:r>
        <w:rPr>
          <w:rFonts w:ascii="Arial" w:cs="Arial" w:eastAsia="Arial" w:hAnsi="Arial"/>
          <w:sz w:val="17"/>
          <w:szCs w:val="17"/>
          <w:color w:val="auto"/>
        </w:rPr>
        <w:t>”), the Plan, the Registration Statement and the exhibits thereto; certain corporate proceedings of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and the Company’s stockholders relating to adoption or approval of the Charter Documents, the Plan, the reservation of the Shares for sale and issuance, the filing of the Registration Statement and the registration of the issuance of the Shares under the Securities Act (including a certificate from the Company’s transfer agent) and documents regarding the Company’s outstanding and reserved capital stock and other securities and such other documents as we have deemed advisable, and we have examined such questions of law as we have considered necessary.</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our examination of documents for purposes of this opinion, we have assumed, and express no opinion as to, the authenticity and completeness of all documents submitted to us as originals, the genuineness of signatures on documents reviewed by us, the conformity to originals and the completeness of all documents submitted to us as copies, the legal capacity of all parties executing any documents (other than the Company), the lack of any undisclosed termination or modification or waiver of any document, the absence of any extrinsic agreements or documents that might change or affect the interpretation or terms of documents, and the due authorization, execution and delivery of all documents by each party thereto other than the Company. We have also assumed that any certificates or instruments representing the Shares, if and, when issued, will be executed by the Company by officers of the Company duly authorized to do so. In rendering our opinion, we have also relied upon a Certificate of Good Standing dated July 30, 2020 issued by the Delaware Secretary of State with respect to the Company and representations and certifications made to us by the Company, including without limitation representations in a Management Certificate addressed to us of even date herewith that the Company has available a sufficient number of authorized shares of Common Stock that are not currently outstanding or reserved for issuance under other outstanding securities or plans of the Company, to enable the Company to issue and deliver all of the Shares as of the date of this letter.</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render this opinion only with respect to, and we express no opinion herein concerning the application or effect of the laws of any jurisdiction other than, the existing Delaware General Corporation Law now in effect. We express no opinion with respect to the securities or “blue sky” laws of any state.</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Based upon, and subject to, the foregoing, it is our opinion that when the 1,500,000 Shares of Common Stock that may be issued and sold by the Company pursuant to purchase rights to acquire shares of Common Stock granted under the Plan, have been issued and sold by the Company against the Company’s receipt of payment therefor (in an amount and type of consideration not less than the par value per Share) in accordance with the terms (including without limitation payment and authorization provisions) of the Plan and have been duly registered on the books of the transfer agent and registrar for the Shares in the name or on behalf of the holders thereof, such Shares will be validly issued, fully paid and non-assessable.</w:t>
      </w:r>
    </w:p>
    <w:p>
      <w:pPr>
        <w:spacing w:after="0" w:line="161" w:lineRule="exact"/>
        <w:rPr>
          <w:sz w:val="20"/>
          <w:szCs w:val="20"/>
          <w:color w:val="auto"/>
        </w:rPr>
      </w:pPr>
    </w:p>
    <w:p>
      <w:pPr>
        <w:jc w:val="both"/>
        <w:ind w:firstLine="673"/>
        <w:spacing w:after="0" w:line="290" w:lineRule="auto"/>
        <w:rPr>
          <w:sz w:val="20"/>
          <w:szCs w:val="20"/>
          <w:color w:val="auto"/>
        </w:rPr>
      </w:pPr>
      <w:r>
        <w:rPr>
          <w:rFonts w:ascii="Arial" w:cs="Arial" w:eastAsia="Arial" w:hAnsi="Arial"/>
          <w:sz w:val="16"/>
          <w:szCs w:val="16"/>
          <w:color w:val="auto"/>
        </w:rPr>
        <w:t>We consent to the use of this opinion as an exhibit to the Registration Statement and further consent to all references to us, if any, in the Registration Statement, the prospectuses constituting a part thereof and any amendments thereto. We do not thereby admit that we are within the category of persons whose consent is required under Section 7 of the Securities Act or the rules and regulations of the Commission thereunder. This opinion is intended solely for use in connection with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6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FENWICK &amp; WEST LLP</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-10160</wp:posOffset>
            </wp:positionV>
            <wp:extent cx="11614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1161415" cy="8255"/>
                    </a:xfrm>
                    <a:prstGeom prst="rect">
                      <a:avLst/>
                    </a:prstGeom>
                    <a:noFill/>
                  </pic:spPr>
                </pic:pic>
              </a:graphicData>
            </a:graphic>
          </wp:anchor>
        </w:drawing>
      </w:r>
    </w:p>
    <w:p>
      <w:pPr>
        <w:sectPr>
          <w:pgSz w:w="11900" w:h="16838" w:orient="portrait"/>
          <w:cols w:equalWidth="0" w:num="1">
            <w:col w:w="11240"/>
          </w:cols>
          <w:pgMar w:left="320" w:top="1440" w:right="339" w:bottom="727" w:gutter="0" w:footer="0" w:header="0"/>
        </w:sectPr>
      </w:pPr>
    </w:p>
    <w:bookmarkStart w:id="7" w:name="page8"/>
    <w:bookmarkEnd w:id="7"/>
    <w:p>
      <w:pPr>
        <w:ind w:left="9740"/>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Amended and Restated Veracyte, Inc. Employee Stock Purchase Plan of our reports dated February 25, 2020, with respect to the consolidated financial statements of Veracyte, Inc. and the effectiveness of internal control over financial reporting of Veracyte, Inc. included in its Annual Report (Form 10-K) for the year ended December 31, 2019,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sectPr>
      <w:pgSz w:w="11900" w:h="16838" w:orient="portrait"/>
      <w:cols w:equalWidth="0" w:num="1">
        <w:col w:w="11140"/>
      </w:cols>
      <w:pgMar w:left="320" w:top="33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jpeg"/><Relationship Id="rId20" Type="http://schemas.openxmlformats.org/officeDocument/2006/relationships/image" Target="media/image6.png"/><Relationship Id="rId10" Type="http://schemas.openxmlformats.org/officeDocument/2006/relationships/hyperlink" Target="http://www.sec.gov/Archives/edgar/data/1384101/000138410120000015/vcyt-12312019x10k.htm" TargetMode="External"/><Relationship Id="rId11" Type="http://schemas.openxmlformats.org/officeDocument/2006/relationships/hyperlink" Target="http://www.sec.gov/Archives/edgar/data/1384101/000110465913078343/a13-16266_158a12b.htm" TargetMode="External"/><Relationship Id="rId12" Type="http://schemas.openxmlformats.org/officeDocument/2006/relationships/hyperlink" Target="http://www.sec.gov/Archives/edgar/data/1384101/000110465913082910/a13-23874_1ex3d1.htm" TargetMode="External"/><Relationship Id="rId13" Type="http://schemas.openxmlformats.org/officeDocument/2006/relationships/hyperlink" Target="http://www.sec.gov/Archives/edgar/data/1384101/000138410120000046/vcyt-8xk3x13x20exhibit.htm" TargetMode="External"/><Relationship Id="rId14" Type="http://schemas.openxmlformats.org/officeDocument/2006/relationships/hyperlink" Target="http://www.sec.gov/Archives/edgar/data/1384101/000104746913009631/a2216954zex-4_1.htm" TargetMode="External"/><Relationship Id="rId15" Type="http://schemas.openxmlformats.org/officeDocument/2006/relationships/hyperlink" Target="http://www.sec.gov/Archives/edgar/data/1384101/000138410118000006/vcyt-12312017xex103.htm" TargetMode="External"/><Relationship Id="rId16" Type="http://schemas.openxmlformats.org/officeDocument/2006/relationships/hyperlink" Target="http://www.sec.gov/Archives/edgar/data/1384101/000143774920016062/ex_1947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2020-07-31T05:53:14Z</dcterms:created>
  <dcterms:modified xsi:type="dcterms:W3CDTF">2020-07-31T05:53:14Z</dcterms:modified>
</cp:coreProperties>
</file>