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316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16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7"/>
                </w:rPr>
                <w:t>McGuire Annie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3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Officer (give title 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General Counsel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6000 SHORELINE COURT, SUITE 300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SOUTH SAN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94080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 buy)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27.9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18,248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08/05/2032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18,248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18,248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units awarded on August 5, 2022 vest 1/3rd on September 2, 2023 and 1/12th per quarter thereafter subject to continuing employment of the Reporting Person on each vesting date.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option becomes exercisable as to 1/3rd of the shares on August 5, 2023, and the remaining shares vest at a rate of 1/36th of the total number of shares subject to the award for each month of continuous service thereafter.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/s/ Jonathan Wygant as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08/09/2022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4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Rebecca Chambers, Jonathan Wygant and Alex Tull, as long as they are providing services to Ver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an officer and/or director of the Company, Forms 3, 4 and 5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both"/>
        <w:spacing w:after="0" w:line="489" w:lineRule="auto"/>
        <w:tabs>
          <w:tab w:leader="none" w:pos="31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each and every act and thing whatsoever The undersigned agrees that each such attorney-in-fact may rely entirely on information furnished orally or in writing by the undersigned to e This Power of Attorney shall remain in full force and effect until the undersigned is no longer required to file Forms 3, 4 and 5 with respect IN WITNESS WHEREOF, the undersigned has caused this Power of Attorney to be executed as of this 7th day of June, 2022.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Annie McGuire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Annie McGuire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462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2022-08-09T19:37:49Z</dcterms:created>
  <dcterms:modified xsi:type="dcterms:W3CDTF">2022-08-09T19:37:49Z</dcterms:modified>
</cp:coreProperties>
</file>