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226060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2715260</wp:posOffset>
            </wp:positionH>
            <wp:positionV relativeFrom="paragraph">
              <wp:posOffset>210820</wp:posOffset>
            </wp:positionV>
            <wp:extent cx="182689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8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Date of Report (Date of earliest event reported):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June 17, 2016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VERACYTE, INC.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ectPr>
          <w:pgSz w:w="11900" w:h="16838" w:orient="portrait"/>
          <w:cols w:equalWidth="0" w:num="1">
            <w:col w:w="11460"/>
          </w:cols>
          <w:pgMar w:left="240" w:top="544" w:right="199" w:bottom="184" w:gutter="0" w:footer="0" w:header="0"/>
        </w:sect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Delaware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(State or other jurisdiction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jc w:val="center"/>
        <w:ind w:right="1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001-36156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1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(Commission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jc w:val="center"/>
        <w:ind w:right="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20-5455398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(IRS Employer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Identification No.)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520" w:space="720"/>
            <w:col w:w="2960" w:space="720"/>
            <w:col w:w="2540"/>
          </w:cols>
          <w:pgMar w:left="240" w:top="544" w:right="199" w:bottom="184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6000 Shoreline Court, Suite 300, South San Francisco, California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94080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(Zip Code)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720"/>
            <w:col w:w="2140"/>
          </w:cols>
          <w:pgMar w:left="240" w:top="544" w:right="199" w:bottom="184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ind w:right="16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152400</wp:posOffset>
            </wp:positionV>
            <wp:extent cx="72466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194945</wp:posOffset>
            </wp:positionV>
            <wp:extent cx="7246620" cy="342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433070</wp:posOffset>
            </wp:positionV>
            <wp:extent cx="7267575" cy="298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5.07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Submission of Matters to a Vote of Security Holders.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following actions were taken at the Annual Meeting of Stockholders of Veracyte, Inc., held on June 17, 2016: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right="160" w:firstLine="8"/>
        <w:spacing w:after="0" w:line="277" w:lineRule="auto"/>
        <w:tabs>
          <w:tab w:leader="none" w:pos="648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following Class III Directors were elected to serve until the 2019 Annual Meeting of Stockholders or until their successors are duly elected and qualified: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9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7"/>
              </w:rPr>
              <w:t>For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Withheld</w:t>
            </w:r>
          </w:p>
        </w:tc>
      </w:tr>
      <w:tr>
        <w:trPr>
          <w:trHeight w:val="210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612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Brian G. Atwood</w:t>
            </w:r>
          </w:p>
        </w:tc>
        <w:tc>
          <w:tcPr>
            <w:tcW w:w="1360" w:type="dxa"/>
            <w:vAlign w:val="bottom"/>
            <w:shd w:val="clear" w:color="auto" w:fill="CCEEFF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20,775,709</w:t>
            </w:r>
          </w:p>
        </w:tc>
        <w:tc>
          <w:tcPr>
            <w:tcW w:w="3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CCEEFF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141,375</w:t>
            </w: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612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Karin Eastham</w:t>
            </w:r>
          </w:p>
        </w:tc>
        <w:tc>
          <w:tcPr>
            <w:tcW w:w="1360" w:type="dxa"/>
            <w:vAlign w:val="bottom"/>
            <w:shd w:val="clear" w:color="auto" w:fill="CCEEFF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20,775,656</w:t>
            </w:r>
          </w:p>
        </w:tc>
        <w:tc>
          <w:tcPr>
            <w:tcW w:w="3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CCEEFF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141,428</w:t>
            </w: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612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Jesse I. Treu</w:t>
            </w:r>
          </w:p>
        </w:tc>
        <w:tc>
          <w:tcPr>
            <w:tcW w:w="1360" w:type="dxa"/>
            <w:vAlign w:val="bottom"/>
            <w:shd w:val="clear" w:color="auto" w:fill="CCEEFF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20,664,362</w:t>
            </w:r>
          </w:p>
        </w:tc>
        <w:tc>
          <w:tcPr>
            <w:tcW w:w="3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CCEEFF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252,722</w:t>
            </w: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The ratification of the appointment of Ernst &amp; Young LLP as the Company’s independent registered public accounting firm for 2016 was approved:</w:t>
      </w: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7"/>
              </w:rPr>
              <w:t>For</w:t>
            </w:r>
          </w:p>
        </w:tc>
        <w:tc>
          <w:tcPr>
            <w:tcW w:w="23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Against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3"/>
              </w:rPr>
              <w:t>Abstain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0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60" w:type="dxa"/>
            <w:vAlign w:val="bottom"/>
            <w:shd w:val="clear" w:color="auto" w:fill="CCEEFF"/>
          </w:tcPr>
          <w:p>
            <w:pPr>
              <w:jc w:val="right"/>
              <w:ind w:righ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24,285,809</w:t>
            </w:r>
          </w:p>
        </w:tc>
        <w:tc>
          <w:tcPr>
            <w:tcW w:w="2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60" w:type="dxa"/>
            <w:vAlign w:val="bottom"/>
            <w:shd w:val="clear" w:color="auto" w:fill="CCEEFF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20,527</w:t>
            </w:r>
          </w:p>
        </w:tc>
        <w:tc>
          <w:tcPr>
            <w:tcW w:w="2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60" w:type="dxa"/>
            <w:vAlign w:val="bottom"/>
            <w:shd w:val="clear" w:color="auto" w:fill="CCEEFF"/>
          </w:tcPr>
          <w:p>
            <w:pPr>
              <w:jc w:val="right"/>
              <w:ind w:right="8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32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jc w:val="right"/>
              <w:ind w:right="5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32"/>
        </w:trPr>
        <w:tc>
          <w:tcPr>
            <w:tcW w:w="1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780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jc w:val="center"/>
              <w:ind w:left="4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SIGNATURES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7258050</wp:posOffset>
            </wp:positionH>
            <wp:positionV relativeFrom="paragraph">
              <wp:posOffset>-524510</wp:posOffset>
            </wp:positionV>
            <wp:extent cx="12700" cy="298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-524510</wp:posOffset>
            </wp:positionV>
            <wp:extent cx="12700" cy="298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60"/>
          </w:cols>
          <w:pgMar w:left="240" w:top="544" w:right="199" w:bottom="184" w:gutter="0" w:footer="0" w:header="0"/>
          <w:type w:val="continuous"/>
        </w:sectPr>
      </w:pPr>
    </w:p>
    <w:bookmarkStart w:id="1" w:name="page2"/>
    <w:bookmarkEnd w:id="1"/>
    <w:p>
      <w:pPr>
        <w:ind w:right="680" w:firstLine="504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Dated: June 17, 2016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Veracyte,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460" w:type="dxa"/>
            <w:vAlign w:val="bottom"/>
          </w:tcPr>
          <w:p>
            <w:pPr>
              <w:ind w:left="5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</w:t>
            </w:r>
          </w:p>
        </w:tc>
        <w:tc>
          <w:tcPr>
            <w:tcW w:w="4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Julie A. Brooks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95"/>
        </w:trPr>
        <w:tc>
          <w:tcPr>
            <w:tcW w:w="6460" w:type="dxa"/>
            <w:vAlign w:val="bottom"/>
          </w:tcPr>
          <w:p>
            <w:pPr>
              <w:ind w:left="57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960" w:type="dxa"/>
            <w:vAlign w:val="bottom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Julie A. Brooks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30"/>
        </w:trPr>
        <w:tc>
          <w:tcPr>
            <w:tcW w:w="6460" w:type="dxa"/>
            <w:vAlign w:val="bottom"/>
          </w:tcPr>
          <w:p>
            <w:pPr>
              <w:ind w:left="5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General Counsel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32"/>
        </w:trPr>
        <w:tc>
          <w:tcPr>
            <w:tcW w:w="6460" w:type="dxa"/>
            <w:vAlign w:val="bottom"/>
          </w:tcPr>
          <w:p>
            <w:pPr>
              <w:jc w:val="right"/>
              <w:ind w:righ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</w:t>
            </w:r>
          </w:p>
        </w:tc>
        <w:tc>
          <w:tcPr>
            <w:tcW w:w="4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32"/>
        </w:trPr>
        <w:tc>
          <w:tcPr>
            <w:tcW w:w="6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7258050</wp:posOffset>
            </wp:positionH>
            <wp:positionV relativeFrom="paragraph">
              <wp:posOffset>-29210</wp:posOffset>
            </wp:positionV>
            <wp:extent cx="12700" cy="298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-29210</wp:posOffset>
            </wp:positionV>
            <wp:extent cx="12700" cy="298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460"/>
      </w:cols>
      <w:pgMar w:left="240" w:top="125" w:right="1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2019-12-08T13:47:50Z</dcterms:created>
  <dcterms:modified xsi:type="dcterms:W3CDTF">2019-12-08T13:47:50Z</dcterms:modified>
</cp:coreProperties>
</file>