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13G</w:t>
      </w:r>
    </w:p>
    <w:p>
      <w:pPr>
        <w:spacing w:after="0" w:line="131" w:lineRule="exact"/>
        <w:rPr>
          <w:sz w:val="24"/>
          <w:szCs w:val="24"/>
          <w:color w:val="auto"/>
        </w:rPr>
      </w:pPr>
    </w:p>
    <w:p>
      <w:pPr>
        <w:spacing w:after="0"/>
        <w:tabs>
          <w:tab w:leader="none" w:pos="1050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5"/>
          <w:szCs w:val="15"/>
          <w:color w:val="auto"/>
        </w:rPr>
        <w:t>Page 1 of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Veracyte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92337F107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1, 2015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4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w:t>
      </w:r>
    </w:p>
    <w:p>
      <w:pPr>
        <w:spacing w:after="0" w:line="46" w:lineRule="exact"/>
        <w:rPr>
          <w:sz w:val="24"/>
          <w:szCs w:val="24"/>
          <w:color w:val="auto"/>
        </w:rPr>
      </w:pPr>
    </w:p>
    <w:p>
      <w:pPr>
        <w:ind w:right="38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320" w:type="dxa"/>
            <w:vAlign w:val="bottom"/>
          </w:tcPr>
          <w:p>
            <w:pPr>
              <w:ind w:left="5560"/>
              <w:spacing w:after="0"/>
              <w:rPr>
                <w:sz w:val="20"/>
                <w:szCs w:val="20"/>
                <w:color w:val="auto"/>
              </w:rPr>
            </w:pPr>
            <w:r>
              <w:rPr>
                <w:rFonts w:ascii="Arial" w:cs="Arial" w:eastAsia="Arial" w:hAnsi="Arial"/>
                <w:sz w:val="18"/>
                <w:szCs w:val="18"/>
                <w:color w:val="auto"/>
              </w:rPr>
              <w:t>13G</w:t>
            </w:r>
          </w:p>
        </w:tc>
        <w:tc>
          <w:tcPr>
            <w:tcW w:w="2120" w:type="dxa"/>
            <w:vAlign w:val="bottom"/>
          </w:tcPr>
          <w:p>
            <w:pPr>
              <w:spacing w:after="0"/>
              <w:rPr>
                <w:sz w:val="20"/>
                <w:szCs w:val="20"/>
                <w:color w:val="auto"/>
              </w:rPr>
            </w:pPr>
          </w:p>
        </w:tc>
      </w:tr>
      <w:tr>
        <w:trPr>
          <w:trHeight w:val="338"/>
        </w:trPr>
        <w:tc>
          <w:tcPr>
            <w:tcW w:w="9320" w:type="dxa"/>
            <w:vAlign w:val="bottom"/>
          </w:tcPr>
          <w:p>
            <w:pPr>
              <w:spacing w:after="0"/>
              <w:rPr>
                <w:sz w:val="20"/>
                <w:szCs w:val="20"/>
                <w:color w:val="auto"/>
              </w:rPr>
            </w:pPr>
            <w:r>
              <w:rPr>
                <w:rFonts w:ascii="Arial" w:cs="Arial" w:eastAsia="Arial" w:hAnsi="Arial"/>
                <w:sz w:val="18"/>
                <w:szCs w:val="18"/>
                <w:color w:val="auto"/>
              </w:rPr>
              <w:t>CUSIP No. 92337F107</w:t>
            </w:r>
          </w:p>
        </w:tc>
        <w:tc>
          <w:tcPr>
            <w:tcW w:w="2120" w:type="dxa"/>
            <w:vAlign w:val="bottom"/>
          </w:tcPr>
          <w:p>
            <w:pPr>
              <w:ind w:left="1200"/>
              <w:spacing w:after="0"/>
              <w:rPr>
                <w:sz w:val="20"/>
                <w:szCs w:val="20"/>
                <w:color w:val="auto"/>
              </w:rPr>
            </w:pPr>
            <w:r>
              <w:rPr>
                <w:rFonts w:ascii="Arial" w:cs="Arial" w:eastAsia="Arial" w:hAnsi="Arial"/>
                <w:sz w:val="18"/>
                <w:szCs w:val="18"/>
                <w:color w:val="auto"/>
                <w:w w:val="88"/>
              </w:rPr>
              <w:t>Page 2 of 10</w:t>
            </w:r>
          </w:p>
        </w:tc>
      </w:tr>
      <w:tr>
        <w:trPr>
          <w:trHeight w:val="122"/>
        </w:trPr>
        <w:tc>
          <w:tcPr>
            <w:tcW w:w="93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r>
      <w:tr>
        <w:trPr>
          <w:trHeight w:val="224"/>
        </w:trPr>
        <w:tc>
          <w:tcPr>
            <w:tcW w:w="9320" w:type="dxa"/>
            <w:vAlign w:val="bottom"/>
          </w:tcPr>
          <w:p>
            <w:pPr>
              <w:ind w:left="260"/>
              <w:spacing w:after="0"/>
              <w:rPr>
                <w:sz w:val="20"/>
                <w:szCs w:val="20"/>
                <w:color w:val="auto"/>
              </w:rPr>
            </w:pPr>
            <w:r>
              <w:rPr>
                <w:rFonts w:ascii="Arial" w:cs="Arial" w:eastAsia="Arial" w:hAnsi="Arial"/>
                <w:sz w:val="18"/>
                <w:szCs w:val="18"/>
                <w:color w:val="auto"/>
              </w:rPr>
              <w:t>1.  Name of reporting persons / I.R.S. IDENTIFICATION NO. OF ABOVE PERSONS (ENTITIES ONLY)</w:t>
            </w:r>
          </w:p>
        </w:tc>
        <w:tc>
          <w:tcPr>
            <w:tcW w:w="2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22"/>
          <w:szCs w:val="22"/>
          <w:color w:val="auto"/>
        </w:rPr>
        <w:t>CLOUGH CAPITAL PARTNERS L.P.</w:t>
      </w:r>
    </w:p>
    <w:p>
      <w:pPr>
        <w:spacing w:after="0" w:line="2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60"/>
        <w:spacing w:after="0" w:line="207" w:lineRule="exact"/>
        <w:tabs>
          <w:tab w:leader="none" w:pos="13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60" w:hanging="305"/>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60" w:hanging="305"/>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p>
      <w:pPr>
        <w:ind w:left="1280"/>
        <w:spacing w:after="0"/>
        <w:tabs>
          <w:tab w:leader="none" w:pos="15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18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80" w:type="dxa"/>
            <w:vAlign w:val="bottom"/>
            <w:gridSpan w:val="2"/>
            <w:vMerge w:val="continue"/>
          </w:tcPr>
          <w:p>
            <w:pPr>
              <w:spacing w:after="0"/>
              <w:rPr>
                <w:sz w:val="4"/>
                <w:szCs w:val="4"/>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80" w:type="dxa"/>
            <w:vAlign w:val="bottom"/>
            <w:vMerge w:val="restart"/>
          </w:tcPr>
          <w:p>
            <w:pPr>
              <w:jc w:val="center"/>
              <w:ind w:right="147"/>
              <w:spacing w:after="0"/>
              <w:rPr>
                <w:sz w:val="20"/>
                <w:szCs w:val="20"/>
                <w:color w:val="auto"/>
              </w:rPr>
            </w:pPr>
            <w:r>
              <w:rPr>
                <w:rFonts w:ascii="Arial" w:cs="Arial" w:eastAsia="Arial" w:hAnsi="Arial"/>
                <w:sz w:val="18"/>
                <w:szCs w:val="18"/>
                <w:color w:val="auto"/>
                <w:w w:val="85"/>
              </w:rPr>
              <w:t>shares</w:t>
            </w:r>
          </w:p>
        </w:tc>
        <w:tc>
          <w:tcPr>
            <w:tcW w:w="320" w:type="dxa"/>
            <w:vAlign w:val="bottom"/>
            <w:vMerge w:val="continue"/>
          </w:tcPr>
          <w:p>
            <w:pPr>
              <w:spacing w:after="0"/>
              <w:rPr>
                <w:sz w:val="15"/>
                <w:szCs w:val="15"/>
                <w:color w:val="auto"/>
              </w:rPr>
            </w:pPr>
          </w:p>
        </w:tc>
        <w:tc>
          <w:tcPr>
            <w:tcW w:w="9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6"/>
              </w:rPr>
              <w:t>beneficially</w:t>
            </w:r>
          </w:p>
        </w:tc>
        <w:tc>
          <w:tcPr>
            <w:tcW w:w="320" w:type="dxa"/>
            <w:vAlign w:val="bottom"/>
          </w:tcPr>
          <w:p>
            <w:pPr>
              <w:spacing w:after="0"/>
              <w:rPr>
                <w:sz w:val="18"/>
                <w:szCs w:val="18"/>
                <w:color w:val="auto"/>
              </w:rPr>
            </w:pPr>
          </w:p>
        </w:tc>
        <w:tc>
          <w:tcPr>
            <w:tcW w:w="9940" w:type="dxa"/>
            <w:vAlign w:val="bottom"/>
            <w:vMerge w:val="restart"/>
          </w:tcPr>
          <w:p>
            <w:pPr>
              <w:ind w:left="30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30"/>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owned by</w:t>
            </w:r>
          </w:p>
        </w:tc>
        <w:tc>
          <w:tcPr>
            <w:tcW w:w="320" w:type="dxa"/>
            <w:vAlign w:val="bottom"/>
            <w:tcBorders>
              <w:bottom w:val="single" w:sz="8" w:color="auto"/>
            </w:tcBorders>
          </w:tcPr>
          <w:p>
            <w:pPr>
              <w:spacing w:after="0"/>
              <w:rPr>
                <w:sz w:val="20"/>
                <w:szCs w:val="20"/>
                <w:color w:val="auto"/>
              </w:rPr>
            </w:pPr>
          </w:p>
        </w:tc>
        <w:tc>
          <w:tcPr>
            <w:tcW w:w="9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80" w:type="dxa"/>
            <w:vAlign w:val="bottom"/>
          </w:tcPr>
          <w:p>
            <w:pPr>
              <w:jc w:val="center"/>
              <w:ind w:right="147"/>
              <w:spacing w:after="0" w:line="182" w:lineRule="exact"/>
              <w:rPr>
                <w:sz w:val="20"/>
                <w:szCs w:val="20"/>
                <w:color w:val="auto"/>
              </w:rPr>
            </w:pPr>
            <w:r>
              <w:rPr>
                <w:rFonts w:ascii="Arial" w:cs="Arial" w:eastAsia="Arial" w:hAnsi="Arial"/>
                <w:sz w:val="18"/>
                <w:szCs w:val="18"/>
                <w:color w:val="auto"/>
                <w:w w:val="86"/>
              </w:rPr>
              <w:t>each</w:t>
            </w: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9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reporting</w:t>
            </w:r>
          </w:p>
        </w:tc>
        <w:tc>
          <w:tcPr>
            <w:tcW w:w="3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80" w:type="dxa"/>
            <w:vAlign w:val="bottom"/>
          </w:tcPr>
          <w:p>
            <w:pPr>
              <w:jc w:val="center"/>
              <w:ind w:right="127"/>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20"/>
                <w:szCs w:val="20"/>
                <w:color w:val="auto"/>
              </w:rPr>
            </w:pPr>
          </w:p>
        </w:tc>
        <w:tc>
          <w:tcPr>
            <w:tcW w:w="9940" w:type="dxa"/>
            <w:vAlign w:val="bottom"/>
          </w:tcPr>
          <w:p>
            <w:pPr>
              <w:ind w:left="3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80" w:type="dxa"/>
            <w:vAlign w:val="bottom"/>
            <w:vMerge w:val="restart"/>
          </w:tcPr>
          <w:p>
            <w:pPr>
              <w:jc w:val="center"/>
              <w:ind w:right="147"/>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tcBorders>
          </w:tcPr>
          <w:p>
            <w:pPr>
              <w:spacing w:after="0"/>
              <w:rPr>
                <w:sz w:val="6"/>
                <w:szCs w:val="6"/>
                <w:color w:val="auto"/>
              </w:rPr>
            </w:pPr>
          </w:p>
        </w:tc>
        <w:tc>
          <w:tcPr>
            <w:tcW w:w="9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9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26"/>
        </w:trPr>
        <w:tc>
          <w:tcPr>
            <w:tcW w:w="11440" w:type="dxa"/>
            <w:vAlign w:val="bottom"/>
            <w:gridSpan w:val="4"/>
          </w:tcPr>
          <w:p>
            <w:pPr>
              <w:ind w:left="260"/>
              <w:spacing w:after="0"/>
              <w:rPr>
                <w:sz w:val="20"/>
                <w:szCs w:val="20"/>
                <w:color w:val="auto"/>
              </w:rPr>
            </w:pPr>
            <w:r>
              <w:rPr>
                <w:rFonts w:ascii="Arial" w:cs="Arial" w:eastAsia="Arial" w:hAnsi="Arial"/>
                <w:sz w:val="18"/>
                <w:szCs w:val="18"/>
                <w:color w:val="auto"/>
              </w:rPr>
              <w:t>9.  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11040" w:type="dxa"/>
            <w:vAlign w:val="bottom"/>
            <w:tcBorders>
              <w:bottom w:val="single" w:sz="8" w:color="auto"/>
            </w:tcBorders>
            <w:gridSpan w:val="3"/>
          </w:tcPr>
          <w:p>
            <w:pPr>
              <w:ind w:left="38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78"/>
        </w:trPr>
        <w:tc>
          <w:tcPr>
            <w:tcW w:w="400" w:type="dxa"/>
            <w:vAlign w:val="bottom"/>
          </w:tcPr>
          <w:p>
            <w:pPr>
              <w:ind w:left="160"/>
              <w:spacing w:after="0"/>
              <w:rPr>
                <w:sz w:val="20"/>
                <w:szCs w:val="20"/>
                <w:color w:val="auto"/>
              </w:rPr>
            </w:pPr>
            <w:r>
              <w:rPr>
                <w:rFonts w:ascii="Arial" w:cs="Arial" w:eastAsia="Arial" w:hAnsi="Arial"/>
                <w:sz w:val="18"/>
                <w:szCs w:val="18"/>
                <w:color w:val="auto"/>
              </w:rPr>
              <w:t>10</w:t>
            </w:r>
          </w:p>
        </w:tc>
        <w:tc>
          <w:tcPr>
            <w:tcW w:w="11040" w:type="dxa"/>
            <w:vAlign w:val="bottom"/>
            <w:gridSpan w:val="3"/>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110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ind w:left="160"/>
              <w:spacing w:after="0"/>
              <w:rPr>
                <w:sz w:val="20"/>
                <w:szCs w:val="20"/>
                <w:color w:val="auto"/>
              </w:rPr>
            </w:pPr>
            <w:r>
              <w:rPr>
                <w:rFonts w:ascii="Arial" w:cs="Arial" w:eastAsia="Arial" w:hAnsi="Arial"/>
                <w:sz w:val="18"/>
                <w:szCs w:val="18"/>
                <w:color w:val="auto"/>
                <w:w w:val="87"/>
              </w:rPr>
              <w:t>11.</w:t>
            </w:r>
          </w:p>
        </w:tc>
        <w:tc>
          <w:tcPr>
            <w:tcW w:w="11040" w:type="dxa"/>
            <w:vAlign w:val="bottom"/>
            <w:gridSpan w:val="3"/>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80"/>
        <w:spacing w:after="0"/>
        <w:rPr>
          <w:sz w:val="20"/>
          <w:szCs w:val="20"/>
          <w:color w:val="auto"/>
        </w:rPr>
      </w:pPr>
      <w:r>
        <w:rPr>
          <w:rFonts w:ascii="Arial" w:cs="Arial" w:eastAsia="Arial" w:hAnsi="Arial"/>
          <w:sz w:val="22"/>
          <w:szCs w:val="22"/>
          <w:color w:val="auto"/>
        </w:rPr>
        <w:t>5.24% (see Item 4)</w:t>
      </w:r>
    </w:p>
    <w:p>
      <w:pPr>
        <w:spacing w:after="0" w:line="24"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IA – Investment Adviser</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320" w:type="dxa"/>
            <w:vAlign w:val="bottom"/>
          </w:tcPr>
          <w:p>
            <w:pPr>
              <w:ind w:left="5560"/>
              <w:spacing w:after="0"/>
              <w:rPr>
                <w:sz w:val="20"/>
                <w:szCs w:val="20"/>
                <w:color w:val="auto"/>
              </w:rPr>
            </w:pPr>
            <w:r>
              <w:rPr>
                <w:rFonts w:ascii="Arial" w:cs="Arial" w:eastAsia="Arial" w:hAnsi="Arial"/>
                <w:sz w:val="18"/>
                <w:szCs w:val="18"/>
                <w:color w:val="auto"/>
              </w:rPr>
              <w:t>13G</w:t>
            </w:r>
          </w:p>
        </w:tc>
        <w:tc>
          <w:tcPr>
            <w:tcW w:w="2120" w:type="dxa"/>
            <w:vAlign w:val="bottom"/>
          </w:tcPr>
          <w:p>
            <w:pPr>
              <w:spacing w:after="0"/>
              <w:rPr>
                <w:sz w:val="20"/>
                <w:szCs w:val="20"/>
                <w:color w:val="auto"/>
              </w:rPr>
            </w:pPr>
          </w:p>
        </w:tc>
      </w:tr>
      <w:tr>
        <w:trPr>
          <w:trHeight w:val="338"/>
        </w:trPr>
        <w:tc>
          <w:tcPr>
            <w:tcW w:w="9320" w:type="dxa"/>
            <w:vAlign w:val="bottom"/>
          </w:tcPr>
          <w:p>
            <w:pPr>
              <w:spacing w:after="0"/>
              <w:rPr>
                <w:sz w:val="20"/>
                <w:szCs w:val="20"/>
                <w:color w:val="auto"/>
              </w:rPr>
            </w:pPr>
            <w:r>
              <w:rPr>
                <w:rFonts w:ascii="Arial" w:cs="Arial" w:eastAsia="Arial" w:hAnsi="Arial"/>
                <w:sz w:val="18"/>
                <w:szCs w:val="18"/>
                <w:color w:val="auto"/>
              </w:rPr>
              <w:t>CUSIP No. 92337F107</w:t>
            </w:r>
          </w:p>
        </w:tc>
        <w:tc>
          <w:tcPr>
            <w:tcW w:w="2120" w:type="dxa"/>
            <w:vAlign w:val="bottom"/>
          </w:tcPr>
          <w:p>
            <w:pPr>
              <w:ind w:left="1200"/>
              <w:spacing w:after="0"/>
              <w:rPr>
                <w:sz w:val="20"/>
                <w:szCs w:val="20"/>
                <w:color w:val="auto"/>
              </w:rPr>
            </w:pPr>
            <w:r>
              <w:rPr>
                <w:rFonts w:ascii="Arial" w:cs="Arial" w:eastAsia="Arial" w:hAnsi="Arial"/>
                <w:sz w:val="18"/>
                <w:szCs w:val="18"/>
                <w:color w:val="auto"/>
                <w:w w:val="88"/>
              </w:rPr>
              <w:t>Page 3 of 10</w:t>
            </w:r>
          </w:p>
        </w:tc>
      </w:tr>
      <w:tr>
        <w:trPr>
          <w:trHeight w:val="122"/>
        </w:trPr>
        <w:tc>
          <w:tcPr>
            <w:tcW w:w="93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r>
      <w:tr>
        <w:trPr>
          <w:trHeight w:val="224"/>
        </w:trPr>
        <w:tc>
          <w:tcPr>
            <w:tcW w:w="9320" w:type="dxa"/>
            <w:vAlign w:val="bottom"/>
          </w:tcPr>
          <w:p>
            <w:pPr>
              <w:ind w:left="260"/>
              <w:spacing w:after="0"/>
              <w:rPr>
                <w:sz w:val="20"/>
                <w:szCs w:val="20"/>
                <w:color w:val="auto"/>
              </w:rPr>
            </w:pPr>
            <w:r>
              <w:rPr>
                <w:rFonts w:ascii="Arial" w:cs="Arial" w:eastAsia="Arial" w:hAnsi="Arial"/>
                <w:sz w:val="18"/>
                <w:szCs w:val="18"/>
                <w:color w:val="auto"/>
              </w:rPr>
              <w:t>1.  Name of reporting persons / I.R.S. IDENTIFICATION NO. OF ABOVE PERSONS (ENTITIES ONLY)</w:t>
            </w:r>
          </w:p>
        </w:tc>
        <w:tc>
          <w:tcPr>
            <w:tcW w:w="2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22"/>
          <w:szCs w:val="22"/>
          <w:color w:val="auto"/>
        </w:rPr>
        <w:t>CLOUGH CAPITAL PARTNERS LLC</w:t>
      </w:r>
    </w:p>
    <w:p>
      <w:pPr>
        <w:spacing w:after="0" w:line="2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60"/>
        <w:spacing w:after="0" w:line="207" w:lineRule="exact"/>
        <w:tabs>
          <w:tab w:leader="none" w:pos="13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60" w:hanging="305"/>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60" w:hanging="305"/>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p>
      <w:pPr>
        <w:ind w:left="1280"/>
        <w:spacing w:after="0"/>
        <w:tabs>
          <w:tab w:leader="none" w:pos="15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18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80" w:type="dxa"/>
            <w:vAlign w:val="bottom"/>
            <w:gridSpan w:val="2"/>
            <w:vMerge w:val="continue"/>
          </w:tcPr>
          <w:p>
            <w:pPr>
              <w:spacing w:after="0"/>
              <w:rPr>
                <w:sz w:val="4"/>
                <w:szCs w:val="4"/>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80" w:type="dxa"/>
            <w:vAlign w:val="bottom"/>
            <w:vMerge w:val="restart"/>
          </w:tcPr>
          <w:p>
            <w:pPr>
              <w:jc w:val="center"/>
              <w:ind w:right="147"/>
              <w:spacing w:after="0"/>
              <w:rPr>
                <w:sz w:val="20"/>
                <w:szCs w:val="20"/>
                <w:color w:val="auto"/>
              </w:rPr>
            </w:pPr>
            <w:r>
              <w:rPr>
                <w:rFonts w:ascii="Arial" w:cs="Arial" w:eastAsia="Arial" w:hAnsi="Arial"/>
                <w:sz w:val="18"/>
                <w:szCs w:val="18"/>
                <w:color w:val="auto"/>
                <w:w w:val="85"/>
              </w:rPr>
              <w:t>shares</w:t>
            </w:r>
          </w:p>
        </w:tc>
        <w:tc>
          <w:tcPr>
            <w:tcW w:w="320" w:type="dxa"/>
            <w:vAlign w:val="bottom"/>
            <w:vMerge w:val="continue"/>
          </w:tcPr>
          <w:p>
            <w:pPr>
              <w:spacing w:after="0"/>
              <w:rPr>
                <w:sz w:val="15"/>
                <w:szCs w:val="15"/>
                <w:color w:val="auto"/>
              </w:rPr>
            </w:pPr>
          </w:p>
        </w:tc>
        <w:tc>
          <w:tcPr>
            <w:tcW w:w="9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6"/>
              </w:rPr>
              <w:t>beneficially</w:t>
            </w:r>
          </w:p>
        </w:tc>
        <w:tc>
          <w:tcPr>
            <w:tcW w:w="320" w:type="dxa"/>
            <w:vAlign w:val="bottom"/>
          </w:tcPr>
          <w:p>
            <w:pPr>
              <w:spacing w:after="0"/>
              <w:rPr>
                <w:sz w:val="18"/>
                <w:szCs w:val="18"/>
                <w:color w:val="auto"/>
              </w:rPr>
            </w:pPr>
          </w:p>
        </w:tc>
        <w:tc>
          <w:tcPr>
            <w:tcW w:w="9940" w:type="dxa"/>
            <w:vAlign w:val="bottom"/>
            <w:vMerge w:val="restart"/>
          </w:tcPr>
          <w:p>
            <w:pPr>
              <w:ind w:left="30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30"/>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owned by</w:t>
            </w:r>
          </w:p>
        </w:tc>
        <w:tc>
          <w:tcPr>
            <w:tcW w:w="320" w:type="dxa"/>
            <w:vAlign w:val="bottom"/>
            <w:tcBorders>
              <w:bottom w:val="single" w:sz="8" w:color="auto"/>
            </w:tcBorders>
          </w:tcPr>
          <w:p>
            <w:pPr>
              <w:spacing w:after="0"/>
              <w:rPr>
                <w:sz w:val="20"/>
                <w:szCs w:val="20"/>
                <w:color w:val="auto"/>
              </w:rPr>
            </w:pPr>
          </w:p>
        </w:tc>
        <w:tc>
          <w:tcPr>
            <w:tcW w:w="9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80" w:type="dxa"/>
            <w:vAlign w:val="bottom"/>
          </w:tcPr>
          <w:p>
            <w:pPr>
              <w:jc w:val="center"/>
              <w:ind w:right="147"/>
              <w:spacing w:after="0" w:line="182" w:lineRule="exact"/>
              <w:rPr>
                <w:sz w:val="20"/>
                <w:szCs w:val="20"/>
                <w:color w:val="auto"/>
              </w:rPr>
            </w:pPr>
            <w:r>
              <w:rPr>
                <w:rFonts w:ascii="Arial" w:cs="Arial" w:eastAsia="Arial" w:hAnsi="Arial"/>
                <w:sz w:val="18"/>
                <w:szCs w:val="18"/>
                <w:color w:val="auto"/>
                <w:w w:val="86"/>
              </w:rPr>
              <w:t>each</w:t>
            </w: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9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reporting</w:t>
            </w:r>
          </w:p>
        </w:tc>
        <w:tc>
          <w:tcPr>
            <w:tcW w:w="3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80" w:type="dxa"/>
            <w:vAlign w:val="bottom"/>
          </w:tcPr>
          <w:p>
            <w:pPr>
              <w:jc w:val="center"/>
              <w:ind w:right="127"/>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20"/>
                <w:szCs w:val="20"/>
                <w:color w:val="auto"/>
              </w:rPr>
            </w:pPr>
          </w:p>
        </w:tc>
        <w:tc>
          <w:tcPr>
            <w:tcW w:w="9940" w:type="dxa"/>
            <w:vAlign w:val="bottom"/>
          </w:tcPr>
          <w:p>
            <w:pPr>
              <w:ind w:left="3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80" w:type="dxa"/>
            <w:vAlign w:val="bottom"/>
            <w:vMerge w:val="restart"/>
          </w:tcPr>
          <w:p>
            <w:pPr>
              <w:jc w:val="center"/>
              <w:ind w:right="147"/>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tcBorders>
          </w:tcPr>
          <w:p>
            <w:pPr>
              <w:spacing w:after="0"/>
              <w:rPr>
                <w:sz w:val="6"/>
                <w:szCs w:val="6"/>
                <w:color w:val="auto"/>
              </w:rPr>
            </w:pPr>
          </w:p>
        </w:tc>
        <w:tc>
          <w:tcPr>
            <w:tcW w:w="9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9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26"/>
        </w:trPr>
        <w:tc>
          <w:tcPr>
            <w:tcW w:w="11440" w:type="dxa"/>
            <w:vAlign w:val="bottom"/>
            <w:gridSpan w:val="4"/>
          </w:tcPr>
          <w:p>
            <w:pPr>
              <w:ind w:left="260"/>
              <w:spacing w:after="0"/>
              <w:rPr>
                <w:sz w:val="20"/>
                <w:szCs w:val="20"/>
                <w:color w:val="auto"/>
              </w:rPr>
            </w:pPr>
            <w:r>
              <w:rPr>
                <w:rFonts w:ascii="Arial" w:cs="Arial" w:eastAsia="Arial" w:hAnsi="Arial"/>
                <w:sz w:val="18"/>
                <w:szCs w:val="18"/>
                <w:color w:val="auto"/>
              </w:rPr>
              <w:t>9.  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11040" w:type="dxa"/>
            <w:vAlign w:val="bottom"/>
            <w:tcBorders>
              <w:bottom w:val="single" w:sz="8" w:color="auto"/>
            </w:tcBorders>
            <w:gridSpan w:val="3"/>
          </w:tcPr>
          <w:p>
            <w:pPr>
              <w:ind w:left="38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78"/>
        </w:trPr>
        <w:tc>
          <w:tcPr>
            <w:tcW w:w="400" w:type="dxa"/>
            <w:vAlign w:val="bottom"/>
          </w:tcPr>
          <w:p>
            <w:pPr>
              <w:ind w:left="160"/>
              <w:spacing w:after="0"/>
              <w:rPr>
                <w:sz w:val="20"/>
                <w:szCs w:val="20"/>
                <w:color w:val="auto"/>
              </w:rPr>
            </w:pPr>
            <w:r>
              <w:rPr>
                <w:rFonts w:ascii="Arial" w:cs="Arial" w:eastAsia="Arial" w:hAnsi="Arial"/>
                <w:sz w:val="18"/>
                <w:szCs w:val="18"/>
                <w:color w:val="auto"/>
              </w:rPr>
              <w:t>10</w:t>
            </w:r>
          </w:p>
        </w:tc>
        <w:tc>
          <w:tcPr>
            <w:tcW w:w="11040" w:type="dxa"/>
            <w:vAlign w:val="bottom"/>
            <w:gridSpan w:val="3"/>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110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ind w:left="160"/>
              <w:spacing w:after="0"/>
              <w:rPr>
                <w:sz w:val="20"/>
                <w:szCs w:val="20"/>
                <w:color w:val="auto"/>
              </w:rPr>
            </w:pPr>
            <w:r>
              <w:rPr>
                <w:rFonts w:ascii="Arial" w:cs="Arial" w:eastAsia="Arial" w:hAnsi="Arial"/>
                <w:sz w:val="18"/>
                <w:szCs w:val="18"/>
                <w:color w:val="auto"/>
                <w:w w:val="87"/>
              </w:rPr>
              <w:t>11.</w:t>
            </w:r>
          </w:p>
        </w:tc>
        <w:tc>
          <w:tcPr>
            <w:tcW w:w="11040" w:type="dxa"/>
            <w:vAlign w:val="bottom"/>
            <w:gridSpan w:val="3"/>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80"/>
        <w:spacing w:after="0"/>
        <w:rPr>
          <w:sz w:val="20"/>
          <w:szCs w:val="20"/>
          <w:color w:val="auto"/>
        </w:rPr>
      </w:pPr>
      <w:r>
        <w:rPr>
          <w:rFonts w:ascii="Arial" w:cs="Arial" w:eastAsia="Arial" w:hAnsi="Arial"/>
          <w:sz w:val="22"/>
          <w:szCs w:val="22"/>
          <w:color w:val="auto"/>
        </w:rPr>
        <w:t>5.24% (see Item 4)</w:t>
      </w:r>
    </w:p>
    <w:p>
      <w:pPr>
        <w:spacing w:after="0" w:line="24"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HC – Parent Holding Company/Control Person</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320" w:type="dxa"/>
            <w:vAlign w:val="bottom"/>
          </w:tcPr>
          <w:p>
            <w:pPr>
              <w:ind w:left="5560"/>
              <w:spacing w:after="0"/>
              <w:rPr>
                <w:sz w:val="20"/>
                <w:szCs w:val="20"/>
                <w:color w:val="auto"/>
              </w:rPr>
            </w:pPr>
            <w:r>
              <w:rPr>
                <w:rFonts w:ascii="Arial" w:cs="Arial" w:eastAsia="Arial" w:hAnsi="Arial"/>
                <w:sz w:val="18"/>
                <w:szCs w:val="18"/>
                <w:color w:val="auto"/>
              </w:rPr>
              <w:t>13G</w:t>
            </w:r>
          </w:p>
        </w:tc>
        <w:tc>
          <w:tcPr>
            <w:tcW w:w="2120" w:type="dxa"/>
            <w:vAlign w:val="bottom"/>
          </w:tcPr>
          <w:p>
            <w:pPr>
              <w:spacing w:after="0"/>
              <w:rPr>
                <w:sz w:val="20"/>
                <w:szCs w:val="20"/>
                <w:color w:val="auto"/>
              </w:rPr>
            </w:pPr>
          </w:p>
        </w:tc>
      </w:tr>
      <w:tr>
        <w:trPr>
          <w:trHeight w:val="338"/>
        </w:trPr>
        <w:tc>
          <w:tcPr>
            <w:tcW w:w="9320" w:type="dxa"/>
            <w:vAlign w:val="bottom"/>
          </w:tcPr>
          <w:p>
            <w:pPr>
              <w:spacing w:after="0"/>
              <w:rPr>
                <w:sz w:val="20"/>
                <w:szCs w:val="20"/>
                <w:color w:val="auto"/>
              </w:rPr>
            </w:pPr>
            <w:r>
              <w:rPr>
                <w:rFonts w:ascii="Arial" w:cs="Arial" w:eastAsia="Arial" w:hAnsi="Arial"/>
                <w:sz w:val="18"/>
                <w:szCs w:val="18"/>
                <w:color w:val="auto"/>
              </w:rPr>
              <w:t>CUSIP No. 92337F107</w:t>
            </w:r>
          </w:p>
        </w:tc>
        <w:tc>
          <w:tcPr>
            <w:tcW w:w="2120" w:type="dxa"/>
            <w:vAlign w:val="bottom"/>
          </w:tcPr>
          <w:p>
            <w:pPr>
              <w:ind w:left="1200"/>
              <w:spacing w:after="0"/>
              <w:rPr>
                <w:sz w:val="20"/>
                <w:szCs w:val="20"/>
                <w:color w:val="auto"/>
              </w:rPr>
            </w:pPr>
            <w:r>
              <w:rPr>
                <w:rFonts w:ascii="Arial" w:cs="Arial" w:eastAsia="Arial" w:hAnsi="Arial"/>
                <w:sz w:val="18"/>
                <w:szCs w:val="18"/>
                <w:color w:val="auto"/>
                <w:w w:val="88"/>
              </w:rPr>
              <w:t>Page 4 of 10</w:t>
            </w:r>
          </w:p>
        </w:tc>
      </w:tr>
      <w:tr>
        <w:trPr>
          <w:trHeight w:val="122"/>
        </w:trPr>
        <w:tc>
          <w:tcPr>
            <w:tcW w:w="93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r>
      <w:tr>
        <w:trPr>
          <w:trHeight w:val="224"/>
        </w:trPr>
        <w:tc>
          <w:tcPr>
            <w:tcW w:w="9320" w:type="dxa"/>
            <w:vAlign w:val="bottom"/>
          </w:tcPr>
          <w:p>
            <w:pPr>
              <w:ind w:left="260"/>
              <w:spacing w:after="0"/>
              <w:rPr>
                <w:sz w:val="20"/>
                <w:szCs w:val="20"/>
                <w:color w:val="auto"/>
              </w:rPr>
            </w:pPr>
            <w:r>
              <w:rPr>
                <w:rFonts w:ascii="Arial" w:cs="Arial" w:eastAsia="Arial" w:hAnsi="Arial"/>
                <w:sz w:val="18"/>
                <w:szCs w:val="18"/>
                <w:color w:val="auto"/>
              </w:rPr>
              <w:t>1.  Name of reporting persons / I.R.S. IDENTIFICATION NO. OF ABOVE PERSONS (ENTITIES ONLY)</w:t>
            </w:r>
          </w:p>
        </w:tc>
        <w:tc>
          <w:tcPr>
            <w:tcW w:w="2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524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22"/>
          <w:szCs w:val="22"/>
          <w:color w:val="auto"/>
        </w:rPr>
        <w:t>CHARLES I. CLOUGH, JR.</w:t>
      </w:r>
    </w:p>
    <w:p>
      <w:pPr>
        <w:spacing w:after="0" w:line="2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60"/>
        <w:spacing w:after="0" w:line="207" w:lineRule="exact"/>
        <w:tabs>
          <w:tab w:leader="none" w:pos="13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60" w:hanging="305"/>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60" w:hanging="305"/>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UNITED STATES</w:t>
      </w:r>
    </w:p>
    <w:p>
      <w:pPr>
        <w:spacing w:after="0" w:line="24" w:lineRule="exact"/>
        <w:rPr>
          <w:sz w:val="20"/>
          <w:szCs w:val="20"/>
          <w:color w:val="auto"/>
        </w:rPr>
      </w:pPr>
    </w:p>
    <w:p>
      <w:pPr>
        <w:ind w:left="1280"/>
        <w:spacing w:after="0"/>
        <w:tabs>
          <w:tab w:leader="none" w:pos="15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18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80" w:type="dxa"/>
            <w:vAlign w:val="bottom"/>
            <w:gridSpan w:val="2"/>
            <w:vMerge w:val="continue"/>
          </w:tcPr>
          <w:p>
            <w:pPr>
              <w:spacing w:after="0"/>
              <w:rPr>
                <w:sz w:val="4"/>
                <w:szCs w:val="4"/>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80" w:type="dxa"/>
            <w:vAlign w:val="bottom"/>
            <w:vMerge w:val="restart"/>
          </w:tcPr>
          <w:p>
            <w:pPr>
              <w:jc w:val="center"/>
              <w:ind w:right="147"/>
              <w:spacing w:after="0"/>
              <w:rPr>
                <w:sz w:val="20"/>
                <w:szCs w:val="20"/>
                <w:color w:val="auto"/>
              </w:rPr>
            </w:pPr>
            <w:r>
              <w:rPr>
                <w:rFonts w:ascii="Arial" w:cs="Arial" w:eastAsia="Arial" w:hAnsi="Arial"/>
                <w:sz w:val="18"/>
                <w:szCs w:val="18"/>
                <w:color w:val="auto"/>
                <w:w w:val="85"/>
              </w:rPr>
              <w:t>shares</w:t>
            </w:r>
          </w:p>
        </w:tc>
        <w:tc>
          <w:tcPr>
            <w:tcW w:w="320" w:type="dxa"/>
            <w:vAlign w:val="bottom"/>
            <w:vMerge w:val="continue"/>
          </w:tcPr>
          <w:p>
            <w:pPr>
              <w:spacing w:after="0"/>
              <w:rPr>
                <w:sz w:val="15"/>
                <w:szCs w:val="15"/>
                <w:color w:val="auto"/>
              </w:rPr>
            </w:pPr>
          </w:p>
        </w:tc>
        <w:tc>
          <w:tcPr>
            <w:tcW w:w="9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6"/>
              </w:rPr>
              <w:t>beneficially</w:t>
            </w:r>
          </w:p>
        </w:tc>
        <w:tc>
          <w:tcPr>
            <w:tcW w:w="320" w:type="dxa"/>
            <w:vAlign w:val="bottom"/>
          </w:tcPr>
          <w:p>
            <w:pPr>
              <w:spacing w:after="0"/>
              <w:rPr>
                <w:sz w:val="18"/>
                <w:szCs w:val="18"/>
                <w:color w:val="auto"/>
              </w:rPr>
            </w:pPr>
          </w:p>
        </w:tc>
        <w:tc>
          <w:tcPr>
            <w:tcW w:w="9940" w:type="dxa"/>
            <w:vAlign w:val="bottom"/>
            <w:vMerge w:val="restart"/>
          </w:tcPr>
          <w:p>
            <w:pPr>
              <w:ind w:left="30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30"/>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owned by</w:t>
            </w:r>
          </w:p>
        </w:tc>
        <w:tc>
          <w:tcPr>
            <w:tcW w:w="320" w:type="dxa"/>
            <w:vAlign w:val="bottom"/>
            <w:tcBorders>
              <w:bottom w:val="single" w:sz="8" w:color="auto"/>
            </w:tcBorders>
          </w:tcPr>
          <w:p>
            <w:pPr>
              <w:spacing w:after="0"/>
              <w:rPr>
                <w:sz w:val="20"/>
                <w:szCs w:val="20"/>
                <w:color w:val="auto"/>
              </w:rPr>
            </w:pPr>
          </w:p>
        </w:tc>
        <w:tc>
          <w:tcPr>
            <w:tcW w:w="9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80" w:type="dxa"/>
            <w:vAlign w:val="bottom"/>
          </w:tcPr>
          <w:p>
            <w:pPr>
              <w:jc w:val="center"/>
              <w:ind w:right="147"/>
              <w:spacing w:after="0" w:line="182" w:lineRule="exact"/>
              <w:rPr>
                <w:sz w:val="20"/>
                <w:szCs w:val="20"/>
                <w:color w:val="auto"/>
              </w:rPr>
            </w:pPr>
            <w:r>
              <w:rPr>
                <w:rFonts w:ascii="Arial" w:cs="Arial" w:eastAsia="Arial" w:hAnsi="Arial"/>
                <w:sz w:val="18"/>
                <w:szCs w:val="18"/>
                <w:color w:val="auto"/>
                <w:w w:val="86"/>
              </w:rPr>
              <w:t>each</w:t>
            </w: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9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reporting</w:t>
            </w:r>
          </w:p>
        </w:tc>
        <w:tc>
          <w:tcPr>
            <w:tcW w:w="3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80" w:type="dxa"/>
            <w:vAlign w:val="bottom"/>
          </w:tcPr>
          <w:p>
            <w:pPr>
              <w:jc w:val="center"/>
              <w:ind w:right="127"/>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20"/>
                <w:szCs w:val="20"/>
                <w:color w:val="auto"/>
              </w:rPr>
            </w:pPr>
          </w:p>
        </w:tc>
        <w:tc>
          <w:tcPr>
            <w:tcW w:w="9940" w:type="dxa"/>
            <w:vAlign w:val="bottom"/>
          </w:tcPr>
          <w:p>
            <w:pPr>
              <w:ind w:left="3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80" w:type="dxa"/>
            <w:vAlign w:val="bottom"/>
            <w:vMerge w:val="restart"/>
          </w:tcPr>
          <w:p>
            <w:pPr>
              <w:jc w:val="center"/>
              <w:ind w:right="147"/>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tcBorders>
          </w:tcPr>
          <w:p>
            <w:pPr>
              <w:spacing w:after="0"/>
              <w:rPr>
                <w:sz w:val="6"/>
                <w:szCs w:val="6"/>
                <w:color w:val="auto"/>
              </w:rPr>
            </w:pPr>
          </w:p>
        </w:tc>
        <w:tc>
          <w:tcPr>
            <w:tcW w:w="9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9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26"/>
        </w:trPr>
        <w:tc>
          <w:tcPr>
            <w:tcW w:w="11440" w:type="dxa"/>
            <w:vAlign w:val="bottom"/>
            <w:gridSpan w:val="4"/>
          </w:tcPr>
          <w:p>
            <w:pPr>
              <w:ind w:left="260"/>
              <w:spacing w:after="0"/>
              <w:rPr>
                <w:sz w:val="20"/>
                <w:szCs w:val="20"/>
                <w:color w:val="auto"/>
              </w:rPr>
            </w:pPr>
            <w:r>
              <w:rPr>
                <w:rFonts w:ascii="Arial" w:cs="Arial" w:eastAsia="Arial" w:hAnsi="Arial"/>
                <w:sz w:val="18"/>
                <w:szCs w:val="18"/>
                <w:color w:val="auto"/>
              </w:rPr>
              <w:t>9.  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11040" w:type="dxa"/>
            <w:vAlign w:val="bottom"/>
            <w:tcBorders>
              <w:bottom w:val="single" w:sz="8" w:color="auto"/>
            </w:tcBorders>
            <w:gridSpan w:val="3"/>
          </w:tcPr>
          <w:p>
            <w:pPr>
              <w:ind w:left="38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78"/>
        </w:trPr>
        <w:tc>
          <w:tcPr>
            <w:tcW w:w="400" w:type="dxa"/>
            <w:vAlign w:val="bottom"/>
          </w:tcPr>
          <w:p>
            <w:pPr>
              <w:ind w:left="160"/>
              <w:spacing w:after="0"/>
              <w:rPr>
                <w:sz w:val="20"/>
                <w:szCs w:val="20"/>
                <w:color w:val="auto"/>
              </w:rPr>
            </w:pPr>
            <w:r>
              <w:rPr>
                <w:rFonts w:ascii="Arial" w:cs="Arial" w:eastAsia="Arial" w:hAnsi="Arial"/>
                <w:sz w:val="18"/>
                <w:szCs w:val="18"/>
                <w:color w:val="auto"/>
              </w:rPr>
              <w:t>10</w:t>
            </w:r>
          </w:p>
        </w:tc>
        <w:tc>
          <w:tcPr>
            <w:tcW w:w="11040" w:type="dxa"/>
            <w:vAlign w:val="bottom"/>
            <w:gridSpan w:val="3"/>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110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ind w:left="160"/>
              <w:spacing w:after="0"/>
              <w:rPr>
                <w:sz w:val="20"/>
                <w:szCs w:val="20"/>
                <w:color w:val="auto"/>
              </w:rPr>
            </w:pPr>
            <w:r>
              <w:rPr>
                <w:rFonts w:ascii="Arial" w:cs="Arial" w:eastAsia="Arial" w:hAnsi="Arial"/>
                <w:sz w:val="18"/>
                <w:szCs w:val="18"/>
                <w:color w:val="auto"/>
                <w:w w:val="87"/>
              </w:rPr>
              <w:t>11.</w:t>
            </w:r>
          </w:p>
        </w:tc>
        <w:tc>
          <w:tcPr>
            <w:tcW w:w="11040" w:type="dxa"/>
            <w:vAlign w:val="bottom"/>
            <w:gridSpan w:val="3"/>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80"/>
        <w:spacing w:after="0"/>
        <w:rPr>
          <w:sz w:val="20"/>
          <w:szCs w:val="20"/>
          <w:color w:val="auto"/>
        </w:rPr>
      </w:pPr>
      <w:r>
        <w:rPr>
          <w:rFonts w:ascii="Arial" w:cs="Arial" w:eastAsia="Arial" w:hAnsi="Arial"/>
          <w:sz w:val="22"/>
          <w:szCs w:val="22"/>
          <w:color w:val="auto"/>
        </w:rPr>
        <w:t>5.24% (see Item 4)</w:t>
      </w:r>
    </w:p>
    <w:p>
      <w:pPr>
        <w:spacing w:after="0" w:line="24"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HC – Parent Holding Company/Control Person</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320" w:type="dxa"/>
            <w:vAlign w:val="bottom"/>
          </w:tcPr>
          <w:p>
            <w:pPr>
              <w:ind w:left="5560"/>
              <w:spacing w:after="0"/>
              <w:rPr>
                <w:sz w:val="20"/>
                <w:szCs w:val="20"/>
                <w:color w:val="auto"/>
              </w:rPr>
            </w:pPr>
            <w:r>
              <w:rPr>
                <w:rFonts w:ascii="Arial" w:cs="Arial" w:eastAsia="Arial" w:hAnsi="Arial"/>
                <w:sz w:val="18"/>
                <w:szCs w:val="18"/>
                <w:color w:val="auto"/>
              </w:rPr>
              <w:t>13G</w:t>
            </w:r>
          </w:p>
        </w:tc>
        <w:tc>
          <w:tcPr>
            <w:tcW w:w="2120" w:type="dxa"/>
            <w:vAlign w:val="bottom"/>
          </w:tcPr>
          <w:p>
            <w:pPr>
              <w:spacing w:after="0"/>
              <w:rPr>
                <w:sz w:val="20"/>
                <w:szCs w:val="20"/>
                <w:color w:val="auto"/>
              </w:rPr>
            </w:pPr>
          </w:p>
        </w:tc>
      </w:tr>
      <w:tr>
        <w:trPr>
          <w:trHeight w:val="338"/>
        </w:trPr>
        <w:tc>
          <w:tcPr>
            <w:tcW w:w="9320" w:type="dxa"/>
            <w:vAlign w:val="bottom"/>
          </w:tcPr>
          <w:p>
            <w:pPr>
              <w:spacing w:after="0"/>
              <w:rPr>
                <w:sz w:val="20"/>
                <w:szCs w:val="20"/>
                <w:color w:val="auto"/>
              </w:rPr>
            </w:pPr>
            <w:r>
              <w:rPr>
                <w:rFonts w:ascii="Arial" w:cs="Arial" w:eastAsia="Arial" w:hAnsi="Arial"/>
                <w:sz w:val="18"/>
                <w:szCs w:val="18"/>
                <w:color w:val="auto"/>
              </w:rPr>
              <w:t>CUSIP No. 92337F107</w:t>
            </w:r>
          </w:p>
        </w:tc>
        <w:tc>
          <w:tcPr>
            <w:tcW w:w="2120" w:type="dxa"/>
            <w:vAlign w:val="bottom"/>
          </w:tcPr>
          <w:p>
            <w:pPr>
              <w:ind w:left="1200"/>
              <w:spacing w:after="0"/>
              <w:rPr>
                <w:sz w:val="20"/>
                <w:szCs w:val="20"/>
                <w:color w:val="auto"/>
              </w:rPr>
            </w:pPr>
            <w:r>
              <w:rPr>
                <w:rFonts w:ascii="Arial" w:cs="Arial" w:eastAsia="Arial" w:hAnsi="Arial"/>
                <w:sz w:val="18"/>
                <w:szCs w:val="18"/>
                <w:color w:val="auto"/>
                <w:w w:val="88"/>
              </w:rPr>
              <w:t>Page 5 of 10</w:t>
            </w:r>
          </w:p>
        </w:tc>
      </w:tr>
      <w:tr>
        <w:trPr>
          <w:trHeight w:val="122"/>
        </w:trPr>
        <w:tc>
          <w:tcPr>
            <w:tcW w:w="93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r>
      <w:tr>
        <w:trPr>
          <w:trHeight w:val="224"/>
        </w:trPr>
        <w:tc>
          <w:tcPr>
            <w:tcW w:w="9320" w:type="dxa"/>
            <w:vAlign w:val="bottom"/>
          </w:tcPr>
          <w:p>
            <w:pPr>
              <w:ind w:left="260"/>
              <w:spacing w:after="0"/>
              <w:rPr>
                <w:sz w:val="20"/>
                <w:szCs w:val="20"/>
                <w:color w:val="auto"/>
              </w:rPr>
            </w:pPr>
            <w:r>
              <w:rPr>
                <w:rFonts w:ascii="Arial" w:cs="Arial" w:eastAsia="Arial" w:hAnsi="Arial"/>
                <w:sz w:val="18"/>
                <w:szCs w:val="18"/>
                <w:color w:val="auto"/>
              </w:rPr>
              <w:t>1.  Name of reporting persons / I.R.S. IDENTIFICATION NO. OF ABOVE PERSONS (ENTITIES ONLY)</w:t>
            </w:r>
          </w:p>
        </w:tc>
        <w:tc>
          <w:tcPr>
            <w:tcW w:w="2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524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22"/>
          <w:szCs w:val="22"/>
          <w:color w:val="auto"/>
        </w:rPr>
        <w:t>JAMES E. CANTY</w:t>
      </w:r>
    </w:p>
    <w:p>
      <w:pPr>
        <w:spacing w:after="0" w:line="2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60"/>
        <w:spacing w:after="0" w:line="207" w:lineRule="exact"/>
        <w:tabs>
          <w:tab w:leader="none" w:pos="13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60" w:hanging="305"/>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60" w:hanging="305"/>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UNITED STATES</w:t>
      </w:r>
    </w:p>
    <w:p>
      <w:pPr>
        <w:spacing w:after="0" w:line="24" w:lineRule="exact"/>
        <w:rPr>
          <w:sz w:val="20"/>
          <w:szCs w:val="20"/>
          <w:color w:val="auto"/>
        </w:rPr>
      </w:pPr>
    </w:p>
    <w:p>
      <w:pPr>
        <w:ind w:left="1280"/>
        <w:spacing w:after="0"/>
        <w:tabs>
          <w:tab w:leader="none" w:pos="15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18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80" w:type="dxa"/>
            <w:vAlign w:val="bottom"/>
            <w:gridSpan w:val="2"/>
            <w:vMerge w:val="continue"/>
          </w:tcPr>
          <w:p>
            <w:pPr>
              <w:spacing w:after="0"/>
              <w:rPr>
                <w:sz w:val="4"/>
                <w:szCs w:val="4"/>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80" w:type="dxa"/>
            <w:vAlign w:val="bottom"/>
            <w:vMerge w:val="restart"/>
          </w:tcPr>
          <w:p>
            <w:pPr>
              <w:jc w:val="center"/>
              <w:ind w:right="147"/>
              <w:spacing w:after="0"/>
              <w:rPr>
                <w:sz w:val="20"/>
                <w:szCs w:val="20"/>
                <w:color w:val="auto"/>
              </w:rPr>
            </w:pPr>
            <w:r>
              <w:rPr>
                <w:rFonts w:ascii="Arial" w:cs="Arial" w:eastAsia="Arial" w:hAnsi="Arial"/>
                <w:sz w:val="18"/>
                <w:szCs w:val="18"/>
                <w:color w:val="auto"/>
                <w:w w:val="85"/>
              </w:rPr>
              <w:t>shares</w:t>
            </w:r>
          </w:p>
        </w:tc>
        <w:tc>
          <w:tcPr>
            <w:tcW w:w="320" w:type="dxa"/>
            <w:vAlign w:val="bottom"/>
            <w:vMerge w:val="continue"/>
          </w:tcPr>
          <w:p>
            <w:pPr>
              <w:spacing w:after="0"/>
              <w:rPr>
                <w:sz w:val="15"/>
                <w:szCs w:val="15"/>
                <w:color w:val="auto"/>
              </w:rPr>
            </w:pPr>
          </w:p>
        </w:tc>
        <w:tc>
          <w:tcPr>
            <w:tcW w:w="9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6"/>
              </w:rPr>
              <w:t>beneficially</w:t>
            </w:r>
          </w:p>
        </w:tc>
        <w:tc>
          <w:tcPr>
            <w:tcW w:w="320" w:type="dxa"/>
            <w:vAlign w:val="bottom"/>
          </w:tcPr>
          <w:p>
            <w:pPr>
              <w:spacing w:after="0"/>
              <w:rPr>
                <w:sz w:val="18"/>
                <w:szCs w:val="18"/>
                <w:color w:val="auto"/>
              </w:rPr>
            </w:pPr>
          </w:p>
        </w:tc>
        <w:tc>
          <w:tcPr>
            <w:tcW w:w="9940" w:type="dxa"/>
            <w:vAlign w:val="bottom"/>
            <w:vMerge w:val="restart"/>
          </w:tcPr>
          <w:p>
            <w:pPr>
              <w:ind w:left="30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30"/>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owned by</w:t>
            </w:r>
          </w:p>
        </w:tc>
        <w:tc>
          <w:tcPr>
            <w:tcW w:w="320" w:type="dxa"/>
            <w:vAlign w:val="bottom"/>
            <w:tcBorders>
              <w:bottom w:val="single" w:sz="8" w:color="auto"/>
            </w:tcBorders>
          </w:tcPr>
          <w:p>
            <w:pPr>
              <w:spacing w:after="0"/>
              <w:rPr>
                <w:sz w:val="20"/>
                <w:szCs w:val="20"/>
                <w:color w:val="auto"/>
              </w:rPr>
            </w:pPr>
          </w:p>
        </w:tc>
        <w:tc>
          <w:tcPr>
            <w:tcW w:w="9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80" w:type="dxa"/>
            <w:vAlign w:val="bottom"/>
          </w:tcPr>
          <w:p>
            <w:pPr>
              <w:jc w:val="center"/>
              <w:ind w:right="147"/>
              <w:spacing w:after="0" w:line="182" w:lineRule="exact"/>
              <w:rPr>
                <w:sz w:val="20"/>
                <w:szCs w:val="20"/>
                <w:color w:val="auto"/>
              </w:rPr>
            </w:pPr>
            <w:r>
              <w:rPr>
                <w:rFonts w:ascii="Arial" w:cs="Arial" w:eastAsia="Arial" w:hAnsi="Arial"/>
                <w:sz w:val="18"/>
                <w:szCs w:val="18"/>
                <w:color w:val="auto"/>
                <w:w w:val="86"/>
              </w:rPr>
              <w:t>each</w:t>
            </w: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9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reporting</w:t>
            </w:r>
          </w:p>
        </w:tc>
        <w:tc>
          <w:tcPr>
            <w:tcW w:w="3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80" w:type="dxa"/>
            <w:vAlign w:val="bottom"/>
          </w:tcPr>
          <w:p>
            <w:pPr>
              <w:jc w:val="center"/>
              <w:ind w:right="127"/>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20"/>
                <w:szCs w:val="20"/>
                <w:color w:val="auto"/>
              </w:rPr>
            </w:pPr>
          </w:p>
        </w:tc>
        <w:tc>
          <w:tcPr>
            <w:tcW w:w="9940" w:type="dxa"/>
            <w:vAlign w:val="bottom"/>
          </w:tcPr>
          <w:p>
            <w:pPr>
              <w:ind w:left="3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80" w:type="dxa"/>
            <w:vAlign w:val="bottom"/>
            <w:vMerge w:val="restart"/>
          </w:tcPr>
          <w:p>
            <w:pPr>
              <w:jc w:val="center"/>
              <w:ind w:right="147"/>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tcBorders>
          </w:tcPr>
          <w:p>
            <w:pPr>
              <w:spacing w:after="0"/>
              <w:rPr>
                <w:sz w:val="6"/>
                <w:szCs w:val="6"/>
                <w:color w:val="auto"/>
              </w:rPr>
            </w:pPr>
          </w:p>
        </w:tc>
        <w:tc>
          <w:tcPr>
            <w:tcW w:w="9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9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26"/>
        </w:trPr>
        <w:tc>
          <w:tcPr>
            <w:tcW w:w="11440" w:type="dxa"/>
            <w:vAlign w:val="bottom"/>
            <w:gridSpan w:val="4"/>
          </w:tcPr>
          <w:p>
            <w:pPr>
              <w:ind w:left="260"/>
              <w:spacing w:after="0"/>
              <w:rPr>
                <w:sz w:val="20"/>
                <w:szCs w:val="20"/>
                <w:color w:val="auto"/>
              </w:rPr>
            </w:pPr>
            <w:r>
              <w:rPr>
                <w:rFonts w:ascii="Arial" w:cs="Arial" w:eastAsia="Arial" w:hAnsi="Arial"/>
                <w:sz w:val="18"/>
                <w:szCs w:val="18"/>
                <w:color w:val="auto"/>
              </w:rPr>
              <w:t>9.  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11040" w:type="dxa"/>
            <w:vAlign w:val="bottom"/>
            <w:tcBorders>
              <w:bottom w:val="single" w:sz="8" w:color="auto"/>
            </w:tcBorders>
            <w:gridSpan w:val="3"/>
          </w:tcPr>
          <w:p>
            <w:pPr>
              <w:ind w:left="38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78"/>
        </w:trPr>
        <w:tc>
          <w:tcPr>
            <w:tcW w:w="400" w:type="dxa"/>
            <w:vAlign w:val="bottom"/>
          </w:tcPr>
          <w:p>
            <w:pPr>
              <w:ind w:left="160"/>
              <w:spacing w:after="0"/>
              <w:rPr>
                <w:sz w:val="20"/>
                <w:szCs w:val="20"/>
                <w:color w:val="auto"/>
              </w:rPr>
            </w:pPr>
            <w:r>
              <w:rPr>
                <w:rFonts w:ascii="Arial" w:cs="Arial" w:eastAsia="Arial" w:hAnsi="Arial"/>
                <w:sz w:val="18"/>
                <w:szCs w:val="18"/>
                <w:color w:val="auto"/>
              </w:rPr>
              <w:t>10</w:t>
            </w:r>
          </w:p>
        </w:tc>
        <w:tc>
          <w:tcPr>
            <w:tcW w:w="11040" w:type="dxa"/>
            <w:vAlign w:val="bottom"/>
            <w:gridSpan w:val="3"/>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110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ind w:left="160"/>
              <w:spacing w:after="0"/>
              <w:rPr>
                <w:sz w:val="20"/>
                <w:szCs w:val="20"/>
                <w:color w:val="auto"/>
              </w:rPr>
            </w:pPr>
            <w:r>
              <w:rPr>
                <w:rFonts w:ascii="Arial" w:cs="Arial" w:eastAsia="Arial" w:hAnsi="Arial"/>
                <w:sz w:val="18"/>
                <w:szCs w:val="18"/>
                <w:color w:val="auto"/>
                <w:w w:val="87"/>
              </w:rPr>
              <w:t>11.</w:t>
            </w:r>
          </w:p>
        </w:tc>
        <w:tc>
          <w:tcPr>
            <w:tcW w:w="11040" w:type="dxa"/>
            <w:vAlign w:val="bottom"/>
            <w:gridSpan w:val="3"/>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80"/>
        <w:spacing w:after="0"/>
        <w:rPr>
          <w:sz w:val="20"/>
          <w:szCs w:val="20"/>
          <w:color w:val="auto"/>
        </w:rPr>
      </w:pPr>
      <w:r>
        <w:rPr>
          <w:rFonts w:ascii="Arial" w:cs="Arial" w:eastAsia="Arial" w:hAnsi="Arial"/>
          <w:sz w:val="22"/>
          <w:szCs w:val="22"/>
          <w:color w:val="auto"/>
        </w:rPr>
        <w:t>5.24% (see Item 4)</w:t>
      </w:r>
    </w:p>
    <w:p>
      <w:pPr>
        <w:spacing w:after="0" w:line="24"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HC – Parent Holding Company/Control Person</w:t>
      </w:r>
    </w:p>
    <w:p>
      <w:pPr>
        <w:sectPr>
          <w:pgSz w:w="11900" w:h="16838" w:orient="portrait"/>
          <w:cols w:equalWidth="0" w:num="1">
            <w:col w:w="11440"/>
          </w:cols>
          <w:pgMar w:left="240" w:top="274"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9320" w:type="dxa"/>
            <w:vAlign w:val="bottom"/>
          </w:tcPr>
          <w:p>
            <w:pPr>
              <w:ind w:left="5560"/>
              <w:spacing w:after="0"/>
              <w:rPr>
                <w:sz w:val="20"/>
                <w:szCs w:val="20"/>
                <w:color w:val="auto"/>
              </w:rPr>
            </w:pPr>
            <w:r>
              <w:rPr>
                <w:rFonts w:ascii="Arial" w:cs="Arial" w:eastAsia="Arial" w:hAnsi="Arial"/>
                <w:sz w:val="18"/>
                <w:szCs w:val="18"/>
                <w:color w:val="auto"/>
              </w:rPr>
              <w:t>13G</w:t>
            </w:r>
          </w:p>
        </w:tc>
        <w:tc>
          <w:tcPr>
            <w:tcW w:w="2120" w:type="dxa"/>
            <w:vAlign w:val="bottom"/>
          </w:tcPr>
          <w:p>
            <w:pPr>
              <w:spacing w:after="0"/>
              <w:rPr>
                <w:sz w:val="20"/>
                <w:szCs w:val="20"/>
                <w:color w:val="auto"/>
              </w:rPr>
            </w:pPr>
          </w:p>
        </w:tc>
      </w:tr>
      <w:tr>
        <w:trPr>
          <w:trHeight w:val="338"/>
        </w:trPr>
        <w:tc>
          <w:tcPr>
            <w:tcW w:w="9320" w:type="dxa"/>
            <w:vAlign w:val="bottom"/>
          </w:tcPr>
          <w:p>
            <w:pPr>
              <w:spacing w:after="0"/>
              <w:rPr>
                <w:sz w:val="20"/>
                <w:szCs w:val="20"/>
                <w:color w:val="auto"/>
              </w:rPr>
            </w:pPr>
            <w:r>
              <w:rPr>
                <w:rFonts w:ascii="Arial" w:cs="Arial" w:eastAsia="Arial" w:hAnsi="Arial"/>
                <w:sz w:val="18"/>
                <w:szCs w:val="18"/>
                <w:color w:val="auto"/>
              </w:rPr>
              <w:t>CUSIP No. 92337F107</w:t>
            </w:r>
          </w:p>
        </w:tc>
        <w:tc>
          <w:tcPr>
            <w:tcW w:w="2120" w:type="dxa"/>
            <w:vAlign w:val="bottom"/>
          </w:tcPr>
          <w:p>
            <w:pPr>
              <w:ind w:left="1200"/>
              <w:spacing w:after="0"/>
              <w:rPr>
                <w:sz w:val="20"/>
                <w:szCs w:val="20"/>
                <w:color w:val="auto"/>
              </w:rPr>
            </w:pPr>
            <w:r>
              <w:rPr>
                <w:rFonts w:ascii="Arial" w:cs="Arial" w:eastAsia="Arial" w:hAnsi="Arial"/>
                <w:sz w:val="18"/>
                <w:szCs w:val="18"/>
                <w:color w:val="auto"/>
                <w:w w:val="88"/>
              </w:rPr>
              <w:t>Page 6 of 10</w:t>
            </w:r>
          </w:p>
        </w:tc>
      </w:tr>
      <w:tr>
        <w:trPr>
          <w:trHeight w:val="122"/>
        </w:trPr>
        <w:tc>
          <w:tcPr>
            <w:tcW w:w="93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r>
      <w:tr>
        <w:trPr>
          <w:trHeight w:val="224"/>
        </w:trPr>
        <w:tc>
          <w:tcPr>
            <w:tcW w:w="9320" w:type="dxa"/>
            <w:vAlign w:val="bottom"/>
          </w:tcPr>
          <w:p>
            <w:pPr>
              <w:ind w:left="260"/>
              <w:spacing w:after="0"/>
              <w:rPr>
                <w:sz w:val="20"/>
                <w:szCs w:val="20"/>
                <w:color w:val="auto"/>
              </w:rPr>
            </w:pPr>
            <w:r>
              <w:rPr>
                <w:rFonts w:ascii="Arial" w:cs="Arial" w:eastAsia="Arial" w:hAnsi="Arial"/>
                <w:sz w:val="18"/>
                <w:szCs w:val="18"/>
                <w:color w:val="auto"/>
              </w:rPr>
              <w:t>1.  Name of reporting persons / I.R.S. IDENTIFICATION NO. OF ABOVE PERSONS (ENTITIES ONLY)</w:t>
            </w:r>
          </w:p>
        </w:tc>
        <w:tc>
          <w:tcPr>
            <w:tcW w:w="2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524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22"/>
          <w:szCs w:val="22"/>
          <w:color w:val="auto"/>
        </w:rPr>
        <w:t>ERIC A. BROCK</w:t>
      </w:r>
    </w:p>
    <w:p>
      <w:pPr>
        <w:spacing w:after="0" w:line="2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60"/>
        <w:spacing w:after="0" w:line="207" w:lineRule="exact"/>
        <w:tabs>
          <w:tab w:leader="none" w:pos="13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60" w:hanging="305"/>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60" w:hanging="305"/>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UNITED STATES</w:t>
      </w:r>
    </w:p>
    <w:p>
      <w:pPr>
        <w:spacing w:after="0" w:line="24" w:lineRule="exact"/>
        <w:rPr>
          <w:sz w:val="20"/>
          <w:szCs w:val="20"/>
          <w:color w:val="auto"/>
        </w:rPr>
      </w:pPr>
    </w:p>
    <w:p>
      <w:pPr>
        <w:ind w:left="1280"/>
        <w:spacing w:after="0"/>
        <w:tabs>
          <w:tab w:leader="none" w:pos="15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18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80" w:type="dxa"/>
            <w:vAlign w:val="bottom"/>
            <w:gridSpan w:val="2"/>
            <w:vMerge w:val="continue"/>
          </w:tcPr>
          <w:p>
            <w:pPr>
              <w:spacing w:after="0"/>
              <w:rPr>
                <w:sz w:val="4"/>
                <w:szCs w:val="4"/>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80" w:type="dxa"/>
            <w:vAlign w:val="bottom"/>
            <w:vMerge w:val="restart"/>
          </w:tcPr>
          <w:p>
            <w:pPr>
              <w:jc w:val="center"/>
              <w:ind w:right="147"/>
              <w:spacing w:after="0"/>
              <w:rPr>
                <w:sz w:val="20"/>
                <w:szCs w:val="20"/>
                <w:color w:val="auto"/>
              </w:rPr>
            </w:pPr>
            <w:r>
              <w:rPr>
                <w:rFonts w:ascii="Arial" w:cs="Arial" w:eastAsia="Arial" w:hAnsi="Arial"/>
                <w:sz w:val="18"/>
                <w:szCs w:val="18"/>
                <w:color w:val="auto"/>
                <w:w w:val="85"/>
              </w:rPr>
              <w:t>shares</w:t>
            </w:r>
          </w:p>
        </w:tc>
        <w:tc>
          <w:tcPr>
            <w:tcW w:w="320" w:type="dxa"/>
            <w:vAlign w:val="bottom"/>
            <w:vMerge w:val="continue"/>
          </w:tcPr>
          <w:p>
            <w:pPr>
              <w:spacing w:after="0"/>
              <w:rPr>
                <w:sz w:val="15"/>
                <w:szCs w:val="15"/>
                <w:color w:val="auto"/>
              </w:rPr>
            </w:pPr>
          </w:p>
        </w:tc>
        <w:tc>
          <w:tcPr>
            <w:tcW w:w="9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6"/>
              </w:rPr>
              <w:t>beneficially</w:t>
            </w:r>
          </w:p>
        </w:tc>
        <w:tc>
          <w:tcPr>
            <w:tcW w:w="320" w:type="dxa"/>
            <w:vAlign w:val="bottom"/>
          </w:tcPr>
          <w:p>
            <w:pPr>
              <w:spacing w:after="0"/>
              <w:rPr>
                <w:sz w:val="18"/>
                <w:szCs w:val="18"/>
                <w:color w:val="auto"/>
              </w:rPr>
            </w:pPr>
          </w:p>
        </w:tc>
        <w:tc>
          <w:tcPr>
            <w:tcW w:w="9940" w:type="dxa"/>
            <w:vAlign w:val="bottom"/>
            <w:vMerge w:val="restart"/>
          </w:tcPr>
          <w:p>
            <w:pPr>
              <w:ind w:left="30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30"/>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owned by</w:t>
            </w:r>
          </w:p>
        </w:tc>
        <w:tc>
          <w:tcPr>
            <w:tcW w:w="320" w:type="dxa"/>
            <w:vAlign w:val="bottom"/>
            <w:tcBorders>
              <w:bottom w:val="single" w:sz="8" w:color="auto"/>
            </w:tcBorders>
          </w:tcPr>
          <w:p>
            <w:pPr>
              <w:spacing w:after="0"/>
              <w:rPr>
                <w:sz w:val="20"/>
                <w:szCs w:val="20"/>
                <w:color w:val="auto"/>
              </w:rPr>
            </w:pPr>
          </w:p>
        </w:tc>
        <w:tc>
          <w:tcPr>
            <w:tcW w:w="9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80" w:type="dxa"/>
            <w:vAlign w:val="bottom"/>
          </w:tcPr>
          <w:p>
            <w:pPr>
              <w:jc w:val="center"/>
              <w:ind w:right="147"/>
              <w:spacing w:after="0" w:line="182" w:lineRule="exact"/>
              <w:rPr>
                <w:sz w:val="20"/>
                <w:szCs w:val="20"/>
                <w:color w:val="auto"/>
              </w:rPr>
            </w:pPr>
            <w:r>
              <w:rPr>
                <w:rFonts w:ascii="Arial" w:cs="Arial" w:eastAsia="Arial" w:hAnsi="Arial"/>
                <w:sz w:val="18"/>
                <w:szCs w:val="18"/>
                <w:color w:val="auto"/>
                <w:w w:val="86"/>
              </w:rPr>
              <w:t>each</w:t>
            </w: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9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reporting</w:t>
            </w:r>
          </w:p>
        </w:tc>
        <w:tc>
          <w:tcPr>
            <w:tcW w:w="3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80" w:type="dxa"/>
            <w:vAlign w:val="bottom"/>
          </w:tcPr>
          <w:p>
            <w:pPr>
              <w:jc w:val="center"/>
              <w:ind w:right="127"/>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20"/>
                <w:szCs w:val="20"/>
                <w:color w:val="auto"/>
              </w:rPr>
            </w:pPr>
          </w:p>
        </w:tc>
        <w:tc>
          <w:tcPr>
            <w:tcW w:w="9940" w:type="dxa"/>
            <w:vAlign w:val="bottom"/>
          </w:tcPr>
          <w:p>
            <w:pPr>
              <w:ind w:left="3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80" w:type="dxa"/>
            <w:vAlign w:val="bottom"/>
            <w:vMerge w:val="restart"/>
          </w:tcPr>
          <w:p>
            <w:pPr>
              <w:jc w:val="center"/>
              <w:ind w:right="147"/>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tcBorders>
          </w:tcPr>
          <w:p>
            <w:pPr>
              <w:spacing w:after="0"/>
              <w:rPr>
                <w:sz w:val="6"/>
                <w:szCs w:val="6"/>
                <w:color w:val="auto"/>
              </w:rPr>
            </w:pPr>
          </w:p>
        </w:tc>
        <w:tc>
          <w:tcPr>
            <w:tcW w:w="9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9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26"/>
        </w:trPr>
        <w:tc>
          <w:tcPr>
            <w:tcW w:w="11440" w:type="dxa"/>
            <w:vAlign w:val="bottom"/>
            <w:gridSpan w:val="4"/>
          </w:tcPr>
          <w:p>
            <w:pPr>
              <w:ind w:left="260"/>
              <w:spacing w:after="0"/>
              <w:rPr>
                <w:sz w:val="20"/>
                <w:szCs w:val="20"/>
                <w:color w:val="auto"/>
              </w:rPr>
            </w:pPr>
            <w:r>
              <w:rPr>
                <w:rFonts w:ascii="Arial" w:cs="Arial" w:eastAsia="Arial" w:hAnsi="Arial"/>
                <w:sz w:val="18"/>
                <w:szCs w:val="18"/>
                <w:color w:val="auto"/>
              </w:rPr>
              <w:t>9.  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11040" w:type="dxa"/>
            <w:vAlign w:val="bottom"/>
            <w:tcBorders>
              <w:bottom w:val="single" w:sz="8" w:color="auto"/>
            </w:tcBorders>
            <w:gridSpan w:val="3"/>
          </w:tcPr>
          <w:p>
            <w:pPr>
              <w:ind w:left="380"/>
              <w:spacing w:after="0"/>
              <w:rPr>
                <w:sz w:val="20"/>
                <w:szCs w:val="20"/>
                <w:color w:val="auto"/>
              </w:rPr>
            </w:pPr>
            <w:r>
              <w:rPr>
                <w:rFonts w:ascii="Arial" w:cs="Arial" w:eastAsia="Arial" w:hAnsi="Arial"/>
                <w:sz w:val="22"/>
                <w:szCs w:val="22"/>
                <w:color w:val="auto"/>
              </w:rPr>
              <w:t>1,439,036 (see Item 4)</w:t>
            </w:r>
          </w:p>
        </w:tc>
        <w:tc>
          <w:tcPr>
            <w:tcW w:w="0" w:type="dxa"/>
            <w:vAlign w:val="bottom"/>
          </w:tcPr>
          <w:p>
            <w:pPr>
              <w:spacing w:after="0"/>
              <w:rPr>
                <w:sz w:val="1"/>
                <w:szCs w:val="1"/>
                <w:color w:val="auto"/>
              </w:rPr>
            </w:pPr>
          </w:p>
        </w:tc>
      </w:tr>
      <w:tr>
        <w:trPr>
          <w:trHeight w:val="278"/>
        </w:trPr>
        <w:tc>
          <w:tcPr>
            <w:tcW w:w="400" w:type="dxa"/>
            <w:vAlign w:val="bottom"/>
          </w:tcPr>
          <w:p>
            <w:pPr>
              <w:ind w:left="160"/>
              <w:spacing w:after="0"/>
              <w:rPr>
                <w:sz w:val="20"/>
                <w:szCs w:val="20"/>
                <w:color w:val="auto"/>
              </w:rPr>
            </w:pPr>
            <w:r>
              <w:rPr>
                <w:rFonts w:ascii="Arial" w:cs="Arial" w:eastAsia="Arial" w:hAnsi="Arial"/>
                <w:sz w:val="18"/>
                <w:szCs w:val="18"/>
                <w:color w:val="auto"/>
              </w:rPr>
              <w:t>10</w:t>
            </w:r>
          </w:p>
        </w:tc>
        <w:tc>
          <w:tcPr>
            <w:tcW w:w="11040" w:type="dxa"/>
            <w:vAlign w:val="bottom"/>
            <w:gridSpan w:val="3"/>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110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ind w:left="160"/>
              <w:spacing w:after="0"/>
              <w:rPr>
                <w:sz w:val="20"/>
                <w:szCs w:val="20"/>
                <w:color w:val="auto"/>
              </w:rPr>
            </w:pPr>
            <w:r>
              <w:rPr>
                <w:rFonts w:ascii="Arial" w:cs="Arial" w:eastAsia="Arial" w:hAnsi="Arial"/>
                <w:sz w:val="18"/>
                <w:szCs w:val="18"/>
                <w:color w:val="auto"/>
                <w:w w:val="87"/>
              </w:rPr>
              <w:t>11.</w:t>
            </w:r>
          </w:p>
        </w:tc>
        <w:tc>
          <w:tcPr>
            <w:tcW w:w="11040" w:type="dxa"/>
            <w:vAlign w:val="bottom"/>
            <w:gridSpan w:val="3"/>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80"/>
        <w:spacing w:after="0"/>
        <w:rPr>
          <w:sz w:val="20"/>
          <w:szCs w:val="20"/>
          <w:color w:val="auto"/>
        </w:rPr>
      </w:pPr>
      <w:r>
        <w:rPr>
          <w:rFonts w:ascii="Arial" w:cs="Arial" w:eastAsia="Arial" w:hAnsi="Arial"/>
          <w:sz w:val="22"/>
          <w:szCs w:val="22"/>
          <w:color w:val="auto"/>
        </w:rPr>
        <w:t>5.24% (see Item 4)</w:t>
      </w:r>
    </w:p>
    <w:p>
      <w:pPr>
        <w:spacing w:after="0" w:line="24"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HC – Parent Holding Company/Control Person</w:t>
      </w:r>
    </w:p>
    <w:p>
      <w:pPr>
        <w:sectPr>
          <w:pgSz w:w="11900" w:h="16838" w:orient="portrait"/>
          <w:cols w:equalWidth="0" w:num="1">
            <w:col w:w="11440"/>
          </w:cols>
          <w:pgMar w:left="240" w:top="274"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13G</w:t>
      </w:r>
    </w:p>
    <w:p>
      <w:pPr>
        <w:sectPr>
          <w:pgSz w:w="11900" w:h="16838" w:orient="portrait"/>
          <w:cols w:equalWidth="0" w:num="1">
            <w:col w:w="11420"/>
          </w:cols>
          <w:pgMar w:left="240" w:top="274"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CUSIP No. 92337F107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Page 7 of 10</w:t>
      </w:r>
    </w:p>
    <w:p>
      <w:pPr>
        <w:spacing w:after="0" w:line="516" w:lineRule="exact"/>
        <w:rPr>
          <w:sz w:val="20"/>
          <w:szCs w:val="20"/>
          <w:color w:val="auto"/>
        </w:rPr>
      </w:pPr>
    </w:p>
    <w:p>
      <w:pPr>
        <w:sectPr>
          <w:pgSz w:w="11900" w:h="16838" w:orient="portrait"/>
          <w:cols w:equalWidth="0" w:num="2">
            <w:col w:w="9800" w:space="720"/>
            <w:col w:w="900"/>
          </w:cols>
          <w:pgMar w:left="240" w:top="274" w:right="239" w:bottom="1440" w:gutter="0" w:footer="0" w:header="0"/>
          <w:type w:val="continuous"/>
        </w:sect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Issuer: Veracyte Inc.</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7000 Shoreline Court, Suite 250</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South San Francisco, CA 94080</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and (c) Name and Domicile/Citizenship of Persons Filing:</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Clough Capital Partners L.P., a Delaware limited partnership.</w:t>
      </w:r>
    </w:p>
    <w:p>
      <w:pPr>
        <w:spacing w:after="0" w:line="117" w:lineRule="exact"/>
        <w:rPr>
          <w:rFonts w:ascii="Arial" w:cs="Arial" w:eastAsia="Arial" w:hAnsi="Arial"/>
          <w:sz w:val="18"/>
          <w:szCs w:val="18"/>
          <w:color w:val="auto"/>
        </w:rPr>
      </w:pPr>
    </w:p>
    <w:p>
      <w:pPr>
        <w:ind w:left="1760" w:hanging="268"/>
        <w:spacing w:after="0"/>
        <w:tabs>
          <w:tab w:leader="none" w:pos="1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Clough Capital Partners LLC, a Delaware limited liability company.</w:t>
      </w:r>
    </w:p>
    <w:p>
      <w:pPr>
        <w:spacing w:after="0" w:line="117" w:lineRule="exact"/>
        <w:rPr>
          <w:rFonts w:ascii="Arial" w:cs="Arial" w:eastAsia="Arial" w:hAnsi="Arial"/>
          <w:sz w:val="18"/>
          <w:szCs w:val="18"/>
          <w:color w:val="auto"/>
        </w:rPr>
      </w:pPr>
    </w:p>
    <w:p>
      <w:pPr>
        <w:ind w:left="1800" w:hanging="308"/>
        <w:spacing w:after="0"/>
        <w:tabs>
          <w:tab w:leader="none" w:pos="1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Charles I. Clough, Jr., a United States citizen.</w:t>
      </w:r>
    </w:p>
    <w:p>
      <w:pPr>
        <w:spacing w:after="0" w:line="117" w:lineRule="exact"/>
        <w:rPr>
          <w:rFonts w:ascii="Arial" w:cs="Arial" w:eastAsia="Arial" w:hAnsi="Arial"/>
          <w:sz w:val="18"/>
          <w:szCs w:val="18"/>
          <w:color w:val="auto"/>
        </w:rPr>
      </w:pPr>
    </w:p>
    <w:p>
      <w:pPr>
        <w:ind w:left="1800" w:hanging="308"/>
        <w:spacing w:after="0"/>
        <w:tabs>
          <w:tab w:leader="none" w:pos="1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James E. Canty, a United States citizen.</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Eric A. Brock, a United States citizen.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the Reporting Persons has a business address of:</w:t>
      </w:r>
    </w:p>
    <w:p>
      <w:pPr>
        <w:spacing w:after="0" w:line="200" w:lineRule="exact"/>
        <w:rPr>
          <w:sz w:val="20"/>
          <w:szCs w:val="20"/>
          <w:color w:val="auto"/>
        </w:rPr>
      </w:pPr>
    </w:p>
    <w:p>
      <w:pPr>
        <w:spacing w:after="0" w:line="255"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of Class of Securities: Common Stock, par value $0.01 per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CUSIP Number: 92337F107</w:t>
      </w:r>
    </w:p>
    <w:p>
      <w:pPr>
        <w:spacing w:after="0" w:line="374" w:lineRule="exact"/>
        <w:rPr>
          <w:sz w:val="20"/>
          <w:szCs w:val="20"/>
          <w:color w:val="auto"/>
        </w:rPr>
      </w:pPr>
    </w:p>
    <w:p>
      <w:pPr>
        <w:ind w:left="1140" w:right="40" w:hanging="1133"/>
        <w:spacing w:after="0" w:line="277" w:lineRule="auto"/>
        <w:tabs>
          <w:tab w:leader="none" w:pos="11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color w:val="auto"/>
        </w:rPr>
        <w:t>IF THIS STATEMENT IS FILED PURSUANT TO RULE 13D-1(B), OR 13D-2(B) OR (C), CHECK WHETHER THE PERSON FILING IS A:</w:t>
      </w:r>
    </w:p>
    <w:p>
      <w:pPr>
        <w:spacing w:after="0" w:line="165" w:lineRule="exact"/>
        <w:rPr>
          <w:sz w:val="20"/>
          <w:szCs w:val="20"/>
          <w:color w:val="auto"/>
        </w:rPr>
      </w:pPr>
    </w:p>
    <w:p>
      <w:pPr>
        <w:ind w:left="780" w:hanging="313"/>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780" w:hanging="313"/>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780" w:hanging="313"/>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780" w:hanging="313"/>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780" w:hanging="313"/>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registered under section 203 of the Investment Advisers Act or under the laws of any State</w:t>
      </w:r>
    </w:p>
    <w:p>
      <w:pPr>
        <w:spacing w:after="0" w:line="117" w:lineRule="exact"/>
        <w:rPr>
          <w:rFonts w:ascii="Arial" w:cs="Arial" w:eastAsia="Arial" w:hAnsi="Arial"/>
          <w:sz w:val="18"/>
          <w:szCs w:val="18"/>
          <w:color w:val="auto"/>
        </w:rPr>
      </w:pPr>
    </w:p>
    <w:p>
      <w:pPr>
        <w:ind w:left="1040" w:right="800" w:hanging="573"/>
        <w:spacing w:after="0" w:line="239" w:lineRule="exact"/>
        <w:tabs>
          <w:tab w:leader="none" w:pos="77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Pension fund which is subject to the provisions of the Employee Retirement Income Security Act of 1974 or Endowment Fund; see Section 240.13d-1(b)(1)(ii)(F)</w:t>
      </w:r>
    </w:p>
    <w:p>
      <w:pPr>
        <w:spacing w:after="0" w:line="62" w:lineRule="exact"/>
        <w:rPr>
          <w:rFonts w:ascii="Arial" w:cs="Arial" w:eastAsia="Arial" w:hAnsi="Arial"/>
          <w:sz w:val="18"/>
          <w:szCs w:val="18"/>
          <w:color w:val="auto"/>
        </w:rPr>
      </w:pPr>
    </w:p>
    <w:p>
      <w:pPr>
        <w:ind w:left="780" w:hanging="313"/>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Section 240.13d-1(b)(ii)(G) (Note: See Item 7)</w:t>
      </w:r>
    </w:p>
    <w:p>
      <w:pPr>
        <w:spacing w:after="0" w:line="117" w:lineRule="exact"/>
        <w:rPr>
          <w:rFonts w:ascii="Arial" w:cs="Arial" w:eastAsia="Arial" w:hAnsi="Arial"/>
          <w:sz w:val="18"/>
          <w:szCs w:val="18"/>
          <w:color w:val="auto"/>
        </w:rPr>
      </w:pPr>
    </w:p>
    <w:p>
      <w:pPr>
        <w:ind w:left="780" w:hanging="313"/>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780" w:hanging="313"/>
        <w:spacing w:after="0" w:line="184" w:lineRule="exact"/>
        <w:tabs>
          <w:tab w:leader="none" w:pos="780" w:val="left"/>
        </w:tabs>
        <w:numPr>
          <w:ilvl w:val="0"/>
          <w:numId w:val="1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w:t>
      </w:r>
    </w:p>
    <w:p>
      <w:pPr>
        <w:spacing w:after="0" w:line="140" w:lineRule="exact"/>
        <w:rPr>
          <w:rFonts w:ascii="Arial" w:cs="Arial" w:eastAsia="Arial" w:hAnsi="Arial"/>
          <w:sz w:val="16"/>
          <w:szCs w:val="16"/>
          <w:color w:val="auto"/>
        </w:rPr>
      </w:pPr>
    </w:p>
    <w:p>
      <w:pPr>
        <w:ind w:left="780" w:hanging="313"/>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Section 240.13d-1(b)(1)(ii)(J)</w:t>
      </w:r>
    </w:p>
    <w:p>
      <w:pPr>
        <w:sectPr>
          <w:pgSz w:w="11900" w:h="16838" w:orient="portrait"/>
          <w:cols w:equalWidth="0" w:num="1">
            <w:col w:w="11420"/>
          </w:cols>
          <w:pgMar w:left="240" w:top="27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13G</w:t>
      </w:r>
    </w:p>
    <w:p>
      <w:pPr>
        <w:sectPr>
          <w:pgSz w:w="11900" w:h="16838" w:orient="portrait"/>
          <w:cols w:equalWidth="0" w:num="1">
            <w:col w:w="11420"/>
          </w:cols>
          <w:pgMar w:left="240" w:top="274"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CUSIP No. 92337F107</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Page 8 of 10</w:t>
      </w:r>
    </w:p>
    <w:p>
      <w:pPr>
        <w:spacing w:after="0" w:line="192" w:lineRule="exact"/>
        <w:rPr>
          <w:sz w:val="20"/>
          <w:szCs w:val="20"/>
          <w:color w:val="auto"/>
        </w:rPr>
      </w:pPr>
    </w:p>
    <w:p>
      <w:pPr>
        <w:sectPr>
          <w:pgSz w:w="11900" w:h="16838" w:orient="portrait"/>
          <w:cols w:equalWidth="0" w:num="2">
            <w:col w:w="9800" w:space="720"/>
            <w:col w:w="90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OWNERSHIP</w:t>
      </w:r>
    </w:p>
    <w:p>
      <w:pPr>
        <w:spacing w:after="0" w:line="129" w:lineRule="exact"/>
        <w:rPr>
          <w:sz w:val="20"/>
          <w:szCs w:val="20"/>
          <w:color w:val="auto"/>
        </w:rPr>
      </w:pPr>
    </w:p>
    <w:p>
      <w:pPr>
        <w:sectPr>
          <w:pgSz w:w="11900" w:h="16838" w:orient="portrait"/>
          <w:cols w:equalWidth="0" w:num="2">
            <w:col w:w="620" w:space="520"/>
            <w:col w:w="1028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Amount Beneficially Owned: 1,439,036*</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5.24%*</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1,439,036*</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1,439,036*</w:t>
      </w:r>
    </w:p>
    <w:p>
      <w:pPr>
        <w:spacing w:after="0" w:line="252" w:lineRule="exact"/>
        <w:rPr>
          <w:rFonts w:ascii="Arial" w:cs="Arial" w:eastAsia="Arial" w:hAnsi="Arial"/>
          <w:sz w:val="18"/>
          <w:szCs w:val="18"/>
          <w:color w:val="auto"/>
        </w:rPr>
      </w:pPr>
    </w:p>
    <w:p>
      <w:pPr>
        <w:ind w:left="220" w:right="80" w:hanging="216"/>
        <w:spacing w:after="0" w:line="302" w:lineRule="auto"/>
        <w:rPr>
          <w:rFonts w:ascii="Arial" w:cs="Arial" w:eastAsia="Arial" w:hAnsi="Arial"/>
          <w:sz w:val="18"/>
          <w:szCs w:val="18"/>
          <w:color w:val="auto"/>
        </w:rPr>
      </w:pPr>
      <w:r>
        <w:rPr>
          <w:rFonts w:ascii="Arial" w:cs="Arial" w:eastAsia="Arial" w:hAnsi="Arial"/>
          <w:sz w:val="16"/>
          <w:szCs w:val="16"/>
          <w:color w:val="auto"/>
        </w:rPr>
        <w:t>* The shares reported above include shares beneficially owned by investment companies, pooled investment vehicles and other accounts for which Clough Capital Partners L.P. serves as investment adviser. Such shares may be deemed beneficially owned by (a) Clough Capital Partners L.P., (b) Clough Capital Partners LLC, the general partner of Clough Capital Partners L.P., and (c) Messrs. Clough, Canty and Brock, the managing members of Clough Capital Partners LLC. Each such reporting person disclaims beneficial ownership of such shares except to the extent of its respective pecuniary interest therein.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 holding and percent of class data set forth above is reported as of the date of the filing of this statement on Schedule 13G.</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right="240" w:firstLine="456"/>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OWNERSHIP OF MORE THAN FIVE PERCENT ON BEHALF OF ANOTHER PERSON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1140" w:right="40" w:hanging="1133"/>
        <w:spacing w:after="0" w:line="277" w:lineRule="auto"/>
        <w:tabs>
          <w:tab w:leader="none" w:pos="11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4</w:t>
      </w:r>
    </w:p>
    <w:p>
      <w:pPr>
        <w:sectPr>
          <w:pgSz w:w="11900" w:h="16838" w:orient="portrait"/>
          <w:cols w:equalWidth="0" w:num="1">
            <w:col w:w="11420"/>
          </w:cols>
          <w:pgMar w:left="240" w:top="274"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13G</w:t>
      </w:r>
    </w:p>
    <w:p>
      <w:pPr>
        <w:spacing w:after="0" w:line="131"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5"/>
          <w:szCs w:val="15"/>
          <w:color w:val="auto"/>
        </w:rPr>
        <w:t>Page 9 of 10</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IDENTIFICATION AND CLASSIFICATION OF MEMBERS OF THE GROUP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or effect.</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13G</w:t>
      </w:r>
    </w:p>
    <w:p>
      <w:pPr>
        <w:spacing w:after="0" w:line="131"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6"/>
          <w:szCs w:val="16"/>
          <w:color w:val="auto"/>
        </w:rPr>
        <w:t>Page 10 of 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After reasonable inquiry and to the best of my knowledge and belief, I hereby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CLOUGH CAPITAL PARTNERS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Clough Capital Partners LLC,</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/s/ James E. Canty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James E. Canty,</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a 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CLOUGH CAPITAL PARTNERS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E. Canty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E. Canty,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 managing member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Charles I. Clough,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I. Clough, Jr., individually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Canty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E. Canty, individually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Eric A. Brock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Eric A. Brock, individually</w:t>
      </w:r>
    </w:p>
    <w:p>
      <w:pPr>
        <w:sectPr>
          <w:pgSz w:w="11900" w:h="16838" w:orient="portrait"/>
          <w:cols w:equalWidth="0" w:num="1">
            <w:col w:w="11420"/>
          </w:cols>
          <w:pgMar w:left="240" w:top="27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This Joint Filing Agreement, dated as of June 1, 2015, is by and among Clough Capital Partners L.P., a Delaware limited partnership, Clough Capital Partners LLC, a Delaware limited liability company, Charles I. Clough, Jr., James E. Canty and Eric A. Brock (the foregoing are collectively referred to herein as the “Clough Capital Filers”).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Each of the Clough Capital Filers may be required to file with the United States Securities and Exchange Commission a statement on Schedule 13G (and amendments thereto) with respect to shares of Common Stock, par value $0.01 per share, of Veracyte Inc., a Delaware corporation, beneficially owned by them from time to time.</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Clough Capital Filers hereby agree to file a single statement on Schedule 13G (and any amendments thereto) on behalf of each of the Clough Capital Filers, and hereby further agree to file this Joint Filing Agreement as an exhibit to such statement, as required by such rule.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Joint Filing Agreement may be terminated by any of the Clough Capital Filers upon written notice to the other Clough Capital Filers.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6000" w:type="dxa"/>
            <w:vAlign w:val="bottom"/>
            <w:gridSpan w:val="3"/>
          </w:tcPr>
          <w:p>
            <w:pPr>
              <w:ind w:left="140"/>
              <w:spacing w:after="0"/>
              <w:rPr>
                <w:sz w:val="20"/>
                <w:szCs w:val="20"/>
                <w:color w:val="auto"/>
              </w:rPr>
            </w:pPr>
            <w:r>
              <w:rPr>
                <w:rFonts w:ascii="Arial" w:cs="Arial" w:eastAsia="Arial" w:hAnsi="Arial"/>
                <w:sz w:val="18"/>
                <w:szCs w:val="18"/>
                <w:color w:val="auto"/>
              </w:rPr>
              <w:t>Executed and delivered as of the date first above written.</w:t>
            </w:r>
          </w:p>
        </w:tc>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320" w:type="dxa"/>
            <w:vAlign w:val="bottom"/>
            <w:gridSpan w:val="4"/>
          </w:tcPr>
          <w:p>
            <w:pPr>
              <w:spacing w:after="0"/>
              <w:rPr>
                <w:sz w:val="20"/>
                <w:szCs w:val="20"/>
                <w:color w:val="auto"/>
              </w:rPr>
            </w:pPr>
            <w:r>
              <w:rPr>
                <w:rFonts w:ascii="Arial" w:cs="Arial" w:eastAsia="Arial" w:hAnsi="Arial"/>
                <w:sz w:val="18"/>
                <w:szCs w:val="18"/>
                <w:color w:val="auto"/>
              </w:rPr>
              <w:t>CLOUGH CAPITAL PARTNERS L.P.</w:t>
            </w:r>
          </w:p>
        </w:tc>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gridSpan w:val="4"/>
          </w:tcPr>
          <w:p>
            <w:pPr>
              <w:spacing w:after="0"/>
              <w:rPr>
                <w:sz w:val="20"/>
                <w:szCs w:val="20"/>
                <w:color w:val="auto"/>
              </w:rPr>
            </w:pPr>
            <w:r>
              <w:rPr>
                <w:rFonts w:ascii="Arial" w:cs="Arial" w:eastAsia="Arial" w:hAnsi="Arial"/>
                <w:sz w:val="18"/>
                <w:szCs w:val="18"/>
                <w:color w:val="auto"/>
              </w:rPr>
              <w:t>By Clough Capital Partners LLC,</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I. Clough, Jr.</w:t>
            </w: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its general partner</w:t>
            </w:r>
          </w:p>
        </w:tc>
        <w:tc>
          <w:tcPr>
            <w:tcW w:w="5100" w:type="dxa"/>
            <w:vAlign w:val="bottom"/>
            <w:gridSpan w:val="2"/>
          </w:tcPr>
          <w:p>
            <w:pPr>
              <w:spacing w:after="0"/>
              <w:rPr>
                <w:sz w:val="20"/>
                <w:szCs w:val="20"/>
                <w:color w:val="auto"/>
              </w:rPr>
            </w:pPr>
            <w:r>
              <w:rPr>
                <w:rFonts w:ascii="Arial" w:cs="Arial" w:eastAsia="Arial" w:hAnsi="Arial"/>
                <w:sz w:val="18"/>
                <w:szCs w:val="18"/>
                <w:color w:val="auto"/>
              </w:rPr>
              <w:t>Charles I. Clough, Jr., individually</w:t>
            </w:r>
          </w:p>
        </w:tc>
        <w:tc>
          <w:tcPr>
            <w:tcW w:w="0" w:type="dxa"/>
            <w:vAlign w:val="bottom"/>
          </w:tcPr>
          <w:p>
            <w:pPr>
              <w:spacing w:after="0"/>
              <w:rPr>
                <w:sz w:val="1"/>
                <w:szCs w:val="1"/>
                <w:color w:val="auto"/>
              </w:rPr>
            </w:pPr>
          </w:p>
        </w:tc>
      </w:tr>
      <w:tr>
        <w:trPr>
          <w:trHeight w:val="431"/>
        </w:trPr>
        <w:tc>
          <w:tcPr>
            <w:tcW w:w="320" w:type="dxa"/>
            <w:vAlign w:val="bottom"/>
          </w:tcPr>
          <w:p>
            <w:pPr>
              <w:spacing w:after="0"/>
              <w:rPr>
                <w:sz w:val="24"/>
                <w:szCs w:val="24"/>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By: /s/ James E. Canty</w:t>
            </w:r>
          </w:p>
        </w:tc>
        <w:tc>
          <w:tcPr>
            <w:tcW w:w="5100" w:type="dxa"/>
            <w:vAlign w:val="bottom"/>
            <w:gridSpan w:val="2"/>
          </w:tcPr>
          <w:p>
            <w:pPr>
              <w:spacing w:after="0"/>
              <w:rPr>
                <w:sz w:val="20"/>
                <w:szCs w:val="20"/>
                <w:color w:val="auto"/>
              </w:rPr>
            </w:pPr>
            <w:r>
              <w:rPr>
                <w:rFonts w:ascii="Arial" w:cs="Arial" w:eastAsia="Arial" w:hAnsi="Arial"/>
                <w:sz w:val="18"/>
                <w:szCs w:val="18"/>
                <w:color w:val="auto"/>
              </w:rPr>
              <w:t>/s/ James E. Canty</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E. Canty,</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E. Canty, individually</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a managing member</w:t>
            </w:r>
          </w:p>
        </w:tc>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/s/ Eric A. Brock</w:t>
            </w:r>
          </w:p>
        </w:tc>
        <w:tc>
          <w:tcPr>
            <w:tcW w:w="0" w:type="dxa"/>
            <w:vAlign w:val="bottom"/>
          </w:tcPr>
          <w:p>
            <w:pPr>
              <w:spacing w:after="0"/>
              <w:rPr>
                <w:sz w:val="1"/>
                <w:szCs w:val="1"/>
                <w:color w:val="auto"/>
              </w:rPr>
            </w:pPr>
          </w:p>
        </w:tc>
      </w:tr>
      <w:tr>
        <w:trPr>
          <w:trHeight w:val="221"/>
        </w:trPr>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20" w:type="dxa"/>
            <w:vAlign w:val="bottom"/>
            <w:gridSpan w:val="4"/>
          </w:tcPr>
          <w:p>
            <w:pPr>
              <w:spacing w:after="0"/>
              <w:rPr>
                <w:sz w:val="20"/>
                <w:szCs w:val="20"/>
                <w:color w:val="auto"/>
              </w:rPr>
            </w:pPr>
            <w:r>
              <w:rPr>
                <w:rFonts w:ascii="Arial" w:cs="Arial" w:eastAsia="Arial" w:hAnsi="Arial"/>
                <w:sz w:val="18"/>
                <w:szCs w:val="18"/>
                <w:color w:val="auto"/>
              </w:rPr>
              <w:t>CLOUGH CAPITAL PARTNERS LLC</w:t>
            </w:r>
          </w:p>
        </w:tc>
        <w:tc>
          <w:tcPr>
            <w:tcW w:w="5100" w:type="dxa"/>
            <w:vAlign w:val="bottom"/>
            <w:gridSpan w:val="2"/>
          </w:tcPr>
          <w:p>
            <w:pPr>
              <w:spacing w:after="0"/>
              <w:rPr>
                <w:sz w:val="20"/>
                <w:szCs w:val="20"/>
                <w:color w:val="auto"/>
              </w:rPr>
            </w:pPr>
            <w:r>
              <w:rPr>
                <w:rFonts w:ascii="Arial" w:cs="Arial" w:eastAsia="Arial" w:hAnsi="Arial"/>
                <w:sz w:val="18"/>
                <w:szCs w:val="18"/>
                <w:color w:val="auto"/>
              </w:rPr>
              <w:t>Eric A. Brock, individually</w:t>
            </w:r>
          </w:p>
        </w:tc>
        <w:tc>
          <w:tcPr>
            <w:tcW w:w="0" w:type="dxa"/>
            <w:vAlign w:val="bottom"/>
          </w:tcPr>
          <w:p>
            <w:pPr>
              <w:spacing w:after="0"/>
              <w:rPr>
                <w:sz w:val="1"/>
                <w:szCs w:val="1"/>
                <w:color w:val="auto"/>
              </w:rPr>
            </w:pPr>
          </w:p>
        </w:tc>
      </w:tr>
      <w:tr>
        <w:trPr>
          <w:trHeight w:val="431"/>
        </w:trPr>
        <w:tc>
          <w:tcPr>
            <w:tcW w:w="6320" w:type="dxa"/>
            <w:vAlign w:val="bottom"/>
            <w:gridSpan w:val="4"/>
          </w:tcPr>
          <w:p>
            <w:pPr>
              <w:spacing w:after="0"/>
              <w:rPr>
                <w:sz w:val="20"/>
                <w:szCs w:val="20"/>
                <w:color w:val="auto"/>
              </w:rPr>
            </w:pPr>
            <w:r>
              <w:rPr>
                <w:rFonts w:ascii="Arial" w:cs="Arial" w:eastAsia="Arial" w:hAnsi="Arial"/>
                <w:sz w:val="18"/>
                <w:szCs w:val="18"/>
                <w:color w:val="auto"/>
              </w:rPr>
              <w:t>By: /s/ James E. Canty</w:t>
            </w:r>
          </w:p>
        </w:tc>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James E. Canty,</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a managing member</w:t>
            </w:r>
          </w:p>
        </w:tc>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lvl w:ilvl="1">
      <w:lvlJc w:val="left"/>
      <w:lvlText w:val="(%2)"/>
      <w:numFmt w:val="lowerRoman"/>
      <w:start w:val="1"/>
    </w:lvl>
  </w:abstractNum>
  <w:abstractNum w:abstractNumId="9">
    <w:nsid w:val="1F16E9E8"/>
    <w:multiLevelType w:val="hybridMultilevel"/>
    <w:lvl w:ilvl="0">
      <w:lvlJc w:val="left"/>
      <w:lvlText w:val="(%1)"/>
      <w:numFmt w:val="lowerLetter"/>
      <w:start w:val="4"/>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2019-12-20T20:57:40Z</dcterms:created>
  <dcterms:modified xsi:type="dcterms:W3CDTF">2019-12-20T20:57:40Z</dcterms:modified>
</cp:coreProperties>
</file>