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46"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ind w:right="1239"/>
        <w:spacing w:after="0" w:line="277" w:lineRule="auto"/>
        <w:rPr>
          <w:sz w:val="20"/>
          <w:szCs w:val="20"/>
          <w:color w:val="auto"/>
        </w:rPr>
      </w:pPr>
      <w:r>
        <w:rPr>
          <w:rFonts w:ascii="Times New Roman" w:cs="Times New Roman" w:eastAsia="Times New Roman" w:hAnsi="Times New Roman"/>
          <w:sz w:val="43"/>
          <w:szCs w:val="43"/>
          <w:color w:val="auto"/>
        </w:rPr>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52" w:lineRule="exact"/>
        <w:rPr>
          <w:sz w:val="24"/>
          <w:szCs w:val="24"/>
          <w:color w:val="auto"/>
        </w:rPr>
      </w:pPr>
    </w:p>
    <w:p>
      <w:pPr>
        <w:ind w:left="3520"/>
        <w:spacing w:after="0"/>
        <w:rPr>
          <w:sz w:val="20"/>
          <w:szCs w:val="20"/>
          <w:color w:val="auto"/>
        </w:rPr>
      </w:pPr>
      <w:r>
        <w:rPr>
          <w:rFonts w:ascii="Times New Roman" w:cs="Times New Roman" w:eastAsia="Times New Roman" w:hAnsi="Times New Roman"/>
          <w:sz w:val="22"/>
          <w:szCs w:val="22"/>
          <w:b w:val="1"/>
          <w:bCs w:val="1"/>
          <w:color w:val="auto"/>
        </w:rPr>
        <w:t xml:space="preserve">(Amendment No. </w:t>
      </w:r>
      <w:r>
        <w:rPr>
          <w:rFonts w:ascii="Times New Roman" w:cs="Times New Roman" w:eastAsia="Times New Roman" w:hAnsi="Times New Roman"/>
          <w:sz w:val="22"/>
          <w:szCs w:val="22"/>
          <w:b w:val="1"/>
          <w:bCs w:val="1"/>
          <w:color w:val="0000FF"/>
        </w:rPr>
        <w:t>5</w:t>
      </w:r>
      <w:r>
        <w:rPr>
          <w:rFonts w:ascii="Times New Roman" w:cs="Times New Roman" w:eastAsia="Times New Roman" w:hAnsi="Times New Roman"/>
          <w:sz w:val="22"/>
          <w:szCs w:val="22"/>
          <w:b w:val="1"/>
          <w:bCs w:val="1"/>
          <w:color w:val="auto"/>
        </w:rPr>
        <w:t>)*</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VERACYTE,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92337F107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12/31/2025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92337F107</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Artisan Partners Asset Management Inc.</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270"/>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DELAWARE</w:t>
      </w:r>
    </w:p>
    <w:p>
      <w:pPr>
        <w:sectPr>
          <w:pgSz w:w="11900" w:h="16884" w:orient="portrait"/>
          <w:cols w:equalWidth="0" w:num="1">
            <w:col w:w="10099"/>
          </w:cols>
          <w:pgMar w:left="360" w:top="866" w:right="1440" w:bottom="0" w:gutter="0" w:footer="0" w:header="0"/>
        </w:sectPr>
      </w:pPr>
    </w:p>
    <w:bookmarkStart w:id="1" w:name="page2"/>
    <w:bookmarkEnd w:id="1"/>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Shares</w:t>
      </w:r>
    </w:p>
    <w:p>
      <w:pPr>
        <w:ind w:left="40"/>
        <w:spacing w:after="0"/>
        <w:rPr>
          <w:sz w:val="20"/>
          <w:szCs w:val="20"/>
          <w:color w:val="auto"/>
        </w:rPr>
      </w:pPr>
      <w:r>
        <w:rPr>
          <w:rFonts w:ascii="Times New Roman" w:cs="Times New Roman" w:eastAsia="Times New Roman" w:hAnsi="Times New Roman"/>
          <w:sz w:val="21"/>
          <w:szCs w:val="21"/>
          <w:color w:val="auto"/>
        </w:rPr>
        <w:t>Beneficially</w:t>
      </w:r>
    </w:p>
    <w:p>
      <w:pPr>
        <w:ind w:left="40"/>
        <w:spacing w:after="0" w:line="231" w:lineRule="auto"/>
        <w:rPr>
          <w:sz w:val="20"/>
          <w:szCs w:val="20"/>
          <w:color w:val="auto"/>
        </w:rPr>
      </w:pPr>
      <w:r>
        <w:rPr>
          <w:rFonts w:ascii="Times New Roman" w:cs="Times New Roman" w:eastAsia="Times New Roman" w:hAnsi="Times New Roman"/>
          <w:sz w:val="22"/>
          <w:szCs w:val="22"/>
          <w:color w:val="auto"/>
        </w:rPr>
        <w:t>Owned by</w:t>
      </w:r>
    </w:p>
    <w:p>
      <w:pPr>
        <w:ind w:left="40"/>
        <w:spacing w:after="0" w:line="231" w:lineRule="auto"/>
        <w:rPr>
          <w:sz w:val="20"/>
          <w:szCs w:val="20"/>
          <w:color w:val="auto"/>
        </w:rPr>
      </w:pPr>
      <w:r>
        <w:rPr>
          <w:rFonts w:ascii="Times New Roman" w:cs="Times New Roman" w:eastAsia="Times New Roman" w:hAnsi="Times New Roman"/>
          <w:sz w:val="22"/>
          <w:szCs w:val="22"/>
          <w:color w:val="auto"/>
        </w:rPr>
        <w:t>Each</w:t>
      </w:r>
    </w:p>
    <w:p>
      <w:pPr>
        <w:ind w:left="40"/>
        <w:spacing w:after="0" w:line="231" w:lineRule="auto"/>
        <w:rPr>
          <w:sz w:val="20"/>
          <w:szCs w:val="20"/>
          <w:color w:val="auto"/>
        </w:rPr>
      </w:pPr>
      <w:r>
        <w:rPr>
          <w:rFonts w:ascii="Times New Roman" w:cs="Times New Roman" w:eastAsia="Times New Roman" w:hAnsi="Times New Roman"/>
          <w:sz w:val="22"/>
          <w:szCs w:val="22"/>
          <w:color w:val="auto"/>
        </w:rPr>
        <w:t>Reporting</w:t>
      </w:r>
    </w:p>
    <w:p>
      <w:pPr>
        <w:ind w:left="40"/>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5,457,186.00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6,263,041.00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6,263,041.00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7.9 %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HC</w:t>
      </w:r>
    </w:p>
    <w:p>
      <w:pPr>
        <w:spacing w:after="0" w:line="200" w:lineRule="exact"/>
        <w:rPr>
          <w:sz w:val="20"/>
          <w:szCs w:val="20"/>
          <w:color w:val="auto"/>
        </w:rPr>
      </w:pPr>
    </w:p>
    <w:p>
      <w:pPr>
        <w:sectPr>
          <w:pgSz w:w="11900" w:h="16847" w:orient="portrait"/>
          <w:cols w:equalWidth="0" w:num="2">
            <w:col w:w="1100" w:space="60"/>
            <w:col w:w="10040"/>
          </w:cols>
          <w:pgMar w:left="320" w:top="166" w:right="379" w:bottom="0" w:gutter="0" w:footer="0" w:header="0"/>
        </w:sectPr>
      </w:pPr>
    </w:p>
    <w:p>
      <w:pPr>
        <w:spacing w:after="0" w:line="70" w:lineRule="exact"/>
        <w:rPr>
          <w:sz w:val="20"/>
          <w:szCs w:val="20"/>
          <w:color w:val="auto"/>
        </w:rPr>
      </w:pPr>
    </w:p>
    <w:p>
      <w:pPr>
        <w:spacing w:after="0" w:line="241" w:lineRule="auto"/>
        <w:rPr>
          <w:sz w:val="20"/>
          <w:szCs w:val="20"/>
          <w:color w:val="auto"/>
        </w:rPr>
      </w:pPr>
      <w:r>
        <w:rPr>
          <w:rFonts w:ascii="Times New Roman" w:cs="Times New Roman" w:eastAsia="Times New Roman" w:hAnsi="Times New Roman"/>
          <w:sz w:val="22"/>
          <w:szCs w:val="22"/>
          <w:b w:val="1"/>
          <w:bCs w:val="1"/>
          <w:color w:val="auto"/>
        </w:rPr>
        <w:t xml:space="preserve">Comment for Type of Reporting Person: </w:t>
      </w:r>
      <w:r>
        <w:rPr>
          <w:rFonts w:ascii="Times New Roman" w:cs="Times New Roman" w:eastAsia="Times New Roman" w:hAnsi="Times New Roman"/>
          <w:sz w:val="22"/>
          <w:szCs w:val="22"/>
          <w:color w:val="auto"/>
        </w:rPr>
        <w:t>(g) Artisan Partners Holdings LP is the sole limited partner of Artisan Partners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Limited Partnership and the sole member of Artisan Investments GP LLC; Artisan Investments GP LLC is the general partner of Artisan Partners Limited Partnership; Artisan Partners Asset Management Inc. is the general partner of Artisan Partners Holdings LP.</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92337F107</w:t>
      </w:r>
    </w:p>
    <w:p>
      <w:pPr>
        <w:spacing w:after="0" w:line="200" w:lineRule="exact"/>
        <w:rPr>
          <w:sz w:val="20"/>
          <w:szCs w:val="20"/>
          <w:color w:val="auto"/>
        </w:rPr>
      </w:pPr>
    </w:p>
    <w:p>
      <w:pPr>
        <w:spacing w:after="0" w:line="36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w:t>
      </w:r>
    </w:p>
    <w:p>
      <w:pPr>
        <w:ind w:left="1160"/>
        <w:spacing w:after="0"/>
        <w:rPr>
          <w:sz w:val="20"/>
          <w:szCs w:val="20"/>
          <w:color w:val="auto"/>
        </w:rPr>
      </w:pPr>
      <w:r>
        <w:rPr>
          <w:rFonts w:ascii="Times New Roman" w:cs="Times New Roman" w:eastAsia="Times New Roman" w:hAnsi="Times New Roman"/>
          <w:sz w:val="22"/>
          <w:szCs w:val="22"/>
          <w:color w:val="auto"/>
        </w:rPr>
        <w:t>Artisan Partners Holdings LP</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0"/>
          <w:szCs w:val="20"/>
          <w:color w:val="auto"/>
        </w:rPr>
      </w:pPr>
    </w:p>
    <w:p>
      <w:pPr>
        <w:ind w:left="1160" w:hanging="1112"/>
        <w:spacing w:after="0"/>
        <w:tabs>
          <w:tab w:leader="none" w:pos="1160" w:val="left"/>
        </w:tabs>
        <w:numPr>
          <w:ilvl w:val="0"/>
          <w:numId w:val="3"/>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6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ind w:left="1160" w:hanging="1112"/>
        <w:spacing w:after="0"/>
        <w:tabs>
          <w:tab w:leader="none" w:pos="116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4</w:t>
      </w:r>
    </w:p>
    <w:p>
      <w:pPr>
        <w:ind w:left="1160"/>
        <w:spacing w:after="0"/>
        <w:rPr>
          <w:sz w:val="20"/>
          <w:szCs w:val="20"/>
          <w:color w:val="auto"/>
        </w:rPr>
      </w:pPr>
      <w:r>
        <w:rPr>
          <w:rFonts w:ascii="Times New Roman" w:cs="Times New Roman" w:eastAsia="Times New Roman" w:hAnsi="Times New Roman"/>
          <w:sz w:val="22"/>
          <w:szCs w:val="22"/>
          <w:color w:val="auto"/>
        </w:rPr>
        <w:t>DELAWARE</w:t>
      </w:r>
    </w:p>
    <w:p>
      <w:pPr>
        <w:spacing w:after="0" w:line="61" w:lineRule="exact"/>
        <w:rPr>
          <w:sz w:val="20"/>
          <w:szCs w:val="20"/>
          <w:color w:val="auto"/>
        </w:rPr>
      </w:pPr>
    </w:p>
    <w:tbl>
      <w:tblPr>
        <w:tblLayout w:type="fixed"/>
        <w:tblInd w:w="40" w:type="dxa"/>
        <w:tblCellMar>
          <w:top w:w="0" w:type="dxa"/>
          <w:left w:w="0" w:type="dxa"/>
          <w:bottom w:w="0" w:type="dxa"/>
          <w:right w:w="0" w:type="dxa"/>
        </w:tblCellMar>
      </w:tblPr>
      <w:tr>
        <w:trPr>
          <w:trHeight w:val="282"/>
        </w:trPr>
        <w:tc>
          <w:tcPr>
            <w:tcW w:w="1120" w:type="dxa"/>
            <w:vAlign w:val="bottom"/>
          </w:tcPr>
          <w:p>
            <w:pPr>
              <w:spacing w:after="0"/>
              <w:rPr>
                <w:sz w:val="24"/>
                <w:szCs w:val="24"/>
                <w:color w:val="auto"/>
              </w:rPr>
            </w:pPr>
          </w:p>
        </w:tc>
        <w:tc>
          <w:tcPr>
            <w:tcW w:w="22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5</w:t>
            </w: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Sole Voting Power</w:t>
            </w:r>
          </w:p>
        </w:tc>
        <w:tc>
          <w:tcPr>
            <w:tcW w:w="0" w:type="dxa"/>
            <w:vAlign w:val="bottom"/>
          </w:tcPr>
          <w:p>
            <w:pPr>
              <w:spacing w:after="0"/>
              <w:rPr>
                <w:sz w:val="1"/>
                <w:szCs w:val="1"/>
                <w:color w:val="auto"/>
              </w:rPr>
            </w:pPr>
          </w:p>
        </w:tc>
      </w:tr>
      <w:tr>
        <w:trPr>
          <w:trHeight w:val="243"/>
        </w:trPr>
        <w:tc>
          <w:tcPr>
            <w:tcW w:w="1120" w:type="dxa"/>
            <w:vAlign w:val="bottom"/>
          </w:tcPr>
          <w:p>
            <w:pPr>
              <w:spacing w:after="0"/>
              <w:rPr>
                <w:sz w:val="21"/>
                <w:szCs w:val="21"/>
                <w:color w:val="auto"/>
              </w:rPr>
            </w:pPr>
          </w:p>
        </w:tc>
        <w:tc>
          <w:tcPr>
            <w:tcW w:w="220" w:type="dxa"/>
            <w:vAlign w:val="bottom"/>
            <w:vMerge w:val="continue"/>
          </w:tcPr>
          <w:p>
            <w:pPr>
              <w:spacing w:after="0"/>
              <w:rPr>
                <w:sz w:val="21"/>
                <w:szCs w:val="21"/>
                <w:color w:val="auto"/>
              </w:rPr>
            </w:pP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243"/>
        </w:trPr>
        <w:tc>
          <w:tcPr>
            <w:tcW w:w="11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Number of</w:t>
            </w:r>
          </w:p>
        </w:tc>
        <w:tc>
          <w:tcPr>
            <w:tcW w:w="220" w:type="dxa"/>
            <w:vAlign w:val="bottom"/>
          </w:tcPr>
          <w:p>
            <w:pPr>
              <w:spacing w:after="0"/>
              <w:rPr>
                <w:sz w:val="21"/>
                <w:szCs w:val="21"/>
                <w:color w:val="auto"/>
              </w:rPr>
            </w:pPr>
          </w:p>
        </w:tc>
        <w:tc>
          <w:tcPr>
            <w:tcW w:w="20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163"/>
        </w:trPr>
        <w:tc>
          <w:tcPr>
            <w:tcW w:w="112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Shared Voting Power</w:t>
            </w:r>
          </w:p>
        </w:tc>
        <w:tc>
          <w:tcPr>
            <w:tcW w:w="0" w:type="dxa"/>
            <w:vAlign w:val="bottom"/>
          </w:tcPr>
          <w:p>
            <w:pPr>
              <w:spacing w:after="0"/>
              <w:rPr>
                <w:sz w:val="1"/>
                <w:szCs w:val="1"/>
                <w:color w:val="auto"/>
              </w:rPr>
            </w:pPr>
          </w:p>
        </w:tc>
      </w:tr>
      <w:tr>
        <w:trPr>
          <w:trHeight w:val="134"/>
        </w:trPr>
        <w:tc>
          <w:tcPr>
            <w:tcW w:w="112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Shares</w:t>
            </w:r>
          </w:p>
        </w:tc>
        <w:tc>
          <w:tcPr>
            <w:tcW w:w="22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6</w:t>
            </w:r>
          </w:p>
        </w:tc>
        <w:tc>
          <w:tcPr>
            <w:tcW w:w="20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9"/>
        </w:trPr>
        <w:tc>
          <w:tcPr>
            <w:tcW w:w="1120" w:type="dxa"/>
            <w:vAlign w:val="bottom"/>
            <w:vMerge w:val="continue"/>
          </w:tcPr>
          <w:p>
            <w:pPr>
              <w:spacing w:after="0"/>
              <w:rPr>
                <w:sz w:val="9"/>
                <w:szCs w:val="9"/>
                <w:color w:val="auto"/>
              </w:rPr>
            </w:pPr>
          </w:p>
        </w:tc>
        <w:tc>
          <w:tcPr>
            <w:tcW w:w="220" w:type="dxa"/>
            <w:vAlign w:val="bottom"/>
            <w:vMerge w:val="continue"/>
          </w:tcPr>
          <w:p>
            <w:pPr>
              <w:spacing w:after="0"/>
              <w:rPr>
                <w:sz w:val="9"/>
                <w:szCs w:val="9"/>
                <w:color w:val="auto"/>
              </w:rPr>
            </w:pPr>
          </w:p>
        </w:tc>
        <w:tc>
          <w:tcPr>
            <w:tcW w:w="20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43"/>
        </w:trPr>
        <w:tc>
          <w:tcPr>
            <w:tcW w:w="11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Beneficially</w:t>
            </w:r>
          </w:p>
        </w:tc>
        <w:tc>
          <w:tcPr>
            <w:tcW w:w="220" w:type="dxa"/>
            <w:vAlign w:val="bottom"/>
            <w:vMerge w:val="continue"/>
          </w:tcPr>
          <w:p>
            <w:pPr>
              <w:spacing w:after="0"/>
              <w:rPr>
                <w:sz w:val="21"/>
                <w:szCs w:val="21"/>
                <w:color w:val="auto"/>
              </w:rPr>
            </w:pP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5,457,186.00</w:t>
            </w:r>
          </w:p>
        </w:tc>
        <w:tc>
          <w:tcPr>
            <w:tcW w:w="0" w:type="dxa"/>
            <w:vAlign w:val="bottom"/>
          </w:tcPr>
          <w:p>
            <w:pPr>
              <w:spacing w:after="0"/>
              <w:rPr>
                <w:sz w:val="1"/>
                <w:szCs w:val="1"/>
                <w:color w:val="auto"/>
              </w:rPr>
            </w:pPr>
          </w:p>
        </w:tc>
      </w:tr>
      <w:tr>
        <w:trPr>
          <w:trHeight w:val="134"/>
        </w:trPr>
        <w:tc>
          <w:tcPr>
            <w:tcW w:w="112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Owned by</w:t>
            </w:r>
          </w:p>
        </w:tc>
        <w:tc>
          <w:tcPr>
            <w:tcW w:w="220" w:type="dxa"/>
            <w:vAlign w:val="bottom"/>
          </w:tcPr>
          <w:p>
            <w:pPr>
              <w:spacing w:after="0"/>
              <w:rPr>
                <w:sz w:val="11"/>
                <w:szCs w:val="11"/>
                <w:color w:val="auto"/>
              </w:rPr>
            </w:pPr>
          </w:p>
        </w:tc>
        <w:tc>
          <w:tcPr>
            <w:tcW w:w="20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9"/>
        </w:trPr>
        <w:tc>
          <w:tcPr>
            <w:tcW w:w="1120" w:type="dxa"/>
            <w:vAlign w:val="bottom"/>
            <w:vMerge w:val="continue"/>
          </w:tcPr>
          <w:p>
            <w:pPr>
              <w:spacing w:after="0"/>
              <w:rPr>
                <w:sz w:val="9"/>
                <w:szCs w:val="9"/>
                <w:color w:val="auto"/>
              </w:rPr>
            </w:pPr>
          </w:p>
        </w:tc>
        <w:tc>
          <w:tcPr>
            <w:tcW w:w="220" w:type="dxa"/>
            <w:vAlign w:val="bottom"/>
          </w:tcPr>
          <w:p>
            <w:pPr>
              <w:spacing w:after="0"/>
              <w:rPr>
                <w:sz w:val="9"/>
                <w:szCs w:val="9"/>
                <w:color w:val="auto"/>
              </w:rPr>
            </w:pP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w w:val="96"/>
              </w:rPr>
              <w:t>Sole Dispositive Power</w:t>
            </w:r>
          </w:p>
        </w:tc>
        <w:tc>
          <w:tcPr>
            <w:tcW w:w="0" w:type="dxa"/>
            <w:vAlign w:val="bottom"/>
          </w:tcPr>
          <w:p>
            <w:pPr>
              <w:spacing w:after="0"/>
              <w:rPr>
                <w:sz w:val="1"/>
                <w:szCs w:val="1"/>
                <w:color w:val="auto"/>
              </w:rPr>
            </w:pPr>
          </w:p>
        </w:tc>
      </w:tr>
      <w:tr>
        <w:trPr>
          <w:trHeight w:val="188"/>
        </w:trPr>
        <w:tc>
          <w:tcPr>
            <w:tcW w:w="112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Each</w:t>
            </w:r>
          </w:p>
        </w:tc>
        <w:tc>
          <w:tcPr>
            <w:tcW w:w="22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7</w:t>
            </w:r>
          </w:p>
        </w:tc>
        <w:tc>
          <w:tcPr>
            <w:tcW w:w="20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55"/>
        </w:trPr>
        <w:tc>
          <w:tcPr>
            <w:tcW w:w="1120" w:type="dxa"/>
            <w:vAlign w:val="bottom"/>
            <w:vMerge w:val="continue"/>
          </w:tcPr>
          <w:p>
            <w:pPr>
              <w:spacing w:after="0"/>
              <w:rPr>
                <w:sz w:val="4"/>
                <w:szCs w:val="4"/>
                <w:color w:val="auto"/>
              </w:rPr>
            </w:pPr>
          </w:p>
        </w:tc>
        <w:tc>
          <w:tcPr>
            <w:tcW w:w="220" w:type="dxa"/>
            <w:vAlign w:val="bottom"/>
            <w:vMerge w:val="continue"/>
          </w:tcPr>
          <w:p>
            <w:pPr>
              <w:spacing w:after="0"/>
              <w:rPr>
                <w:sz w:val="4"/>
                <w:szCs w:val="4"/>
                <w:color w:val="auto"/>
              </w:rPr>
            </w:pPr>
          </w:p>
        </w:tc>
        <w:tc>
          <w:tcPr>
            <w:tcW w:w="20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8"/>
        </w:trPr>
        <w:tc>
          <w:tcPr>
            <w:tcW w:w="112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Reporting</w:t>
            </w:r>
          </w:p>
        </w:tc>
        <w:tc>
          <w:tcPr>
            <w:tcW w:w="220" w:type="dxa"/>
            <w:vAlign w:val="bottom"/>
            <w:vMerge w:val="continue"/>
          </w:tcPr>
          <w:p>
            <w:pPr>
              <w:spacing w:after="0"/>
              <w:rPr>
                <w:sz w:val="16"/>
                <w:szCs w:val="16"/>
                <w:color w:val="auto"/>
              </w:rPr>
            </w:pP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55"/>
        </w:trPr>
        <w:tc>
          <w:tcPr>
            <w:tcW w:w="1120" w:type="dxa"/>
            <w:vAlign w:val="bottom"/>
            <w:vMerge w:val="continue"/>
          </w:tcPr>
          <w:p>
            <w:pPr>
              <w:spacing w:after="0"/>
              <w:rPr>
                <w:sz w:val="4"/>
                <w:szCs w:val="4"/>
                <w:color w:val="auto"/>
              </w:rPr>
            </w:pPr>
          </w:p>
        </w:tc>
        <w:tc>
          <w:tcPr>
            <w:tcW w:w="220" w:type="dxa"/>
            <w:vAlign w:val="bottom"/>
          </w:tcPr>
          <w:p>
            <w:pPr>
              <w:spacing w:after="0"/>
              <w:rPr>
                <w:sz w:val="4"/>
                <w:szCs w:val="4"/>
                <w:color w:val="auto"/>
              </w:rPr>
            </w:pPr>
          </w:p>
        </w:tc>
        <w:tc>
          <w:tcPr>
            <w:tcW w:w="20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88"/>
        </w:trPr>
        <w:tc>
          <w:tcPr>
            <w:tcW w:w="112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Person</w:t>
            </w:r>
          </w:p>
        </w:tc>
        <w:tc>
          <w:tcPr>
            <w:tcW w:w="220" w:type="dxa"/>
            <w:vAlign w:val="bottom"/>
          </w:tcPr>
          <w:p>
            <w:pPr>
              <w:spacing w:after="0"/>
              <w:rPr>
                <w:sz w:val="16"/>
                <w:szCs w:val="16"/>
                <w:color w:val="auto"/>
              </w:rPr>
            </w:pPr>
          </w:p>
        </w:tc>
        <w:tc>
          <w:tcPr>
            <w:tcW w:w="20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55"/>
        </w:trPr>
        <w:tc>
          <w:tcPr>
            <w:tcW w:w="1120" w:type="dxa"/>
            <w:vAlign w:val="bottom"/>
            <w:vMerge w:val="continue"/>
          </w:tcPr>
          <w:p>
            <w:pPr>
              <w:spacing w:after="0"/>
              <w:rPr>
                <w:sz w:val="4"/>
                <w:szCs w:val="4"/>
                <w:color w:val="auto"/>
              </w:rPr>
            </w:pPr>
          </w:p>
        </w:tc>
        <w:tc>
          <w:tcPr>
            <w:tcW w:w="220" w:type="dxa"/>
            <w:vAlign w:val="bottom"/>
          </w:tcPr>
          <w:p>
            <w:pPr>
              <w:spacing w:after="0"/>
              <w:rPr>
                <w:sz w:val="4"/>
                <w:szCs w:val="4"/>
                <w:color w:val="auto"/>
              </w:rPr>
            </w:pP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Shared Dispositive</w:t>
            </w:r>
          </w:p>
        </w:tc>
        <w:tc>
          <w:tcPr>
            <w:tcW w:w="0" w:type="dxa"/>
            <w:vAlign w:val="bottom"/>
          </w:tcPr>
          <w:p>
            <w:pPr>
              <w:spacing w:after="0"/>
              <w:rPr>
                <w:sz w:val="1"/>
                <w:szCs w:val="1"/>
                <w:color w:val="auto"/>
              </w:rPr>
            </w:pPr>
          </w:p>
        </w:tc>
      </w:tr>
      <w:tr>
        <w:trPr>
          <w:trHeight w:val="216"/>
        </w:trPr>
        <w:tc>
          <w:tcPr>
            <w:tcW w:w="1120" w:type="dxa"/>
            <w:vAlign w:val="bottom"/>
          </w:tcPr>
          <w:p>
            <w:pPr>
              <w:spacing w:after="0" w:line="217" w:lineRule="exact"/>
              <w:rPr>
                <w:sz w:val="20"/>
                <w:szCs w:val="20"/>
                <w:color w:val="auto"/>
              </w:rPr>
            </w:pPr>
            <w:r>
              <w:rPr>
                <w:rFonts w:ascii="Times New Roman" w:cs="Times New Roman" w:eastAsia="Times New Roman" w:hAnsi="Times New Roman"/>
                <w:sz w:val="22"/>
                <w:szCs w:val="22"/>
                <w:color w:val="auto"/>
              </w:rPr>
              <w:t>With:</w:t>
            </w:r>
          </w:p>
        </w:tc>
        <w:tc>
          <w:tcPr>
            <w:tcW w:w="220" w:type="dxa"/>
            <w:vAlign w:val="bottom"/>
          </w:tcPr>
          <w:p>
            <w:pPr>
              <w:spacing w:after="0"/>
              <w:rPr>
                <w:sz w:val="18"/>
                <w:szCs w:val="18"/>
                <w:color w:val="auto"/>
              </w:rPr>
            </w:pPr>
          </w:p>
        </w:tc>
        <w:tc>
          <w:tcPr>
            <w:tcW w:w="20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390"/>
        </w:trPr>
        <w:tc>
          <w:tcPr>
            <w:tcW w:w="1120" w:type="dxa"/>
            <w:vAlign w:val="bottom"/>
          </w:tcPr>
          <w:p>
            <w:pPr>
              <w:spacing w:after="0"/>
              <w:rPr>
                <w:sz w:val="24"/>
                <w:szCs w:val="24"/>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8</w:t>
            </w: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Power</w:t>
            </w:r>
          </w:p>
        </w:tc>
        <w:tc>
          <w:tcPr>
            <w:tcW w:w="0" w:type="dxa"/>
            <w:vAlign w:val="bottom"/>
          </w:tcPr>
          <w:p>
            <w:pPr>
              <w:spacing w:after="0"/>
              <w:rPr>
                <w:sz w:val="1"/>
                <w:szCs w:val="1"/>
                <w:color w:val="auto"/>
              </w:rPr>
            </w:pPr>
          </w:p>
        </w:tc>
      </w:tr>
      <w:tr>
        <w:trPr>
          <w:trHeight w:val="365"/>
        </w:trPr>
        <w:tc>
          <w:tcPr>
            <w:tcW w:w="1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6,263,041.00</w:t>
            </w:r>
          </w:p>
        </w:tc>
        <w:tc>
          <w:tcPr>
            <w:tcW w:w="0" w:type="dxa"/>
            <w:vAlign w:val="bottom"/>
          </w:tcPr>
          <w:p>
            <w:pPr>
              <w:spacing w:after="0"/>
              <w:rPr>
                <w:sz w:val="1"/>
                <w:szCs w:val="1"/>
                <w:color w:val="auto"/>
              </w:rPr>
            </w:pPr>
          </w:p>
        </w:tc>
      </w:tr>
    </w:tbl>
    <w:p>
      <w:pPr>
        <w:spacing w:after="0" w:line="55" w:lineRule="exact"/>
        <w:rPr>
          <w:sz w:val="20"/>
          <w:szCs w:val="20"/>
          <w:color w:val="auto"/>
        </w:rPr>
      </w:pPr>
    </w:p>
    <w:p>
      <w:pPr>
        <w:ind w:left="1160" w:hanging="1112"/>
        <w:spacing w:after="0"/>
        <w:tabs>
          <w:tab w:leader="none" w:pos="116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Aggregate Amount Beneficially Owned by Each Reporting Person</w:t>
      </w:r>
    </w:p>
    <w:p>
      <w:pPr>
        <w:sectPr>
          <w:pgSz w:w="11900" w:h="16847" w:orient="portrait"/>
          <w:cols w:equalWidth="0" w:num="1">
            <w:col w:w="11200"/>
          </w:cols>
          <w:pgMar w:left="320" w:top="166" w:right="379" w:bottom="0" w:gutter="0" w:footer="0" w:header="0"/>
          <w:type w:val="continuous"/>
        </w:sectPr>
      </w:pPr>
    </w:p>
    <w:bookmarkStart w:id="2" w:name="page3"/>
    <w:bookmarkEnd w:id="2"/>
    <w:p>
      <w:pPr>
        <w:ind w:left="1160"/>
        <w:spacing w:after="0"/>
        <w:rPr>
          <w:sz w:val="20"/>
          <w:szCs w:val="20"/>
          <w:color w:val="auto"/>
        </w:rPr>
      </w:pPr>
      <w:r>
        <w:rPr>
          <w:rFonts w:ascii="Times New Roman" w:cs="Times New Roman" w:eastAsia="Times New Roman" w:hAnsi="Times New Roman"/>
          <w:sz w:val="22"/>
          <w:szCs w:val="22"/>
          <w:color w:val="auto"/>
        </w:rPr>
        <w:t>6,263,041.00</w:t>
      </w:r>
    </w:p>
    <w:p>
      <w:pPr>
        <w:spacing w:after="0" w:line="3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box if the aggregate amount in row (9) excludes certain shares (See Instructions)</w:t>
      </w:r>
    </w:p>
    <w:p>
      <w:pPr>
        <w:ind w:left="40"/>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742315</wp:posOffset>
            </wp:positionH>
            <wp:positionV relativeFrom="paragraph">
              <wp:posOffset>12700</wp:posOffset>
            </wp:positionV>
            <wp:extent cx="128905" cy="12890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3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ind w:left="1160"/>
        <w:spacing w:after="0"/>
        <w:rPr>
          <w:sz w:val="20"/>
          <w:szCs w:val="20"/>
          <w:color w:val="auto"/>
        </w:rPr>
      </w:pPr>
      <w:r>
        <w:rPr>
          <w:rFonts w:ascii="Times New Roman" w:cs="Times New Roman" w:eastAsia="Times New Roman" w:hAnsi="Times New Roman"/>
          <w:sz w:val="22"/>
          <w:szCs w:val="22"/>
          <w:color w:val="auto"/>
        </w:rPr>
        <w:t>7.9 %</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12</w:t>
      </w:r>
    </w:p>
    <w:p>
      <w:pPr>
        <w:ind w:left="1160"/>
        <w:spacing w:after="0"/>
        <w:rPr>
          <w:sz w:val="20"/>
          <w:szCs w:val="20"/>
          <w:color w:val="auto"/>
        </w:rPr>
      </w:pPr>
      <w:r>
        <w:rPr>
          <w:rFonts w:ascii="Times New Roman" w:cs="Times New Roman" w:eastAsia="Times New Roman" w:hAnsi="Times New Roman"/>
          <w:sz w:val="22"/>
          <w:szCs w:val="22"/>
          <w:color w:val="auto"/>
        </w:rPr>
        <w:t>HC</w:t>
      </w:r>
    </w:p>
    <w:p>
      <w:pPr>
        <w:spacing w:after="0" w:line="246" w:lineRule="exact"/>
        <w:rPr>
          <w:sz w:val="20"/>
          <w:szCs w:val="20"/>
          <w:color w:val="auto"/>
        </w:rPr>
      </w:pPr>
    </w:p>
    <w:p>
      <w:pPr>
        <w:spacing w:after="0" w:line="241" w:lineRule="auto"/>
        <w:rPr>
          <w:sz w:val="20"/>
          <w:szCs w:val="20"/>
          <w:color w:val="auto"/>
        </w:rPr>
      </w:pPr>
      <w:r>
        <w:rPr>
          <w:rFonts w:ascii="Times New Roman" w:cs="Times New Roman" w:eastAsia="Times New Roman" w:hAnsi="Times New Roman"/>
          <w:sz w:val="22"/>
          <w:szCs w:val="22"/>
          <w:b w:val="1"/>
          <w:bCs w:val="1"/>
          <w:color w:val="auto"/>
        </w:rPr>
        <w:t xml:space="preserve">Comment for Type of Reporting Person: </w:t>
      </w:r>
      <w:r>
        <w:rPr>
          <w:rFonts w:ascii="Times New Roman" w:cs="Times New Roman" w:eastAsia="Times New Roman" w:hAnsi="Times New Roman"/>
          <w:sz w:val="22"/>
          <w:szCs w:val="22"/>
          <w:color w:val="auto"/>
        </w:rPr>
        <w:t>(g) Artisan Partners Holdings LP is the sole limited partner of Artisan Partners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Limited Partnership and the sole member of Artisan Investments GP LLC; Artisan Investments GP LLC is the general partner of Artisan Partners Limited Partnership; Artisan Partners Asset Management Inc. is the general partner of Artisan Partners Holdings LP.</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92337F107</w:t>
      </w:r>
    </w:p>
    <w:p>
      <w:pPr>
        <w:spacing w:after="0" w:line="200" w:lineRule="exact"/>
        <w:rPr>
          <w:sz w:val="20"/>
          <w:szCs w:val="20"/>
          <w:color w:val="auto"/>
        </w:rPr>
      </w:pPr>
    </w:p>
    <w:p>
      <w:pPr>
        <w:spacing w:after="0" w:line="36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w:t>
      </w:r>
    </w:p>
    <w:p>
      <w:pPr>
        <w:ind w:left="1160"/>
        <w:spacing w:after="0"/>
        <w:rPr>
          <w:sz w:val="20"/>
          <w:szCs w:val="20"/>
          <w:color w:val="auto"/>
        </w:rPr>
      </w:pPr>
      <w:r>
        <w:rPr>
          <w:rFonts w:ascii="Times New Roman" w:cs="Times New Roman" w:eastAsia="Times New Roman" w:hAnsi="Times New Roman"/>
          <w:sz w:val="22"/>
          <w:szCs w:val="22"/>
          <w:color w:val="auto"/>
        </w:rPr>
        <w:t>Artisan Investments GP LLC</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0"/>
          <w:szCs w:val="20"/>
          <w:color w:val="auto"/>
        </w:rPr>
      </w:pPr>
    </w:p>
    <w:p>
      <w:pPr>
        <w:ind w:left="1160" w:hanging="1112"/>
        <w:spacing w:after="0"/>
        <w:tabs>
          <w:tab w:leader="none" w:pos="1160" w:val="left"/>
        </w:tabs>
        <w:numPr>
          <w:ilvl w:val="0"/>
          <w:numId w:val="6"/>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6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ectPr>
          <w:pgSz w:w="11900" w:h="16838" w:orient="portrait"/>
          <w:cols w:equalWidth="0" w:num="1">
            <w:col w:w="11200"/>
          </w:cols>
          <w:pgMar w:left="320" w:top="355" w:right="379" w:bottom="0" w:gutter="0" w:footer="0" w:header="0"/>
        </w:sectPr>
      </w:pPr>
    </w:p>
    <w:p>
      <w:pPr>
        <w:spacing w:after="0" w:line="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Shares</w:t>
      </w:r>
    </w:p>
    <w:p>
      <w:pPr>
        <w:ind w:left="40"/>
        <w:spacing w:after="0"/>
        <w:rPr>
          <w:sz w:val="20"/>
          <w:szCs w:val="20"/>
          <w:color w:val="auto"/>
        </w:rPr>
      </w:pPr>
      <w:r>
        <w:rPr>
          <w:rFonts w:ascii="Times New Roman" w:cs="Times New Roman" w:eastAsia="Times New Roman" w:hAnsi="Times New Roman"/>
          <w:sz w:val="21"/>
          <w:szCs w:val="21"/>
          <w:color w:val="auto"/>
        </w:rPr>
        <w:t>Beneficially</w:t>
      </w:r>
    </w:p>
    <w:p>
      <w:pPr>
        <w:ind w:left="40"/>
        <w:spacing w:after="0" w:line="231" w:lineRule="auto"/>
        <w:rPr>
          <w:sz w:val="20"/>
          <w:szCs w:val="20"/>
          <w:color w:val="auto"/>
        </w:rPr>
      </w:pPr>
      <w:r>
        <w:rPr>
          <w:rFonts w:ascii="Times New Roman" w:cs="Times New Roman" w:eastAsia="Times New Roman" w:hAnsi="Times New Roman"/>
          <w:sz w:val="22"/>
          <w:szCs w:val="22"/>
          <w:color w:val="auto"/>
        </w:rPr>
        <w:t>Owned by</w:t>
      </w:r>
    </w:p>
    <w:p>
      <w:pPr>
        <w:ind w:left="40"/>
        <w:spacing w:after="0" w:line="231" w:lineRule="auto"/>
        <w:rPr>
          <w:sz w:val="20"/>
          <w:szCs w:val="20"/>
          <w:color w:val="auto"/>
        </w:rPr>
      </w:pPr>
      <w:r>
        <w:rPr>
          <w:rFonts w:ascii="Times New Roman" w:cs="Times New Roman" w:eastAsia="Times New Roman" w:hAnsi="Times New Roman"/>
          <w:sz w:val="22"/>
          <w:szCs w:val="22"/>
          <w:color w:val="auto"/>
        </w:rPr>
        <w:t>Each</w:t>
      </w:r>
    </w:p>
    <w:p>
      <w:pPr>
        <w:ind w:left="40"/>
        <w:spacing w:after="0" w:line="231" w:lineRule="auto"/>
        <w:rPr>
          <w:sz w:val="20"/>
          <w:szCs w:val="20"/>
          <w:color w:val="auto"/>
        </w:rPr>
      </w:pPr>
      <w:r>
        <w:rPr>
          <w:rFonts w:ascii="Times New Roman" w:cs="Times New Roman" w:eastAsia="Times New Roman" w:hAnsi="Times New Roman"/>
          <w:sz w:val="22"/>
          <w:szCs w:val="22"/>
          <w:color w:val="auto"/>
        </w:rPr>
        <w:t>Reporting</w:t>
      </w:r>
    </w:p>
    <w:p>
      <w:pPr>
        <w:ind w:left="40"/>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DELAWARE</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5,457,186.00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6,263,041.00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6,263,041.00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7.9 %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HC</w:t>
      </w:r>
    </w:p>
    <w:p>
      <w:pPr>
        <w:spacing w:after="0" w:line="200" w:lineRule="exact"/>
        <w:rPr>
          <w:sz w:val="20"/>
          <w:szCs w:val="20"/>
          <w:color w:val="auto"/>
        </w:rPr>
      </w:pPr>
    </w:p>
    <w:p>
      <w:pPr>
        <w:sectPr>
          <w:pgSz w:w="11900" w:h="16838" w:orient="portrait"/>
          <w:cols w:equalWidth="0" w:num="2">
            <w:col w:w="1100" w:space="60"/>
            <w:col w:w="10040"/>
          </w:cols>
          <w:pgMar w:left="320" w:top="355" w:right="379" w:bottom="0" w:gutter="0" w:footer="0" w:header="0"/>
          <w:type w:val="continuous"/>
        </w:sectPr>
      </w:pPr>
    </w:p>
    <w:p>
      <w:pPr>
        <w:spacing w:after="0" w:line="70" w:lineRule="exact"/>
        <w:rPr>
          <w:sz w:val="20"/>
          <w:szCs w:val="20"/>
          <w:color w:val="auto"/>
        </w:rPr>
      </w:pPr>
    </w:p>
    <w:p>
      <w:pPr>
        <w:ind w:right="60"/>
        <w:spacing w:after="0" w:line="286" w:lineRule="auto"/>
        <w:rPr>
          <w:sz w:val="20"/>
          <w:szCs w:val="20"/>
          <w:color w:val="auto"/>
        </w:rPr>
      </w:pPr>
      <w:r>
        <w:rPr>
          <w:rFonts w:ascii="Times New Roman" w:cs="Times New Roman" w:eastAsia="Times New Roman" w:hAnsi="Times New Roman"/>
          <w:sz w:val="21"/>
          <w:szCs w:val="21"/>
          <w:b w:val="1"/>
          <w:bCs w:val="1"/>
          <w:color w:val="auto"/>
        </w:rPr>
        <w:t xml:space="preserve">Comment for Type of Reporting Person: </w:t>
      </w:r>
      <w:r>
        <w:rPr>
          <w:rFonts w:ascii="Times New Roman" w:cs="Times New Roman" w:eastAsia="Times New Roman" w:hAnsi="Times New Roman"/>
          <w:sz w:val="21"/>
          <w:szCs w:val="21"/>
          <w:color w:val="auto"/>
        </w:rPr>
        <w:t>(g) Artisan Partners Holdings LP is the sole limited partner of Artisan Partners</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Limited Partnership and the sole member of Artisan Investments GP LLC; Artisan Investments GP LLC is the general partner of</w:t>
      </w:r>
    </w:p>
    <w:p>
      <w:pPr>
        <w:sectPr>
          <w:pgSz w:w="11900" w:h="16838" w:orient="portrait"/>
          <w:cols w:equalWidth="0" w:num="1">
            <w:col w:w="11200"/>
          </w:cols>
          <w:pgMar w:left="320" w:top="355" w:right="379" w:bottom="0" w:gutter="0" w:footer="0" w:header="0"/>
          <w:type w:val="continuous"/>
        </w:sectPr>
      </w:pPr>
    </w:p>
    <w:bookmarkStart w:id="3" w:name="page4"/>
    <w:bookmarkEnd w:id="3"/>
    <w:p>
      <w:pPr>
        <w:spacing w:after="0" w:line="259" w:lineRule="auto"/>
        <w:rPr>
          <w:sz w:val="20"/>
          <w:szCs w:val="20"/>
          <w:color w:val="auto"/>
        </w:rPr>
      </w:pPr>
      <w:r>
        <w:rPr>
          <w:rFonts w:ascii="Times New Roman" w:cs="Times New Roman" w:eastAsia="Times New Roman" w:hAnsi="Times New Roman"/>
          <w:sz w:val="22"/>
          <w:szCs w:val="22"/>
          <w:color w:val="auto"/>
        </w:rPr>
        <w:t>Artisan Partners Limited Partnership; Artisan Partners Asset Management Inc. is the general partner of Artisan Partners Holdings LP.</w:t>
      </w: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92337F107</w:t>
      </w:r>
    </w:p>
    <w:p>
      <w:pPr>
        <w:spacing w:after="0" w:line="200" w:lineRule="exact"/>
        <w:rPr>
          <w:sz w:val="20"/>
          <w:szCs w:val="20"/>
          <w:color w:val="auto"/>
        </w:rPr>
      </w:pPr>
    </w:p>
    <w:p>
      <w:pPr>
        <w:spacing w:after="0" w:line="36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w:t>
      </w:r>
    </w:p>
    <w:p>
      <w:pPr>
        <w:ind w:left="1160"/>
        <w:spacing w:after="0"/>
        <w:rPr>
          <w:sz w:val="20"/>
          <w:szCs w:val="20"/>
          <w:color w:val="auto"/>
        </w:rPr>
      </w:pPr>
      <w:r>
        <w:rPr>
          <w:rFonts w:ascii="Times New Roman" w:cs="Times New Roman" w:eastAsia="Times New Roman" w:hAnsi="Times New Roman"/>
          <w:sz w:val="22"/>
          <w:szCs w:val="22"/>
          <w:color w:val="auto"/>
        </w:rPr>
        <w:t>Artisan Partners Limited Partnership</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0"/>
          <w:szCs w:val="20"/>
          <w:color w:val="auto"/>
        </w:rPr>
      </w:pPr>
    </w:p>
    <w:p>
      <w:pPr>
        <w:ind w:left="1160" w:hanging="1112"/>
        <w:spacing w:after="0"/>
        <w:tabs>
          <w:tab w:leader="none" w:pos="1160" w:val="left"/>
        </w:tabs>
        <w:numPr>
          <w:ilvl w:val="0"/>
          <w:numId w:val="7"/>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6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ectPr>
          <w:pgSz w:w="11900" w:h="16838" w:orient="portrait"/>
          <w:cols w:equalWidth="0" w:num="1">
            <w:col w:w="11200"/>
          </w:cols>
          <w:pgMar w:left="320" w:top="112" w:right="379" w:bottom="0" w:gutter="0" w:footer="0" w:header="0"/>
        </w:sectPr>
      </w:pPr>
    </w:p>
    <w:p>
      <w:pPr>
        <w:spacing w:after="0" w:line="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Shares</w:t>
      </w:r>
    </w:p>
    <w:p>
      <w:pPr>
        <w:ind w:left="40"/>
        <w:spacing w:after="0"/>
        <w:rPr>
          <w:sz w:val="20"/>
          <w:szCs w:val="20"/>
          <w:color w:val="auto"/>
        </w:rPr>
      </w:pPr>
      <w:r>
        <w:rPr>
          <w:rFonts w:ascii="Times New Roman" w:cs="Times New Roman" w:eastAsia="Times New Roman" w:hAnsi="Times New Roman"/>
          <w:sz w:val="21"/>
          <w:szCs w:val="21"/>
          <w:color w:val="auto"/>
        </w:rPr>
        <w:t>Beneficially</w:t>
      </w:r>
    </w:p>
    <w:p>
      <w:pPr>
        <w:ind w:left="40"/>
        <w:spacing w:after="0" w:line="231" w:lineRule="auto"/>
        <w:rPr>
          <w:sz w:val="20"/>
          <w:szCs w:val="20"/>
          <w:color w:val="auto"/>
        </w:rPr>
      </w:pPr>
      <w:r>
        <w:rPr>
          <w:rFonts w:ascii="Times New Roman" w:cs="Times New Roman" w:eastAsia="Times New Roman" w:hAnsi="Times New Roman"/>
          <w:sz w:val="22"/>
          <w:szCs w:val="22"/>
          <w:color w:val="auto"/>
        </w:rPr>
        <w:t>Owned by</w:t>
      </w:r>
    </w:p>
    <w:p>
      <w:pPr>
        <w:ind w:left="40"/>
        <w:spacing w:after="0" w:line="231" w:lineRule="auto"/>
        <w:rPr>
          <w:sz w:val="20"/>
          <w:szCs w:val="20"/>
          <w:color w:val="auto"/>
        </w:rPr>
      </w:pPr>
      <w:r>
        <w:rPr>
          <w:rFonts w:ascii="Times New Roman" w:cs="Times New Roman" w:eastAsia="Times New Roman" w:hAnsi="Times New Roman"/>
          <w:sz w:val="22"/>
          <w:szCs w:val="22"/>
          <w:color w:val="auto"/>
        </w:rPr>
        <w:t>Each</w:t>
      </w:r>
    </w:p>
    <w:p>
      <w:pPr>
        <w:ind w:left="40"/>
        <w:spacing w:after="0" w:line="231" w:lineRule="auto"/>
        <w:rPr>
          <w:sz w:val="20"/>
          <w:szCs w:val="20"/>
          <w:color w:val="auto"/>
        </w:rPr>
      </w:pPr>
      <w:r>
        <w:rPr>
          <w:rFonts w:ascii="Times New Roman" w:cs="Times New Roman" w:eastAsia="Times New Roman" w:hAnsi="Times New Roman"/>
          <w:sz w:val="22"/>
          <w:szCs w:val="22"/>
          <w:color w:val="auto"/>
        </w:rPr>
        <w:t>Reporting</w:t>
      </w:r>
    </w:p>
    <w:p>
      <w:pPr>
        <w:ind w:left="40"/>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DELAWARE</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5,457,186.00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6,263,041.00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6,263,041.00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7.9 %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IA</w:t>
      </w:r>
    </w:p>
    <w:p>
      <w:pPr>
        <w:spacing w:after="0" w:line="200" w:lineRule="exact"/>
        <w:rPr>
          <w:sz w:val="20"/>
          <w:szCs w:val="20"/>
          <w:color w:val="auto"/>
        </w:rPr>
      </w:pPr>
    </w:p>
    <w:p>
      <w:pPr>
        <w:sectPr>
          <w:pgSz w:w="11900" w:h="16838" w:orient="portrait"/>
          <w:cols w:equalWidth="0" w:num="2">
            <w:col w:w="1100" w:space="60"/>
            <w:col w:w="10040"/>
          </w:cols>
          <w:pgMar w:left="320" w:top="112" w:right="379" w:bottom="0" w:gutter="0" w:footer="0" w:header="0"/>
          <w:type w:val="continuous"/>
        </w:sectPr>
      </w:pPr>
    </w:p>
    <w:p>
      <w:pPr>
        <w:spacing w:after="0" w:line="70" w:lineRule="exact"/>
        <w:rPr>
          <w:sz w:val="20"/>
          <w:szCs w:val="20"/>
          <w:color w:val="auto"/>
        </w:rPr>
      </w:pPr>
    </w:p>
    <w:p>
      <w:pPr>
        <w:ind w:right="200"/>
        <w:spacing w:after="0" w:line="238" w:lineRule="auto"/>
        <w:rPr>
          <w:sz w:val="20"/>
          <w:szCs w:val="20"/>
          <w:color w:val="auto"/>
        </w:rPr>
      </w:pPr>
      <w:r>
        <w:rPr>
          <w:rFonts w:ascii="Times New Roman" w:cs="Times New Roman" w:eastAsia="Times New Roman" w:hAnsi="Times New Roman"/>
          <w:sz w:val="22"/>
          <w:szCs w:val="22"/>
          <w:b w:val="1"/>
          <w:bCs w:val="1"/>
          <w:color w:val="auto"/>
        </w:rPr>
        <w:t xml:space="preserve">Comment for Type of Reporting Person: </w:t>
      </w:r>
      <w:r>
        <w:rPr>
          <w:rFonts w:ascii="Times New Roman" w:cs="Times New Roman" w:eastAsia="Times New Roman" w:hAnsi="Times New Roman"/>
          <w:sz w:val="22"/>
          <w:szCs w:val="22"/>
          <w:color w:val="auto"/>
        </w:rPr>
        <w:t>(e) Artisan Partners Limited Partnership is an investment adviser registered under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section 203 of the Investment Advisers Act of 1940. (g) Artisan Partners Holdings LP is the sole limited partner of Artisan Partners Limited Partnership and the sole member of Artisan Investments GP LLC; Artisan Investments GP LLC is the general partner of Artisan Partners Limited Partnership; Artisan Partners Asset Management Inc. is the general partner of Artisan Partners Holdings LP.</w:t>
      </w: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13G</w:t>
      </w:r>
    </w:p>
    <w:p>
      <w:pPr>
        <w:spacing w:after="0" w:line="2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Item 1.</w:t>
      </w:r>
    </w:p>
    <w:p>
      <w:pPr>
        <w:spacing w:after="0" w:line="44"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Name of issuer: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ind w:left="960"/>
        <w:spacing w:after="0"/>
        <w:rPr>
          <w:sz w:val="20"/>
          <w:szCs w:val="20"/>
          <w:color w:val="auto"/>
        </w:rPr>
      </w:pPr>
      <w:r>
        <w:rPr>
          <w:rFonts w:ascii="Times New Roman" w:cs="Times New Roman" w:eastAsia="Times New Roman" w:hAnsi="Times New Roman"/>
          <w:sz w:val="22"/>
          <w:szCs w:val="22"/>
          <w:color w:val="auto"/>
        </w:rPr>
        <w:t>VERACYTE, INC.</w:t>
      </w:r>
    </w:p>
    <w:p>
      <w:pPr>
        <w:spacing w:after="0" w:line="20" w:lineRule="exact"/>
        <w:rPr>
          <w:sz w:val="20"/>
          <w:szCs w:val="20"/>
          <w:color w:val="auto"/>
        </w:rPr>
      </w:pPr>
    </w:p>
    <w:p>
      <w:pPr>
        <w:ind w:left="960" w:hanging="912"/>
        <w:spacing w:after="0"/>
        <w:tabs>
          <w:tab w:leader="none" w:pos="960"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Address of issuer's principal executive offices:</w:t>
      </w:r>
    </w:p>
    <w:p>
      <w:pPr>
        <w:sectPr>
          <w:pgSz w:w="11900" w:h="16838" w:orient="portrait"/>
          <w:cols w:equalWidth="0" w:num="1">
            <w:col w:w="11200"/>
          </w:cols>
          <w:pgMar w:left="320" w:top="112" w:right="379" w:bottom="0" w:gutter="0" w:footer="0" w:header="0"/>
          <w:type w:val="continuous"/>
        </w:sectPr>
      </w:pPr>
    </w:p>
    <w:bookmarkStart w:id="4" w:name="page5"/>
    <w:bookmarkEnd w:id="4"/>
    <w:p>
      <w:pPr>
        <w:jc w:val="right"/>
        <w:ind w:right="3720"/>
        <w:spacing w:after="0"/>
        <w:rPr>
          <w:sz w:val="20"/>
          <w:szCs w:val="20"/>
          <w:color w:val="auto"/>
        </w:rPr>
      </w:pPr>
      <w:r>
        <w:rPr>
          <w:rFonts w:ascii="Times New Roman" w:cs="Times New Roman" w:eastAsia="Times New Roman" w:hAnsi="Times New Roman"/>
          <w:sz w:val="22"/>
          <w:szCs w:val="22"/>
          <w:color w:val="auto"/>
        </w:rPr>
        <w:t>6000 Shoreline Court, Suite 300, South San Francisco, California 94080</w:t>
      </w:r>
    </w:p>
    <w:p>
      <w:pPr>
        <w:spacing w:after="0" w:line="4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2.</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person filing:</w:t>
      </w:r>
    </w:p>
    <w:p>
      <w:pPr>
        <w:sectPr>
          <w:pgSz w:w="11900" w:h="16838" w:orient="portrait"/>
          <w:cols w:equalWidth="0" w:num="1">
            <w:col w:w="10900"/>
          </w:cols>
          <w:pgMar w:left="360" w:top="112" w:right="639" w:bottom="0" w:gutter="0" w:footer="0" w:header="0"/>
        </w:sectPr>
      </w:pP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3.</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(f)</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(g)</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(h)</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(j)</w:t>
      </w:r>
    </w:p>
    <w:p>
      <w:pPr>
        <w:spacing w:after="0" w:line="30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(k)</w:t>
      </w:r>
    </w:p>
    <w:p>
      <w:pPr>
        <w:spacing w:after="0" w:line="35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4.</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spacing w:after="0" w:line="20" w:lineRule="exact"/>
        <w:rPr>
          <w:sz w:val="20"/>
          <w:szCs w:val="20"/>
          <w:color w:val="auto"/>
        </w:rPr>
      </w:pPr>
      <w:r>
        <w:rPr>
          <w:sz w:val="20"/>
          <w:szCs w:val="20"/>
          <w:color w:val="auto"/>
        </w:rPr>
        <w:br w:type="column"/>
      </w:r>
    </w:p>
    <w:p>
      <w:pPr>
        <w:spacing w:after="0" w:line="213" w:lineRule="exact"/>
        <w:rPr>
          <w:sz w:val="20"/>
          <w:szCs w:val="20"/>
          <w:color w:val="auto"/>
        </w:rPr>
      </w:pPr>
    </w:p>
    <w:p>
      <w:pPr>
        <w:ind w:right="380"/>
        <w:spacing w:after="0" w:line="256" w:lineRule="auto"/>
        <w:rPr>
          <w:sz w:val="20"/>
          <w:szCs w:val="20"/>
          <w:color w:val="auto"/>
        </w:rPr>
      </w:pPr>
      <w:r>
        <w:rPr>
          <w:rFonts w:ascii="Times New Roman" w:cs="Times New Roman" w:eastAsia="Times New Roman" w:hAnsi="Times New Roman"/>
          <w:sz w:val="22"/>
          <w:szCs w:val="22"/>
          <w:color w:val="auto"/>
        </w:rPr>
        <w:t>Artisan Partners Asset Management Inc. ("APAM") Artisan Partners Holdings LP ("Artisan Holdings") Artisan Investments GP LLC ("Artisan Investments") Artisan Partners Limited Partnership ("APLP")</w:t>
      </w:r>
    </w:p>
    <w:p>
      <w:pPr>
        <w:spacing w:after="0"/>
        <w:rPr>
          <w:sz w:val="20"/>
          <w:szCs w:val="20"/>
          <w:color w:val="auto"/>
        </w:rPr>
      </w:pPr>
      <w:r>
        <w:rPr>
          <w:rFonts w:ascii="Times New Roman" w:cs="Times New Roman" w:eastAsia="Times New Roman" w:hAnsi="Times New Roman"/>
          <w:sz w:val="22"/>
          <w:szCs w:val="22"/>
          <w:color w:val="auto"/>
        </w:rPr>
        <w:t>Address or principal business office or, if none, residence:</w:t>
      </w:r>
    </w:p>
    <w:p>
      <w:pPr>
        <w:spacing w:after="0" w:line="233"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22"/>
          <w:szCs w:val="22"/>
          <w:color w:val="auto"/>
        </w:rPr>
        <w:t>APAM, Artisan Holdings, Artisan Investments, and APLP are all located at: 875 East Wisconsin Avenue, Suite 800 Milwaukee, WI 53202</w:t>
      </w:r>
    </w:p>
    <w:p>
      <w:pPr>
        <w:spacing w:after="0"/>
        <w:rPr>
          <w:sz w:val="20"/>
          <w:szCs w:val="20"/>
          <w:color w:val="auto"/>
        </w:rPr>
      </w:pPr>
      <w:r>
        <w:rPr>
          <w:rFonts w:ascii="Times New Roman" w:cs="Times New Roman" w:eastAsia="Times New Roman" w:hAnsi="Times New Roman"/>
          <w:sz w:val="22"/>
          <w:szCs w:val="22"/>
          <w:color w:val="auto"/>
        </w:rPr>
        <w:t>Citizenship:</w:t>
      </w:r>
    </w:p>
    <w:p>
      <w:pPr>
        <w:spacing w:after="0" w:line="233" w:lineRule="exact"/>
        <w:rPr>
          <w:sz w:val="20"/>
          <w:szCs w:val="20"/>
          <w:color w:val="auto"/>
        </w:rPr>
      </w:pPr>
    </w:p>
    <w:p>
      <w:pPr>
        <w:ind w:right="380"/>
        <w:spacing w:after="0" w:line="256" w:lineRule="auto"/>
        <w:rPr>
          <w:sz w:val="20"/>
          <w:szCs w:val="20"/>
          <w:color w:val="auto"/>
        </w:rPr>
      </w:pPr>
      <w:r>
        <w:rPr>
          <w:rFonts w:ascii="Times New Roman" w:cs="Times New Roman" w:eastAsia="Times New Roman" w:hAnsi="Times New Roman"/>
          <w:sz w:val="22"/>
          <w:szCs w:val="22"/>
          <w:color w:val="auto"/>
        </w:rPr>
        <w:t>APAM is a Delaware corporation; Artisan Holdings is a Delaware limited partnership; Artisan Investments is a Delaware limited liability company; APLP is a Delaware limited partnership</w:t>
      </w:r>
    </w:p>
    <w:p>
      <w:pPr>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Common Stock</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CUSIP No.:</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92337F107</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If this statement is filed pursuant to §§ 240.13d-1(b) or 240.13d-2(b) or (c), check whether the person filing is a:</w:t>
      </w:r>
    </w:p>
    <w:p>
      <w:pPr>
        <w:spacing w:after="0" w:line="5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Broker or dealer registered under section 15 of the Act (15 U.S.C. 78o);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Bank as defined in section 3(a)(6) of the Act (15 U.S.C. 78c);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Insurance company as defined in section 3(a)(19) of the Act (15 U.S.C. 78c);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Investment company registered under section 8 of the Investment Company Act of 1940 (15 U.S.C. 80a-8);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An investment adviser in accordance with § 240.13d-1(b)(1)(ii)(E);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An employee benefit plan or endowment fund in accordance with § 240.13d-1(b)(1)(ii)(F);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 parent holding company or control person in accordance with § 240.13d-1(b)(1)(ii)(G);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 savings associations as defined in Section 3(b) of the Federal Deposit Insurance Act (12 U.S.C. 1813);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27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pacing w:after="0" w:line="38" w:lineRule="exact"/>
        <w:rPr>
          <w:sz w:val="20"/>
          <w:szCs w:val="20"/>
          <w:color w:val="auto"/>
        </w:rPr>
      </w:pPr>
    </w:p>
    <w:p>
      <w:pPr>
        <w:ind w:right="440"/>
        <w:spacing w:after="0" w:line="258" w:lineRule="auto"/>
        <w:rPr>
          <w:sz w:val="20"/>
          <w:szCs w:val="20"/>
          <w:color w:val="auto"/>
        </w:rPr>
      </w:pPr>
      <w:r>
        <w:rPr>
          <w:sz w:val="1"/>
          <w:szCs w:val="1"/>
          <w:color w:val="auto"/>
        </w:rPr>
        <w:drawing>
          <wp:inline distT="0" distB="0" distL="0" distR="0">
            <wp:extent cx="128905" cy="128905"/>
            <wp:effectExtent l="0" t="0" r="0" b="0"/>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church plan that is excluded from the definition of an investment company under section 3(c)(14) of the Investment Company Act of 1940 (15 U.S.C. 80a-3);</w:t>
      </w:r>
    </w:p>
    <w:p>
      <w:pPr>
        <w:spacing w:after="0" w:line="10" w:lineRule="exact"/>
        <w:rPr>
          <w:sz w:val="20"/>
          <w:szCs w:val="20"/>
          <w:color w:val="auto"/>
        </w:rPr>
      </w:pPr>
    </w:p>
    <w:p>
      <w:pPr>
        <w:ind w:right="780"/>
        <w:spacing w:after="0" w:line="241" w:lineRule="auto"/>
        <w:rPr>
          <w:sz w:val="20"/>
          <w:szCs w:val="20"/>
          <w:color w:val="auto"/>
        </w:rPr>
      </w:pPr>
      <w:r>
        <w:rPr>
          <w:sz w:val="1"/>
          <w:szCs w:val="1"/>
          <w:color w:val="auto"/>
        </w:rPr>
        <w:drawing>
          <wp:inline distT="0" distB="0" distL="0" distR="0">
            <wp:extent cx="128905" cy="128905"/>
            <wp:effectExtent l="0" t="0" r="0" b="0"/>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 accordance with § 240.13d-1(b)(1)(ii)(J),</w:t>
      </w:r>
    </w:p>
    <w:p>
      <w:pPr>
        <w:spacing w:after="0" w:line="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Group, in accordance with Rule 240.13d-1(b)(1)(ii)(K).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2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6,263,041</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7.9% (based on 79,049,173 shares outstanding as of 10/31/2025) %</w:t>
      </w:r>
    </w:p>
    <w:p>
      <w:pPr>
        <w:spacing w:after="0" w:line="44" w:lineRule="exact"/>
        <w:rPr>
          <w:sz w:val="20"/>
          <w:szCs w:val="20"/>
          <w:color w:val="auto"/>
        </w:rPr>
      </w:pPr>
    </w:p>
    <w:p>
      <w:pPr>
        <w:sectPr>
          <w:pgSz w:w="11900" w:h="16838" w:orient="portrait"/>
          <w:cols w:equalWidth="0" w:num="2">
            <w:col w:w="620" w:space="300"/>
            <w:col w:w="9980"/>
          </w:cols>
          <w:pgMar w:left="360" w:top="112" w:right="639" w:bottom="0" w:gutter="0" w:footer="0" w:header="0"/>
          <w:type w:val="continuous"/>
        </w:sectPr>
      </w:pPr>
    </w:p>
    <w:p>
      <w:pPr>
        <w:ind w:left="920" w:hanging="912"/>
        <w:spacing w:after="0"/>
        <w:tabs>
          <w:tab w:leader="none" w:pos="920" w:val="left"/>
        </w:tabs>
        <w:numPr>
          <w:ilvl w:val="0"/>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pacing w:after="0" w:line="44" w:lineRule="exact"/>
        <w:rPr>
          <w:rFonts w:ascii="Times New Roman" w:cs="Times New Roman" w:eastAsia="Times New Roman" w:hAnsi="Times New Roman"/>
          <w:sz w:val="22"/>
          <w:szCs w:val="22"/>
          <w:color w:val="auto"/>
        </w:rPr>
      </w:pPr>
    </w:p>
    <w:p>
      <w:pPr>
        <w:ind w:left="9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 Sole power to vote or to direct the vote:</w:t>
      </w:r>
    </w:p>
    <w:p>
      <w:pPr>
        <w:spacing w:after="0" w:line="233"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None</w:t>
      </w:r>
    </w:p>
    <w:p>
      <w:pPr>
        <w:spacing w:after="0" w:line="287" w:lineRule="exact"/>
        <w:rPr>
          <w:sz w:val="20"/>
          <w:szCs w:val="20"/>
          <w:color w:val="auto"/>
        </w:rPr>
      </w:pPr>
    </w:p>
    <w:p>
      <w:pPr>
        <w:ind w:left="920" w:right="6000" w:firstLine="6"/>
        <w:spacing w:after="0" w:line="486" w:lineRule="auto"/>
        <w:tabs>
          <w:tab w:leader="none" w:pos="1238" w:val="left"/>
        </w:tabs>
        <w:numPr>
          <w:ilvl w:val="0"/>
          <w:numId w:val="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vote or to direct the vote: 5,457,186</w:t>
      </w:r>
    </w:p>
    <w:p>
      <w:pPr>
        <w:spacing w:after="0" w:line="1" w:lineRule="exact"/>
        <w:rPr>
          <w:rFonts w:ascii="Times New Roman" w:cs="Times New Roman" w:eastAsia="Times New Roman" w:hAnsi="Times New Roman"/>
          <w:sz w:val="22"/>
          <w:szCs w:val="22"/>
          <w:color w:val="auto"/>
        </w:rPr>
      </w:pPr>
    </w:p>
    <w:p>
      <w:pPr>
        <w:ind w:left="920" w:right="5080" w:firstLine="6"/>
        <w:spacing w:after="0" w:line="486" w:lineRule="auto"/>
        <w:tabs>
          <w:tab w:leader="none" w:pos="1298" w:val="left"/>
        </w:tabs>
        <w:numPr>
          <w:ilvl w:val="0"/>
          <w:numId w:val="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dispose or to direct the disposition of: None</w:t>
      </w:r>
    </w:p>
    <w:p>
      <w:pPr>
        <w:spacing w:after="0" w:line="1" w:lineRule="exact"/>
        <w:rPr>
          <w:rFonts w:ascii="Times New Roman" w:cs="Times New Roman" w:eastAsia="Times New Roman" w:hAnsi="Times New Roman"/>
          <w:sz w:val="22"/>
          <w:szCs w:val="22"/>
          <w:color w:val="auto"/>
        </w:rPr>
      </w:pPr>
    </w:p>
    <w:p>
      <w:pPr>
        <w:ind w:left="920" w:right="4880" w:firstLine="6"/>
        <w:spacing w:after="0" w:line="486" w:lineRule="auto"/>
        <w:tabs>
          <w:tab w:leader="none" w:pos="1286" w:val="left"/>
        </w:tabs>
        <w:numPr>
          <w:ilvl w:val="0"/>
          <w:numId w:val="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dispose or to direct the disposition of: 6,263,041</w:t>
      </w:r>
    </w:p>
    <w:p>
      <w:pPr>
        <w:spacing w:after="0" w:line="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5.</w:t>
      </w:r>
      <w:r>
        <w:rPr>
          <w:sz w:val="20"/>
          <w:szCs w:val="20"/>
          <w:color w:val="auto"/>
        </w:rPr>
        <w:tab/>
      </w:r>
      <w:r>
        <w:rPr>
          <w:rFonts w:ascii="Times New Roman" w:cs="Times New Roman" w:eastAsia="Times New Roman" w:hAnsi="Times New Roman"/>
          <w:sz w:val="21"/>
          <w:szCs w:val="21"/>
          <w:color w:val="auto"/>
        </w:rPr>
        <w:t>Ownership of 5 Percent or Less of a Class.</w:t>
      </w:r>
    </w:p>
    <w:p>
      <w:pPr>
        <w:sectPr>
          <w:pgSz w:w="11900" w:h="16838" w:orient="portrait"/>
          <w:cols w:equalWidth="0" w:num="1">
            <w:col w:w="10900"/>
          </w:cols>
          <w:pgMar w:left="360" w:top="112" w:right="639" w:bottom="0" w:gutter="0" w:footer="0" w:header="0"/>
          <w:type w:val="continuous"/>
        </w:sectPr>
      </w:pPr>
    </w:p>
    <w:bookmarkStart w:id="5" w:name="page6"/>
    <w:bookmarkEnd w:id="5"/>
    <w:p>
      <w:pPr>
        <w:spacing w:after="0" w:line="8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Item 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Item 7.</w:t>
      </w:r>
    </w:p>
    <w:p>
      <w:pPr>
        <w:spacing w:after="0" w:line="200" w:lineRule="exact"/>
        <w:rPr>
          <w:sz w:val="20"/>
          <w:szCs w:val="20"/>
          <w:color w:val="auto"/>
        </w:rPr>
      </w:pPr>
    </w:p>
    <w:p>
      <w:pPr>
        <w:spacing w:after="0" w:line="26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Item 8.</w:t>
      </w:r>
    </w:p>
    <w:p>
      <w:pPr>
        <w:spacing w:after="0" w:line="34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Item 9.</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Item 10.</w:t>
      </w:r>
    </w:p>
    <w:p>
      <w:pPr>
        <w:spacing w:after="0" w:line="20" w:lineRule="exact"/>
        <w:rPr>
          <w:sz w:val="20"/>
          <w:szCs w:val="20"/>
          <w:color w:val="auto"/>
        </w:rPr>
      </w:pPr>
      <w:r>
        <w:rPr>
          <w:sz w:val="20"/>
          <w:szCs w:val="20"/>
          <w:color w:val="auto"/>
        </w:rPr>
        <w:br w:type="column"/>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200" w:lineRule="exact"/>
        <w:rPr>
          <w:sz w:val="20"/>
          <w:szCs w:val="20"/>
          <w:color w:val="auto"/>
        </w:rPr>
      </w:pPr>
    </w:p>
    <w:p>
      <w:pPr>
        <w:spacing w:after="0" w:line="247" w:lineRule="exact"/>
        <w:rPr>
          <w:sz w:val="20"/>
          <w:szCs w:val="20"/>
          <w:color w:val="auto"/>
        </w:rPr>
      </w:pPr>
    </w:p>
    <w:p>
      <w:pPr>
        <w:jc w:val="both"/>
        <w:ind w:right="160"/>
        <w:spacing w:after="0" w:line="239" w:lineRule="auto"/>
        <w:rPr>
          <w:sz w:val="20"/>
          <w:szCs w:val="20"/>
          <w:color w:val="auto"/>
        </w:rPr>
      </w:pPr>
      <w:r>
        <w:rPr>
          <w:rFonts w:ascii="Times New Roman" w:cs="Times New Roman" w:eastAsia="Times New Roman" w:hAnsi="Times New Roman"/>
          <w:sz w:val="22"/>
          <w:szCs w:val="22"/>
          <w:color w:val="auto"/>
        </w:rPr>
        <w:t>The shares reported herein have been acquired on behalf of discretionary clients of APLP. Persons other than APLP are entitled to receive all dividends from, and proceeds from the sale of, those shares. None of those persons, to the knowledge of APAM, Artisan Holdings, Artisan Investments, or APLP has an economic interest in more than 5% of the class.</w:t>
      </w:r>
    </w:p>
    <w:p>
      <w:pPr>
        <w:spacing w:after="0" w:line="18"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Identification and Classification of Members of the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Notice of Dissolution of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color w:val="auto"/>
        </w:rPr>
        <w:t>Certifications:</w:t>
      </w:r>
    </w:p>
    <w:p>
      <w:pPr>
        <w:spacing w:after="0" w:line="44" w:lineRule="exact"/>
        <w:rPr>
          <w:sz w:val="20"/>
          <w:szCs w:val="20"/>
          <w:color w:val="auto"/>
        </w:rPr>
      </w:pPr>
    </w:p>
    <w:p>
      <w:pPr>
        <w:sectPr>
          <w:pgSz w:w="11900" w:h="16922" w:orient="portrait"/>
          <w:cols w:equalWidth="0" w:num="2">
            <w:col w:w="760" w:space="200"/>
            <w:col w:w="10220"/>
          </w:cols>
          <w:pgMar w:left="320" w:top="409" w:right="399" w:bottom="0" w:gutter="0" w:footer="0" w:header="0"/>
        </w:sectPr>
      </w:pPr>
    </w:p>
    <w:p>
      <w:pPr>
        <w:ind w:left="980" w:right="40"/>
        <w:spacing w:after="0" w:line="238" w:lineRule="auto"/>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5"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52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3740"/>
        <w:spacing w:after="0"/>
        <w:rPr>
          <w:sz w:val="20"/>
          <w:szCs w:val="20"/>
          <w:color w:val="auto"/>
        </w:rPr>
      </w:pPr>
      <w:r>
        <w:rPr>
          <w:rFonts w:ascii="Times New Roman" w:cs="Times New Roman" w:eastAsia="Times New Roman" w:hAnsi="Times New Roman"/>
          <w:sz w:val="22"/>
          <w:szCs w:val="22"/>
          <w:color w:val="auto"/>
        </w:rPr>
        <w:t>Artisan Partners Asset Management Inc.</w:t>
      </w:r>
    </w:p>
    <w:p>
      <w:pPr>
        <w:spacing w:after="0" w:line="152" w:lineRule="exact"/>
        <w:rPr>
          <w:sz w:val="20"/>
          <w:szCs w:val="20"/>
          <w:color w:val="auto"/>
        </w:rPr>
      </w:pPr>
    </w:p>
    <w:p>
      <w:pPr>
        <w:ind w:left="5700"/>
        <w:spacing w:after="0"/>
        <w:tabs>
          <w:tab w:leader="none" w:pos="676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Gregory K. Ramirez</w:t>
      </w:r>
    </w:p>
    <w:p>
      <w:pPr>
        <w:ind w:left="5700"/>
        <w:spacing w:after="0" w:line="180" w:lineRule="auto"/>
        <w:rPr>
          <w:sz w:val="20"/>
          <w:szCs w:val="20"/>
          <w:color w:val="auto"/>
        </w:rPr>
      </w:pPr>
      <w:r>
        <w:rPr>
          <w:rFonts w:ascii="Times New Roman" w:cs="Times New Roman" w:eastAsia="Times New Roman" w:hAnsi="Times New Roman"/>
          <w:sz w:val="36"/>
          <w:szCs w:val="36"/>
          <w:color w:val="auto"/>
          <w:vertAlign w:val="subscript"/>
        </w:rPr>
        <w:t>Name/Title:</w:t>
      </w:r>
      <w:r>
        <w:rPr>
          <w:rFonts w:ascii="Times New Roman" w:cs="Times New Roman" w:eastAsia="Times New Roman" w:hAnsi="Times New Roman"/>
          <w:sz w:val="19"/>
          <w:szCs w:val="19"/>
          <w:color w:val="auto"/>
        </w:rPr>
        <w:t xml:space="preserve"> Gregory K. Ramirez, Executive Vice President of</w:t>
      </w:r>
    </w:p>
    <w:p>
      <w:pPr>
        <w:spacing w:after="0" w:line="1" w:lineRule="exact"/>
        <w:rPr>
          <w:sz w:val="20"/>
          <w:szCs w:val="20"/>
          <w:color w:val="auto"/>
        </w:rPr>
      </w:pPr>
    </w:p>
    <w:p>
      <w:pPr>
        <w:ind w:left="6780"/>
        <w:spacing w:after="0"/>
        <w:rPr>
          <w:sz w:val="20"/>
          <w:szCs w:val="20"/>
          <w:color w:val="auto"/>
        </w:rPr>
      </w:pPr>
      <w:r>
        <w:rPr>
          <w:rFonts w:ascii="Times New Roman" w:cs="Times New Roman" w:eastAsia="Times New Roman" w:hAnsi="Times New Roman"/>
          <w:sz w:val="22"/>
          <w:szCs w:val="22"/>
          <w:color w:val="auto"/>
        </w:rPr>
        <w:t>Artisan Partners Asset Management Inc.</w:t>
      </w:r>
    </w:p>
    <w:p>
      <w:pPr>
        <w:spacing w:after="0" w:line="20" w:lineRule="exact"/>
        <w:rPr>
          <w:sz w:val="20"/>
          <w:szCs w:val="20"/>
          <w:color w:val="auto"/>
        </w:rPr>
      </w:pPr>
    </w:p>
    <w:p>
      <w:pPr>
        <w:ind w:left="5700"/>
        <w:spacing w:after="0"/>
        <w:tabs>
          <w:tab w:leader="none" w:pos="676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02/03/2026</w:t>
      </w:r>
    </w:p>
    <w:p>
      <w:pPr>
        <w:spacing w:after="0" w:line="152"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Artisan Partners Holdings LP</w:t>
      </w:r>
    </w:p>
    <w:p>
      <w:pPr>
        <w:spacing w:after="0" w:line="152" w:lineRule="exact"/>
        <w:rPr>
          <w:sz w:val="20"/>
          <w:szCs w:val="20"/>
          <w:color w:val="auto"/>
        </w:rPr>
      </w:pPr>
    </w:p>
    <w:p>
      <w:pPr>
        <w:ind w:left="5700"/>
        <w:spacing w:after="0"/>
        <w:tabs>
          <w:tab w:leader="none" w:pos="676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Gregory K. Ramirez</w:t>
      </w:r>
    </w:p>
    <w:p>
      <w:pPr>
        <w:spacing w:after="0" w:line="44" w:lineRule="exact"/>
        <w:rPr>
          <w:sz w:val="20"/>
          <w:szCs w:val="20"/>
          <w:color w:val="auto"/>
        </w:rPr>
      </w:pPr>
    </w:p>
    <w:p>
      <w:pPr>
        <w:ind w:left="6780"/>
        <w:spacing w:after="0"/>
        <w:rPr>
          <w:sz w:val="20"/>
          <w:szCs w:val="20"/>
          <w:color w:val="auto"/>
        </w:rPr>
      </w:pPr>
      <w:r>
        <w:rPr>
          <w:rFonts w:ascii="Times New Roman" w:cs="Times New Roman" w:eastAsia="Times New Roman" w:hAnsi="Times New Roman"/>
          <w:sz w:val="22"/>
          <w:szCs w:val="22"/>
          <w:color w:val="auto"/>
        </w:rPr>
        <w:t>Gregory K. Ramirez, Executive Vice President of</w:t>
      </w:r>
    </w:p>
    <w:p>
      <w:pPr>
        <w:spacing w:after="0" w:line="4" w:lineRule="exact"/>
        <w:rPr>
          <w:sz w:val="20"/>
          <w:szCs w:val="20"/>
          <w:color w:val="auto"/>
        </w:rPr>
      </w:pPr>
    </w:p>
    <w:p>
      <w:pPr>
        <w:jc w:val="right"/>
        <w:ind w:right="300"/>
        <w:spacing w:after="0"/>
        <w:rPr>
          <w:sz w:val="20"/>
          <w:szCs w:val="20"/>
          <w:color w:val="auto"/>
        </w:rPr>
      </w:pPr>
      <w:r>
        <w:rPr>
          <w:rFonts w:ascii="Times New Roman" w:cs="Times New Roman" w:eastAsia="Times New Roman" w:hAnsi="Times New Roman"/>
          <w:sz w:val="22"/>
          <w:szCs w:val="22"/>
          <w:color w:val="auto"/>
        </w:rPr>
        <w:t>Name/Title: Artisan Partners Asset Management Inc., as the</w:t>
      </w:r>
    </w:p>
    <w:p>
      <w:pPr>
        <w:jc w:val="right"/>
        <w:ind w:right="260"/>
        <w:spacing w:after="0"/>
        <w:rPr>
          <w:sz w:val="20"/>
          <w:szCs w:val="20"/>
          <w:color w:val="auto"/>
        </w:rPr>
      </w:pPr>
      <w:r>
        <w:rPr>
          <w:rFonts w:ascii="Times New Roman" w:cs="Times New Roman" w:eastAsia="Times New Roman" w:hAnsi="Times New Roman"/>
          <w:sz w:val="22"/>
          <w:szCs w:val="22"/>
          <w:color w:val="auto"/>
        </w:rPr>
        <w:t>general partner of Artisan Partners Holdings LP</w:t>
      </w:r>
    </w:p>
    <w:p>
      <w:pPr>
        <w:spacing w:after="0" w:line="20" w:lineRule="exact"/>
        <w:rPr>
          <w:sz w:val="20"/>
          <w:szCs w:val="20"/>
          <w:color w:val="auto"/>
        </w:rPr>
      </w:pPr>
    </w:p>
    <w:p>
      <w:pPr>
        <w:ind w:left="5700"/>
        <w:spacing w:after="0"/>
        <w:tabs>
          <w:tab w:leader="none" w:pos="676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02/03/2026</w:t>
      </w:r>
    </w:p>
    <w:p>
      <w:pPr>
        <w:spacing w:after="0" w:line="152" w:lineRule="exact"/>
        <w:rPr>
          <w:sz w:val="20"/>
          <w:szCs w:val="20"/>
          <w:color w:val="auto"/>
        </w:rPr>
      </w:pPr>
    </w:p>
    <w:p>
      <w:pPr>
        <w:ind w:left="2760"/>
        <w:spacing w:after="0"/>
        <w:rPr>
          <w:sz w:val="20"/>
          <w:szCs w:val="20"/>
          <w:color w:val="auto"/>
        </w:rPr>
      </w:pPr>
      <w:r>
        <w:rPr>
          <w:rFonts w:ascii="Times New Roman" w:cs="Times New Roman" w:eastAsia="Times New Roman" w:hAnsi="Times New Roman"/>
          <w:sz w:val="22"/>
          <w:szCs w:val="22"/>
          <w:color w:val="auto"/>
        </w:rPr>
        <w:t>Artisan Investments GP LLC</w:t>
      </w:r>
    </w:p>
    <w:p>
      <w:pPr>
        <w:spacing w:after="0" w:line="152" w:lineRule="exact"/>
        <w:rPr>
          <w:sz w:val="20"/>
          <w:szCs w:val="20"/>
          <w:color w:val="auto"/>
        </w:rPr>
      </w:pPr>
    </w:p>
    <w:p>
      <w:pPr>
        <w:ind w:left="5700"/>
        <w:spacing w:after="0"/>
        <w:tabs>
          <w:tab w:leader="none" w:pos="676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Gregory K. Ramirez</w:t>
      </w:r>
    </w:p>
    <w:p>
      <w:pPr>
        <w:ind w:left="5700"/>
        <w:spacing w:after="0" w:line="180" w:lineRule="auto"/>
        <w:rPr>
          <w:sz w:val="20"/>
          <w:szCs w:val="20"/>
          <w:color w:val="auto"/>
        </w:rPr>
      </w:pPr>
      <w:r>
        <w:rPr>
          <w:rFonts w:ascii="Times New Roman" w:cs="Times New Roman" w:eastAsia="Times New Roman" w:hAnsi="Times New Roman"/>
          <w:sz w:val="36"/>
          <w:szCs w:val="36"/>
          <w:color w:val="auto"/>
          <w:vertAlign w:val="subscript"/>
        </w:rPr>
        <w:t>Name/Title:</w:t>
      </w:r>
      <w:r>
        <w:rPr>
          <w:rFonts w:ascii="Times New Roman" w:cs="Times New Roman" w:eastAsia="Times New Roman" w:hAnsi="Times New Roman"/>
          <w:sz w:val="19"/>
          <w:szCs w:val="19"/>
          <w:color w:val="auto"/>
        </w:rPr>
        <w:t xml:space="preserve"> Gregory K. Ramirez, Vice President of Artisan</w:t>
      </w:r>
    </w:p>
    <w:p>
      <w:pPr>
        <w:spacing w:after="0" w:line="1" w:lineRule="exact"/>
        <w:rPr>
          <w:sz w:val="20"/>
          <w:szCs w:val="20"/>
          <w:color w:val="auto"/>
        </w:rPr>
      </w:pPr>
    </w:p>
    <w:p>
      <w:pPr>
        <w:ind w:left="6780"/>
        <w:spacing w:after="0"/>
        <w:rPr>
          <w:sz w:val="20"/>
          <w:szCs w:val="20"/>
          <w:color w:val="auto"/>
        </w:rPr>
      </w:pPr>
      <w:r>
        <w:rPr>
          <w:rFonts w:ascii="Times New Roman" w:cs="Times New Roman" w:eastAsia="Times New Roman" w:hAnsi="Times New Roman"/>
          <w:sz w:val="22"/>
          <w:szCs w:val="22"/>
          <w:color w:val="auto"/>
        </w:rPr>
        <w:t>Investments GP LLC</w:t>
      </w:r>
    </w:p>
    <w:p>
      <w:pPr>
        <w:spacing w:after="0" w:line="20" w:lineRule="exact"/>
        <w:rPr>
          <w:sz w:val="20"/>
          <w:szCs w:val="20"/>
          <w:color w:val="auto"/>
        </w:rPr>
      </w:pPr>
    </w:p>
    <w:p>
      <w:pPr>
        <w:ind w:left="5700"/>
        <w:spacing w:after="0"/>
        <w:tabs>
          <w:tab w:leader="none" w:pos="676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02/03/2026</w:t>
      </w:r>
    </w:p>
    <w:p>
      <w:pPr>
        <w:spacing w:after="0" w:line="152" w:lineRule="exact"/>
        <w:rPr>
          <w:sz w:val="20"/>
          <w:szCs w:val="20"/>
          <w:color w:val="auto"/>
        </w:rPr>
      </w:pPr>
    </w:p>
    <w:p>
      <w:pPr>
        <w:ind w:left="3420"/>
        <w:spacing w:after="0"/>
        <w:rPr>
          <w:sz w:val="20"/>
          <w:szCs w:val="20"/>
          <w:color w:val="auto"/>
        </w:rPr>
      </w:pPr>
      <w:r>
        <w:rPr>
          <w:rFonts w:ascii="Times New Roman" w:cs="Times New Roman" w:eastAsia="Times New Roman" w:hAnsi="Times New Roman"/>
          <w:sz w:val="22"/>
          <w:szCs w:val="22"/>
          <w:color w:val="auto"/>
        </w:rPr>
        <w:t>Artisan Partners Limited Partnership</w:t>
      </w:r>
    </w:p>
    <w:p>
      <w:pPr>
        <w:spacing w:after="0" w:line="152" w:lineRule="exact"/>
        <w:rPr>
          <w:sz w:val="20"/>
          <w:szCs w:val="20"/>
          <w:color w:val="auto"/>
        </w:rPr>
      </w:pPr>
    </w:p>
    <w:p>
      <w:pPr>
        <w:ind w:left="5700"/>
        <w:spacing w:after="0"/>
        <w:tabs>
          <w:tab w:leader="none" w:pos="676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Gregory K. Ramirez</w:t>
      </w:r>
    </w:p>
    <w:p>
      <w:pPr>
        <w:spacing w:after="0" w:line="44" w:lineRule="exact"/>
        <w:rPr>
          <w:sz w:val="20"/>
          <w:szCs w:val="20"/>
          <w:color w:val="auto"/>
        </w:rPr>
      </w:pPr>
    </w:p>
    <w:p>
      <w:pPr>
        <w:ind w:left="6780"/>
        <w:spacing w:after="0"/>
        <w:rPr>
          <w:sz w:val="20"/>
          <w:szCs w:val="20"/>
          <w:color w:val="auto"/>
        </w:rPr>
      </w:pPr>
      <w:r>
        <w:rPr>
          <w:rFonts w:ascii="Times New Roman" w:cs="Times New Roman" w:eastAsia="Times New Roman" w:hAnsi="Times New Roman"/>
          <w:sz w:val="22"/>
          <w:szCs w:val="22"/>
          <w:color w:val="auto"/>
        </w:rPr>
        <w:t>Gregory K. Ramirez, Vice President of Artisan</w:t>
      </w:r>
    </w:p>
    <w:p>
      <w:pPr>
        <w:spacing w:after="0" w:line="4" w:lineRule="exact"/>
        <w:rPr>
          <w:sz w:val="20"/>
          <w:szCs w:val="20"/>
          <w:color w:val="auto"/>
        </w:rPr>
      </w:pPr>
    </w:p>
    <w:p>
      <w:pPr>
        <w:ind w:left="5700"/>
        <w:spacing w:after="0"/>
        <w:rPr>
          <w:sz w:val="20"/>
          <w:szCs w:val="20"/>
          <w:color w:val="auto"/>
        </w:rPr>
      </w:pPr>
      <w:r>
        <w:rPr>
          <w:rFonts w:ascii="Times New Roman" w:cs="Times New Roman" w:eastAsia="Times New Roman" w:hAnsi="Times New Roman"/>
          <w:sz w:val="22"/>
          <w:szCs w:val="22"/>
          <w:color w:val="auto"/>
        </w:rPr>
        <w:t>Name/Title: Investments GP LLC, as the general partner of</w:t>
      </w:r>
    </w:p>
    <w:p>
      <w:pPr>
        <w:ind w:left="6780"/>
        <w:spacing w:after="0"/>
        <w:rPr>
          <w:sz w:val="20"/>
          <w:szCs w:val="20"/>
          <w:color w:val="auto"/>
        </w:rPr>
      </w:pPr>
      <w:r>
        <w:rPr>
          <w:rFonts w:ascii="Times New Roman" w:cs="Times New Roman" w:eastAsia="Times New Roman" w:hAnsi="Times New Roman"/>
          <w:sz w:val="22"/>
          <w:szCs w:val="22"/>
          <w:color w:val="auto"/>
        </w:rPr>
        <w:t>Artisan Partners Limited Partnership</w:t>
      </w:r>
    </w:p>
    <w:p>
      <w:pPr>
        <w:spacing w:after="0" w:line="20" w:lineRule="exact"/>
        <w:rPr>
          <w:sz w:val="20"/>
          <w:szCs w:val="20"/>
          <w:color w:val="auto"/>
        </w:rPr>
      </w:pPr>
    </w:p>
    <w:p>
      <w:pPr>
        <w:ind w:left="5700"/>
        <w:spacing w:after="0"/>
        <w:tabs>
          <w:tab w:leader="none" w:pos="676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02/03/2026</w:t>
      </w:r>
    </w:p>
    <w:p>
      <w:pPr>
        <w:spacing w:after="0" w:line="310" w:lineRule="exact"/>
        <w:rPr>
          <w:sz w:val="20"/>
          <w:szCs w:val="20"/>
          <w:color w:val="auto"/>
        </w:rPr>
      </w:pPr>
    </w:p>
    <w:p>
      <w:pPr>
        <w:ind w:right="120"/>
        <w:spacing w:after="0" w:line="246" w:lineRule="auto"/>
        <w:rPr>
          <w:sz w:val="20"/>
          <w:szCs w:val="20"/>
          <w:color w:val="auto"/>
        </w:rPr>
      </w:pPr>
      <w:r>
        <w:rPr>
          <w:rFonts w:ascii="Times New Roman" w:cs="Times New Roman" w:eastAsia="Times New Roman" w:hAnsi="Times New Roman"/>
          <w:sz w:val="22"/>
          <w:szCs w:val="22"/>
          <w:b w:val="1"/>
          <w:bCs w:val="1"/>
          <w:color w:val="auto"/>
        </w:rPr>
        <w:t xml:space="preserve">Comments accompanying signature: </w:t>
      </w:r>
      <w:r>
        <w:rPr>
          <w:rFonts w:ascii="Times New Roman" w:cs="Times New Roman" w:eastAsia="Times New Roman" w:hAnsi="Times New Roman"/>
          <w:sz w:val="22"/>
          <w:szCs w:val="22"/>
          <w:color w:val="auto"/>
        </w:rPr>
        <w:t>Exhibit Index Exhibit 1 - Joint Filing Agreement dated 2/3/2026 by and among Artisan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Partners Asset Management Inc., Artisan Partners Holdings LP, Artisan Investments GP LLC, and Artisan Partners Limited Partnership.</w:t>
      </w:r>
    </w:p>
    <w:sectPr>
      <w:pgSz w:w="11900" w:h="16922" w:orient="portrait"/>
      <w:cols w:equalWidth="0" w:num="1">
        <w:col w:w="11180"/>
      </w:cols>
      <w:pgMar w:left="320" w:top="409" w:right="399" w:bottom="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D1B58BA"/>
    <w:multiLevelType w:val="hybridMultilevel"/>
    <w:lvl w:ilvl="0">
      <w:lvlJc w:val="left"/>
      <w:lvlText w:val="2"/>
      <w:numFmt w:val="bullet"/>
      <w:start w:val="1"/>
    </w:lvl>
  </w:abstractNum>
  <w:abstractNum w:abstractNumId="1">
    <w:nsid w:val="507ED7AB"/>
    <w:multiLevelType w:val="hybridMultilevel"/>
    <w:lvl w:ilvl="0">
      <w:lvlJc w:val="left"/>
      <w:lvlText w:val="3"/>
      <w:numFmt w:val="bullet"/>
      <w:start w:val="1"/>
    </w:lvl>
  </w:abstractNum>
  <w:abstractNum w:abstractNumId="2">
    <w:nsid w:val="2EB141F2"/>
    <w:multiLevelType w:val="hybridMultilevel"/>
    <w:lvl w:ilvl="0">
      <w:lvlJc w:val="left"/>
      <w:lvlText w:val="2"/>
      <w:numFmt w:val="bullet"/>
      <w:start w:val="1"/>
    </w:lvl>
  </w:abstractNum>
  <w:abstractNum w:abstractNumId="3">
    <w:nsid w:val="41B71EFB"/>
    <w:multiLevelType w:val="hybridMultilevel"/>
    <w:lvl w:ilvl="0">
      <w:lvlJc w:val="left"/>
      <w:lvlText w:val="3"/>
      <w:numFmt w:val="bullet"/>
      <w:start w:val="1"/>
    </w:lvl>
  </w:abstractNum>
  <w:abstractNum w:abstractNumId="4">
    <w:nsid w:val="79E2A9E3"/>
    <w:multiLevelType w:val="hybridMultilevel"/>
    <w:lvl w:ilvl="0">
      <w:lvlJc w:val="left"/>
      <w:lvlText w:val="9"/>
      <w:numFmt w:val="bullet"/>
      <w:start w:val="1"/>
    </w:lvl>
  </w:abstractNum>
  <w:abstractNum w:abstractNumId="5">
    <w:nsid w:val="7545E146"/>
    <w:multiLevelType w:val="hybridMultilevel"/>
    <w:lvl w:ilvl="0">
      <w:lvlJc w:val="left"/>
      <w:lvlText w:val="2"/>
      <w:numFmt w:val="bullet"/>
      <w:start w:val="1"/>
    </w:lvl>
  </w:abstractNum>
  <w:abstractNum w:abstractNumId="6">
    <w:nsid w:val="515F007C"/>
    <w:multiLevelType w:val="hybridMultilevel"/>
    <w:lvl w:ilvl="0">
      <w:lvlJc w:val="left"/>
      <w:lvlText w:val="2"/>
      <w:numFmt w:val="bullet"/>
      <w:start w:val="1"/>
    </w:lvl>
  </w:abstractNum>
  <w:abstractNum w:abstractNumId="7">
    <w:nsid w:val="5BD062C2"/>
    <w:multiLevelType w:val="hybridMultilevel"/>
    <w:lvl w:ilvl="0">
      <w:lvlJc w:val="left"/>
      <w:lvlText w:val="(%1)"/>
      <w:numFmt w:val="lowerLetter"/>
      <w:start w:val="2"/>
    </w:lvl>
  </w:abstractNum>
  <w:abstractNum w:abstractNumId="8">
    <w:nsid w:val="12200854"/>
    <w:multiLevelType w:val="hybridMultilevel"/>
    <w:lvl w:ilvl="0">
      <w:lvlJc w:val="left"/>
      <w:lvlText w:val="(%1)"/>
      <w:numFmt w:val="lowerLetter"/>
      <w:start w:val="3"/>
    </w:lvl>
  </w:abstractNum>
  <w:abstractNum w:abstractNumId="9">
    <w:nsid w:val="4DB127F8"/>
    <w:multiLevelType w:val="hybridMultilevel"/>
    <w:lvl w:ilvl="0">
      <w:lvlJc w:val="left"/>
      <w:lvlText w:val="(%1)"/>
      <w:numFmt w:val="lowerRoman"/>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 Id="rId33" Type="http://schemas.openxmlformats.org/officeDocument/2006/relationships/image" Target="media/image26.jpeg"/><Relationship Id="rId34" Type="http://schemas.openxmlformats.org/officeDocument/2006/relationships/image" Target="media/image27.jpeg"/><Relationship Id="rId35" Type="http://schemas.openxmlformats.org/officeDocument/2006/relationships/image" Target="media/image28.jpeg"/><Relationship Id="rId36" Type="http://schemas.openxmlformats.org/officeDocument/2006/relationships/image" Target="media/image29.jpeg"/><Relationship Id="rId37" Type="http://schemas.openxmlformats.org/officeDocument/2006/relationships/image" Target="media/image30.jpeg"/><Relationship Id="rId38" Type="http://schemas.openxmlformats.org/officeDocument/2006/relationships/image" Target="media/image31.jpeg"/><Relationship Id="rId39" Type="http://schemas.openxmlformats.org/officeDocument/2006/relationships/image" Target="media/image32.jpeg"/><Relationship Id="rId40" Type="http://schemas.openxmlformats.org/officeDocument/2006/relationships/image" Target="media/image33.jpeg"/><Relationship Id="rId41" Type="http://schemas.openxmlformats.org/officeDocument/2006/relationships/image" Target="media/image3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2026-02-03T13:04:47Z</dcterms:created>
  <dcterms:modified xsi:type="dcterms:W3CDTF">2026-02-03T13:04:47Z</dcterms:modified>
</cp:coreProperties>
</file>