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-605155</wp:posOffset>
            </wp:positionV>
            <wp:extent cx="8255" cy="6057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3993515</wp:posOffset>
            </wp:positionH>
            <wp:positionV relativeFrom="paragraph">
              <wp:posOffset>-613410</wp:posOffset>
            </wp:positionV>
            <wp:extent cx="8255" cy="6140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4018280</wp:posOffset>
            </wp:positionH>
            <wp:positionV relativeFrom="paragraph">
              <wp:posOffset>-588645</wp:posOffset>
            </wp:positionV>
            <wp:extent cx="1269365" cy="565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565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28575</wp:posOffset>
            </wp:positionV>
            <wp:extent cx="6968490" cy="17443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744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Kennedy Keith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6000 SHORELINE COURT, SUITE 300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VERACYTE,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VCYT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5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07/02/2020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620"/>
        <w:spacing w:after="0" w:line="23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11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COO / CFO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21" w:right="359" w:bottom="0" w:gutter="0" w:footer="0" w:header="0"/>
          <w:type w:val="continuous"/>
        </w:sectPr>
      </w:pP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1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60" w:type="dxa"/>
            <w:vAlign w:val="bottom"/>
            <w:gridSpan w:val="10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20" w:type="dxa"/>
            <w:vAlign w:val="bottom"/>
            <w:gridSpan w:val="8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2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jc w:val="center"/>
              <w:ind w:left="448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4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07/02/2020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2,800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5.98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158,398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4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07/02/2020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5,747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28.0216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(2)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152,651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4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07/06/2020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10,075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5.98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162,726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4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07/06/2020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22,167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7.47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184,893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4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07/06/2020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15,416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9.05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200,309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4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07/06/2020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80,677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28.2134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(3)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119,632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0" w:type="dxa"/>
            <w:vAlign w:val="bottom"/>
            <w:gridSpan w:val="9"/>
          </w:tcPr>
          <w:p>
            <w:pPr>
              <w:jc w:val="center"/>
              <w:ind w:lef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7. Title and 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3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5.98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07/02/2020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80"/>
              <w:spacing w:after="0" w:line="26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2,800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03/01/2028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2,800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47,092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5.98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07/06/2020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10,075</w:t>
            </w: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03/01/2028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27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10,075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37,017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7.47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07/06/2020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22,167</w:t>
            </w: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12/05/2026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27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22,167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22,223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9.05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07/06/2020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15,416</w:t>
            </w: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03/02/2027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15,416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4,584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-5436870</wp:posOffset>
            </wp:positionV>
            <wp:extent cx="7033895" cy="557657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5576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transactions on this Form 4 were made pursuant to a Rule 10b5-1 plan adopted by the reporting person on May 11, 2020.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20" w:firstLine="2"/>
        <w:spacing w:after="0" w:line="249" w:lineRule="auto"/>
        <w:tabs>
          <w:tab w:leader="none" w:pos="16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weighted average sales price. Sale prices for the transactions range from $28.00 to $28.15. Detailed information regarding the number of shares sold at each separate price will be provided to the SEC, the issuer or a shareholder upon request.</w:t>
      </w:r>
    </w:p>
    <w:p>
      <w:pPr>
        <w:spacing w:after="0" w:line="2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20" w:firstLine="2"/>
        <w:spacing w:after="0" w:line="249" w:lineRule="auto"/>
        <w:tabs>
          <w:tab w:leader="none" w:pos="16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weighted average sales price. Sale prices for the transactions range from $28.00 to $28.58. Detailed information regarding the number of shares sold at each separate price will be provided to the SEC, the issuer or a shareholder upon request.</w:t>
      </w:r>
    </w:p>
    <w:p>
      <w:pPr>
        <w:spacing w:after="0" w:line="2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420" w:firstLine="2"/>
        <w:spacing w:after="0" w:line="249" w:lineRule="auto"/>
        <w:tabs>
          <w:tab w:leader="none" w:pos="16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as to 25% of the shares on March 2, 2019, and the remaining shares vest at a rate of 1/48th of the total number of shares subject to the award for each month of continuous service thereafter.</w:t>
      </w:r>
    </w:p>
    <w:p>
      <w:pPr>
        <w:spacing w:after="0" w:line="2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400" w:firstLine="2"/>
        <w:spacing w:after="0" w:line="249" w:lineRule="auto"/>
        <w:tabs>
          <w:tab w:leader="none" w:pos="16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began to vest on December 6, 2017 and vests at a rate of 1/36th per total number of shares subject to the award each month, subject to the continuing employment of the reporting person on the vesting date.</w:t>
      </w:r>
    </w:p>
    <w:p>
      <w:pPr>
        <w:spacing w:after="0" w:line="2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420" w:firstLine="2"/>
        <w:spacing w:after="0" w:line="249" w:lineRule="auto"/>
        <w:tabs>
          <w:tab w:leader="none" w:pos="16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as to 25% of the shares on March 3, 2018, and the remaining shares vest at a rate of 1/48th of the total number of shares subject to the award for each month of continuous service thereafter.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/s/ Keith Kennedy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07/07/2020</w:t>
            </w:r>
          </w:p>
        </w:tc>
      </w:tr>
      <w:tr>
        <w:trPr>
          <w:trHeight w:val="224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  <w:tr>
        <w:trPr>
          <w:trHeight w:val="193"/>
        </w:trPr>
        <w:tc>
          <w:tcPr>
            <w:tcW w:w="87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93"/>
        </w:trPr>
        <w:tc>
          <w:tcPr>
            <w:tcW w:w="87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93"/>
        </w:trPr>
        <w:tc>
          <w:tcPr>
            <w:tcW w:w="87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18 U.S.C. 1001 and 15 U.S.C. 78ff(a).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080"/>
          </w:cols>
          <w:pgMar w:left="460" w:top="221" w:right="35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9959"/>
      </w:cols>
      <w:pgMar w:left="500" w:top="125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43503" TargetMode="External"/><Relationship Id="rId14" Type="http://schemas.openxmlformats.org/officeDocument/2006/relationships/hyperlink" Target="http://www.sec.gov/cgi-bin/browse-edgar?action=getcompany&amp;CIK=00013841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2020-07-07T16:49:09Z</dcterms:created>
  <dcterms:modified xsi:type="dcterms:W3CDTF">2020-07-07T16:49:09Z</dcterms:modified>
</cp:coreProperties>
</file>