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McGuire Annie</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940" w:type="dxa"/>
            <w:vAlign w:val="bottom"/>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6000 SHORELINE COURT, SUITE 300</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VERACYTE,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VCYT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40" w:type="dxa"/>
            <w:vAlign w:val="bottom"/>
            <w:tcBorders>
              <w:bottom w:val="single" w:sz="8" w:color="0000EE"/>
            </w:tcBorders>
          </w:tcPr>
          <w:p>
            <w:pPr>
              <w:spacing w:after="0"/>
              <w:rPr>
                <w:sz w:val="3"/>
                <w:szCs w:val="3"/>
                <w:color w:val="auto"/>
              </w:rPr>
            </w:pPr>
          </w:p>
        </w:tc>
        <w:tc>
          <w:tcPr>
            <w:tcW w:w="2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20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7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06/02/2024</w:t>
            </w: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7"/>
                <w:szCs w:val="17"/>
                <w:color w:val="0000FF"/>
              </w:rPr>
              <w:t>SVP, General Counsel</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1,919</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20.75</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95,406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724, 453 and 742 shares of common stock to satisfy the reporting person's tax withholding obligations in connection with the vesting of 1,428, 892 and 1,463 Restricted Stock Units granted on February 28, 2022, August 5, 2022 and March 6, 2023, respectively, and does not represent a sale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06/04/2024</w:t>
            </w: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14620"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2024-06-04T15:54:11Z</dcterms:created>
  <dcterms:modified xsi:type="dcterms:W3CDTF">2024-06-04T15:54:11Z</dcterms:modified>
</cp:coreProperties>
</file>