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333-252681</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129"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Title of Each Class of</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5"/>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 (2)</w:t>
            </w:r>
          </w:p>
        </w:tc>
        <w:tc>
          <w:tcPr>
            <w:tcW w:w="0" w:type="dxa"/>
            <w:vAlign w:val="bottom"/>
          </w:tcPr>
          <w:p>
            <w:pPr>
              <w:spacing w:after="0"/>
              <w:rPr>
                <w:sz w:val="1"/>
                <w:szCs w:val="1"/>
                <w:color w:val="auto"/>
              </w:rPr>
            </w:pPr>
          </w:p>
        </w:tc>
      </w:tr>
      <w:tr>
        <w:trPr>
          <w:trHeight w:val="210"/>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8,547,297</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$74.00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$632,499,978</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8"/>
              </w:rPr>
              <w:t>$69,005.75</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tabs>
          <w:tab w:leader="none" w:pos="5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Includes 1,114,864 shares that may be purchased by the underwriters upon exercise of the underwriters’ option to purchase additional shares.</w:t>
      </w:r>
    </w:p>
    <w:p>
      <w:pPr>
        <w:spacing w:after="0" w:line="45" w:lineRule="exact"/>
        <w:rPr>
          <w:rFonts w:ascii="Arial" w:cs="Arial" w:eastAsia="Arial" w:hAnsi="Arial"/>
          <w:sz w:val="16"/>
          <w:szCs w:val="16"/>
          <w:color w:val="auto"/>
        </w:rPr>
      </w:pPr>
    </w:p>
    <w:p>
      <w:pPr>
        <w:ind w:left="540" w:right="280" w:hanging="424"/>
        <w:spacing w:after="0" w:line="260"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fee is calculated and being paid pursuant to Rule 457(r) under the Securities Act of 1933, as amended, and relates to the Registration Statement on Form S-3ASR (File No. 333-252681) filed by the Registrant on February 3, 2021.</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333-252681</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Prospectus dated February 3, 2021)</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7,432,433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178435</wp:posOffset>
            </wp:positionV>
            <wp:extent cx="391731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1731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Veracyte, Inc.</w:t>
      </w:r>
    </w:p>
    <w:p>
      <w:pPr>
        <w:spacing w:after="0" w:line="201"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offering an aggregate of 7,432,433 shares of our common stock.</w:t>
      </w:r>
    </w:p>
    <w:p>
      <w:pPr>
        <w:spacing w:after="0" w:line="19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February 4, 2021, the last reported sale price of our shares of common stock on The Nasdaq Global Market was $77.87 per share.</w:t>
      </w:r>
    </w:p>
    <w:p>
      <w:pPr>
        <w:spacing w:after="0" w:line="117" w:lineRule="exact"/>
        <w:rPr>
          <w:sz w:val="20"/>
          <w:szCs w:val="20"/>
          <w:color w:val="auto"/>
        </w:rPr>
      </w:pPr>
    </w:p>
    <w:p>
      <w:pPr>
        <w:ind w:left="120" w:right="88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2">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S-9 of this prospectus supplement.</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Per</w:t>
            </w:r>
          </w:p>
        </w:tc>
        <w:tc>
          <w:tcPr>
            <w:tcW w:w="120" w:type="dxa"/>
            <w:vAlign w:val="bottom"/>
          </w:tcPr>
          <w:p>
            <w:pPr>
              <w:spacing w:after="0"/>
              <w:rPr>
                <w:sz w:val="14"/>
                <w:szCs w:val="14"/>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Share</w:t>
            </w: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74.00</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550,000,042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4.44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33,000,003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69.56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517,000,039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85725</wp:posOffset>
            </wp:positionV>
            <wp:extent cx="771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080" w:hanging="533"/>
        <w:spacing w:after="0"/>
        <w:tabs>
          <w:tab w:leader="none" w:pos="2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 description of compensation payable to the underwriters.</w:t>
      </w:r>
    </w:p>
    <w:p>
      <w:pPr>
        <w:spacing w:after="0" w:line="18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We have granted the underwriters the right to purchase up to 1,114,864 additional shares of our common stock. The underwriters may exercise this right at any time within 30 days after the date of this prospectus supplement.</w:t>
      </w:r>
    </w:p>
    <w:p>
      <w:pPr>
        <w:spacing w:after="0" w:line="1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underwriters expect to deliver the shares of common stock against payment in New York, New York on or about February 9, 2021.</w:t>
      </w:r>
    </w:p>
    <w:p>
      <w:pPr>
        <w:spacing w:after="0" w:line="194"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Lead Book-Running Managers</w:t>
      </w:r>
    </w:p>
    <w:p>
      <w:pPr>
        <w:spacing w:after="0" w:line="207" w:lineRule="exact"/>
        <w:rPr>
          <w:sz w:val="20"/>
          <w:szCs w:val="20"/>
          <w:color w:val="auto"/>
        </w:rPr>
      </w:pPr>
    </w:p>
    <w:p>
      <w:pPr>
        <w:ind w:left="120"/>
        <w:spacing w:after="0"/>
        <w:tabs>
          <w:tab w:leader="none" w:pos="9500" w:val="left"/>
        </w:tabs>
        <w:rPr>
          <w:sz w:val="20"/>
          <w:szCs w:val="20"/>
          <w:color w:val="auto"/>
        </w:rPr>
      </w:pPr>
      <w:r>
        <w:rPr>
          <w:rFonts w:ascii="Arial" w:cs="Arial" w:eastAsia="Arial" w:hAnsi="Arial"/>
          <w:sz w:val="29"/>
          <w:szCs w:val="29"/>
          <w:b w:val="1"/>
          <w:bCs w:val="1"/>
          <w:color w:val="auto"/>
        </w:rPr>
        <w:t>Goldman Sachs &amp; Co. LLC</w:t>
      </w:r>
      <w:r>
        <w:rPr>
          <w:sz w:val="20"/>
          <w:szCs w:val="20"/>
          <w:color w:val="auto"/>
        </w:rPr>
        <w:tab/>
      </w:r>
      <w:r>
        <w:rPr>
          <w:rFonts w:ascii="Arial" w:cs="Arial" w:eastAsia="Arial" w:hAnsi="Arial"/>
          <w:sz w:val="27"/>
          <w:szCs w:val="27"/>
          <w:b w:val="1"/>
          <w:bCs w:val="1"/>
          <w:color w:val="auto"/>
        </w:rPr>
        <w:t>SVB Leerink</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Book-Running Manager</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William Blair</w:t>
      </w: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Co-Managers</w:t>
      </w:r>
    </w:p>
    <w:p>
      <w:pPr>
        <w:spacing w:after="0" w:line="212" w:lineRule="exact"/>
        <w:rPr>
          <w:sz w:val="20"/>
          <w:szCs w:val="20"/>
          <w:color w:val="auto"/>
        </w:rPr>
      </w:pPr>
    </w:p>
    <w:p>
      <w:pPr>
        <w:ind w:left="120"/>
        <w:spacing w:after="0"/>
        <w:tabs>
          <w:tab w:leader="none" w:pos="4300" w:val="left"/>
          <w:tab w:leader="none" w:pos="10040" w:val="left"/>
        </w:tabs>
        <w:rPr>
          <w:sz w:val="20"/>
          <w:szCs w:val="20"/>
          <w:color w:val="auto"/>
        </w:rPr>
      </w:pPr>
      <w:r>
        <w:rPr>
          <w:rFonts w:ascii="Arial" w:cs="Arial" w:eastAsia="Arial" w:hAnsi="Arial"/>
          <w:sz w:val="22"/>
          <w:szCs w:val="22"/>
          <w:b w:val="1"/>
          <w:bCs w:val="1"/>
          <w:color w:val="auto"/>
        </w:rPr>
        <w:t>BTIG</w:t>
      </w:r>
      <w:r>
        <w:rPr>
          <w:sz w:val="20"/>
          <w:szCs w:val="20"/>
          <w:color w:val="auto"/>
        </w:rPr>
        <w:tab/>
      </w:r>
      <w:r>
        <w:rPr>
          <w:rFonts w:ascii="Arial" w:cs="Arial" w:eastAsia="Arial" w:hAnsi="Arial"/>
          <w:sz w:val="22"/>
          <w:szCs w:val="22"/>
          <w:b w:val="1"/>
          <w:bCs w:val="1"/>
          <w:color w:val="auto"/>
        </w:rPr>
        <w:t>Needham &amp; Company</w:t>
      </w:r>
      <w:r>
        <w:rPr>
          <w:sz w:val="20"/>
          <w:szCs w:val="20"/>
          <w:color w:val="auto"/>
        </w:rPr>
        <w:tab/>
      </w:r>
      <w:r>
        <w:rPr>
          <w:rFonts w:ascii="Arial" w:cs="Arial" w:eastAsia="Arial" w:hAnsi="Arial"/>
          <w:sz w:val="19"/>
          <w:szCs w:val="19"/>
          <w:b w:val="1"/>
          <w:bCs w:val="1"/>
          <w:color w:val="auto"/>
        </w:rPr>
        <w:t>Lake Street</w:t>
      </w:r>
    </w:p>
    <w:p>
      <w:pPr>
        <w:sectPr>
          <w:pgSz w:w="11900" w:h="16838" w:orient="portrait"/>
          <w:cols w:equalWidth="0" w:num="1">
            <w:col w:w="11140"/>
          </w:cols>
          <w:pgMar w:left="320" w:top="459" w:right="439" w:bottom="1440" w:gutter="0" w:footer="0" w:header="0"/>
        </w:sectPr>
      </w:pP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5"/>
          <w:szCs w:val="15"/>
          <w:b w:val="1"/>
          <w:bCs w:val="1"/>
          <w:color w:val="auto"/>
        </w:rPr>
        <w:t>The date of this prospectus supplement is February 4, 2021.</w:t>
      </w:r>
    </w:p>
    <w:p>
      <w:pPr>
        <w:sectPr>
          <w:pgSz w:w="11900" w:h="16838" w:orient="portrait"/>
          <w:cols w:equalWidth="0" w:num="1">
            <w:col w:w="11140"/>
          </w:cols>
          <w:pgMar w:left="320" w:top="459"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6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620" w:type="dxa"/>
            <w:vAlign w:val="bottom"/>
          </w:tcPr>
          <w:p>
            <w:pPr>
              <w:spacing w:after="0"/>
              <w:rPr>
                <w:sz w:val="20"/>
                <w:szCs w:val="20"/>
                <w:color w:val="auto"/>
              </w:rPr>
            </w:pPr>
          </w:p>
        </w:tc>
      </w:tr>
      <w:tr>
        <w:trPr>
          <w:trHeight w:val="513"/>
        </w:trPr>
        <w:tc>
          <w:tcPr>
            <w:tcW w:w="104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620" w:type="dxa"/>
            <w:vAlign w:val="bottom"/>
          </w:tcPr>
          <w:p>
            <w:pPr>
              <w:spacing w:after="0"/>
              <w:rPr>
                <w:sz w:val="24"/>
                <w:szCs w:val="24"/>
                <w:color w:val="auto"/>
              </w:rPr>
            </w:pPr>
          </w:p>
        </w:tc>
      </w:tr>
      <w:tr>
        <w:trPr>
          <w:trHeight w:val="459"/>
        </w:trPr>
        <w:tc>
          <w:tcPr>
            <w:tcW w:w="10460" w:type="dxa"/>
            <w:vAlign w:val="bottom"/>
          </w:tcPr>
          <w:p>
            <w:pPr>
              <w:ind w:left="120"/>
              <w:spacing w:after="0"/>
              <w:rPr>
                <w:sz w:val="20"/>
                <w:szCs w:val="20"/>
                <w:color w:val="auto"/>
              </w:rPr>
            </w:pPr>
            <w:r>
              <w:rPr>
                <w:rFonts w:ascii="Arial" w:cs="Arial" w:eastAsia="Arial" w:hAnsi="Arial"/>
                <w:sz w:val="18"/>
                <w:szCs w:val="18"/>
                <w:b w:val="1"/>
                <w:bCs w:val="1"/>
                <w:color w:val="auto"/>
              </w:rPr>
              <w:t>Prospectus Supplement</w:t>
            </w:r>
          </w:p>
        </w:tc>
        <w:tc>
          <w:tcPr>
            <w:tcW w:w="620" w:type="dxa"/>
            <w:vAlign w:val="bottom"/>
          </w:tcPr>
          <w:p>
            <w:pPr>
              <w:spacing w:after="0"/>
              <w:rPr>
                <w:sz w:val="24"/>
                <w:szCs w:val="24"/>
                <w:color w:val="auto"/>
              </w:rPr>
            </w:pPr>
          </w:p>
        </w:tc>
      </w:tr>
      <w:tr>
        <w:trPr>
          <w:trHeight w:val="310"/>
        </w:trPr>
        <w:tc>
          <w:tcPr>
            <w:tcW w:w="1046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ABOUT THIS PROSPECTUS SUPPLEMENT</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SUPPLEMENT SUMMARY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S-2</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THE OFFERING</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FORWARD-LOOKING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S-12</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S-14</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DILUTION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S-15</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DIVIDEND POLICY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S-17</w:t>
            </w:r>
          </w:p>
        </w:tc>
      </w:tr>
      <w:tr>
        <w:trPr>
          <w:trHeight w:val="216"/>
        </w:trPr>
        <w:tc>
          <w:tcPr>
            <w:tcW w:w="10460" w:type="dxa"/>
            <w:vAlign w:val="bottom"/>
          </w:tcPr>
          <w:p>
            <w:pPr>
              <w:ind w:left="120"/>
              <w:spacing w:after="0"/>
              <w:rPr>
                <w:rFonts w:ascii="Arial" w:cs="Arial" w:eastAsia="Arial" w:hAnsi="Arial"/>
                <w:sz w:val="18"/>
                <w:szCs w:val="18"/>
                <w:u w:val="single" w:color="auto"/>
                <w:color w:val="0000EE"/>
                <w:w w:val="98"/>
              </w:rPr>
            </w:pPr>
            <w:hyperlink w:anchor="page21">
              <w:r>
                <w:rPr>
                  <w:rFonts w:ascii="Arial" w:cs="Arial" w:eastAsia="Arial" w:hAnsi="Arial"/>
                  <w:sz w:val="18"/>
                  <w:szCs w:val="18"/>
                  <w:u w:val="single" w:color="auto"/>
                  <w:color w:val="0000EE"/>
                  <w:w w:val="98"/>
                </w:rPr>
                <w:t>MATERIAL UNITED STATES FEDERAL INCOME TAX CONSEQUENCES FOR NON-U.S. HOLDERS OF OUR COMMON STOCK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S-18</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UNDERWRITING</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S-23</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MATTERS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S-30</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EXPERTS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S-30</w:t>
            </w:r>
          </w:p>
        </w:tc>
      </w:tr>
      <w:tr>
        <w:trPr>
          <w:trHeight w:val="230"/>
        </w:trPr>
        <w:tc>
          <w:tcPr>
            <w:tcW w:w="10460" w:type="dxa"/>
            <w:vAlign w:val="bottom"/>
          </w:tcPr>
          <w:p>
            <w:pPr>
              <w:ind w:left="1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WHERE YOU CAN FIND MORE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S-30</w:t>
            </w:r>
          </w:p>
        </w:tc>
      </w:tr>
      <w:tr>
        <w:trPr>
          <w:trHeight w:val="324"/>
        </w:trPr>
        <w:tc>
          <w:tcPr>
            <w:tcW w:w="10460" w:type="dxa"/>
            <w:vAlign w:val="bottom"/>
          </w:tcPr>
          <w:p>
            <w:pPr>
              <w:ind w:left="120"/>
              <w:spacing w:after="0"/>
              <w:rPr>
                <w:sz w:val="20"/>
                <w:szCs w:val="20"/>
                <w:color w:val="auto"/>
              </w:rPr>
            </w:pPr>
            <w:r>
              <w:rPr>
                <w:rFonts w:ascii="Arial" w:cs="Arial" w:eastAsia="Arial" w:hAnsi="Arial"/>
                <w:sz w:val="18"/>
                <w:szCs w:val="18"/>
                <w:b w:val="1"/>
                <w:bCs w:val="1"/>
                <w:color w:val="auto"/>
              </w:rPr>
              <w:t>Prospectus</w:t>
            </w:r>
          </w:p>
        </w:tc>
        <w:tc>
          <w:tcPr>
            <w:tcW w:w="620" w:type="dxa"/>
            <w:vAlign w:val="bottom"/>
          </w:tcPr>
          <w:p>
            <w:pPr>
              <w:spacing w:after="0"/>
              <w:rPr>
                <w:sz w:val="24"/>
                <w:szCs w:val="24"/>
                <w:color w:val="auto"/>
              </w:rPr>
            </w:pPr>
          </w:p>
        </w:tc>
      </w:tr>
      <w:tr>
        <w:trPr>
          <w:trHeight w:val="310"/>
        </w:trPr>
        <w:tc>
          <w:tcPr>
            <w:tcW w:w="10460" w:type="dxa"/>
            <w:vAlign w:val="bottom"/>
          </w:tcPr>
          <w:p>
            <w:pPr>
              <w:ind w:left="12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ABOUT THIS PROSPECTUS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PROSPECTUS SUMMARY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FORWARD-LOOKING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SECURITIES WE MAY OFFER</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DESCRIPTION OF COMMON STOCK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PREFERRED STOCK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DEBT SECURITIES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DESCRIPTION OF WARRANTS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DESCRIPTION OF SUBSCRIPTION RIGHTS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DESCRIPTION OF UNITS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SELLING SECURITYHOLDERS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PLAN OF DISTRIBUTION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LEGAL MATTERS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460" w:type="dxa"/>
            <w:vAlign w:val="bottom"/>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EXPERTS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0460" w:type="dxa"/>
            <w:vAlign w:val="bottom"/>
          </w:tcPr>
          <w:p>
            <w:pPr>
              <w:ind w:left="12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WHERE YOU CAN FIND MORE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On February 3, 2021, we filed with the Securities and Exchange Commission, or SEC, a registration statement on Form S-3 utilizing a shelf registration process relating to the securities described in this prospectus supplement, which registration statement became automatically effective upon filing. Under this shelf registration process, we may, from time to time, sell common stock and other securities, of which this offering is a part.</w:t>
      </w:r>
    </w:p>
    <w:p>
      <w:pPr>
        <w:spacing w:after="0" w:line="14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76"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are offering to sell, and seeking offers to buy, shares of our common stock only in jurisdictions where offers and sales are permitted. The distribution of this prospectus supplement and the offering of the common stock in certain jurisdictions may be restricted by law. Persons outside the United States who come into possession of this prospectus supplement must inform themselves about, and observe any restrictions relating to, the offering of the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7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8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Unless otherwise indicated or the context otherwise requires, references in this prospectus supplement and the accompanying prospectus to “Veracyte,” the “company,” “we,” “us” and “our” refer to Veracyte, Inc.</w:t>
      </w:r>
    </w:p>
    <w:p>
      <w:pPr>
        <w:spacing w:after="0" w:line="170"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Veracyte, Afirma, Percepta, Envisia, Prosigna, Know by Design and the Veracyte, Afirma, Percepta, Envisia and Prosigna logos, among others, are our registered trademarks in the United States and other countries. We also have common law rights and pending trademark applications for LymphMark and More About You.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spacing w:after="0" w:line="296" w:lineRule="auto"/>
        <w:rPr>
          <w:sz w:val="20"/>
          <w:szCs w:val="20"/>
          <w:color w:val="auto"/>
        </w:rPr>
      </w:pPr>
      <w:r>
        <w:rPr>
          <w:rFonts w:ascii="Arial" w:cs="Arial" w:eastAsia="Arial" w:hAnsi="Arial"/>
          <w:sz w:val="16"/>
          <w:szCs w:val="16"/>
          <w:i w:val="1"/>
          <w:iCs w:val="1"/>
          <w:color w:val="auto"/>
        </w:rPr>
        <w:t>This summary highlights selected information about us and this offering. Because it is a summary, it does not contain all of the information that you should consider before investing. Before you decide to invest in our common stock, you should read carefully and in their entirety this entire prospectus supplement and the accompanying prospectus, including the section in this prospectus supplement entitled “Risk Factors,” and the documents we have incorporated by reference in this prospectus supplement and the accompanying prospectus, along with our financial statements and accompanying notes incorporated by reference in this prospectus supplement and the accompanying prospectus.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300" w:right="80"/>
        <w:spacing w:after="0" w:line="291" w:lineRule="auto"/>
        <w:rPr>
          <w:sz w:val="20"/>
          <w:szCs w:val="20"/>
          <w:color w:val="auto"/>
        </w:rPr>
      </w:pPr>
      <w:r>
        <w:rPr>
          <w:rFonts w:ascii="Arial" w:cs="Arial" w:eastAsia="Arial" w:hAnsi="Arial"/>
          <w:sz w:val="16"/>
          <w:szCs w:val="16"/>
          <w:color w:val="auto"/>
        </w:rPr>
        <w:t>We are a global genomic diagnostics company that improves patient care by answering important clinical questions to inform diagnosis and treatment decisions throughout the patient journey in cancer and other diseases. Our growing menu of tests leverages advances in genomic science and machine learning technology to change care for patients, enabling them to avoid risky, costly procedures and reduce time to appropriate treatment. In addition to making our genomic tests available in the United States through our central laboratory, our exclusive license to the nCounter Analysis System, which we believe to be a best-in-class diagnostics platform, positions us to deliver our tests to patients worldwide through laboratories and hospitals that can perform the tests locally. We estimate that our current and near-term pipeline products address an estimated $10 billion global market and that our longer-term pipeline products will enable us to address an estimated $50 billion global market.</w:t>
      </w:r>
    </w:p>
    <w:p>
      <w:pPr>
        <w:spacing w:after="0" w:line="166" w:lineRule="exact"/>
        <w:rPr>
          <w:sz w:val="20"/>
          <w:szCs w:val="20"/>
          <w:color w:val="auto"/>
        </w:rPr>
      </w:pPr>
    </w:p>
    <w:p>
      <w:pPr>
        <w:ind w:left="300" w:right="20"/>
        <w:spacing w:after="0" w:line="311" w:lineRule="auto"/>
        <w:rPr>
          <w:sz w:val="20"/>
          <w:szCs w:val="20"/>
          <w:color w:val="auto"/>
        </w:rPr>
      </w:pPr>
      <w:r>
        <w:rPr>
          <w:rFonts w:ascii="Arial" w:cs="Arial" w:eastAsia="Arial" w:hAnsi="Arial"/>
          <w:sz w:val="16"/>
          <w:szCs w:val="16"/>
          <w:color w:val="auto"/>
        </w:rPr>
        <w:t>We design our tests to answer critical questions in the diagnosis, prognosis and treatment of cancer and other diseases and improve patient outcomes. We deliver clinical and economic utility to patients, physicians and payers, thereby helping to eliminate unnecessary costs burdening the healthcare system. We position our tests to integrate seamlessly into the way physicians currently evaluate patients in order to facilitate adoption.</w:t>
      </w:r>
    </w:p>
    <w:p>
      <w:pPr>
        <w:spacing w:after="0" w:line="149" w:lineRule="exact"/>
        <w:rPr>
          <w:sz w:val="20"/>
          <w:szCs w:val="20"/>
          <w:color w:val="auto"/>
        </w:rPr>
      </w:pPr>
    </w:p>
    <w:p>
      <w:pPr>
        <w:ind w:left="300" w:right="40"/>
        <w:spacing w:after="0" w:line="279" w:lineRule="auto"/>
        <w:rPr>
          <w:sz w:val="20"/>
          <w:szCs w:val="20"/>
          <w:color w:val="auto"/>
        </w:rPr>
      </w:pPr>
      <w:r>
        <w:rPr>
          <w:rFonts w:ascii="Arial" w:cs="Arial" w:eastAsia="Arial" w:hAnsi="Arial"/>
          <w:sz w:val="17"/>
          <w:szCs w:val="17"/>
          <w:color w:val="auto"/>
        </w:rPr>
        <w:t>We develop our genomic tests using advanced scientific methods, such as ribonucleic acid, or RNA, whole-transcriptome sequencing and machine learning, and then optimize the assays and classifiers for the platform on which the test will be performed. Historically, we have utilized RNA sequencing methods performed in our CLIA laboratory in South San Francisco, California. Beginning in 2021, we expect to adapt select tests to be performed on the nCounter Analysis System for international distribution of our tests.</w:t>
      </w:r>
    </w:p>
    <w:p>
      <w:pPr>
        <w:spacing w:after="0" w:line="171" w:lineRule="exact"/>
        <w:rPr>
          <w:sz w:val="20"/>
          <w:szCs w:val="20"/>
          <w:color w:val="auto"/>
        </w:rPr>
      </w:pPr>
    </w:p>
    <w:p>
      <w:pPr>
        <w:ind w:left="300" w:right="260"/>
        <w:spacing w:after="0" w:line="277" w:lineRule="auto"/>
        <w:rPr>
          <w:sz w:val="20"/>
          <w:szCs w:val="20"/>
          <w:color w:val="auto"/>
        </w:rPr>
      </w:pPr>
      <w:r>
        <w:rPr>
          <w:rFonts w:ascii="Arial" w:cs="Arial" w:eastAsia="Arial" w:hAnsi="Arial"/>
          <w:sz w:val="18"/>
          <w:szCs w:val="18"/>
          <w:color w:val="auto"/>
        </w:rPr>
        <w:t>We believe our powerful scientific platform provides multiple vectors to create value for patients, providers and payers, as well as stockholders, and to help advance precision medicine:</w:t>
      </w:r>
    </w:p>
    <w:p>
      <w:pPr>
        <w:spacing w:after="0" w:line="76" w:lineRule="exact"/>
        <w:rPr>
          <w:sz w:val="20"/>
          <w:szCs w:val="20"/>
          <w:color w:val="auto"/>
        </w:rPr>
      </w:pPr>
    </w:p>
    <w:p>
      <w:pPr>
        <w:ind w:left="1240" w:right="60" w:hanging="415"/>
        <w:spacing w:after="0" w:line="255"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Unique Biorepositories—When we develop new tests, we build extensive, robust biorepositories of patient-consented samples and well-curated clinical, radiological, outcome and other information from Institutional Review Board-approved clinical trials to inform our discovery and validation efforts. Our biorepositories are designed to encompass the broad spectrum of disease that our tests may encounter when used in clinical practice, as well as the wide range of conditions associated with patients who are suspected of having a particular disease. We extract extensive genomic information from these patient samples using our RNA whole-transcriptome sequencing platform.</w:t>
      </w:r>
    </w:p>
    <w:p>
      <w:pPr>
        <w:spacing w:after="0" w:line="97" w:lineRule="exact"/>
        <w:rPr>
          <w:rFonts w:ascii="Arial" w:cs="Arial" w:eastAsia="Arial" w:hAnsi="Arial"/>
          <w:sz w:val="18"/>
          <w:szCs w:val="18"/>
          <w:color w:val="auto"/>
        </w:rPr>
      </w:pPr>
    </w:p>
    <w:p>
      <w:pPr>
        <w:jc w:val="both"/>
        <w:ind w:left="1240" w:hanging="415"/>
        <w:spacing w:after="0" w:line="279"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Proprietary Technology and Bioinformatics—For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to inform therapeutic selection.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20"/>
          </w:cols>
          <w:pgMar w:left="32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18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5189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54"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High-Performing Commercial Genomic Tests—With the exception of Prosigna, which competes with a first-to-market test in a highly competitive environment, our genomic tests generally serve large, untapped markets where they are changing the diagnostic and treatment paradigm for patients. The majority of our genomic testing business stems from our CLIA certified laboratory serving the United States market. We believe the nCounter Analysis System affords us the opportunity to adapt our test menu for multiple markets globally, providing flexibility for a global distributed testing model and increased efficiency in our United States-based CLIA lab. Our RNA sequencing platform enables us to offer testing from our CLIA lab for a broad range of gene alterations, which can inform treatment decisions at the time of diagnosis.</w:t>
      </w:r>
    </w:p>
    <w:p>
      <w:pPr>
        <w:spacing w:after="0" w:line="195" w:lineRule="exact"/>
        <w:rPr>
          <w:sz w:val="20"/>
          <w:szCs w:val="20"/>
          <w:color w:val="auto"/>
        </w:rPr>
      </w:pPr>
    </w:p>
    <w:p>
      <w:pPr>
        <w:ind w:left="300"/>
        <w:spacing w:after="0" w:line="272" w:lineRule="auto"/>
        <w:rPr>
          <w:sz w:val="20"/>
          <w:szCs w:val="20"/>
          <w:color w:val="auto"/>
        </w:rPr>
      </w:pPr>
      <w:r>
        <w:rPr>
          <w:rFonts w:ascii="Arial" w:cs="Arial" w:eastAsia="Arial" w:hAnsi="Arial"/>
          <w:sz w:val="17"/>
          <w:szCs w:val="17"/>
          <w:color w:val="auto"/>
        </w:rPr>
        <w:t>We currently offer commercialized genomic tests in four clinical indications that we believe are changing disease diagnosis and patient care. All of our commercial tests are available in the United States and one is available internationally. These include the Afirma</w:t>
      </w:r>
      <w:r>
        <w:rPr>
          <w:rFonts w:ascii="Arial" w:cs="Arial" w:eastAsia="Arial" w:hAnsi="Arial"/>
          <w:sz w:val="14"/>
          <w:szCs w:val="14"/>
          <w:color w:val="auto"/>
        </w:rPr>
        <w:t>®</w:t>
      </w:r>
      <w:r>
        <w:rPr>
          <w:rFonts w:ascii="Arial" w:cs="Arial" w:eastAsia="Arial" w:hAnsi="Arial"/>
          <w:sz w:val="17"/>
          <w:szCs w:val="17"/>
          <w:color w:val="auto"/>
        </w:rPr>
        <w:t xml:space="preserve"> Genomic Sequencing Classifier, or GSC, and the Xpression Atlas, or XA, designed to improve diagnosis of and inform treatment decisions, respectively, for thyroid cancer; the Percepta GSC for lung cancer; the Envisia Genomic Classifier for interstitial lung disease, or ILD, and idiopathic pulmonary fibrosis, or IPF; and the Prosigna Breast Cancer Assay for assessing risk of breast cancer distant recurrence. The Prosigna test is available for use on the nCounter Analysis System internationally and in the United States. Our investigational LymphMark lymphoma subtyping is also intended for use on the nCounter Analysis System and is expected to launch in 2021.</w:t>
      </w:r>
    </w:p>
    <w:p>
      <w:pPr>
        <w:spacing w:after="0" w:line="177" w:lineRule="exact"/>
        <w:rPr>
          <w:sz w:val="20"/>
          <w:szCs w:val="20"/>
          <w:color w:val="auto"/>
        </w:rPr>
      </w:pPr>
    </w:p>
    <w:p>
      <w:pPr>
        <w:ind w:left="300" w:right="100"/>
        <w:spacing w:after="0" w:line="272" w:lineRule="auto"/>
        <w:rPr>
          <w:sz w:val="20"/>
          <w:szCs w:val="20"/>
          <w:color w:val="auto"/>
        </w:rPr>
      </w:pPr>
      <w:r>
        <w:rPr>
          <w:rFonts w:ascii="Arial" w:cs="Arial" w:eastAsia="Arial" w:hAnsi="Arial"/>
          <w:sz w:val="17"/>
          <w:szCs w:val="17"/>
          <w:color w:val="auto"/>
        </w:rPr>
        <w:t>We expect to continue expanding our offerings in thyroid cancer, lung cancer, ILD/IPF, breast cancer and lymphoma, as well as other indications that we believe will benefit from our technology and approach. Our product development pipelines address what we believe to be an over $50 billion annual market opportunity in early detection, diagnosis, staging/prognosis, therapy selection/surgery and disease monitoring across the aforementioned indications. We plan to commercially introduce four products in 2021: Our nasal swab test for early lung cancer detection and our Percepta Genomic Atlas, which, together with the Percepta GSC, form a comprehensive lung cancer portfolio that we believe may improve lung cancer diagnosis and treatment decisions; our Envisia classifier on the nCounter Analysis System for expansion into global markets; and, if the FDA grants our De Novo classification request, our LymphMark lymphoma subtyping test.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20"/>
          </w:cols>
          <w:pgMar w:left="320" w:top="459" w:right="6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27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5278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9" w:lineRule="auto"/>
        <w:rPr>
          <w:sz w:val="20"/>
          <w:szCs w:val="20"/>
          <w:color w:val="auto"/>
        </w:rPr>
      </w:pPr>
      <w:r>
        <w:rPr>
          <w:rFonts w:ascii="Arial" w:cs="Arial" w:eastAsia="Arial" w:hAnsi="Arial"/>
          <w:sz w:val="18"/>
          <w:szCs w:val="18"/>
          <w:color w:val="auto"/>
        </w:rPr>
        <w:t>We believe our ability to leverage RNA whole-transcriptome sequencing data in large biorepositories of patient-consented samples in oncology and other indications, our strong commercial position in major clinical indications and our global reach, present partnership opportunities for biopharmaceutical companies to enhance their research and development capabilities and for other genomic diagnostics companies to introduce their non-competitive tests to global markets on the nCounter Analysis System.</w:t>
      </w:r>
    </w:p>
    <w:p>
      <w:pPr>
        <w:spacing w:after="0" w:line="187" w:lineRule="exact"/>
        <w:rPr>
          <w:sz w:val="20"/>
          <w:szCs w:val="20"/>
          <w:color w:val="auto"/>
        </w:rPr>
      </w:pPr>
    </w:p>
    <w:p>
      <w:pPr>
        <w:ind w:left="300"/>
        <w:spacing w:after="0" w:line="275" w:lineRule="auto"/>
        <w:rPr>
          <w:sz w:val="20"/>
          <w:szCs w:val="20"/>
          <w:color w:val="auto"/>
        </w:rPr>
      </w:pPr>
      <w:r>
        <w:rPr>
          <w:rFonts w:ascii="Arial" w:cs="Arial" w:eastAsia="Arial" w:hAnsi="Arial"/>
          <w:sz w:val="17"/>
          <w:szCs w:val="17"/>
          <w:color w:val="auto"/>
        </w:rPr>
        <w:t>We have formed several biopharmaceutical partnerships, each focused on our current indications to derive value out of our current business or advance future business. Our collaboration with the Lung Cancer Initiative at Johnson &amp; Johnson, which began in December 2018, has helped advance our pipeline, including the launch in 2019 of our Percepta GSC on our RNA whole-transcriptome sequencing platform and development of the first non-invasive nasal swab test designed for early lung cancer detection. We have recently expanded our program with Johnson &amp; Johnson to potentially develop future tests designed to detect lung disease before cancer develops.</w:t>
      </w:r>
    </w:p>
    <w:p>
      <w:pPr>
        <w:spacing w:after="0" w:line="176" w:lineRule="exact"/>
        <w:rPr>
          <w:sz w:val="20"/>
          <w:szCs w:val="20"/>
          <w:color w:val="auto"/>
        </w:rPr>
      </w:pPr>
    </w:p>
    <w:p>
      <w:pPr>
        <w:ind w:left="300" w:right="120"/>
        <w:spacing w:after="0" w:line="301" w:lineRule="auto"/>
        <w:rPr>
          <w:sz w:val="20"/>
          <w:szCs w:val="20"/>
          <w:color w:val="auto"/>
        </w:rPr>
      </w:pPr>
      <w:r>
        <w:rPr>
          <w:rFonts w:ascii="Arial" w:cs="Arial" w:eastAsia="Arial" w:hAnsi="Arial"/>
          <w:sz w:val="16"/>
          <w:szCs w:val="16"/>
          <w:color w:val="auto"/>
        </w:rPr>
        <w:t>Our partnership with Bayer, announced in December 2020, utilizes our Afirma XA to identify certain thyroid cancer patients with gene alterations who may benefit from targeted therapy. The program builds upon a similar collaboration with Loxo Oncology (now a wholly owned subsidiary of Eli Lilly and Company). We also collaborate with Acerta Pharma, the hematology research and development arm of AstraZeneca, to provide genomic information that will support its development of oncology therapeutics in lymphoma, for which we are developing our LymphMark test.</w:t>
      </w:r>
    </w:p>
    <w:p>
      <w:pPr>
        <w:spacing w:after="0" w:line="157" w:lineRule="exact"/>
        <w:rPr>
          <w:sz w:val="20"/>
          <w:szCs w:val="20"/>
          <w:color w:val="auto"/>
        </w:rPr>
      </w:pPr>
    </w:p>
    <w:p>
      <w:pPr>
        <w:jc w:val="both"/>
        <w:ind w:left="300" w:right="80"/>
        <w:spacing w:after="0" w:line="263" w:lineRule="auto"/>
        <w:rPr>
          <w:sz w:val="20"/>
          <w:szCs w:val="20"/>
          <w:color w:val="auto"/>
        </w:rPr>
      </w:pPr>
      <w:r>
        <w:rPr>
          <w:rFonts w:ascii="Arial" w:cs="Arial" w:eastAsia="Arial" w:hAnsi="Arial"/>
          <w:sz w:val="18"/>
          <w:szCs w:val="18"/>
          <w:color w:val="auto"/>
        </w:rPr>
        <w:t>During 2020, we also announced our first two diagnostic company partnerships—with CareDx in transplantation and MAVIDx in COVID-19 and other infectious diseases. We expect these collaborations to help expand our testing menu on the nCounter Analysis System and provide additional revenue opportunities.</w:t>
      </w:r>
    </w:p>
    <w:p>
      <w:pPr>
        <w:spacing w:after="0" w:line="184" w:lineRule="exact"/>
        <w:rPr>
          <w:sz w:val="20"/>
          <w:szCs w:val="20"/>
          <w:color w:val="auto"/>
        </w:rPr>
      </w:pPr>
    </w:p>
    <w:p>
      <w:pPr>
        <w:ind w:left="300" w:right="20"/>
        <w:spacing w:after="0" w:line="257"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which we believe is key to driving adoption and reimbursement. Patients and physicians can access a more comprehensive list of publications on our website. Over 50 clinical studies covering our products have been published, including three landmark clinical validation papers published in The New England Journal of Medicine for the Afirma and Percepta classifiers, respectively, and in The Lancet Respiratory Medicine for the Envisia classifier. We continue to build upon our extensive library of clinical evidence.</w:t>
      </w:r>
    </w:p>
    <w:p>
      <w:pPr>
        <w:spacing w:after="0" w:line="188" w:lineRule="exact"/>
        <w:rPr>
          <w:sz w:val="20"/>
          <w:szCs w:val="20"/>
          <w:color w:val="auto"/>
        </w:rPr>
      </w:pPr>
    </w:p>
    <w:p>
      <w:pPr>
        <w:ind w:left="300" w:right="40"/>
        <w:spacing w:after="0" w:line="254" w:lineRule="auto"/>
        <w:rPr>
          <w:sz w:val="20"/>
          <w:szCs w:val="20"/>
          <w:color w:val="auto"/>
        </w:rPr>
      </w:pPr>
      <w:r>
        <w:rPr>
          <w:rFonts w:ascii="Arial" w:cs="Arial" w:eastAsia="Arial" w:hAnsi="Arial"/>
          <w:sz w:val="18"/>
          <w:szCs w:val="18"/>
          <w:color w:val="auto"/>
        </w:rPr>
        <w:t>We believe our focus on developing clinically useful tests that change patient care is enabling us to set new standards in genomic test reimbursement. Our genomic classifiers in thyroid cancer, lung cancer and IPF, as well as the Prosigna breast cancer assay, are covered by Medicare. Our Afirma classifier, for use in thyroid cancer diagnosis, is now covered by every major health plan in the United States, which collectively insure more than 275 million people. We are contracted as an in-network service provider to health plans representing over 225 million people in the United States. We believe that our in-network status with private payers will help facilitate private insurer reimbursement for our Percepta and Envisia classifiers. The Prosigna test is covered by leading private payers in the United States and is widely reimbursed by government and private payers in the countries where it is available.</w:t>
      </w:r>
    </w:p>
    <w:p>
      <w:pPr>
        <w:spacing w:after="0" w:line="195" w:lineRule="exact"/>
        <w:rPr>
          <w:sz w:val="20"/>
          <w:szCs w:val="20"/>
          <w:color w:val="auto"/>
        </w:rPr>
      </w:pPr>
    </w:p>
    <w:p>
      <w:pPr>
        <w:ind w:left="300" w:right="40"/>
        <w:spacing w:after="0" w:line="257" w:lineRule="auto"/>
        <w:rPr>
          <w:sz w:val="20"/>
          <w:szCs w:val="20"/>
          <w:color w:val="auto"/>
        </w:rPr>
      </w:pPr>
      <w:r>
        <w:rPr>
          <w:rFonts w:ascii="Arial" w:cs="Arial" w:eastAsia="Arial" w:hAnsi="Arial"/>
          <w:sz w:val="18"/>
          <w:szCs w:val="18"/>
          <w:color w:val="auto"/>
        </w:rPr>
        <w:t>Patients access our tests through their physician. Our Afirma, Percepta and Envisia tests are used as part of the diagnostic process and genomic testing services are performed in our CLIA laboratory located in San Francisco, California and marketed as laboratory developed tests. We perform slide preparation and staining for cytopathology on fine needle aspiration samples, for use with Afirma testing, in our reference laboratory in Austin, Texas. The Prosigna test is an FDA-cleared in vitro diagnostic test that is performed on the nCounter Analysis System in laboratories worldwide, as well as in the United States.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Decipher Biosciences’ Business</w:t>
      </w:r>
    </w:p>
    <w:p>
      <w:pPr>
        <w:spacing w:after="0" w:line="117" w:lineRule="exact"/>
        <w:rPr>
          <w:sz w:val="20"/>
          <w:szCs w:val="20"/>
          <w:color w:val="auto"/>
        </w:rPr>
      </w:pPr>
    </w:p>
    <w:p>
      <w:pPr>
        <w:ind w:left="300" w:right="420"/>
        <w:spacing w:after="0" w:line="277" w:lineRule="auto"/>
        <w:rPr>
          <w:sz w:val="20"/>
          <w:szCs w:val="20"/>
          <w:color w:val="auto"/>
        </w:rPr>
      </w:pPr>
      <w:r>
        <w:rPr>
          <w:rFonts w:ascii="Arial" w:cs="Arial" w:eastAsia="Arial" w:hAnsi="Arial"/>
          <w:sz w:val="18"/>
          <w:szCs w:val="18"/>
          <w:color w:val="auto"/>
        </w:rPr>
        <w:t>Decipher Biosciences, Inc., a Delaware corporation, or Decipher, is a commercial-stage precision oncology company, with a focus in urologic oncology specific to prostate and bladder cancers. Decipher’s novel prostate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30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6306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color w:val="auto"/>
        </w:rPr>
        <w:t>cancer genomic testing products, Decipher Biopsy and Decipher RP, provide valuable information about the underlying biology of a patient’s tumor, assisting physicians in their selection of an optimal therapy. Decipher’s differentiated approach measures the biological activity of a patient’s entire tumor genome, known as whole transcriptome analysis, and applies proprietary machine learning algorithms to help physicians improve therapy selection and accelerate adoption of new therapies into the standard of care. Collectively, Decipher’s genomic tests have been used by more than 3,200 urologists and radiation oncologists, and at all 28 National Comprehensive Cancer Network, or NCCN, centers in the United States. Decipher’s prostate cancer products are covered by Medicare in nine clinical indications, representing the entire known spectrum of localized, regional and biochemically recurrent prostate cancer. Six of Decipher’s clinical indications received Medicare coverage in 2020. Decipher’s whole transcriptome analysis of clinical patient samples from its commercial channel and its participation in practice-changing clinical trials has allowed it to build and expand the Decipher GRID database, one of the largest and best-annotated urologic cancer genomic databases in the world. Decipher leverages Decipher GRID internally to expand its portfolio of innovative products. Additionally, Decipher is partnering with investigators and pharmaceutical companies to identify patient populations which would benefit from earlier use of proprietary drugs or combination therapeutic strategies, or that are candidates for novel therapeutics.</w:t>
      </w:r>
    </w:p>
    <w:p>
      <w:pPr>
        <w:spacing w:after="0" w:line="179" w:lineRule="exact"/>
        <w:rPr>
          <w:sz w:val="20"/>
          <w:szCs w:val="20"/>
          <w:color w:val="auto"/>
        </w:rPr>
      </w:pPr>
    </w:p>
    <w:p>
      <w:pPr>
        <w:ind w:left="300" w:right="60"/>
        <w:spacing w:after="0" w:line="301" w:lineRule="auto"/>
        <w:rPr>
          <w:sz w:val="20"/>
          <w:szCs w:val="20"/>
          <w:color w:val="auto"/>
        </w:rPr>
      </w:pPr>
      <w:r>
        <w:rPr>
          <w:rFonts w:ascii="Arial" w:cs="Arial" w:eastAsia="Arial" w:hAnsi="Arial"/>
          <w:sz w:val="16"/>
          <w:szCs w:val="16"/>
          <w:color w:val="auto"/>
        </w:rPr>
        <w:t>Decipher has developed a portfolio of genomic testing products designed to guide therapy selection across the prostate cancer care continuum. The worldwide prostate cancer therapeutic market is one of the fastest growing cancer therapeutic markets of the decade and grew from approximately $2.0 billion in 2010 to an estimated $10.0 billion in 2019. Decipher estimates that its therapy-directing genomic tests have a potential aggregate market opportunity of approximately $2.0 billion across urologic cancers. Decipher’s product portfolio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720" w:hanging="422"/>
        <w:spacing w:after="0"/>
        <w:tabs>
          <w:tab w:leader="none" w:pos="720" w:val="left"/>
        </w:tabs>
        <w:numPr>
          <w:ilvl w:val="0"/>
          <w:numId w:val="5"/>
        </w:numPr>
        <w:rPr>
          <w:rFonts w:ascii="Arial" w:cs="Arial" w:eastAsia="Arial" w:hAnsi="Arial"/>
          <w:sz w:val="14"/>
          <w:szCs w:val="14"/>
          <w:color w:val="auto"/>
        </w:rPr>
      </w:pPr>
      <w:r>
        <w:rPr>
          <w:rFonts w:ascii="Arial" w:cs="Arial" w:eastAsia="Arial" w:hAnsi="Arial"/>
          <w:sz w:val="14"/>
          <w:szCs w:val="14"/>
          <w:color w:val="auto"/>
        </w:rPr>
        <w:t>Based on 2020 estimates by Global Data.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20" w:right="80" w:hanging="422"/>
        <w:spacing w:after="0" w:line="230" w:lineRule="auto"/>
        <w:tabs>
          <w:tab w:leader="none" w:pos="72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patients who are eligible for new drug therapy, including first-, second-, and third-line therapies. Includes patients at diagnosis and patients that progress from BCR to mCRPC, mHSPC to mCRPC, and nmCRPC to mCRPC.</w:t>
      </w:r>
    </w:p>
    <w:p>
      <w:pPr>
        <w:ind w:left="720" w:hanging="422"/>
        <w:spacing w:after="0" w:line="222" w:lineRule="auto"/>
        <w:tabs>
          <w:tab w:leader="none" w:pos="720" w:val="left"/>
        </w:tabs>
        <w:numPr>
          <w:ilvl w:val="0"/>
          <w:numId w:val="7"/>
        </w:numPr>
        <w:rPr>
          <w:rFonts w:ascii="Arial" w:cs="Arial" w:eastAsia="Arial" w:hAnsi="Arial"/>
          <w:sz w:val="14"/>
          <w:szCs w:val="14"/>
          <w:color w:val="auto"/>
        </w:rPr>
      </w:pPr>
      <w:r>
        <w:rPr>
          <w:rFonts w:ascii="Arial" w:cs="Arial" w:eastAsia="Arial" w:hAnsi="Arial"/>
          <w:sz w:val="14"/>
          <w:szCs w:val="14"/>
          <w:color w:val="auto"/>
        </w:rPr>
        <w:t>Draft LCD DL38647 published 5/21/2020, expected to be final and effective in 2021.</w:t>
      </w:r>
    </w:p>
    <w:p>
      <w:pPr>
        <w:ind w:left="720" w:hanging="422"/>
        <w:spacing w:after="0"/>
        <w:tabs>
          <w:tab w:leader="none" w:pos="7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Decipher is covered by numerous regional and select international payors and is actively pursuing additional coverage.</w:t>
      </w:r>
    </w:p>
    <w:p>
      <w:pPr>
        <w:spacing w:after="0" w:line="304"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Decipher Biosciences Merger</w:t>
      </w:r>
    </w:p>
    <w:p>
      <w:pPr>
        <w:spacing w:after="0" w:line="117" w:lineRule="exact"/>
        <w:rPr>
          <w:sz w:val="20"/>
          <w:szCs w:val="20"/>
          <w:color w:val="auto"/>
        </w:rPr>
      </w:pPr>
    </w:p>
    <w:p>
      <w:pPr>
        <w:ind w:left="300" w:right="20"/>
        <w:spacing w:after="0" w:line="286" w:lineRule="auto"/>
        <w:rPr>
          <w:sz w:val="20"/>
          <w:szCs w:val="20"/>
          <w:color w:val="auto"/>
        </w:rPr>
      </w:pPr>
      <w:r>
        <w:rPr>
          <w:rFonts w:ascii="Arial" w:cs="Arial" w:eastAsia="Arial" w:hAnsi="Arial"/>
          <w:sz w:val="17"/>
          <w:szCs w:val="17"/>
          <w:color w:val="auto"/>
        </w:rPr>
        <w:t>On February 2, 2021, we entered into an Agreement and Plan of Merger, or Merger Agreement, with Delight Merger Sub I, Inc., a Delaware corporation and wholly owned subsidiary of ours, or Delight Merger Sub I, Delight Merger Sub II, LLC, a Delaware limited liability company and wholly owned subsidiary of ours, or Delight Merger Sub II, Decipher, and Fortis Advisors LLC, as the stockholders’ agent.</w:t>
      </w:r>
    </w:p>
    <w:p>
      <w:pPr>
        <w:spacing w:after="0" w:line="165"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Pursuant to the terms of the Merger Agreement, Delight Merger Sub I will merge with and into Decipher and Decipher shall survive and become a wholly owned subsidiary of ours, which we refer to as the First Merger. Promptly following consummation of the First Merger, Decipher will merge with and into Delight Merger Sub II, with Merger Sub II surviving as a wholly owned subsidiary of ours, which, together with the First Merger, we refer to as the Merger.</w:t>
      </w:r>
    </w:p>
    <w:p>
      <w:pPr>
        <w:spacing w:after="0" w:line="187" w:lineRule="exact"/>
        <w:rPr>
          <w:sz w:val="20"/>
          <w:szCs w:val="20"/>
          <w:color w:val="auto"/>
        </w:rPr>
      </w:pPr>
    </w:p>
    <w:p>
      <w:pPr>
        <w:ind w:left="300"/>
        <w:spacing w:after="0" w:line="291" w:lineRule="auto"/>
        <w:rPr>
          <w:sz w:val="20"/>
          <w:szCs w:val="20"/>
          <w:color w:val="auto"/>
        </w:rPr>
      </w:pPr>
      <w:r>
        <w:rPr>
          <w:rFonts w:ascii="Arial" w:cs="Arial" w:eastAsia="Arial" w:hAnsi="Arial"/>
          <w:sz w:val="16"/>
          <w:szCs w:val="16"/>
          <w:color w:val="auto"/>
        </w:rPr>
        <w:t>We have agreed to acquire Decipher for $250.0 million in cash and up to $350.0 million in shares of our common stock. The number of shares of our common stock to be issued in the Merger is based on a fixed price of $54.30 per share, resulting in a maximum issuance of approximately 6.45 million shares of our common stock. However, without changing the total consideration paid at closing, we have the option, at our sole discretion, until the earlier of March 15, 2021 and the fourth business day following the closing of this offering, to substitute cash in lieu of shares in any amount up to the entire stock consideration of $350 million. We have agreed to register the stock consideration, if any, on a Registration Statement on Form S-4 to be filed by March 1, 2021. The purchase price for the Merger is subject to customary adjustments for Decipher’s transaction expenses, cash, indebtedness and the aggregate exercise price of Decipher’s outstanding stock options.</w:t>
      </w:r>
    </w:p>
    <w:p>
      <w:pPr>
        <w:spacing w:after="0" w:line="166" w:lineRule="exact"/>
        <w:rPr>
          <w:sz w:val="20"/>
          <w:szCs w:val="20"/>
          <w:color w:val="auto"/>
        </w:rPr>
      </w:pPr>
    </w:p>
    <w:p>
      <w:pPr>
        <w:ind w:left="300" w:right="100"/>
        <w:spacing w:after="0" w:line="259" w:lineRule="auto"/>
        <w:rPr>
          <w:sz w:val="20"/>
          <w:szCs w:val="20"/>
          <w:color w:val="auto"/>
        </w:rPr>
      </w:pPr>
      <w:r>
        <w:rPr>
          <w:rFonts w:ascii="Arial" w:cs="Arial" w:eastAsia="Arial" w:hAnsi="Arial"/>
          <w:sz w:val="18"/>
          <w:szCs w:val="18"/>
          <w:color w:val="auto"/>
        </w:rPr>
        <w:t>The Merger Agreement contains customary representations, warranties, covenants and agreements of Decipher and Veracyte. The closing of the transaction contemplated by the Merger Agreement is anticipated to occur by May 2021 and is subject to customary closing conditions, including the expiration or termination of the applicable waiting period under the Hart-Scott-Rodino Antitrust Improvements Act of 1976, as amended. The Merger Agreement also provides customary termination rights to each of the parties.</w:t>
      </w:r>
    </w:p>
    <w:p>
      <w:pPr>
        <w:spacing w:after="0" w:line="187" w:lineRule="exact"/>
        <w:rPr>
          <w:sz w:val="20"/>
          <w:szCs w:val="20"/>
          <w:color w:val="auto"/>
        </w:rPr>
      </w:pPr>
    </w:p>
    <w:p>
      <w:pPr>
        <w:ind w:left="300" w:right="60"/>
        <w:spacing w:after="0" w:line="311" w:lineRule="auto"/>
        <w:rPr>
          <w:sz w:val="20"/>
          <w:szCs w:val="20"/>
          <w:color w:val="auto"/>
        </w:rPr>
      </w:pPr>
      <w:r>
        <w:rPr>
          <w:rFonts w:ascii="Arial" w:cs="Arial" w:eastAsia="Arial" w:hAnsi="Arial"/>
          <w:sz w:val="16"/>
          <w:szCs w:val="16"/>
          <w:color w:val="auto"/>
        </w:rPr>
        <w:t>Tina S. Nova, Ph.D., the President and Chief Executive Officer of Decipher, was previously a member of our board of directors. Dr. Nova was not involved in our deliberations regarding the transaction and has resigned from our board of directors in connection with the transaction. Upon the closing of the Merger, we anticipate that Dr. Nova will serve as the general manger for our urologic cancers business unit.</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u w:val="single" w:color="auto"/>
          <w:color w:val="auto"/>
        </w:rPr>
        <w:t>Preliminary Unaudited Financial Update</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Veracyte</w:t>
      </w:r>
    </w:p>
    <w:p>
      <w:pPr>
        <w:spacing w:after="0" w:line="117" w:lineRule="exact"/>
        <w:rPr>
          <w:sz w:val="20"/>
          <w:szCs w:val="20"/>
          <w:color w:val="auto"/>
        </w:rPr>
      </w:pPr>
    </w:p>
    <w:p>
      <w:pPr>
        <w:ind w:left="300" w:right="80"/>
        <w:spacing w:after="0" w:line="259" w:lineRule="auto"/>
        <w:rPr>
          <w:sz w:val="20"/>
          <w:szCs w:val="20"/>
          <w:color w:val="auto"/>
        </w:rPr>
      </w:pPr>
      <w:r>
        <w:rPr>
          <w:rFonts w:ascii="Arial" w:cs="Arial" w:eastAsia="Arial" w:hAnsi="Arial"/>
          <w:sz w:val="18"/>
          <w:szCs w:val="18"/>
          <w:color w:val="auto"/>
        </w:rPr>
        <w:t>On February 3, 2021, we announced that we expect to report that we generated total revenue of between $34.0 million and $35.0 million, and that our product and testing volume was 13,130 tests, in each case for the three months ended December 31, 2020. We also expect to report total revenue of between $117.0 million and $118.0 million, and product and testing volume of 44,489 tests, in each case for the full year ended December 31, 2020.</w:t>
      </w:r>
    </w:p>
    <w:p>
      <w:pPr>
        <w:spacing w:after="0" w:line="187" w:lineRule="exact"/>
        <w:rPr>
          <w:sz w:val="20"/>
          <w:szCs w:val="20"/>
          <w:color w:val="auto"/>
        </w:rPr>
      </w:pPr>
    </w:p>
    <w:p>
      <w:pPr>
        <w:ind w:left="300" w:right="200"/>
        <w:spacing w:after="0" w:line="277" w:lineRule="auto"/>
        <w:rPr>
          <w:sz w:val="20"/>
          <w:szCs w:val="20"/>
          <w:color w:val="auto"/>
        </w:rPr>
      </w:pPr>
      <w:r>
        <w:rPr>
          <w:rFonts w:ascii="Arial" w:cs="Arial" w:eastAsia="Arial" w:hAnsi="Arial"/>
          <w:sz w:val="18"/>
          <w:szCs w:val="18"/>
          <w:color w:val="auto"/>
        </w:rPr>
        <w:t>These total revenue amounts are preliminary, have not been audited and are subject to change in connection with the completion of our financial statements for the year ended December 31, 2020. In addition, our independent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880"/>
          </w:cols>
          <w:pgMar w:left="32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818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4281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360"/>
        <w:spacing w:after="0" w:line="286" w:lineRule="auto"/>
        <w:rPr>
          <w:sz w:val="20"/>
          <w:szCs w:val="20"/>
          <w:color w:val="auto"/>
        </w:rPr>
      </w:pPr>
      <w:r>
        <w:rPr>
          <w:rFonts w:ascii="Arial" w:cs="Arial" w:eastAsia="Arial" w:hAnsi="Arial"/>
          <w:sz w:val="17"/>
          <w:szCs w:val="17"/>
          <w:color w:val="auto"/>
        </w:rPr>
        <w:t>registered public accounting firm does not express an opinion or any other form of assurance with respect thereto. Accordingly, you should not place undue reliance on this information. Additional information and disclosures would be required for a more complete understanding of our financial position and results of operations as of, and for the period ended on, December 31, 2020.</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Decipher</w:t>
      </w:r>
    </w:p>
    <w:p>
      <w:pPr>
        <w:spacing w:after="0" w:line="117" w:lineRule="exact"/>
        <w:rPr>
          <w:sz w:val="20"/>
          <w:szCs w:val="20"/>
          <w:color w:val="auto"/>
        </w:rPr>
      </w:pPr>
    </w:p>
    <w:p>
      <w:pPr>
        <w:ind w:left="300" w:right="460"/>
        <w:spacing w:after="0" w:line="263" w:lineRule="auto"/>
        <w:rPr>
          <w:sz w:val="20"/>
          <w:szCs w:val="20"/>
          <w:color w:val="auto"/>
        </w:rPr>
      </w:pPr>
      <w:r>
        <w:rPr>
          <w:rFonts w:ascii="Arial" w:cs="Arial" w:eastAsia="Arial" w:hAnsi="Arial"/>
          <w:sz w:val="18"/>
          <w:szCs w:val="18"/>
          <w:color w:val="auto"/>
        </w:rPr>
        <w:t>For the year ended December 31, 2020, Decipher achieved positive cash flows from operating activities. In addition, the table below presents certain financial and operating information for Decipher, including certain preliminary unaudited information for the three months ended December 31, 2020 (in thousands, except genomic testing data):</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16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3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6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4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December 31</w:t>
            </w:r>
            <w:r>
              <w:rPr>
                <w:rFonts w:ascii="Arial" w:cs="Arial" w:eastAsia="Arial" w:hAnsi="Arial"/>
                <w:sz w:val="12"/>
                <w:szCs w:val="12"/>
                <w:b w:val="1"/>
                <w:bCs w:val="1"/>
                <w:color w:val="auto"/>
                <w:w w:val="93"/>
              </w:rPr>
              <w:t>*</w:t>
            </w:r>
            <w:r>
              <w:rPr>
                <w:rFonts w:ascii="Arial" w:cs="Arial" w:eastAsia="Arial" w:hAnsi="Arial"/>
                <w:sz w:val="14"/>
                <w:szCs w:val="14"/>
                <w:b w:val="1"/>
                <w:bCs w:val="1"/>
                <w:color w:val="auto"/>
                <w:w w:val="93"/>
              </w:rPr>
              <w:t>,</w:t>
            </w:r>
          </w:p>
        </w:tc>
      </w:tr>
      <w:tr>
        <w:trPr>
          <w:trHeight w:val="142"/>
        </w:trPr>
        <w:tc>
          <w:tcPr>
            <w:tcW w:w="3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2"/>
                <w:szCs w:val="12"/>
                <w:color w:val="auto"/>
              </w:rPr>
            </w:pPr>
          </w:p>
        </w:tc>
        <w:tc>
          <w:tcPr>
            <w:tcW w:w="740" w:type="dxa"/>
            <w:vAlign w:val="bottom"/>
            <w:tcBorders>
              <w:top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2019</w:t>
            </w:r>
          </w:p>
        </w:tc>
        <w:tc>
          <w:tcPr>
            <w:tcW w:w="74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2"/>
                <w:szCs w:val="12"/>
                <w:color w:val="auto"/>
              </w:rPr>
            </w:pPr>
          </w:p>
        </w:tc>
      </w:tr>
      <w:tr>
        <w:trPr>
          <w:trHeight w:val="142"/>
        </w:trPr>
        <w:tc>
          <w:tcPr>
            <w:tcW w:w="3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4"/>
          </w:tcPr>
          <w:p>
            <w:pPr>
              <w:jc w:val="right"/>
              <w:ind w:right="1124"/>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$16,524</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$10,675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$ 27,412</w:t>
            </w:r>
          </w:p>
        </w:tc>
        <w:tc>
          <w:tcPr>
            <w:tcW w:w="1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  11,750 – 12,250</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Genomic Testing Volume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10,655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11,538</w:t>
            </w:r>
          </w:p>
        </w:tc>
        <w:tc>
          <w:tcPr>
            <w:tcW w:w="1000" w:type="dxa"/>
            <w:vAlign w:val="bottom"/>
            <w:gridSpan w:val="2"/>
          </w:tcPr>
          <w:p>
            <w:pPr>
              <w:jc w:val="right"/>
              <w:ind w:right="68"/>
              <w:spacing w:after="0"/>
              <w:rPr>
                <w:sz w:val="20"/>
                <w:szCs w:val="20"/>
                <w:color w:val="auto"/>
              </w:rPr>
            </w:pPr>
            <w:r>
              <w:rPr>
                <w:rFonts w:ascii="Arial" w:cs="Arial" w:eastAsia="Arial" w:hAnsi="Arial"/>
                <w:sz w:val="18"/>
                <w:szCs w:val="18"/>
                <w:color w:val="auto"/>
              </w:rPr>
              <w:t>8,123</w:t>
            </w:r>
          </w:p>
        </w:tc>
        <w:tc>
          <w:tcPr>
            <w:tcW w:w="740" w:type="dxa"/>
            <w:vAlign w:val="bottom"/>
          </w:tcPr>
          <w:p>
            <w:pPr>
              <w:jc w:val="right"/>
              <w:spacing w:after="0"/>
              <w:rPr>
                <w:sz w:val="20"/>
                <w:szCs w:val="20"/>
                <w:color w:val="auto"/>
              </w:rPr>
            </w:pPr>
            <w:r>
              <w:rPr>
                <w:rFonts w:ascii="Arial" w:cs="Arial" w:eastAsia="Arial" w:hAnsi="Arial"/>
                <w:sz w:val="18"/>
                <w:szCs w:val="18"/>
                <w:color w:val="auto"/>
              </w:rPr>
              <w:t>11,812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3,700 – 4,700</w:t>
            </w:r>
          </w:p>
        </w:tc>
      </w:tr>
    </w:tbl>
    <w:p>
      <w:pPr>
        <w:spacing w:after="0" w:line="214" w:lineRule="exact"/>
        <w:rPr>
          <w:sz w:val="20"/>
          <w:szCs w:val="20"/>
          <w:color w:val="auto"/>
        </w:rPr>
      </w:pPr>
    </w:p>
    <w:p>
      <w:pPr>
        <w:ind w:left="720" w:right="180" w:hanging="422"/>
        <w:spacing w:after="0" w:line="296" w:lineRule="auto"/>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Revenue amounts for the three months ended December 31, 2020 amounts are preliminary, have not been audited and are subject to change in connection with the completion of Decipher’s financial statements for the year ended December 31, 2020. In addition, neither our or Decipher’s independent registered public accounting firm express an opinion or any other form of assurance with respect thereto. Accordingly, you should not place undue reliance on this information. Additional information and disclosures would be required for a more complete understanding of Decipher’s financial position and results of operations as of, and for the period ended on, December 31, 2020.</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jc w:val="both"/>
        <w:ind w:left="300" w:right="200"/>
        <w:spacing w:after="0" w:line="296" w:lineRule="auto"/>
        <w:rPr>
          <w:sz w:val="20"/>
          <w:szCs w:val="20"/>
          <w:color w:val="auto"/>
        </w:rPr>
      </w:pPr>
      <w:r>
        <w:rPr>
          <w:rFonts w:ascii="Arial" w:cs="Arial" w:eastAsia="Arial" w:hAnsi="Arial"/>
          <w:sz w:val="16"/>
          <w:szCs w:val="16"/>
          <w:color w:val="auto"/>
        </w:rPr>
        <w:t>We were incorporated in the state of Delaware on August 15, 2006 as Calderome, Inc. Calderome, Inc.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supplement or the accompanying prospectus, and you should not consider any information on, or accessible through, our website as part of this prospectus supplement or the accompanying prospectus.</w:t>
      </w: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70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8707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00"/>
          </w:cols>
          <w:pgMar w:left="320" w:top="459" w:right="679" w:bottom="1440" w:gutter="0" w:footer="0" w:header="0"/>
        </w:sectPr>
      </w:pPr>
    </w:p>
    <w:p>
      <w:pPr>
        <w:spacing w:after="0" w:line="256"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Veracyte, Inc.</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we are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7,432,433 shares.</w:t>
      </w:r>
    </w:p>
    <w:p>
      <w:pPr>
        <w:spacing w:after="0" w:line="211"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65,246,266 shares (or 66,361,130 shares if the underwriters exercise in full their option to purchase additional shares of our common stock).</w:t>
      </w:r>
    </w:p>
    <w:p>
      <w:pPr>
        <w:spacing w:after="0" w:line="197" w:lineRule="exact"/>
        <w:rPr>
          <w:sz w:val="20"/>
          <w:szCs w:val="20"/>
          <w:color w:val="auto"/>
        </w:rPr>
      </w:pPr>
    </w:p>
    <w:p>
      <w:pPr>
        <w:sectPr>
          <w:pgSz w:w="11900" w:h="16838" w:orient="portrait"/>
          <w:cols w:equalWidth="0" w:num="2">
            <w:col w:w="3940" w:space="40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Option to purchase additional shares</w:t>
      </w:r>
    </w:p>
    <w:p>
      <w:pPr>
        <w:spacing w:after="0" w:line="20" w:lineRule="exact"/>
        <w:rPr>
          <w:sz w:val="20"/>
          <w:szCs w:val="20"/>
          <w:color w:val="auto"/>
        </w:rPr>
      </w:pPr>
      <w:r>
        <w:rPr>
          <w:sz w:val="20"/>
          <w:szCs w:val="20"/>
          <w:color w:val="auto"/>
        </w:rPr>
        <w:br w:type="column"/>
      </w:r>
    </w:p>
    <w:p>
      <w:pPr>
        <w:ind w:right="360"/>
        <w:spacing w:after="0" w:line="277" w:lineRule="auto"/>
        <w:rPr>
          <w:sz w:val="20"/>
          <w:szCs w:val="20"/>
          <w:color w:val="auto"/>
        </w:rPr>
      </w:pPr>
      <w:r>
        <w:rPr>
          <w:rFonts w:ascii="Arial" w:cs="Arial" w:eastAsia="Arial" w:hAnsi="Arial"/>
          <w:sz w:val="18"/>
          <w:szCs w:val="18"/>
          <w:color w:val="auto"/>
        </w:rPr>
        <w:t>We have granted the underwriters a 30-day option to purchase an additional 1,114,864 shares of our common stock.</w:t>
      </w:r>
    </w:p>
    <w:p>
      <w:pPr>
        <w:spacing w:after="0" w:line="197"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We currently intend to use the net proceeds from this offering, together with our existing cash and cash equivalents, to finance some or all of the aggregate purchase price of $600.0 million for our acquisition of Decipher. We intend to use the remaining net proceeds of this offering, if any, for working capital and other general corporate purposes, which may include acquisitions or investments in complementary businesses, technologies or other assets, although we have no present commitments or agreements to do so (other than with respect to Decipher). This offering is not conditioned upon the closing of the Merger. If the Merger does not close, we will have broad discretion as to the use of proceeds from this offering. See the section entitled “Use of Proceeds.”</w:t>
      </w:r>
    </w:p>
    <w:p>
      <w:pPr>
        <w:spacing w:after="0" w:line="193"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See the section entitled “Risk Factors” for a discussion of factors you should consider carefully before deciding to invest in our common stock.</w:t>
      </w:r>
    </w:p>
    <w:p>
      <w:pPr>
        <w:spacing w:after="0" w:line="197"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“VCYT”</w:t>
      </w:r>
    </w:p>
    <w:p>
      <w:pPr>
        <w:spacing w:after="0" w:line="200"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3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number of shares of common stock to be outstanding immediately after this offering is based on 57,813,833 shares outstanding as of</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September 30, 2020 and excludes:</w:t>
      </w:r>
    </w:p>
    <w:p>
      <w:pPr>
        <w:spacing w:after="0" w:line="116" w:lineRule="exact"/>
        <w:rPr>
          <w:sz w:val="20"/>
          <w:szCs w:val="20"/>
          <w:color w:val="auto"/>
        </w:rPr>
      </w:pPr>
    </w:p>
    <w:p>
      <w:pPr>
        <w:ind w:left="1240" w:right="46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4,412,050 shares of our common stock issuable upon the exercise of stock options outstanding as of September 30, 2020, with a weighted-average exercise price of $14.68 per share;</w:t>
      </w:r>
    </w:p>
    <w:p>
      <w:pPr>
        <w:spacing w:after="0" w:line="75"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50,000 shares of our common stock issuable upon the exercise of stock options granted after September 30, 2020, with a weighted-average exercise price of $47.34 per share;</w:t>
      </w:r>
    </w:p>
    <w:p>
      <w:pPr>
        <w:spacing w:after="0" w:line="75" w:lineRule="exact"/>
        <w:rPr>
          <w:rFonts w:ascii="Arial" w:cs="Arial" w:eastAsia="Arial" w:hAnsi="Arial"/>
          <w:sz w:val="18"/>
          <w:szCs w:val="18"/>
          <w:color w:val="auto"/>
        </w:rPr>
      </w:pPr>
    </w:p>
    <w:p>
      <w:pPr>
        <w:ind w:left="1240" w:right="20" w:hanging="415"/>
        <w:spacing w:after="0" w:line="342" w:lineRule="auto"/>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742,227 shares of common stock issuable upon the settlement of restricted stock units, or RSUs, and 125,000 shares of common stock issuable upon the settlement of performance stock units, or PSUs, in each case, outstanding as of September 30, 2020;</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49,350 shares of common stock issuable upon the settlement of RSUs granted after September 30, 2020;</w:t>
      </w:r>
    </w:p>
    <w:p>
      <w:pPr>
        <w:spacing w:after="0" w:line="130" w:lineRule="exact"/>
        <w:rPr>
          <w:rFonts w:ascii="Arial" w:cs="Arial" w:eastAsia="Arial" w:hAnsi="Arial"/>
          <w:sz w:val="18"/>
          <w:szCs w:val="18"/>
          <w:color w:val="auto"/>
        </w:rPr>
      </w:pPr>
    </w:p>
    <w:p>
      <w:pPr>
        <w:ind w:left="1240" w:right="80" w:hanging="415"/>
        <w:spacing w:after="0" w:line="308"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up to 6,445,672 shares of common stock issuable in connection with our acquisition of Decipher, subject to reduction pursuant to our option, as described under “Prospectus Supplement Summary—Recent Developments—Decipher Biosciences Merger;”</w:t>
      </w:r>
    </w:p>
    <w:p>
      <w:pPr>
        <w:spacing w:after="0" w:line="51" w:lineRule="exact"/>
        <w:rPr>
          <w:rFonts w:ascii="Arial" w:cs="Arial" w:eastAsia="Arial" w:hAnsi="Arial"/>
          <w:sz w:val="17"/>
          <w:szCs w:val="17"/>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2,936,958 shares of common stock reserved for future issuance under our 2013 Stock Incentive Plan, as amended;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1,522,653 shares of common stock reserved for future issuance under our Amended and Restated Employee Stock Purchase Plan.</w:t>
      </w:r>
    </w:p>
    <w:p>
      <w:pPr>
        <w:spacing w:after="0" w:line="248" w:lineRule="exact"/>
        <w:rPr>
          <w:sz w:val="20"/>
          <w:szCs w:val="20"/>
          <w:color w:val="auto"/>
        </w:rPr>
      </w:pPr>
    </w:p>
    <w:p>
      <w:pPr>
        <w:ind w:left="300" w:right="240"/>
        <w:spacing w:after="0" w:line="342" w:lineRule="auto"/>
        <w:rPr>
          <w:sz w:val="20"/>
          <w:szCs w:val="20"/>
          <w:color w:val="auto"/>
        </w:rPr>
      </w:pPr>
      <w:r>
        <w:rPr>
          <w:rFonts w:ascii="Arial" w:cs="Arial" w:eastAsia="Arial" w:hAnsi="Arial"/>
          <w:sz w:val="16"/>
          <w:szCs w:val="16"/>
          <w:color w:val="auto"/>
        </w:rPr>
        <w:t>Except as otherwise indicated, all information in this prospectus supplement assumes no exercise or settlement of the outstanding stock options, RSUs, PSUs or other equity awards described above and no exercise by the underwriters of their option to purchase additional shares.</w:t>
      </w: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00"/>
          </w:cols>
          <w:pgMar w:left="320" w:top="459" w:right="67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i w:val="1"/>
          <w:iCs w:val="1"/>
          <w:color w:val="auto"/>
        </w:rPr>
        <w:t>Investing in shares of our common stock involves a high degree of risk. You should consider carefully the risks and uncertainties described below and in our Quarterly Report on Form 10-Q for the quarter ended September 30, 2020 incorporated by reference in this prospectus supplement and the accompanying prospectus, any amendment or update thereto reflected in our subsequent filings with the SEC, and all of the other information in this prospectus supplement and the accompanying prospectus, including our financial statements and related notes incorporated by reference in this prospectus supplement and the accompanying prospectus, before making an investment decision.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Acquisition of Decipher</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 pending acquisition of Decipher may present many risks and we may not realize the strategic and financial goals that were contemplated at the time we entered into the Merger Agreement.</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Risks we may face in connection with the pending acquisition and subsequent integration of Decipher include:</w:t>
      </w:r>
    </w:p>
    <w:p>
      <w:pPr>
        <w:spacing w:after="0" w:line="131" w:lineRule="exact"/>
        <w:rPr>
          <w:sz w:val="20"/>
          <w:szCs w:val="20"/>
          <w:color w:val="auto"/>
        </w:rPr>
      </w:pPr>
    </w:p>
    <w:p>
      <w:pPr>
        <w:ind w:left="1080" w:right="1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closing of the acquisition could be delayed or not consummated, including in the event that the closing conditions are not satisfied or waived or we or Decipher terminate the Merger Agreement;</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realize the benefits we expect to receive from the transaction, such as anticipated synergies and an enhanced menu of genomic tests;</w:t>
      </w:r>
    </w:p>
    <w:p>
      <w:pPr>
        <w:spacing w:after="0" w:line="75" w:lineRule="exact"/>
        <w:rPr>
          <w:rFonts w:ascii="Arial" w:cs="Arial" w:eastAsia="Arial" w:hAnsi="Arial"/>
          <w:sz w:val="18"/>
          <w:szCs w:val="18"/>
          <w:color w:val="auto"/>
        </w:rPr>
      </w:pPr>
    </w:p>
    <w:p>
      <w:pPr>
        <w:ind w:left="1080" w:right="400" w:hanging="424"/>
        <w:spacing w:after="0" w:line="342"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closing conditions to the acquisition may not be satisfied or waived, including that the expiration or termination of the applicable waiting period may not be satisfied or waived under the Hart-Scott-Rodino Antitrust Improvements Act of 1976, as amended;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have difficulties managing Decipher’s products and tests or retaining key personnel from Decipher;</w:t>
      </w:r>
    </w:p>
    <w:p>
      <w:pPr>
        <w:spacing w:after="0" w:line="130"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acquisition may not further our business strategy as we expected, we may not successfully integrate Decipher as planned, there could be unanticipated adverse impacts on Decipher’s business,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92"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Merger Agreement does not provide for post-closing indemnification protection related to pre-closing Decipher operations and, therefore, we may incur unforeseen costs as a result of Decipher’s pre-closing activities, over which we have limited control, including Decipher’s breach of the covenants contained in the Merger Agreement;</w:t>
      </w:r>
    </w:p>
    <w:p>
      <w:pPr>
        <w:spacing w:after="0" w:line="89" w:lineRule="exact"/>
        <w:rPr>
          <w:rFonts w:ascii="Arial" w:cs="Arial" w:eastAsia="Arial" w:hAnsi="Arial"/>
          <w:sz w:val="18"/>
          <w:szCs w:val="18"/>
          <w:color w:val="auto"/>
        </w:rPr>
      </w:pPr>
    </w:p>
    <w:p>
      <w:pPr>
        <w:ind w:left="1080" w:right="60" w:hanging="424"/>
        <w:spacing w:after="0" w:line="275"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operating results or financial condition may be adversely impacted by (i) claims or liabilities related to Decipher’s business including, among others, claims from U.S. or international regulatory or other governmental agencies, terminated employees, current or former customers or business partners, or other third parties; (ii) pre-existing contractual relationships of Decipher that we would not have otherwise entered into, the termination or modification of which may be costly or disruptive to our business; (iii) unfavorable accounting treatment as a result of Decipher’s practices; and (iv) intellectual property claims or disputes;</w:t>
      </w:r>
    </w:p>
    <w:p>
      <w:pPr>
        <w:spacing w:after="0" w:line="81"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Decipher was not required to maintain an internal control infrastructure that would meet the standards of a public company, including the requirements of the Sarbanes-Oxley Act of 2002. The costs that we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63" w:lineRule="auto"/>
        <w:rPr>
          <w:sz w:val="20"/>
          <w:szCs w:val="20"/>
          <w:color w:val="auto"/>
        </w:rPr>
      </w:pPr>
      <w:r>
        <w:rPr>
          <w:rFonts w:ascii="Arial" w:cs="Arial" w:eastAsia="Arial" w:hAnsi="Arial"/>
          <w:sz w:val="18"/>
          <w:szCs w:val="18"/>
          <w:color w:val="auto"/>
        </w:rPr>
        <w:t>may incur to implement such controls and procedures may be substantial and we could encounter unexpected delays and challenges in this implementation. In addition, we may discover significant deficiencies or material weaknesses in the quality of Decipher’s financial and disclosure controls and procedures;</w:t>
      </w:r>
    </w:p>
    <w:p>
      <w:pPr>
        <w:spacing w:after="0" w:line="89" w:lineRule="exact"/>
        <w:rPr>
          <w:sz w:val="20"/>
          <w:szCs w:val="20"/>
          <w:color w:val="auto"/>
        </w:rPr>
      </w:pPr>
    </w:p>
    <w:p>
      <w:pPr>
        <w:jc w:val="both"/>
        <w:ind w:left="1080" w:right="80" w:hanging="424"/>
        <w:spacing w:after="0" w:line="342"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Decipher operates in segments of the diagnostic market that we have less experience with, including urology, and our further expansion of operations into these areas could present various integration challenges and result in increased costs and other unforeseen challenges; and</w:t>
      </w:r>
    </w:p>
    <w:p>
      <w:pPr>
        <w:spacing w:after="0" w:line="29" w:lineRule="exact"/>
        <w:rPr>
          <w:rFonts w:ascii="Arial" w:cs="Arial" w:eastAsia="Arial" w:hAnsi="Arial"/>
          <w:sz w:val="16"/>
          <w:szCs w:val="16"/>
          <w:color w:val="auto"/>
        </w:rPr>
      </w:pPr>
    </w:p>
    <w:p>
      <w:pPr>
        <w:ind w:left="1080" w:right="400" w:hanging="424"/>
        <w:spacing w:after="0" w:line="286"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fail to identify or assess the magnitude of certain liabilities, shortcomings or other circumstances prior to acquiring Decipher, which could result in unexpected litigation or regulatory exposure, unfavorable accounting treatment, a diversion of management’s attention and resources, and other adverse effects on our business, financial condition, and operating results.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occurrence of any of these risks could have a material adverse effect on our business, financial condition, and operating results.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380"/>
        <w:spacing w:after="0" w:line="375" w:lineRule="auto"/>
        <w:rPr>
          <w:sz w:val="20"/>
          <w:szCs w:val="20"/>
          <w:color w:val="auto"/>
        </w:rPr>
      </w:pPr>
      <w:r>
        <w:rPr>
          <w:rFonts w:ascii="Arial" w:cs="Arial" w:eastAsia="Arial" w:hAnsi="Arial"/>
          <w:sz w:val="15"/>
          <w:szCs w:val="15"/>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price per share of our common stock being offered may be higher than the net tangible book value per share of our outstanding common stock prior to this offering. Based on the public offering price of $74.00 per share, and our net tangible book value as of September 30, 2020 of approximately $6.21 per share, if you purchase shares of common stock in this offering, you will suffer immediate and substantial dilution of $60.59 per share, representing the difference between the public offering price and the as adjusted net tangible book value per share of our common stock as of September 30, 2020 after giving effect to this offering, and excluding our payment to Deciphers’ stockholders of up to $600.0 million in cash in connection with the Merger as described in the section entitled “Use of Proceeds.” See the section entitled “Dilution” below for a more detailed discussion of the dilution you will incur if you purchase common stock in this offering.</w:t>
      </w:r>
    </w:p>
    <w:p>
      <w:pPr>
        <w:spacing w:after="0" w:line="17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 addition, under the Merger Agreement, we have agreed to issue up to 6,445,672 shares of our common stock as consideration for the Merger, which, unless we elect to pay such amount on a dollar-for-dollar basis with cash, as permitted under the Merger Agreement, would result in further dilution to you.</w:t>
      </w:r>
    </w:p>
    <w:p>
      <w:pPr>
        <w:spacing w:after="0" w:line="184"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Finally, we have a significant number of stock options to purchase common stock, RSUs and PSUs outstanding, and may choose to issue additional common stock, or securities convertible into or exchangeable for common stock, in the future. In the event that the outstanding stock options, RSUs or PSUs are exercised or settled,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shares of our common stock by our existing stockholders could cause our stock price to decline.</w:t>
      </w:r>
    </w:p>
    <w:p>
      <w:pPr>
        <w:spacing w:after="0" w:line="117"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Further, we have a significant number of stock options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RSUs and PSUs outstanding. As of September 30, 2020, we had 57,813,833 shares of outstanding common stock, of which approximately 395,936 shares and an additional 3,290,231 shares underlying stock options, RSUs and PSUs are subject to restrictions on transfer under 60-day lock-up arrangements with the underwriters of this offering. These shares will become eligible for public sale at the expiration of the lock-up period, subject to vesting requirements and volume limitations applicable to affiliates. If a substantial number of shares of common stock, including shares of common stock underlying outstanding stock options, RSUs and PSUs, are sold, or if it is perceived that they will be sold, in the public market, it could have an adverse impact on the market price of our common stock.</w:t>
      </w:r>
    </w:p>
    <w:p>
      <w:pPr>
        <w:spacing w:after="0" w:line="19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addition, under the Merger Agreement, we have agreed to register the up to 6,445,672 shares of our common stock as consideration payable to Decipher, on a Registration Statement on Form S-4 to be filed by March 1, 2021. In the event we issue such shares in the form of our common stock, and do not elect to pay such amount in cash, following the closing of the Merger, such shares would be freely tradeable by any stockholders of Decipher that are not our affiliates.</w:t>
      </w:r>
    </w:p>
    <w:p>
      <w:pPr>
        <w:spacing w:after="0" w:line="18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Furthermore, certain of our directors and executive officers have adopted, and other directors and executive officers may in the future adopt, written trading plans that are intended to comply with Rule 10b5-1 under the Securities Exchange Act of 1934, as amended, or Exchange Act, under which they have contracted, or may in the future contract, with a broker to sell shares of our common stock. Sales of substantial amounts of our common stock in the public markets during the lock-up period pursuant to existing Rule 10b5-1 plans or pursuant to new Rule 10b5-1 plans following the expiration of the lock-up period or otherwise, or the perception that these sales could occur, could cause the market price of our common stock to decline. We are unable to predict the effect that sales may have on the prevailing market price of our common stock.</w:t>
      </w:r>
    </w:p>
    <w:p>
      <w:pPr>
        <w:spacing w:after="0" w:line="28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6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This offering is not conditioned upon the closing of the Merger. If the Merger does not close, we will have broad discretion as to the use of proceeds from this offering.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This prospectus supplement, the accompanying prospectus and the documents we have filed with the SEC that are incorporated by reference in this prospectus supplement and the accompanying prospectus contain forward-looking statements within the meaning of the Private Securities Litigation Reform Act of 1995. When used in this prospectus supplement, the accompanying prospectus and the documents we have filed with the SEC that are incorporated by reference in this prospectus supplement and the accompanying prospectus, the words “expects,” “anticipates,” “intends,” “estimates,” “plans,” “believes,” “continuing,” “ongoing,” and similar expressions are intended to identify forward-looking statements. These are statements that relate to future events and include, but are not limited to, statements regarding the pending acquisition of Decipher; statements regarding the expected timing for completion of the Merger; statements related to the expected benefits of the Merger, including but not limited to, the acceleration of our revenue and path to profitability, the accretiveness to our gross margin, and the expansion of our total addressable market opportunity; statements regarding our cash position as of December 31, 2020 and our and Decipher’s total revenue and genomic test volume for 2020; statements regarding our and Decipher’s product pipeline and anticipated and expected launch dates; statements regarding the commercial launch of the Decipher Bladder test and its kidney cancer test, the breadth and depth of our product offerings in cancer diagnostic testing, and the ability of Decipher GRID to augment our biorepositories; our ability to secure all required regulatory approvals and prevent any delay in closing the transaction or the possibility of non-consummation of the Merger; our ability to avoid stockholder litigation in connection with the Merger; our ability to retain Decipher employees and to successfully integrate the Decipher business; risks inherent in the achievement of anticipated synergies and the timing thereof; our expectations with respect to our future research and development, general and administrative and selling and marketing expenses and our anticipated uses of our funds; the impact of the COVID-19 pandemic on our business and the U.S. and global economies; our expectations regarding the return to pre-COVID-19 volume and revenue levels; our beliefs with respect to the optimization of our processes for the analysis of RNA samples; our integration of the assets acquired from NanoString; our ability to deploy the nCounter Analysis System successfully and run our tests on this platform worldwide; our beliefs with respect to the optimization of our processes for the analysis of RNA samples; our collaboration with Johnson &amp; Johnson; our belief in the importance of maintaining libraries of clinical evidence; our expectations regarding the nasal swab classifier for early lung cancer detection, the Percepta Lung Cancer Atlas, the Envisia classifier on the nCounter system and the LymphMark lymphoma subtyping test; our expectations regarding our diagnostic company partnerships with CareDx and MAVIDx; our ability to have the targeted Atlas platform transferred to our pulmonology indications; our expectations regarding the Percepta Lung Cancer Atlas; our expectations regarding capital expenditures; our anticipated cash needs and our estimates regarding our capital requirements; the timing and success of our transition to a single platform for all of our classifiers and tests; our ability to maintain Medicare coverage for each of our tests;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Thyroid Cytopathology Partners, and on other strategic relationships, and the success of those relationships; our beliefs regarding our laboratory capacity; the potential for future clinical studies to contradict or undermine previously published clinical study results;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other regulatory bodies; the impact of new or changing policies, regulation or legislation, or of judicial decisions, on our business; the impact of seasonal fluctuations and economic conditions on our business; our belief that we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herein.</w:t>
      </w:r>
    </w:p>
    <w:p>
      <w:pPr>
        <w:spacing w:after="0" w:line="18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Any forward-looking statement made by us in this prospectus supplement, the accompanying prospectus, or any of the documents incorporated by reference in this prospectus supplement and the accompanying prospectus speaks only as of the date on which it was made.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92"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You should read this prospectus supplement, the accompanying prospectus, and the documents that we reference in this prospectus supplement and the accompanying prospectus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4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This prospectus supplement, the accompanying prospectus, and the documents that we reference in this prospectus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020"/>
          </w:cols>
          <w:pgMar w:left="320" w:top="459" w:right="5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estimate that the net proceeds from the sale of 7,432,433 shares of our common stock in this offering, at the public offering price of $74.00 per share, will be approximately $516.3 million, after deducting the underwriting discounts and commissions and estimated offering expenses we expect to pay. If the underwriters exercise their option to purchase additional shares in full, we estimate that our net proceeds will be approximately $593.8 million, after deducting the underwriting discounts and commissions and estimated offering expenses we expect to pay.</w:t>
      </w:r>
    </w:p>
    <w:p>
      <w:pPr>
        <w:spacing w:after="0" w:line="171"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finance some or all of the aggregate purchase price of $600.0 million for our acquisition of Decipher. We intend to use the remaining net proceeds of this offering, if any, for working capital and other general corporate purposes, which may include acquisitions or investments in complementary businesses, technologies or other assets, although we have no present commitments or agreements to do so (other than with respect to Decipher). This offering is not conditioned upon the closing of the Merger. If the Merger does not close, we will have broad discretion as to the use of proceeds from this offering. As a result, investors will be relying on our judgment regarding the application of the net proceeds of this offering.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000"/>
          </w:cols>
          <w:pgMar w:left="320" w:top="459" w:right="5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price per share of our common stock you pay in this offering and the net tangible book value per share of our common stock immediately after this offering.</w:t>
      </w:r>
    </w:p>
    <w:p>
      <w:pPr>
        <w:spacing w:after="0" w:line="12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net tangible book value as of September 30, 2020 was approximately $358.8 million, or $6.21 per share of our common stock. Net tangible book value per share is calculated by subtracting our total liabilities from our total tangible assets, which is total assets less intangible assets, and dividing this amount by the number of shares of our common stock outstanding.</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After giving effect to the sale by us of 7,432,433 shares of our common stock at the public offering price of $74.00 per share, and after deducting the underwriting discounts and commissions and estimated offering expenses, and excluding our payment to Deciphers’ stockholders of up to $600.0 million in cash in connection with the Merger as described in the section entitled “Use of Proceeds,” our as adjusted net tangible book value as of September 30, 2020 would have been approximately $875.1 million, or $13.41 per share of our common stock. This represents an immediate increase in the net tangible book value of $7.20 per share to our existing stockholders and an immediate and substantial dilution in net tangible book value of $60.59 per share to new investors.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060" w:type="dxa"/>
            <w:vAlign w:val="bottom"/>
            <w:gridSpan w:val="2"/>
          </w:tcPr>
          <w:p>
            <w:pPr>
              <w:spacing w:after="0"/>
              <w:rPr>
                <w:sz w:val="20"/>
                <w:szCs w:val="20"/>
                <w:color w:val="auto"/>
              </w:rPr>
            </w:pPr>
            <w:r>
              <w:rPr>
                <w:rFonts w:ascii="Arial" w:cs="Arial" w:eastAsia="Arial" w:hAnsi="Arial"/>
                <w:sz w:val="18"/>
                <w:szCs w:val="18"/>
                <w:color w:val="auto"/>
              </w:rPr>
              <w:t>The following table illustrates this per share dilution:</w:t>
            </w: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 w:type="dxa"/>
            <w:vAlign w:val="bottom"/>
            <w:vMerge w:val="restart"/>
          </w:tcPr>
          <w:p>
            <w:pPr>
              <w:spacing w:after="0"/>
              <w:rPr>
                <w:sz w:val="21"/>
                <w:szCs w:val="21"/>
                <w:color w:val="auto"/>
              </w:rPr>
            </w:pPr>
          </w:p>
        </w:tc>
        <w:tc>
          <w:tcPr>
            <w:tcW w:w="7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8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September 30, 2020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$6.21</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8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Increase in as adjusted net tangible book value per share attributable to new investors</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7.20</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gridSpan w:val="2"/>
          </w:tcPr>
          <w:p>
            <w:pPr>
              <w:ind w:left="880"/>
              <w:spacing w:after="0"/>
              <w:rPr>
                <w:sz w:val="20"/>
                <w:szCs w:val="20"/>
                <w:color w:val="auto"/>
              </w:rPr>
            </w:pPr>
            <w:r>
              <w:rPr>
                <w:rFonts w:ascii="Arial" w:cs="Arial" w:eastAsia="Arial" w:hAnsi="Arial"/>
                <w:sz w:val="18"/>
                <w:szCs w:val="18"/>
                <w:color w:val="auto"/>
              </w:rPr>
              <w:t>As adjusted net tangible book value per share after this offering</w:t>
            </w:r>
          </w:p>
        </w:tc>
        <w:tc>
          <w:tcPr>
            <w:tcW w:w="6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202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If the underwriters exercise in full their option to purchase up to 1,114,864 additional shares from us at the public offering price of $74.00 per share, the as adjusted net tangible book value per share after this offering would be $14.36 per share and the dilution to new investors participating in this offering would be $59.64 per share.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calculations above are based on 57,813,833 shares outstanding as of September 30, 2020 and exclude:</w:t>
      </w:r>
    </w:p>
    <w:p>
      <w:pPr>
        <w:spacing w:after="0" w:line="131" w:lineRule="exact"/>
        <w:rPr>
          <w:sz w:val="20"/>
          <w:szCs w:val="20"/>
          <w:color w:val="auto"/>
        </w:rPr>
      </w:pPr>
    </w:p>
    <w:p>
      <w:pPr>
        <w:ind w:left="1080" w:right="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4,412,050 shares of our common stock issuable upon the exercise of stock options outstanding as of September 30, 2020, with a weighted-average exercise price of $14.68 per share;</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50,000 shares of our common stock issuable upon the exercise of stock options granted after September 30, 2020, with a weighted-average exercise price of $47.34 per share;</w:t>
      </w:r>
    </w:p>
    <w:p>
      <w:pPr>
        <w:spacing w:after="0" w:line="75" w:lineRule="exact"/>
        <w:rPr>
          <w:rFonts w:ascii="Arial" w:cs="Arial" w:eastAsia="Arial" w:hAnsi="Arial"/>
          <w:sz w:val="18"/>
          <w:szCs w:val="18"/>
          <w:color w:val="auto"/>
        </w:rPr>
      </w:pPr>
    </w:p>
    <w:p>
      <w:pPr>
        <w:ind w:left="1080" w:right="360" w:hanging="424"/>
        <w:spacing w:after="0" w:line="34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742,227 shares of common stock issuable upon the settlement of restricted stock units, or RSUs, and 125,000 shares of common stock issuable upon the settlement of performance stock units, or PSUs, in each case, outstanding as of September 30, 2020;</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49,350 shares of common stock issuable upon the settlement of RSUs granted after September 30, 2020;</w:t>
      </w:r>
    </w:p>
    <w:p>
      <w:pPr>
        <w:spacing w:after="0" w:line="130" w:lineRule="exact"/>
        <w:rPr>
          <w:rFonts w:ascii="Arial" w:cs="Arial" w:eastAsia="Arial" w:hAnsi="Arial"/>
          <w:sz w:val="18"/>
          <w:szCs w:val="18"/>
          <w:color w:val="auto"/>
        </w:rPr>
      </w:pPr>
    </w:p>
    <w:p>
      <w:pPr>
        <w:ind w:left="1080" w:right="420" w:hanging="424"/>
        <w:spacing w:after="0" w:line="308"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up to 6,445,672 shares of common stock issuable in connection with our acquisition of Decipher, subject to reduction pursuant to our option, as described under “Prospectus Supplement Summary—Recent Developments—Decipher Biosciences Merger;”</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2,936,958 shares of common stock reserved for future issuance under our 2013 Stock Incentive Plan, as amended; and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1,522,653 shares of common stock reserved for future issuance under our Amended and Restated Employee Stock Purchase Plan.</w:t>
      </w:r>
    </w:p>
    <w:p>
      <w:pPr>
        <w:spacing w:after="0" w:line="24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To the extent that any outstanding stock options have been or may be exercised, RSUs or PSUs are settled or other shares are issued, investors purchasing our common stock in this offering may experience further dilution. In addition, we may choose to issue additional common stock, or securities convertible into or exchangeable for common stock, in the future. The issuance of these securities could result in further dilution to investors participating in this offering.</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0960"/>
          </w:cols>
          <w:pgMar w:left="320" w:top="459" w:right="6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and do not expect to pay any dividends in the foreseeable future. On November 3, 2017, we entered into a loan and security agreement, or Loan and Security Agreement, with Silicon Valley Bank. The Loan and Security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NON-U.S. HOLDERS OF OUR COMMON STOCK</w:t>
      </w:r>
    </w:p>
    <w:p>
      <w:pPr>
        <w:spacing w:after="0" w:line="21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the alternative minimum tax or Medicare contribution tax on net investment income and does not discuss state, local, U.S. federal gift and estate tax laws, except to the limited extent provided below, or any non-U.S. tax consequences that may be relevant to Non-U.S. Holders in light of their particular circumstances.</w:t>
      </w:r>
    </w:p>
    <w:p>
      <w:pPr>
        <w:spacing w:after="0" w:line="188"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Special rules different from those described below may apply to certain Non-U.S. Holders that are subject to special treatment under the Internal Revenue Code of 1986, as amended, or Code, such as:</w:t>
      </w:r>
    </w:p>
    <w:p>
      <w:pPr>
        <w:spacing w:after="0" w:line="76"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 companies, banks and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 and tax-qualified retirement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governments and international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broker-dealers and traders in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persons required for U.S. federal income tax purposes to conform the timing of income accruals to their financial statements under Section 451(b) of the Code;</w:t>
      </w:r>
    </w:p>
    <w:p>
      <w:pPr>
        <w:spacing w:after="0" w:line="75"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persons that hold our common stock as part of a “straddle,” “hedge,” “conversion transaction,” “synthetic security” or integrated investment or other risk reduction strategy;</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purposes);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partnerships and other pass-through entities, and investors in such pass-through entities or entities that are treated as disregarded entities for U.S. federal income tax purposes (regardless of their places of organization or formation);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70"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Such Non-U.S. Holders are urged to consult their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and will not request a ruling from the Internal Revenue Service, or IRS, with respect to the statements made and the conclusions reached in the following summary, and there can be no assurance that the IRS will agree with such statements and conclusions or will not take a contrary position regarding the tax consequences of the acquisition, ownership, and disposition of our common stock, or that any such contrary position would not be sustained by a court.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PERSONS CONSIDERING THE PURCHASE OF OUR COMMON STOCK PURSUANT TO THIS OFFERING SHOULD CONSULT THEIR TAX ADVISORS CONCERNING THE U.S. FEDERAL INCOME TAX CONSEQUENCES OF ACQUIRING, OWNING AND DISPOSING OF OUR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76"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For the purposes of this discussion, a “Non-U.S. Holder” is, for U.S. federal income tax purposes, a beneficial owner of common stock other than a U.S. Holder or a partnership for U.S. federal income tax purposes. A “U.S. Holder” means a beneficial owner of our common stock that is for U.S. federal income tax purposes (a) an individual citizen or resident of the United States (as determined under U.S. federal income tax rules), (b) a corporation (or any other entity treated as a corporation) created or organized in or under the laws of the United States, any state thereof or the District of Columbia,</w:t>
      </w:r>
    </w:p>
    <w:p>
      <w:pPr>
        <w:spacing w:after="0" w:line="1" w:lineRule="exact"/>
        <w:rPr>
          <w:sz w:val="20"/>
          <w:szCs w:val="20"/>
          <w:color w:val="auto"/>
        </w:rPr>
      </w:pPr>
    </w:p>
    <w:p>
      <w:pPr>
        <w:ind w:left="120" w:right="20" w:hanging="4"/>
        <w:spacing w:after="0" w:line="253" w:lineRule="auto"/>
        <w:tabs>
          <w:tab w:leader="none" w:pos="3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 (d) a trust if it (1) 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w:t>
      </w:r>
    </w:p>
    <w:p>
      <w:pPr>
        <w:spacing w:after="0" w:line="193"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tax advisors regarding the U.S. federal income tax consequences of the ownership or disposition of our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do not expect to declare or make any distributions on our common stock in the foreseeable future. If we do make distributions on our common stock,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titled “—Gain on Disposition of our Common Stock.”</w:t>
      </w:r>
    </w:p>
    <w:p>
      <w:pPr>
        <w:spacing w:after="0" w:line="19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us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us or our paying agent, either directly or through other intermediaries. If you are eligible for a reduced rate of U.S. federal withholding tax under an income tax treaty,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you should consult with your tax advisor to determine if you are able to obtain a refund or credit of any excess amounts withheld by timely filing an appropriate claim for a refund with the IRS.</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us (or, if stock is held through a financial institution or other agent, to the agent). In general, such effectively connected dividends will be subject to U.S. federal income tax on a net income basis at the regular graduated rates applicable to U.S. persons, unless a specific treaty exemption applies. A corporate Non-U.S. Holder receiving effectively connected dividends may also be subject to an additional “branch profits tax,” which is generally imposed at a rate of 30% (or such lower rate as may be specified by an applicable treaty) on the corporate Non-U.S. Holder’s effectively connected earnings and profits, subject to certain adjustments.</w:t>
      </w:r>
    </w:p>
    <w:p>
      <w:pPr>
        <w:spacing w:after="0" w:line="192"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See also the section below entitled “—Foreign Accounts” for additional withholding rules that may apply to dividends paid to foreign financial institutions or non-financial foreign entities.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229"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Subject to the discussion below under the sections titled “—Backup Withholding and Information Reporting” and “—Foreign Accounts,” a Non-U.S. Holder generally will not be subject to U.S. federal income tax with respect to gain realized on a sale or other disposition of our common stock unless</w:t>
      </w:r>
    </w:p>
    <w:p>
      <w:pPr>
        <w:ind w:left="120" w:right="60" w:hanging="4"/>
        <w:spacing w:after="0" w:line="271" w:lineRule="auto"/>
        <w:tabs>
          <w:tab w:leader="none" w:pos="3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holder in the United States (and, if required by an applicable income tax treaty, is attributable to a permanent establishment that the holder maintains in the United States), (b) the Non-U.S. Holder is a nonresident alien individual and is present in the United States for 183 or more days in the taxable year of the disposition and certain other conditions are met, or (c) we are or have been a “United States real property holding corporation” within the meaning of Code Section 897(c)(2) at any time within the shorter of the five-year period preceding such disposition or the holder’s holding period in the common stock.</w:t>
      </w:r>
    </w:p>
    <w:p>
      <w:pPr>
        <w:spacing w:after="0" w:line="178"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If you are a Non-U.S. Holder described in (a) above, you will be required to pay tax on the net gain derived from the sale at the regular graduated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If you are an individual Non-U.S. Holder described in (b) above, you will be required to pay a flat 30% tax on the gain derived from the sale, which gain may be offset by certain U.S. source capital losses (even though you are not considered a resident of the United States), provided you have timely filed U.S. federal income tax returns with respect to such losses. With respect to (c) above, in general, we would be a U.S. real property holding corporation if interests in U.S. real estate comprised (by fair market value) at least half of the sum of our worldwide real estate assets plus our business assets. We believe that we are not, and do not anticipate becoming, a U.S. real property holding corporation. However,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(1) the Non-U.S. Holder owned, directly, indirectly or constructively, no more than five percent of our common stock at all times within the shorter of (i) the five-year period preceding the disposition or (ii) the holder’s holding period and (2) our common stock is regularly traded on an established securities market. There can be no assurance that our common stock will qualify as regularly traded on an established securities market.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estates of nonresident alien individuals generally are subject to U.S. federal estate tax on property with a U.S. situs. Because we are a U.S. corporation, our common stock will be U.S. situs property and therefore will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tax advisors regarding the U.S. federal estate tax consequences of the ownership or disposition of our common stock.</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Generally, we or certain financial middlemen must report information to the IRS with respect to any distributions (including any dividends) we make on our common stock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87"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IRS Form W-8BEN-E or IRS Form W-8ECI, as applicable, or otherwise establishes an exemption, provided that the applicable withholding agent does not have actual knowledge or reason to know the holder is a U.S. person.</w:t>
      </w:r>
    </w:p>
    <w:p>
      <w:pPr>
        <w:spacing w:after="0" w:line="18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IRS Form W-8BEN-E or IRS Form W-8ECI, as applicable, or otherwise meets documentary evidence requirements for establishing Non-U.S. Holder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Backup withholding is not an additional tax. If backup withholding is applied to you, you should consult with your tax advisor to determine whether you have overpaid your U.S. federal income tax, and whether you are able to obtain a tax refund or credit of the overpaid amount.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addition to, and separately from, the withholding rules described above, U.S. federal withholding taxes at a rate of 30% may apply under the law commonly known as the Foreign Account Tax Compliance Act, or FATCA, on certain types of payments, including dividends, made to (A) a “foreign financial institution” (as defined for this purpose) unless such institution (i) is exempt from FATCA withholding pursuant to an applicable intergovernmental agreement between the jurisdiction in which it is located and the United States, (ii) enters into an agreement with the U.S. government to collect and provide to the U.S. tax authorities information regarding U.S. account holders of such institution or (iii) meets other exemptions or (B) a “non-financial foreign entity” (as defined for this purpose), unless such entity (i) is exempt from FATCA withholding pursuant to an applicable intergovernmental agreement between the jurisdiction in which it is located and the United States, (ii) provides the withholding agent with a certification identifying any “substantial U.S. owners” of the entity (as defined for this purpose), (iii) certifies that it does not have any substantial U.S. owners or (iv) meets other exemptions. Foreign financial institutions located in jurisdictions that have an intergovernmental agreement with the United States governing FATCA may be subject to different rules.</w:t>
      </w:r>
    </w:p>
    <w:p>
      <w:pPr>
        <w:spacing w:after="0" w:line="18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Under applicable Treasury Regulations and IRS guidance, FATCA withholding as described above currently applies to payments of dividends on our common stock. While withholding under FATCA would have applied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also to payments of gross proceeds from the sale or other disposition of common stock, proposed Treasury Regulations eliminate FATCA withholding on payments of gross proceeds. The preamble to the proposed Treasury Regulations specifies that taxpayers are permitted to rely on such proposed regulations pending finalization.</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EACH PROSPECTIVE INVESTOR SHOULD CONSULT ITS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w:t>
      </w:r>
    </w:p>
    <w:p>
      <w:pPr>
        <w:spacing w:after="0" w:line="1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0920"/>
          </w:cols>
          <w:pgMar w:left="32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and the underwriters named below will enter into an underwriting agreement with respect to the shares of our common stock being offered. Subject to certain conditions, each underwriter has severally agreed to purchase the number of shares of our common stock indicated in the following table. Goldman Sachs &amp; Co. LLC and SVB Leerink LLC are the representatives of the underwriters.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Underwriter</w:t>
            </w:r>
          </w:p>
        </w:tc>
        <w:tc>
          <w:tcPr>
            <w:tcW w:w="552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1"/>
              </w:rPr>
              <w:t>Number of Shares</w:t>
            </w:r>
          </w:p>
        </w:tc>
      </w:tr>
      <w:tr>
        <w:trPr>
          <w:trHeight w:val="203"/>
        </w:trPr>
        <w:tc>
          <w:tcPr>
            <w:tcW w:w="6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Goldman Sachs &amp; Co. LLC</w:t>
            </w: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3,344,596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SVB Leerink LLC</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2,527,028</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Blair &amp; Company, L.L.C.</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557,432</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BTIG, LLC</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334,459</w:t>
            </w: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Needham &amp; Company, LLC</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334,459</w:t>
            </w: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Lake Street Capital Markets, LLC</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334,459</w:t>
            </w:r>
          </w:p>
        </w:tc>
      </w:tr>
      <w:tr>
        <w:trPr>
          <w:trHeight w:val="27"/>
        </w:trPr>
        <w:tc>
          <w:tcPr>
            <w:tcW w:w="7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7,432,433</w:t>
            </w:r>
          </w:p>
        </w:tc>
      </w:tr>
      <w:tr>
        <w:trPr>
          <w:trHeight w:val="20"/>
        </w:trPr>
        <w:tc>
          <w:tcPr>
            <w:tcW w:w="7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underwriters are committed to take and pay for all of the shares of our common stock being offered, if any are taken, other than the shares covered by the option described below unless and until this option is exercised.</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underwriters have an option to buy up to an additional 1,114,864 shares of our common stock from us. They may exercise that option for 30 days. If any shares of our common stock are purchased pursuant to this option, the underwriters will severally purchase shares in approximately the same proportion as set forth in the table above.</w:t>
      </w:r>
    </w:p>
    <w:p>
      <w:pPr>
        <w:spacing w:after="0" w:line="184"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 following table shows the per share and total underwriting discounts and commissions to be paid to the underwriters by us. Such amounts are shown assuming both no exercise and full exercise of the underwriters’ option to purchase 1,114,864 additional shares of our common stock.</w:t>
      </w:r>
    </w:p>
    <w:p>
      <w:pPr>
        <w:spacing w:after="0" w:line="169" w:lineRule="exact"/>
        <w:rPr>
          <w:sz w:val="20"/>
          <w:szCs w:val="20"/>
          <w:color w:val="auto"/>
        </w:rPr>
      </w:pPr>
    </w:p>
    <w:tbl>
      <w:tblPr>
        <w:tblLayout w:type="fixed"/>
        <w:tblInd w:w="1440" w:type="dxa"/>
        <w:tblCellMar>
          <w:top w:w="0" w:type="dxa"/>
          <w:left w:w="0" w:type="dxa"/>
          <w:bottom w:w="0" w:type="dxa"/>
          <w:right w:w="0" w:type="dxa"/>
        </w:tblCellMar>
      </w:tblPr>
      <w:tr>
        <w:trPr>
          <w:trHeight w:val="187"/>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Paid by the Company</w:t>
            </w:r>
          </w:p>
        </w:tc>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color w:val="auto"/>
              </w:rPr>
              <w:t>No Exercise</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Full Exercise</w:t>
            </w:r>
          </w:p>
        </w:tc>
      </w:tr>
      <w:tr>
        <w:trPr>
          <w:trHeight w:val="203"/>
        </w:trPr>
        <w:tc>
          <w:tcPr>
            <w:tcW w:w="12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Per Share</w:t>
            </w:r>
          </w:p>
        </w:tc>
        <w:tc>
          <w:tcPr>
            <w:tcW w:w="45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4.44</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4.44</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Total</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33,000,003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37,949,999</w:t>
            </w:r>
          </w:p>
        </w:tc>
      </w:tr>
    </w:tbl>
    <w:p>
      <w:pPr>
        <w:spacing w:after="0" w:line="18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Shares of our common stock sold by the underwriters to the public will be offered at the public offering price set forth on the cover of this prospectus. Any shares of our common stock sold by the underwriters to securities dealers may be sold at a discount of up to $2.664 per share from the public offering price. The offering of the shares of our common stock by the underwriters is subject to receipt and acceptance and subject to the underwriters’ right to reject any order in whole or in part.</w:t>
      </w:r>
    </w:p>
    <w:p>
      <w:pPr>
        <w:spacing w:after="0" w:line="18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$730,000. We have also agreed to reimburse the underwriters for certain of their expenses in an amount up to $15,000.</w:t>
      </w:r>
    </w:p>
    <w:p>
      <w:pPr>
        <w:spacing w:after="0" w:line="17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and our executive officers and directors have agreed with the underwriters, subject to certain exceptions, not to dispose of or hedge any shares of our common stock or securities convertible into or exchangeable for shares of our common stock during the period from the date of this prospectus continuing through the date 60 days after the date of this prospectus, except with the prior written consent of the representatives. This agreement does not apply to any existing employee benefit plans. Except for customary lock-up exceptions, including an exception allowing our directors and officers to make sales under preexisting 10b5-1 plans, there are no existing agreements between the underwriters and any of our stockholders who have executed a lock-up agreement providing consent to the sale of shares prior to the expiration of the lock-up period.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currently listed on The Nasdaq Global Market under the symbol “VCYT.”</w:t>
      </w:r>
    </w:p>
    <w:p>
      <w:pPr>
        <w:spacing w:after="0" w:line="22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of our common stock or purchasing shares of our common stock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of our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4"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or entities with relationships with the issuer, for which they received or will receive customary fees and expenses.</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Selling Restrictions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European Economic Area and United Kingdom</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82"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424"/>
        <w:spacing w:after="0" w:line="269"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 provided that no such offer of Shares shall require the company or any Representative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85"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United Kingdom</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relation to the United Kingdom, no shares have been offered or will be offered pursuant to this offering to the public in the United Kingdom, prior to the publication of a prospectus in relation to the Shares which has been approved by the Financial Conduct Authority in accordance with the UK Prospectus Regulation, except that it may make an offer to the public in the United Kingdom of any Shares at any time under the following exemptions under the UK Prospectus Regulation:</w:t>
      </w:r>
    </w:p>
    <w:p>
      <w:pPr>
        <w:spacing w:after="0" w:line="92"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UK Prospectus Regulation,</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provided that no such offer of Shares shall require the company or any Manager to publish a prospectus pursuant to Article 3 under the UK Prospectus Regulation.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w:t>
      </w:r>
    </w:p>
    <w:p>
      <w:pPr>
        <w:spacing w:after="0" w:line="1" w:lineRule="exact"/>
        <w:rPr>
          <w:sz w:val="20"/>
          <w:szCs w:val="20"/>
          <w:color w:val="auto"/>
        </w:rPr>
      </w:pPr>
    </w:p>
    <w:p>
      <w:pPr>
        <w:jc w:val="both"/>
        <w:ind w:left="120" w:right="80" w:hanging="4"/>
        <w:spacing w:after="0" w:line="255" w:lineRule="auto"/>
        <w:tabs>
          <w:tab w:leader="none" w:pos="4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persons to whom it may otherwise lawfully be communicated (all such persons being referred to as “relevant persons”). This document must not be acted on or relied on by persons who are not relevant persons. Any investment or investment activity to which this document relates is available only to relevant persons and will be engaged in only with relevant persons.</w:t>
      </w:r>
    </w:p>
    <w:p>
      <w:pPr>
        <w:spacing w:after="0" w:line="19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UK version of Regulation (EU) No 2017/1129 as amended by The Prospectus (Amendment etc.) (EU Exit) Regulations 2019, which is part of UK law by virtue of the European Union (Withdrawal) Act 2018.</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Canada</w:t>
      </w:r>
    </w:p>
    <w:p>
      <w:pPr>
        <w:spacing w:after="0" w:line="117" w:lineRule="exact"/>
        <w:rPr>
          <w:sz w:val="20"/>
          <w:szCs w:val="20"/>
          <w:color w:val="auto"/>
        </w:rPr>
      </w:pPr>
    </w:p>
    <w:p>
      <w:pPr>
        <w:ind w:left="120" w:right="280"/>
        <w:spacing w:after="0" w:line="255" w:lineRule="auto"/>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w:t>
      </w:r>
    </w:p>
    <w:p>
      <w:pPr>
        <w:spacing w:after="0" w:line="3"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Requirements, Exemptions, and Ongoing Registrant Obligations. Any resale of the shares must be made in accordance with an exemption form, or in a transaction not subject to, the prospectus requirements of applicable securities laws.</w:t>
      </w:r>
    </w:p>
    <w:p>
      <w:pPr>
        <w:spacing w:after="0" w:line="185"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7"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Singapore</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w:t>
      </w:r>
    </w:p>
    <w:p>
      <w:pPr>
        <w:spacing w:after="0" w:line="1" w:lineRule="exact"/>
        <w:rPr>
          <w:sz w:val="20"/>
          <w:szCs w:val="20"/>
          <w:color w:val="auto"/>
        </w:rPr>
      </w:pPr>
    </w:p>
    <w:p>
      <w:pPr>
        <w:ind w:left="120" w:right="600"/>
        <w:spacing w:after="0" w:line="255" w:lineRule="auto"/>
        <w:rPr>
          <w:sz w:val="20"/>
          <w:szCs w:val="20"/>
          <w:color w:val="auto"/>
        </w:rPr>
      </w:pPr>
      <w:r>
        <w:rPr>
          <w:rFonts w:ascii="Arial" w:cs="Arial" w:eastAsia="Arial" w:hAnsi="Arial"/>
          <w:sz w:val="18"/>
          <w:szCs w:val="18"/>
          <w:color w:val="auto"/>
        </w:rPr>
        <w:t>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 accredited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(as defined in Section 4A of the SFA)) whose sole purpose is to hold investments and each beneficiary of the trust is an accredited investor,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beneficiaries’ rights and interest (howsoever described) in that trust shall not be transferable for 6 months after that trust has acquired the shares under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275 of the SFA except: (1) to an institutional investor under Section 274 of the SFA or to a relevant person (as defined in Section 275(2)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SFA), (2) where such transfer arises from an offer that is made on terms that such rights or interest are acquired at a consideration of not less than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S$200,000 (or its equivalent in a foreign currency) for each transaction (whether such amount is to be paid for in cash or by exchange of securities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assets), (3) where no consideration is or will be given for the transfer, (4) where the transfer is by operation of law, (5) as specified in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276(7) of the SFA, or (6) as specified in Regulation 32.</w:t>
      </w:r>
    </w:p>
    <w:p>
      <w:pPr>
        <w:spacing w:after="0" w:line="21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Singapore Securities and Futures Act Product Classification—Solely for the purposes of its obligations pursuant to Sections 309B(1)(a) and 309B(1)(c) of the SFA, we have determined, and hereby notify all relevant persons (as defined in Section 309A of the SFA) that the common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Japan</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w:t>
      </w:r>
    </w:p>
    <w:p>
      <w:pPr>
        <w:spacing w:after="0" w:line="117"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(“Addressed Investors”); or (ii) the offer is made, distributed or directed to certain qualified investors defined in the First Addendum of the Israeli Securities Law, 5728 – 1968, subject to certain conditions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18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(1) for its own account; (2) for investment purposes only; and (3)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Switzerland</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securities will not be offered, directly or indirectly, to the public in Switzerland and this prospectus does not constitute a public offering prospectus as that term is understood pursuant to article 652a or 1156 of the Swiss Federal Code of Obligations.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Australia</w:t>
      </w:r>
    </w:p>
    <w:p>
      <w:pPr>
        <w:spacing w:after="0" w:line="117" w:lineRule="exact"/>
        <w:rPr>
          <w:sz w:val="20"/>
          <w:szCs w:val="20"/>
          <w:color w:val="auto"/>
        </w:rPr>
      </w:pPr>
    </w:p>
    <w:p>
      <w:pPr>
        <w:ind w:left="120" w:right="30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Corporations Act or otherwise or where the offer is pursuant to a disclosure document which complies with Chapter 6D of the Corporations 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person acquiring shares must observe such Australian on-sale restrictions.</w:t>
      </w:r>
    </w:p>
    <w:p>
      <w:pPr>
        <w:spacing w:after="0" w:line="21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Dubai International Financial Centre</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validity of the shares of common stock being offered hereby will be passed upon for us by Fenwick &amp; West LLP, San Francisco, California. Certain legal matters in connection with this offering will be passed upon for the underwriters by Latham &amp; Watkins LLP.</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2019, and the effectiveness of our internal control over financial reporting as of December 31, 2019,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have filed a registration statement on Form S-3 with the SEC under the Securities Act. This prospectus supplement and the accompanying prospectus are part of the registration statement but the registration statement includes and incorporates by reference additional information and exhibits. We file annual, quarterly and current reports, proxy statements and other information with the SEC. The SEC maintains a website that contains reports, proxy and information statements and other information regarding companies, such as ours, that file documents electronically with the SEC. The address of that site on the Internet is http://www.sec.gov. The information on the SEC’s website is not part of this prospectus supplement or the accompanying prospectus, and any references to this website or any other website are inactive textual references only.</w:t>
      </w:r>
    </w:p>
    <w:p>
      <w:pPr>
        <w:spacing w:after="0" w:line="178"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incorporate by reference the documents listed below and any future filings we make with the SEC under Section 13(a), 13(c), 14, or 15(d) of the Exchange Act prior to the termination of any offering of securities made by this prospectus supplement and accompanying prospectus:</w:t>
      </w:r>
    </w:p>
    <w:p>
      <w:pPr>
        <w:spacing w:after="0" w:line="102" w:lineRule="exact"/>
        <w:rPr>
          <w:sz w:val="20"/>
          <w:szCs w:val="20"/>
          <w:color w:val="auto"/>
        </w:rPr>
      </w:pPr>
    </w:p>
    <w:p>
      <w:pPr>
        <w:ind w:left="1080" w:right="6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2019, filed with the SEC on February 25, 2020, including certain information incorporated by reference therein from our </w:t>
      </w:r>
      <w:hyperlink r:id="rId50">
        <w:r>
          <w:rPr>
            <w:rFonts w:ascii="Arial" w:cs="Arial" w:eastAsia="Arial" w:hAnsi="Arial"/>
            <w:sz w:val="18"/>
            <w:szCs w:val="18"/>
            <w:u w:val="single" w:color="auto"/>
            <w:color w:val="0000EE"/>
          </w:rPr>
          <w:t>Definitive Proxy Statement</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our 2020 annual meeting of stockholders filed with the SEC on April 24, 2020;</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1"/>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for the quarters ended March 31, 2020, June 30, 2020 and September 30, 2020, filed with the SEC on </w:t>
      </w:r>
      <w:hyperlink r:id="rId51">
        <w:r>
          <w:rPr>
            <w:rFonts w:ascii="Arial" w:cs="Arial" w:eastAsia="Arial" w:hAnsi="Arial"/>
            <w:sz w:val="18"/>
            <w:szCs w:val="18"/>
            <w:u w:val="single" w:color="auto"/>
            <w:color w:val="0000EE"/>
          </w:rPr>
          <w:t>May 6, 2020</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2">
        <w:r>
          <w:rPr>
            <w:rFonts w:ascii="Arial" w:cs="Arial" w:eastAsia="Arial" w:hAnsi="Arial"/>
            <w:sz w:val="18"/>
            <w:szCs w:val="18"/>
            <w:u w:val="single" w:color="auto"/>
            <w:color w:val="0000EE"/>
          </w:rPr>
          <w:t>July 30,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r:id="rId53">
        <w:r>
          <w:rPr>
            <w:rFonts w:ascii="Arial" w:cs="Arial" w:eastAsia="Arial" w:hAnsi="Arial"/>
            <w:sz w:val="18"/>
            <w:szCs w:val="18"/>
            <w:u w:val="single" w:color="auto"/>
            <w:color w:val="0000EE"/>
          </w:rPr>
          <w:t>November 2,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respectively;</w:t>
      </w:r>
    </w:p>
    <w:p>
      <w:pPr>
        <w:spacing w:after="0" w:line="75" w:lineRule="exact"/>
        <w:rPr>
          <w:rFonts w:ascii="Arial" w:cs="Arial" w:eastAsia="Arial" w:hAnsi="Arial"/>
          <w:sz w:val="18"/>
          <w:szCs w:val="18"/>
          <w:color w:val="0000EE"/>
        </w:rPr>
      </w:pPr>
    </w:p>
    <w:p>
      <w:pPr>
        <w:ind w:left="1080" w:right="100" w:hanging="424"/>
        <w:spacing w:after="0" w:line="259" w:lineRule="auto"/>
        <w:tabs>
          <w:tab w:leader="none" w:pos="1080" w:val="left"/>
        </w:tabs>
        <w:numPr>
          <w:ilvl w:val="0"/>
          <w:numId w:val="21"/>
        </w:numPr>
        <w:rPr>
          <w:rFonts w:ascii="Arial" w:cs="Arial" w:eastAsia="Arial" w:hAnsi="Arial"/>
          <w:sz w:val="18"/>
          <w:szCs w:val="18"/>
          <w:color w:val="0000EE"/>
        </w:rPr>
      </w:pPr>
      <w:r>
        <w:rPr>
          <w:rFonts w:ascii="Arial" w:cs="Arial" w:eastAsia="Arial" w:hAnsi="Arial"/>
          <w:sz w:val="18"/>
          <w:szCs w:val="18"/>
          <w:color w:val="auto"/>
        </w:rPr>
        <w:t xml:space="preserve">our Current Report on Form 8-K/A filed with the SEC on </w:t>
      </w:r>
      <w:hyperlink r:id="rId54">
        <w:r>
          <w:rPr>
            <w:rFonts w:ascii="Arial" w:cs="Arial" w:eastAsia="Arial" w:hAnsi="Arial"/>
            <w:sz w:val="18"/>
            <w:szCs w:val="18"/>
            <w:u w:val="single" w:color="auto"/>
            <w:color w:val="0000EE"/>
          </w:rPr>
          <w:t>February 18, 2020</w:t>
        </w:r>
      </w:hyperlink>
      <w:r>
        <w:rPr>
          <w:rFonts w:ascii="Arial" w:cs="Arial" w:eastAsia="Arial" w:hAnsi="Arial"/>
          <w:sz w:val="18"/>
          <w:szCs w:val="18"/>
          <w:color w:val="auto"/>
        </w:rPr>
        <w:t xml:space="preserve">, and our Current Reports on Form 8-K filed with the SEC on </w:t>
      </w:r>
      <w:hyperlink r:id="rId55">
        <w:r>
          <w:rPr>
            <w:rFonts w:ascii="Arial" w:cs="Arial" w:eastAsia="Arial" w:hAnsi="Arial"/>
            <w:sz w:val="18"/>
            <w:szCs w:val="18"/>
            <w:u w:val="single" w:color="auto"/>
            <w:color w:val="0000EE"/>
          </w:rPr>
          <w:t>February 25,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14,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9,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27,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August 5,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17,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December 16,</w:t>
        </w:r>
      </w:hyperlink>
      <w:r>
        <w:rPr>
          <w:rFonts w:ascii="Arial" w:cs="Arial" w:eastAsia="Arial" w:hAnsi="Arial"/>
          <w:sz w:val="18"/>
          <w:szCs w:val="18"/>
          <w:color w:val="0000EE"/>
        </w:rPr>
        <w:t xml:space="preserve"> </w:t>
      </w:r>
      <w:hyperlink r:id="rId55">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6">
        <w:r>
          <w:rPr>
            <w:rFonts w:ascii="Arial" w:cs="Arial" w:eastAsia="Arial" w:hAnsi="Arial"/>
            <w:sz w:val="18"/>
            <w:szCs w:val="18"/>
            <w:u w:val="single" w:color="auto"/>
            <w:color w:val="0000EE"/>
          </w:rPr>
          <w:t xml:space="preserve">January 25, 2021 </w:t>
        </w:r>
      </w:hyperlink>
      <w:hyperlink r:id="rId55">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7">
        <w:r>
          <w:rPr>
            <w:rFonts w:ascii="Arial" w:cs="Arial" w:eastAsia="Arial" w:hAnsi="Arial"/>
            <w:sz w:val="18"/>
            <w:szCs w:val="18"/>
            <w:u w:val="single" w:color="auto"/>
            <w:color w:val="0000EE"/>
          </w:rPr>
          <w:t xml:space="preserve">February 3, 2021 </w:t>
        </w:r>
      </w:hyperlink>
      <w:hyperlink r:id="rId55">
        <w:r>
          <w:rPr>
            <w:rFonts w:ascii="Arial" w:cs="Arial" w:eastAsia="Arial" w:hAnsi="Arial"/>
            <w:sz w:val="18"/>
            <w:szCs w:val="18"/>
            <w:color w:val="000000"/>
          </w:rPr>
          <w:t>(except that any portions thereof which are furnished and not filed shall not be deemed</w:t>
        </w:r>
      </w:hyperlink>
      <w:r>
        <w:rPr>
          <w:rFonts w:ascii="Arial" w:cs="Arial" w:eastAsia="Arial" w:hAnsi="Arial"/>
          <w:sz w:val="18"/>
          <w:szCs w:val="18"/>
          <w:color w:val="0000EE"/>
        </w:rPr>
        <w:t xml:space="preserve"> </w:t>
      </w:r>
      <w:r>
        <w:rPr>
          <w:rFonts w:ascii="Arial" w:cs="Arial" w:eastAsia="Arial" w:hAnsi="Arial"/>
          <w:sz w:val="18"/>
          <w:szCs w:val="18"/>
          <w:color w:val="000000"/>
        </w:rPr>
        <w:t>incorporated); and</w:t>
      </w:r>
    </w:p>
    <w:p>
      <w:pPr>
        <w:spacing w:after="0" w:line="119" w:lineRule="exact"/>
        <w:rPr>
          <w:rFonts w:ascii="Arial" w:cs="Arial" w:eastAsia="Arial" w:hAnsi="Arial"/>
          <w:sz w:val="18"/>
          <w:szCs w:val="18"/>
          <w:color w:val="0000EE"/>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October 28, 2013 under Section 12 of the Exchange Act, including any amendment or report filed for the purpose of updating such description, including any amendment or report filed for the purposes of updating such description, including </w:t>
      </w:r>
      <w:hyperlink r:id="rId60">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our Annual Report on </w:t>
      </w:r>
      <w:hyperlink r:id="rId49">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with the SEC on February 25, 2020.</w:t>
      </w:r>
    </w:p>
    <w:p>
      <w:pPr>
        <w:spacing w:after="0" w:line="187" w:lineRule="exact"/>
        <w:rPr>
          <w:rFonts w:ascii="Arial" w:cs="Arial" w:eastAsia="Arial" w:hAnsi="Arial"/>
          <w:sz w:val="18"/>
          <w:szCs w:val="18"/>
          <w:color w:val="auto"/>
        </w:rPr>
      </w:pPr>
    </w:p>
    <w:p>
      <w:pPr>
        <w:ind w:left="120" w:right="40"/>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supplement and the accompanying prospectus, at no cost, by writing or telephoning us at the following address and number: Investor Relations, Veracyte, Inc., 6000 Shoreline Court, Suite 300, South San Francisco, California 94080 and (650) 243-6300. We will not, however, send exhibits to those documents, unless the exhibits are specifically incorporated by reference in those documents.</w:t>
      </w:r>
    </w:p>
    <w:p>
      <w:pPr>
        <w:spacing w:after="0" w:line="187" w:lineRule="exact"/>
        <w:rPr>
          <w:rFonts w:ascii="Arial" w:cs="Arial" w:eastAsia="Arial" w:hAnsi="Arial"/>
          <w:sz w:val="18"/>
          <w:szCs w:val="18"/>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www.veracyte.com.</w:t>
      </w:r>
    </w:p>
    <w:p>
      <w:pPr>
        <w:spacing w:after="0" w:line="116" w:lineRule="exact"/>
        <w:rPr>
          <w:rFonts w:ascii="Arial" w:cs="Arial" w:eastAsia="Arial" w:hAnsi="Arial"/>
          <w:sz w:val="18"/>
          <w:szCs w:val="18"/>
          <w:color w:val="auto"/>
        </w:rPr>
      </w:pPr>
    </w:p>
    <w:p>
      <w:pPr>
        <w:jc w:val="center"/>
        <w:ind w:right="-19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060"/>
          </w:cols>
          <w:pgMar w:left="320" w:top="459"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171450</wp:posOffset>
            </wp:positionV>
            <wp:extent cx="1920240" cy="13887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19202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9"/>
        <w:spacing w:after="0"/>
        <w:rPr>
          <w:sz w:val="20"/>
          <w:szCs w:val="20"/>
          <w:color w:val="auto"/>
        </w:rPr>
      </w:pPr>
      <w:r>
        <w:rPr>
          <w:rFonts w:ascii="Arial" w:cs="Arial" w:eastAsia="Arial" w:hAnsi="Arial"/>
          <w:sz w:val="43"/>
          <w:szCs w:val="43"/>
          <w:b w:val="1"/>
          <w:bCs w:val="1"/>
          <w:color w:val="auto"/>
        </w:rPr>
        <w:t>VERACYTE, INC.</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 Preferred Stock,</w:t>
      </w:r>
    </w:p>
    <w:p>
      <w:pPr>
        <w:spacing w:after="0" w:line="3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Debt Securities, Warrants,</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Subscription Rights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156845</wp:posOffset>
            </wp:positionV>
            <wp:extent cx="1474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may, from time to time, offer and sell common stock, preferred stock, debt securities, warrants, subscription rights, and/or units consisting of some or all of these securities, in any combination, together or separately, in one or more offerings. The preferred stock, debt securities and warrants may be convertible into or exercisable or exchangeable for common or preferred stock or debt securities. The subscription rights may be exercisable for common or preferred stock. We will specify in an accompanying prospectus supplement more specific information about any such offering.</w:t>
      </w:r>
    </w:p>
    <w:p>
      <w:pPr>
        <w:spacing w:after="0" w:line="4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addition, certain selling securityholders to be identified in a prospectus supplement may use this prospectus from time to time to offer shares of our common stock. Unless the applicable prospectus supplement provides otherwise, we will not receive any proceeds from the sale of common stock by the selling securityholders.</w:t>
      </w:r>
    </w:p>
    <w:p>
      <w:pPr>
        <w:spacing w:after="0" w:line="7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You should read this document and any prospectus supplement or amendment carefully before you invest in our securities. Neither we nor any selling securityholders may use this prospectus to sell securities unless it includes a prospectus supplement.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104" w:lineRule="exact"/>
        <w:rPr>
          <w:sz w:val="20"/>
          <w:szCs w:val="20"/>
          <w:color w:val="auto"/>
        </w:rPr>
      </w:pPr>
    </w:p>
    <w:p>
      <w:pPr>
        <w:ind w:left="120" w:right="120" w:firstLine="440"/>
        <w:spacing w:after="0" w:line="289" w:lineRule="auto"/>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securities involves risks. See the section entitled “</w:t>
      </w:r>
      <w:hyperlink w:anchor="page40">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on page 4 of this prospectus. You should carefully review the risks and uncertainties described under the heading “Risk Factors” contained in the applicable prospectus supplement and any related free writing prospectus, and under similar headings in the other documents that are incorporated or deemed incorporated by reference into this prospectus.</w:t>
      </w:r>
    </w:p>
    <w:p>
      <w:pPr>
        <w:spacing w:after="0" w:line="4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securities described in this prospectus may be offered and sold to or through underwriters, dealers or agents as designated from time to time, or directly to one or more other purchasers or through a combination of such methods. See “Plan of Distribution” on page 19.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0"/>
          <w:szCs w:val="20"/>
          <w:color w:val="auto"/>
        </w:rPr>
      </w:pPr>
    </w:p>
    <w:p>
      <w:pPr>
        <w:ind w:left="120" w:right="300" w:firstLine="44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regulators have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date of this prospectus is February 3, 2021.</w:t>
      </w:r>
    </w:p>
    <w:p>
      <w:pPr>
        <w:sectPr>
          <w:pgSz w:w="11900" w:h="16838" w:orient="portrait"/>
          <w:cols w:equalWidth="0" w:num="1">
            <w:col w:w="11060"/>
          </w:cols>
          <w:pgMar w:left="320" w:top="459" w:right="5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874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340" w:type="dxa"/>
            <w:vAlign w:val="bottom"/>
          </w:tcPr>
          <w:p>
            <w:pPr>
              <w:spacing w:after="0"/>
              <w:rPr>
                <w:sz w:val="20"/>
                <w:szCs w:val="20"/>
                <w:color w:val="auto"/>
              </w:rPr>
            </w:pPr>
          </w:p>
        </w:tc>
      </w:tr>
      <w:tr>
        <w:trPr>
          <w:trHeight w:val="513"/>
        </w:trPr>
        <w:tc>
          <w:tcPr>
            <w:tcW w:w="874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4"/>
                <w:szCs w:val="24"/>
                <w:color w:val="auto"/>
              </w:rPr>
            </w:pPr>
          </w:p>
        </w:tc>
      </w:tr>
      <w:tr>
        <w:trPr>
          <w:trHeight w:val="441"/>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ABOUT THIS PROSPECTUS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PROSPECTUS SUMMARY</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RISK FACTORS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40">
              <w:r>
                <w:rPr>
                  <w:rFonts w:ascii="Arial" w:cs="Arial" w:eastAsia="Arial" w:hAnsi="Arial"/>
                  <w:sz w:val="18"/>
                  <w:szCs w:val="18"/>
                  <w:b w:val="1"/>
                  <w:bCs w:val="1"/>
                  <w:u w:val="single" w:color="auto"/>
                  <w:color w:val="0000EE"/>
                </w:rPr>
                <w:t>FORWARD-LOOKING STATEMENTS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USE OF PROCEEDS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SECURITIES WE MAY OFFER</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DESCRIPTION OF COMMON STOCK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44">
              <w:r>
                <w:rPr>
                  <w:rFonts w:ascii="Arial" w:cs="Arial" w:eastAsia="Arial" w:hAnsi="Arial"/>
                  <w:sz w:val="18"/>
                  <w:szCs w:val="18"/>
                  <w:b w:val="1"/>
                  <w:bCs w:val="1"/>
                  <w:u w:val="single" w:color="auto"/>
                  <w:color w:val="0000EE"/>
                </w:rPr>
                <w:t>DESCRIPTION OF PREFERRED STOCK</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45">
              <w:r>
                <w:rPr>
                  <w:rFonts w:ascii="Arial" w:cs="Arial" w:eastAsia="Arial" w:hAnsi="Arial"/>
                  <w:sz w:val="18"/>
                  <w:szCs w:val="18"/>
                  <w:b w:val="1"/>
                  <w:bCs w:val="1"/>
                  <w:u w:val="single" w:color="auto"/>
                  <w:color w:val="0000EE"/>
                </w:rPr>
                <w:t>DESCRIPTION OF DEBT SECURITIES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3">
              <w:r>
                <w:rPr>
                  <w:rFonts w:ascii="Arial" w:cs="Arial" w:eastAsia="Arial" w:hAnsi="Arial"/>
                  <w:sz w:val="18"/>
                  <w:szCs w:val="18"/>
                  <w:b w:val="1"/>
                  <w:bCs w:val="1"/>
                  <w:u w:val="single" w:color="auto"/>
                  <w:color w:val="0000EE"/>
                </w:rPr>
                <w:t>DESCRIPTION OF WARRANTS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4">
              <w:r>
                <w:rPr>
                  <w:rFonts w:ascii="Arial" w:cs="Arial" w:eastAsia="Arial" w:hAnsi="Arial"/>
                  <w:sz w:val="18"/>
                  <w:szCs w:val="18"/>
                  <w:b w:val="1"/>
                  <w:bCs w:val="1"/>
                  <w:u w:val="single" w:color="auto"/>
                  <w:color w:val="0000EE"/>
                </w:rPr>
                <w:t>DESCRIPTION OF SUBSCRIPTION RIGHTS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DESCRIPTION OF UNITS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SELLING SECURITYHOLDERS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5">
              <w:r>
                <w:rPr>
                  <w:rFonts w:ascii="Arial" w:cs="Arial" w:eastAsia="Arial" w:hAnsi="Arial"/>
                  <w:sz w:val="18"/>
                  <w:szCs w:val="18"/>
                  <w:b w:val="1"/>
                  <w:bCs w:val="1"/>
                  <w:u w:val="single" w:color="auto"/>
                  <w:color w:val="0000EE"/>
                </w:rPr>
                <w:t>PLAN OF DISTRIBUTION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7">
              <w:r>
                <w:rPr>
                  <w:rFonts w:ascii="Arial" w:cs="Arial" w:eastAsia="Arial" w:hAnsi="Arial"/>
                  <w:sz w:val="18"/>
                  <w:szCs w:val="18"/>
                  <w:b w:val="1"/>
                  <w:bCs w:val="1"/>
                  <w:u w:val="single" w:color="auto"/>
                  <w:color w:val="0000EE"/>
                </w:rPr>
                <w:t>LEGAL MATTERS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7">
              <w:r>
                <w:rPr>
                  <w:rFonts w:ascii="Arial" w:cs="Arial" w:eastAsia="Arial" w:hAnsi="Arial"/>
                  <w:sz w:val="18"/>
                  <w:szCs w:val="18"/>
                  <w:b w:val="1"/>
                  <w:bCs w:val="1"/>
                  <w:u w:val="single" w:color="auto"/>
                  <w:color w:val="0000EE"/>
                </w:rPr>
                <w:t>EXPERTS</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7">
              <w:r>
                <w:rPr>
                  <w:rFonts w:ascii="Arial" w:cs="Arial" w:eastAsia="Arial" w:hAnsi="Arial"/>
                  <w:sz w:val="18"/>
                  <w:szCs w:val="18"/>
                  <w:b w:val="1"/>
                  <w:bCs w:val="1"/>
                  <w:u w:val="single" w:color="auto"/>
                  <w:color w:val="0000EE"/>
                </w:rPr>
                <w:t>WHERE YOU CAN FIND MORE INFORMATION</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4"/>
        </w:trPr>
        <w:tc>
          <w:tcPr>
            <w:tcW w:w="8740" w:type="dxa"/>
            <w:vAlign w:val="bottom"/>
          </w:tcPr>
          <w:p>
            <w:pPr>
              <w:ind w:left="120"/>
              <w:spacing w:after="0"/>
              <w:rPr>
                <w:rFonts w:ascii="Arial" w:cs="Arial" w:eastAsia="Arial" w:hAnsi="Arial"/>
                <w:sz w:val="18"/>
                <w:szCs w:val="18"/>
                <w:b w:val="1"/>
                <w:bCs w:val="1"/>
                <w:u w:val="single" w:color="auto"/>
                <w:color w:val="0000EE"/>
              </w:rPr>
            </w:pPr>
            <w:hyperlink w:anchor="page58">
              <w:r>
                <w:rPr>
                  <w:rFonts w:ascii="Arial" w:cs="Arial" w:eastAsia="Arial" w:hAnsi="Arial"/>
                  <w:sz w:val="18"/>
                  <w:szCs w:val="18"/>
                  <w:b w:val="1"/>
                  <w:bCs w:val="1"/>
                  <w:u w:val="single" w:color="auto"/>
                  <w:color w:val="0000EE"/>
                </w:rPr>
                <w:t>INCORPORATION OF INFORMATION BY REFERENCE</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22</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This prospectus is part of an automatic registration statement on Form S-3 that we filed with the SEC, using a “shelf” registration, or continuous offering, process under the Securities Act of 1933, as amended, or the Securities Act. Under this shelf registration process, we may, from time to time, offer and sell separately or together in any combination the securities described in this prospectus in one or more offerings, and selling securityholders may sell our common stock from time to time in one or more offerings.</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provides you with a general description of the securities we or the selling securityholders may offer. Each time we or the selling securityholders sell securities, we will provide one or more prospectus supplements that will contain specific information about the terms of the offering. We may also authorize one or more free writing prospectuses to be provided to you in connection with these offerings. Any prospectus supplement and any free writing prospectus may also add, update or change information contained in this prospectus. You should read this prospectus, the information incorporated, or deemed to be incorporated, by reference in this prospectus, the accompanying prospectus supplement and any free writing prospectus, together with the additional information described under the heading “Where You Can Find More Information,” before making your investment decision.</w:t>
      </w:r>
    </w:p>
    <w:p>
      <w:pPr>
        <w:spacing w:after="0" w:line="19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and the selling securityholders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operating results and prospects may have changed materially since those dates.</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prospectus contains summaries of certain provisions contained in some of the documents described herein, but reference is made to the actual documents for complete information.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Veracyte, Afirma, Percepta, Envisia, Prosigna, Know by Design and the Veracyte, Afirma, Percepta, Envisia and Prosigna logos, among others, are our registered trademarks in the United States and other countries. We also have common law rights and pending trademark applications for LymphMark and More About You.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This summary does not contain all of the information that you should consider before investing in our securities. You should carefully read this entire prospectus and the information incorporated by reference in this prospectus, including “Risk Factors” and the financial data and related notes and other information incorporated by reference, before making an investment decision.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are a global genomic diagnostics company that improves patient care by answering important clinical questions to inform diagnosis and treatment decisions throughout the patient journey in cancer and other diseases. Our growing menu of tests leverages advances in genomic science and machine learning technology to change care for patients, enabling them to avoid risky, costly procedures and reduce time to appropriate treatment. In addition to making our genomic tests available in the United States through our central laboratory, our exclusive license to the nCounter Analysis System, which we believe to be a best-in-class diagnostics platform, positions us to deliver our tests to patients worldwide through laboratories and hospitals that can perform the tests locally. We estimate that our current and near-term pipeline products address an estimated $10 billion global market and that our longer-term pipeline products will enable us to address an estimated $50 billion global market.</w:t>
      </w:r>
    </w:p>
    <w:p>
      <w:pPr>
        <w:spacing w:after="0" w:line="166"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We design our tests to answer critical questions in the diagnosis, prognosis and treatment of cancer and other diseases and improve patient outcomes. We deliver clinical and economic utility to patients, physicians and payers, thereby helping to eliminate unnecessary costs burdening the healthcare system. We position our tests to integrate seamlessly into the way physicians currently evaluate patients in order to facilitate adoption.</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develop our genomic tests using advanced scientific methods, such as ribonucleic acid, or RNA, whole-transcriptome sequencing and machine learning, and then optimize the assays and classifiers for the platform on which the test will be performed. Historically, we have utilized RNA sequencing methods performed in our CLIA laboratory in South San Francisco, California. Beginning in 2021, we expect to adapt select tests to be performed on the nCounter Analysis System for international distribution of our tests.</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believe our powerful scientific platform provides multiple vectors to create value for patients, providers and payers, as well as stockholders, and to help advance precision medicine:</w:t>
      </w:r>
    </w:p>
    <w:p>
      <w:pPr>
        <w:spacing w:after="0" w:line="197" w:lineRule="exact"/>
        <w:rPr>
          <w:sz w:val="20"/>
          <w:szCs w:val="20"/>
          <w:color w:val="auto"/>
        </w:rPr>
      </w:pPr>
    </w:p>
    <w:p>
      <w:pPr>
        <w:ind w:left="1080" w:right="20" w:hanging="424"/>
        <w:spacing w:after="0" w:line="29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Unique Biorepositories—When we develop new tests, we build extensive, robust biorepositories of patient-consented samples and well-curated clinical, radiological, outcome and other information from Institutional Review Board-approved clinical trials to inform our discovery and validation efforts. Our biorepositories are designed to encompass the broad spectrum of disease that our tests may encounter when used in clinical practice, as well as the wide range of conditions associated with patients who are suspected of having a particular disease. We extract extensive genomic information from these patient samples using our RNA whole-transcriptome sequencing platform.</w:t>
      </w:r>
    </w:p>
    <w:p>
      <w:pPr>
        <w:spacing w:after="0" w:line="188" w:lineRule="exact"/>
        <w:rPr>
          <w:rFonts w:ascii="Arial" w:cs="Arial" w:eastAsia="Arial" w:hAnsi="Arial"/>
          <w:sz w:val="16"/>
          <w:szCs w:val="16"/>
          <w:color w:val="auto"/>
        </w:rPr>
      </w:pPr>
    </w:p>
    <w:p>
      <w:pPr>
        <w:ind w:left="1080" w:right="60" w:hanging="424"/>
        <w:spacing w:after="0" w:line="279"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Proprietary Technology and Bioinformatics—For biomarker discovery and product development, we utilize machine learning to select the genomic, clinical or other features from our biorepository that best distinguish the condition we are trying to identify. This enables us to develop high-performing genomic classifiers that can answer specific clinical questions. In addition, our bioinformatics pipelines are built to extract genomic variant content from the same assay to inform therapeutic selection.</w:t>
      </w:r>
    </w:p>
    <w:p>
      <w:pPr>
        <w:spacing w:after="0" w:line="198" w:lineRule="exact"/>
        <w:rPr>
          <w:rFonts w:ascii="Arial" w:cs="Arial" w:eastAsia="Arial" w:hAnsi="Arial"/>
          <w:sz w:val="17"/>
          <w:szCs w:val="17"/>
          <w:color w:val="auto"/>
        </w:rPr>
      </w:pPr>
    </w:p>
    <w:p>
      <w:pPr>
        <w:ind w:left="1080" w:right="60" w:hanging="424"/>
        <w:spacing w:after="0" w:line="286"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High-Performing Commercial Genomic Tests—With the exception of Prosigna, which competes with a first-to-market test in a highly competitive environment, our genomic tests generally serve large, untapped markets where they are changing the diagnostic and treatment paradigm for patients. The majority of our genomic testing business stems from our CLIA certified laboratory serving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59" w:lineRule="auto"/>
        <w:rPr>
          <w:sz w:val="20"/>
          <w:szCs w:val="20"/>
          <w:color w:val="auto"/>
        </w:rPr>
      </w:pPr>
      <w:r>
        <w:rPr>
          <w:rFonts w:ascii="Arial" w:cs="Arial" w:eastAsia="Arial" w:hAnsi="Arial"/>
          <w:sz w:val="18"/>
          <w:szCs w:val="18"/>
          <w:color w:val="auto"/>
        </w:rPr>
        <w:t>United States market. We believe the nCounter Analysis System affords us the opportunity to adapt our test menu for multiple markets globally, providing flexibility for a global distributed testing model and increased efficiency in our United States-based CLIA lab. Our RNA sequencing platform enables us to offer testing from our CLIA lab for a broad range of gene alterations, which can inform treatment decisions at the time of diagnosis.</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currently offer commercialized genomic tests in four clinical indications that we believe are changing disease diagnosis and patient care. All of our commercial tests are available in the United States and one is available internationally. These include the Afirma</w:t>
      </w:r>
      <w:r>
        <w:rPr>
          <w:rFonts w:ascii="Arial" w:cs="Arial" w:eastAsia="Arial" w:hAnsi="Arial"/>
          <w:sz w:val="14"/>
          <w:szCs w:val="14"/>
          <w:color w:val="auto"/>
        </w:rPr>
        <w:t>®</w:t>
      </w:r>
      <w:r>
        <w:rPr>
          <w:rFonts w:ascii="Arial" w:cs="Arial" w:eastAsia="Arial" w:hAnsi="Arial"/>
          <w:sz w:val="17"/>
          <w:szCs w:val="17"/>
          <w:color w:val="auto"/>
        </w:rPr>
        <w:t xml:space="preserve"> Genomic Sequencing Classifier, or GSC, and the Xpression Atlas, or XA, designed to improve diagnosis of and inform treatment decisions, respectively, for thyroid cancer; the Percepta GSC for lung cancer; the Envisia Genomic Classifier for interstitial lung disease, or ILD, and idiopathic pulmonary fibrosis, or IPF; and the Prosigna Breast Cancer Assay for assessing risk of breast cancer distant recurrence. The Prosigna test is available for use on the nCounter Analysis System internationally and in the United States. Our investigational LymphMark lymphoma subtyping is also intended for use on the nCounter Analysis System and is expected to launch in 2021.</w:t>
      </w:r>
    </w:p>
    <w:p>
      <w:pPr>
        <w:spacing w:after="0" w:line="17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believe our focus on developing clinically useful tests that change patient care is enabling us to set new standards in genomic test reimbursement. Our genomic classifiers in thyroid cancer, lung cancer and IPF, as well as the Prosigna breast cancer assay, are covered by Medicare. Our Afirma classifier, for use in thyroid cancer diagnosis, is now covered by every major health plan in the United States, which collectively insure more than 275 million people. We are contracted as an in-network service provider to health plans representing over 225 million people in the United States. We believe that our in-network status with private payers will help facilitate private insurer reimbursement for our Percepta and Envisia classifiers. The Prosigna test is covered by leading private payers in the United States and is widely reimbursed by government and private payers in the countries where it is available.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You should also consider the risks, uncertainties and assumptions discussed under Part II, Item 1A, “Risk Factors,” in our Quarterly Report on Form 10-Q for the quarterly period ended September 30, 2020, which is incorporated herein by reference, and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When used in this prospectus and documents incorporated herein by reference,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6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These forward-looking statements are based on the current beliefs and expectations of our management and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Unless we state otherwise in the applicable prospectus supplement, we intend to use the net proceeds from the sale of the securities offered by us pursuant to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9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Unless otherwise indicated in the prospectus supplement, we will not receive any of the proceeds from any sale of our common stock by selling securityholders.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We may offer common stock, preferred stock, debt securities, warrants, subscription rights, and/or units consisting of some or all of these securities, in any combination, together or separately, in one or more offerings. Selling securityholders may also offer shares of our common stock in one or more offerings This prospectus provides you with a general description of the securities we or the selling securityholders may offer. A prospectus supplement, which we will provide each time we offer securities, will describe the specific amounts, prices and terms of these securities.</w:t>
      </w:r>
    </w:p>
    <w:p>
      <w:pPr>
        <w:spacing w:after="0" w:line="15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or selling securityholders may sell the securities to or through underwriters, dealers or agents or directly to purchasers or as otherwise set forth below under “Plan of Distribution.” We, as well as any agents acting on our behalf, reserve the sole right to accept and to reject in whole or in part any proposed purchase of securities.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have 125,000,000 shares of authorized common stock. As of September 30, 2020, there were 57,813,833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Certificate of Incorporation and Bylaws</w:t>
      </w:r>
      <w:r>
        <w:rPr>
          <w:rFonts w:ascii="Arial" w:cs="Arial" w:eastAsia="Arial" w:hAnsi="Arial"/>
          <w:sz w:val="17"/>
          <w:szCs w:val="17"/>
          <w:color w:val="auto"/>
        </w:rPr>
        <w:t>. Our restated certificate of incorporation and amended and restated bylaws include provisions that:</w:t>
      </w:r>
    </w:p>
    <w:p>
      <w:pPr>
        <w:spacing w:after="0" w:line="142" w:lineRule="exact"/>
        <w:rPr>
          <w:sz w:val="20"/>
          <w:szCs w:val="20"/>
          <w:color w:val="auto"/>
        </w:rPr>
      </w:pPr>
    </w:p>
    <w:p>
      <w:pPr>
        <w:ind w:left="1080" w:right="3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up to 5,000,000 shares of undesignated preferred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153" w:lineRule="exact"/>
        <w:rPr>
          <w:rFonts w:ascii="Arial" w:cs="Arial" w:eastAsia="Arial" w:hAnsi="Arial"/>
          <w:sz w:val="16"/>
          <w:szCs w:val="16"/>
          <w:color w:val="auto"/>
        </w:rPr>
      </w:pPr>
    </w:p>
    <w:p>
      <w:pPr>
        <w:ind w:left="1080" w:right="3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i w:val="1"/>
          <w:iCs w:val="1"/>
          <w:color w:val="auto"/>
        </w:rPr>
        <w:t>Delaware Law</w:t>
      </w:r>
      <w:r>
        <w:rPr>
          <w:rFonts w:ascii="Arial" w:cs="Arial" w:eastAsia="Arial" w:hAnsi="Arial"/>
          <w:sz w:val="17"/>
          <w:szCs w:val="17"/>
          <w:color w:val="auto"/>
        </w:rPr>
        <w:t>. We are subject to the provisions of Section 203 of the General Corporation Law of the State of Delaware regulating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takeovers. In 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7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of the corporation before the date the interested stockholder attained that status;</w:t>
      </w:r>
    </w:p>
    <w:p>
      <w:pPr>
        <w:spacing w:after="0" w:line="142" w:lineRule="exact"/>
        <w:rPr>
          <w:rFonts w:ascii="Arial" w:cs="Arial" w:eastAsia="Arial" w:hAnsi="Arial"/>
          <w:sz w:val="17"/>
          <w:szCs w:val="17"/>
          <w:color w:val="auto"/>
        </w:rPr>
      </w:pPr>
    </w:p>
    <w:p>
      <w:pPr>
        <w:ind w:left="1080" w:right="40" w:hanging="424"/>
        <w:spacing w:after="0" w:line="25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1080" w:right="560" w:hanging="424"/>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131"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63"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97"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97"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4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left="120" w:right="420" w:firstLine="440"/>
        <w:spacing w:after="0" w:line="286" w:lineRule="auto"/>
        <w:rPr>
          <w:sz w:val="20"/>
          <w:szCs w:val="20"/>
          <w:color w:val="auto"/>
        </w:rPr>
      </w:pPr>
      <w:r>
        <w:rPr>
          <w:rFonts w:ascii="Arial" w:cs="Arial" w:eastAsia="Arial" w:hAnsi="Arial"/>
          <w:sz w:val="17"/>
          <w:szCs w:val="17"/>
          <w:color w:val="auto"/>
        </w:rPr>
        <w:t>As of December 31, 2020,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7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pacing w:after="0" w:line="130" w:lineRule="exact"/>
        <w:rPr>
          <w:rFonts w:ascii="Arial" w:cs="Arial" w:eastAsia="Arial" w:hAnsi="Arial"/>
          <w:sz w:val="18"/>
          <w:szCs w:val="18"/>
          <w:color w:val="auto"/>
        </w:rPr>
      </w:pPr>
    </w:p>
    <w:p>
      <w:pPr>
        <w:ind w:left="1080" w:right="340" w:hanging="424"/>
        <w:spacing w:after="0" w:line="34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prices at which, and the terms and conditions on which, the shares of the series may be redeemed, if the shares are redeemable;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terms and conditions of a sinking or purchase fund for the purchase or redemption of shares of the series, if such a fund is provided;</w:t>
      </w:r>
    </w:p>
    <w:p>
      <w:pPr>
        <w:spacing w:after="0" w:line="153" w:lineRule="exact"/>
        <w:rPr>
          <w:rFonts w:ascii="Arial" w:cs="Arial" w:eastAsia="Arial" w:hAnsi="Arial"/>
          <w:sz w:val="16"/>
          <w:szCs w:val="16"/>
          <w:color w:val="auto"/>
        </w:rPr>
      </w:pPr>
    </w:p>
    <w:p>
      <w:pPr>
        <w:ind w:left="1080" w:right="6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70"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following is a summary of the general terms of the debt securities we may offer. We will file a prospectus supplement that may contain additional terms when we issue debt securities. The terms presented here, together with the terms in the applicable prospectus supplement, together with any free writing prospectus or term sheet, will be a description of the material terms of the debt securities. The terms of the debt securities will include those stated in the indenture and those made part of the indenture by reference to the Trust Indenture Act of 1939, as in effect on the date of the indenture. We have filed a copy of the form of indenture as an exhibit to the registration statement in which this prospectus is included. The indenture will be subject to and governed by the terms of the Trust Indenture Act of 1939.</w:t>
      </w:r>
    </w:p>
    <w:p>
      <w:pPr>
        <w:spacing w:after="0" w:line="178"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section only, “we,” “us” and “our” refer to Veracyte, Inc., unless expressly stated or the context otherwise requires.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Terms of the Indenture</w:t>
      </w:r>
    </w:p>
    <w:p>
      <w:pPr>
        <w:spacing w:after="0" w:line="12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6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7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title of the series;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principal amount, and, if a series, the total amount authorized and the total amount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89"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34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29" w:lineRule="exact"/>
        <w:rPr>
          <w:rFonts w:ascii="Arial" w:cs="Arial" w:eastAsia="Arial" w:hAnsi="Arial"/>
          <w:sz w:val="16"/>
          <w:szCs w:val="16"/>
          <w:color w:val="auto"/>
        </w:rPr>
      </w:pPr>
    </w:p>
    <w:p>
      <w:pPr>
        <w:ind w:left="1080" w:right="10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terms, if any, on which the debt securities of that series will be subordinate in right and priority of payment to our other debt;</w:t>
      </w:r>
    </w:p>
    <w:p>
      <w:pPr>
        <w:spacing w:after="0" w:line="142"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denominations in which those debt securities will be issuable, if other than denominations of $1,000 or any integral multiple of that number;</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addition to or change in the covenants and/or the acceleration provisions described in this prospectus or in the indenture;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Unless otherwise indicated in this prospectus or the applicable prospectus supplement, our debt securities will not have the benefit of any covenants that limit or restrict our business or operations, the pledging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assets or the incurrence by us of indebtedness. We will describe in the applicable prospectus supplement any material covenants in respect of a series of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Protection in the Event of Change of Control</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indenture does not have any covenants or other provisions providing for a put or increased interest or otherwise that would afford holders of our debt securities additional protection in the event of a recapitalization transaction, a change of control or a highly leveraged transaction. If we offer any covenants or provisions of this type with respect to any debt securities covered by this prospectus, we will describe them in the applicable prospectus supplement.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or Exchange Rights</w:t>
      </w:r>
    </w:p>
    <w:p>
      <w:pPr>
        <w:spacing w:after="0" w:line="121"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2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anti-dilution provisions, if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Consolidation, Merger or Sale</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95"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Unless otherwise specified in the applicable prospectus supplement, the following will be “events of default” under the indenture with respect to any series of debt securities:</w:t>
      </w:r>
    </w:p>
    <w:p>
      <w:pPr>
        <w:spacing w:after="0" w:line="7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8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for the reasonable expenses and liabilities that may be incurred by bringing the 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 an amount certified to be enough to pay when due, whether at maturity, upon redemption or otherwise, the principal of, and any premium and interest on, the debt securities and any mandatory sinking fund payments.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93" w:lineRule="exact"/>
        <w:rPr>
          <w:sz w:val="20"/>
          <w:szCs w:val="20"/>
          <w:color w:val="auto"/>
        </w:rPr>
      </w:pPr>
    </w:p>
    <w:p>
      <w:pPr>
        <w:ind w:left="108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89"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the Indenture</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76"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10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63"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reduce the amount of the principal of any debt security issued with an original issue discount that is payable upon acceleration;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70"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89"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default in the payment of, any premium and any interest on, or principal of, any such debt security held by a nonconsenting holder; or</w:t>
      </w:r>
    </w:p>
    <w:p>
      <w:pPr>
        <w:spacing w:after="0" w:line="153"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76"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76"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130" w:lineRule="exact"/>
        <w:rPr>
          <w:rFonts w:ascii="Arial" w:cs="Arial" w:eastAsia="Arial" w:hAnsi="Arial"/>
          <w:sz w:val="18"/>
          <w:szCs w:val="18"/>
          <w:color w:val="auto"/>
        </w:rPr>
      </w:pPr>
    </w:p>
    <w:p>
      <w:pPr>
        <w:ind w:left="5540" w:right="3180" w:hanging="4884"/>
        <w:spacing w:after="0" w:line="449" w:lineRule="auto"/>
        <w:tabs>
          <w:tab w:leader="none" w:pos="10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 14</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89" w:lineRule="exact"/>
        <w:rPr>
          <w:sz w:val="20"/>
          <w:szCs w:val="20"/>
          <w:color w:val="auto"/>
        </w:rPr>
      </w:pPr>
    </w:p>
    <w:p>
      <w:pPr>
        <w:ind w:left="1080" w:right="220" w:hanging="424"/>
        <w:spacing w:after="0" w:line="34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29" w:lineRule="exact"/>
        <w:rPr>
          <w:rFonts w:ascii="Arial" w:cs="Arial" w:eastAsia="Arial" w:hAnsi="Arial"/>
          <w:sz w:val="16"/>
          <w:szCs w:val="16"/>
          <w:color w:val="auto"/>
        </w:rPr>
      </w:pPr>
    </w:p>
    <w:p>
      <w:pPr>
        <w:ind w:left="1080" w:right="8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 entry registration and transfer system, the participants’ accounts with the respective principal amounts of the debt securities represented by the registered global security beneficially owned by the participants;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dealers, underwriters, or agents participating in the distribution of the debt securities will designate the accounts to be credited; and</w:t>
      </w:r>
    </w:p>
    <w:p>
      <w:pPr>
        <w:spacing w:after="0" w:line="153" w:lineRule="exact"/>
        <w:rPr>
          <w:rFonts w:ascii="Arial" w:cs="Arial" w:eastAsia="Arial" w:hAnsi="Arial"/>
          <w:sz w:val="16"/>
          <w:szCs w:val="16"/>
          <w:color w:val="auto"/>
        </w:rPr>
      </w:pPr>
    </w:p>
    <w:p>
      <w:pPr>
        <w:jc w:val="both"/>
        <w:ind w:left="1080" w:right="540" w:hanging="424"/>
        <w:spacing w:after="0" w:line="263"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70"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71"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8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 the participants would authorize beneficial owners owning through the participants to give or take the action or would otherwise act upon the instructions of beneficial owners holding through them.</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the depositary for any debt securities represented by a registered global security is at any time unwilling or unable to continue as depositary or stops being a clearing agency registered under the Securities Exchange Act of 1934, as amended, or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Concerning the Trustee</w:t>
      </w:r>
    </w:p>
    <w:p>
      <w:pPr>
        <w:spacing w:after="0" w:line="121" w:lineRule="exact"/>
        <w:rPr>
          <w:sz w:val="20"/>
          <w:szCs w:val="20"/>
          <w:color w:val="auto"/>
        </w:rPr>
      </w:pPr>
    </w:p>
    <w:p>
      <w:pPr>
        <w:ind w:left="120" w:right="220" w:firstLine="440"/>
        <w:spacing w:after="0" w:line="272" w:lineRule="auto"/>
        <w:rPr>
          <w:sz w:val="20"/>
          <w:szCs w:val="20"/>
          <w:color w:val="auto"/>
        </w:rPr>
      </w:pPr>
      <w:r>
        <w:rPr>
          <w:rFonts w:ascii="Arial" w:cs="Arial" w:eastAsia="Arial" w:hAnsi="Arial"/>
          <w:sz w:val="17"/>
          <w:szCs w:val="17"/>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17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87"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 interest relating to any duties concerning the debt securities, however, it must eliminate the conflict or resign as trustee.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may issue warrants for the purchase of common stock, preferred stock, debt securities,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76"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designation, terms and number of shares of common stock, preferred stock or debt securities purchasable upon exercise of the warrants;</w:t>
      </w:r>
    </w:p>
    <w:p>
      <w:pPr>
        <w:spacing w:after="0" w:line="153"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common stock, preferred stock or debt securities will be separately transferable;</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 at which each share of common stock, preferred stock or debt securities purchasable upon exercise of the warrants may be purchased;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other terms of the warrants, including terms, procedures and limitations relating to the exchange and exercise of the warrants.</w:t>
      </w:r>
    </w:p>
    <w:p>
      <w:pPr>
        <w:spacing w:after="0" w:line="129"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SUBSCRIPTION RIGHTS</w:t>
      </w:r>
    </w:p>
    <w:p>
      <w:pPr>
        <w:spacing w:after="0" w:line="229"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We may issue subscription rights to purchase common stock or preferred stock. This prospectus and any accompanying prospectus supplement will contain the material terms and conditions for each subscription right. The accompanying prospectus supplement may add, update or change the terms and conditions of the subscription rights as described in this prospectus.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will describe in the applicable prospectus supplement the terms and conditions of the issue of subscription rights being offered, the subscription rights agreement relating to the subscription rights and the subscription rights certificates representing the subscription rights, including, as applicable:</w:t>
      </w:r>
    </w:p>
    <w:p>
      <w:pPr>
        <w:spacing w:after="0" w:line="89"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title of the subscription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subscription rights distribution;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title, aggregate number of shares of common stock or preferred stock purchasable upon exercise of the subscription rights;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aggregate number of subscription rights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if any, on and after which the subscription rights will be separately transferable;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on which the subscription right to exercise the subscription rights will commence and the date on which the subscription right will expire;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terms of the subscription rights, including terms, procedures and limitations relating to the distribution, exchange and exercise of the subscription rights.</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subscription right will entitle the holder of subscription rights to purchase for cash the principal amount of shares of common stock or preferred stock at the exercise price provided in the applicable prospectus supplement. Subscription rights may be exercised at any time up to the close of business on the expiration date for the subscription rights provided in the applicable prospectus supplement. After the close of business on the expiration date, all unexercised subscription rights will be void.</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Holders may exercise subscription rights as described in the applicable prospectus supplement. Upon receipt of payment and the subscription rights certificate properly completed and duly executed at the corporate trust office of the subscription rights agent or any other office indicated in the prospectus supplement, we will, as soon as practicable, forward the shares of common stock or preferred stock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may issue units consisting of some or all of the securities described above, in any combination, including common stock, preferred stock, warrants and/or debt securities. The terms of these units will be set forth in a prospectus supplement. The description of the terms of these units in the related prospectus supplement will not be complete. You should refer to the applicable form of unit and unit agreement for complete information with respect to these units.</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Selling securityholders are persons or entities that, directly or indirectly, have acquired, or will from time to time acquire from us, our common stock. If the registration statement of which this prospectus forms a part is used by selling securityholders for the resale of any securities registered thereunder, information about such selling securityholders, their beneficial ownership of our securities and their relationship with us will be set forth in a prospectus supplement.</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We or selling securityholders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71"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applicable, the names of any selling securityholders;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or the selling securityholders from the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Only those underwriters identified in such prospectus supplement are deemed to be underwriters in connection with the securities offered in the prospectus supplement. We or selling securityholders may directly solicit offers to purchase the securities being offered by this prospectus. We or selling securityholders may also designate agents to solicit offers to purchase the securities from time to time. We or selling securityholders will name in a prospectus supplement any agent involved in the offer or sale of our securities. Unless otherwise indicated in a prospectus supplement, an agent will be acting on a best efforts basis, and a dealer will purchase securities as a principal for resale at varying prices to be determined by the dealer.</w:t>
      </w:r>
    </w:p>
    <w:p>
      <w:pPr>
        <w:spacing w:after="0" w:line="16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subscription rights offering, forward contracts or similar arrangements. In addition, we or selling securityholders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securities covered by this prospectus and the applicable prospectus supplement, including in short sale transactions. If so, the third party may use securities pledged by us or selling securityholders or borrowed from us or selling securityholders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 effective amendment). In addition, we or selling securityholders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66"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connection with the sale of the securities, underwriters, dealers or agents may be deemed to have received compensation from us or selling securityholders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7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or selling securityholders will provide in the applicable prospectus supplement information regarding any underwriting discounts or other compensation that we or selling securityholders pay to underwriters or agents in connection with the securities offering, and any discounts, concessions or commissions that underwriters allow to dealers. Underwriters, dealers, agents and selling securityholders participating in the securities distribution may be deemed to be underwriters, and any discounts, commissions or concessions they receive and any profit they realize on the resale of the securities may be deemed to be underwriting discounts and commissions under the Securities Act. Underwriters and their controlling persons, dealers and agents may be entitled, under agreements entered into with us or selling securityholders,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in the ordinary course of business.</w:t>
      </w:r>
    </w:p>
    <w:p>
      <w:pPr>
        <w:spacing w:after="0" w:line="165"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validity of any securities offered by this prospectus will be passed upon for us by Fenwick &amp; West LLP, San Francisco, California. Counsel representing any underwriters, dealers or agents will be named in the applicable prospectus supplement.</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Ernst &amp; Young LLP, independent registered public accounting firm, has audited our consolidated financial statements included in our Annual Report on Form 10-K for the year ended December 31, 2019, and the effectiveness of our internal control over financial reporting as of December 31, 2019, as set forth in their reports, which are incorporated by reference in this prospectus and elsewhere in the registration statement. Our financial statements are incorporated by reference in reliance on Ernst &amp; Young LLP’s reports, given on their authority as experts in accounting and auditing.</w:t>
      </w: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have filed with the SEC a registration statement on Form S-3 under the Securities Act with respect to the securities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securities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www.sec.gov.</w:t>
      </w:r>
    </w:p>
    <w:p>
      <w:pPr>
        <w:spacing w:after="0" w:line="17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www.veracyte.com.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INFORMATION BY REFERENCE</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98"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2019, filed with the SEC on </w:t>
      </w:r>
      <w:hyperlink r:id="rId49">
        <w:r>
          <w:rPr>
            <w:rFonts w:ascii="Arial" w:cs="Arial" w:eastAsia="Arial" w:hAnsi="Arial"/>
            <w:sz w:val="18"/>
            <w:szCs w:val="18"/>
            <w:u w:val="single" w:color="auto"/>
            <w:color w:val="0000EE"/>
          </w:rPr>
          <w:t>February 25, 2020;</w:t>
        </w:r>
      </w:hyperlink>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2019 from our definitive proxy statement on Schedule 14A, which was filed with the SEC on </w:t>
      </w:r>
      <w:hyperlink r:id="rId50">
        <w:r>
          <w:rPr>
            <w:rFonts w:ascii="Arial" w:cs="Arial" w:eastAsia="Arial" w:hAnsi="Arial"/>
            <w:sz w:val="18"/>
            <w:szCs w:val="18"/>
            <w:u w:val="single" w:color="auto"/>
            <w:color w:val="0000EE"/>
          </w:rPr>
          <w:t>April 24, 2020;</w:t>
        </w:r>
      </w:hyperlink>
    </w:p>
    <w:p>
      <w:pPr>
        <w:spacing w:after="0" w:line="75" w:lineRule="exact"/>
        <w:rPr>
          <w:rFonts w:ascii="Arial" w:cs="Arial" w:eastAsia="Arial" w:hAnsi="Arial"/>
          <w:sz w:val="18"/>
          <w:szCs w:val="18"/>
          <w:color w:val="auto"/>
        </w:rPr>
      </w:pPr>
    </w:p>
    <w:p>
      <w:pPr>
        <w:ind w:left="1080" w:right="300" w:hanging="424"/>
        <w:spacing w:after="0" w:line="34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our Quarterly Reports on Form 10-Q for the quarter ended March 31, 2020, filed with the SEC on </w:t>
      </w:r>
      <w:hyperlink r:id="rId51">
        <w:r>
          <w:rPr>
            <w:rFonts w:ascii="Arial" w:cs="Arial" w:eastAsia="Arial" w:hAnsi="Arial"/>
            <w:sz w:val="16"/>
            <w:szCs w:val="16"/>
            <w:u w:val="single" w:color="auto"/>
            <w:color w:val="0000EE"/>
          </w:rPr>
          <w:t>May 6, 2020</w:t>
        </w:r>
      </w:hyperlink>
      <w:r>
        <w:rPr>
          <w:rFonts w:ascii="Arial" w:cs="Arial" w:eastAsia="Arial" w:hAnsi="Arial"/>
          <w:sz w:val="16"/>
          <w:szCs w:val="16"/>
          <w:color w:val="auto"/>
        </w:rPr>
        <w:t xml:space="preserve">, the quarter ended June 30, 2020, filed with the SEC on </w:t>
      </w:r>
      <w:hyperlink r:id="rId52">
        <w:r>
          <w:rPr>
            <w:rFonts w:ascii="Arial" w:cs="Arial" w:eastAsia="Arial" w:hAnsi="Arial"/>
            <w:sz w:val="16"/>
            <w:szCs w:val="16"/>
            <w:u w:val="single" w:color="auto"/>
            <w:color w:val="0000EE"/>
          </w:rPr>
          <w:t>July 30, 2020</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the quarter ended September 30, 2020, filed with the SEC on </w:t>
      </w:r>
      <w:hyperlink r:id="rId53">
        <w:r>
          <w:rPr>
            <w:rFonts w:ascii="Arial" w:cs="Arial" w:eastAsia="Arial" w:hAnsi="Arial"/>
            <w:sz w:val="16"/>
            <w:szCs w:val="16"/>
            <w:u w:val="single" w:color="auto"/>
            <w:color w:val="0000EE"/>
          </w:rPr>
          <w:t>November 2, 2020</w:t>
        </w:r>
      </w:hyperlink>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080" w:right="120" w:hanging="424"/>
        <w:spacing w:after="0" w:line="259" w:lineRule="auto"/>
        <w:tabs>
          <w:tab w:leader="none" w:pos="1080" w:val="left"/>
        </w:tabs>
        <w:numPr>
          <w:ilvl w:val="0"/>
          <w:numId w:val="45"/>
        </w:numPr>
        <w:rPr>
          <w:rFonts w:ascii="Arial" w:cs="Arial" w:eastAsia="Arial" w:hAnsi="Arial"/>
          <w:sz w:val="18"/>
          <w:szCs w:val="18"/>
          <w:color w:val="0000EE"/>
        </w:rPr>
      </w:pPr>
      <w:r>
        <w:rPr>
          <w:rFonts w:ascii="Arial" w:cs="Arial" w:eastAsia="Arial" w:hAnsi="Arial"/>
          <w:sz w:val="18"/>
          <w:szCs w:val="18"/>
          <w:color w:val="auto"/>
        </w:rPr>
        <w:t xml:space="preserve">our Current Report on Form 8-K/A filed with the SEC on </w:t>
      </w:r>
      <w:hyperlink r:id="rId54">
        <w:r>
          <w:rPr>
            <w:rFonts w:ascii="Arial" w:cs="Arial" w:eastAsia="Arial" w:hAnsi="Arial"/>
            <w:sz w:val="18"/>
            <w:szCs w:val="18"/>
            <w:u w:val="single" w:color="auto"/>
            <w:color w:val="0000EE"/>
          </w:rPr>
          <w:t>February 18, 2020</w:t>
        </w:r>
      </w:hyperlink>
      <w:r>
        <w:rPr>
          <w:rFonts w:ascii="Arial" w:cs="Arial" w:eastAsia="Arial" w:hAnsi="Arial"/>
          <w:sz w:val="18"/>
          <w:szCs w:val="18"/>
          <w:color w:val="auto"/>
        </w:rPr>
        <w:t xml:space="preserve">, and our Current Reports on Form 8-K filed with the SEC on </w:t>
      </w:r>
      <w:hyperlink r:id="rId55">
        <w:r>
          <w:rPr>
            <w:rFonts w:ascii="Arial" w:cs="Arial" w:eastAsia="Arial" w:hAnsi="Arial"/>
            <w:sz w:val="18"/>
            <w:szCs w:val="18"/>
            <w:u w:val="single" w:color="auto"/>
            <w:color w:val="0000EE"/>
          </w:rPr>
          <w:t>February 25,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March 2,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April 14,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9,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27,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August 5,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17, 2020</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December 16,</w:t>
        </w:r>
      </w:hyperlink>
      <w:r>
        <w:rPr>
          <w:rFonts w:ascii="Arial" w:cs="Arial" w:eastAsia="Arial" w:hAnsi="Arial"/>
          <w:sz w:val="18"/>
          <w:szCs w:val="18"/>
          <w:color w:val="0000EE"/>
        </w:rPr>
        <w:t xml:space="preserve"> </w:t>
      </w:r>
      <w:hyperlink r:id="rId55">
        <w:r>
          <w:rPr>
            <w:rFonts w:ascii="Arial" w:cs="Arial" w:eastAsia="Arial" w:hAnsi="Arial"/>
            <w:sz w:val="18"/>
            <w:szCs w:val="18"/>
            <w:u w:val="single" w:color="auto"/>
            <w:color w:val="0000EE"/>
          </w:rPr>
          <w:t>2020</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56">
        <w:r>
          <w:rPr>
            <w:rFonts w:ascii="Arial" w:cs="Arial" w:eastAsia="Arial" w:hAnsi="Arial"/>
            <w:sz w:val="18"/>
            <w:szCs w:val="18"/>
            <w:u w:val="single" w:color="auto"/>
            <w:color w:val="0000EE"/>
          </w:rPr>
          <w:t xml:space="preserve">January 25, 2021 </w:t>
        </w:r>
      </w:hyperlink>
      <w:hyperlink r:id="rId55">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57">
        <w:r>
          <w:rPr>
            <w:rFonts w:ascii="Arial" w:cs="Arial" w:eastAsia="Arial" w:hAnsi="Arial"/>
            <w:sz w:val="18"/>
            <w:szCs w:val="18"/>
            <w:u w:val="single" w:color="auto"/>
            <w:color w:val="0000EE"/>
          </w:rPr>
          <w:t xml:space="preserve">February 3, 2021 </w:t>
        </w:r>
      </w:hyperlink>
      <w:hyperlink r:id="rId55">
        <w:r>
          <w:rPr>
            <w:rFonts w:ascii="Arial" w:cs="Arial" w:eastAsia="Arial" w:hAnsi="Arial"/>
            <w:sz w:val="18"/>
            <w:szCs w:val="18"/>
            <w:color w:val="000000"/>
          </w:rPr>
          <w:t>(except that any portions thereof which are furnished and not filed shall not be deemed</w:t>
        </w:r>
      </w:hyperlink>
      <w:r>
        <w:rPr>
          <w:rFonts w:ascii="Arial" w:cs="Arial" w:eastAsia="Arial" w:hAnsi="Arial"/>
          <w:sz w:val="18"/>
          <w:szCs w:val="18"/>
          <w:color w:val="0000EE"/>
        </w:rPr>
        <w:t xml:space="preserve"> </w:t>
      </w:r>
      <w:r>
        <w:rPr>
          <w:rFonts w:ascii="Arial" w:cs="Arial" w:eastAsia="Arial" w:hAnsi="Arial"/>
          <w:sz w:val="18"/>
          <w:szCs w:val="18"/>
          <w:color w:val="000000"/>
        </w:rPr>
        <w:t>incorporated); and</w:t>
      </w:r>
    </w:p>
    <w:p>
      <w:pPr>
        <w:spacing w:after="0" w:line="92" w:lineRule="exact"/>
        <w:rPr>
          <w:rFonts w:ascii="Arial" w:cs="Arial" w:eastAsia="Arial" w:hAnsi="Arial"/>
          <w:sz w:val="18"/>
          <w:szCs w:val="18"/>
          <w:color w:val="0000EE"/>
        </w:rPr>
      </w:pPr>
    </w:p>
    <w:p>
      <w:pPr>
        <w:ind w:left="1080" w:right="80" w:hanging="424"/>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with the SEC on October 28, 2013 under Section 12 of the Exchange Act, including any amendment or report filed for the purpose of updating such description, including any amendment or report filed for the purposes of updating such description, including </w:t>
      </w:r>
      <w:hyperlink r:id="rId60">
        <w:r>
          <w:rPr>
            <w:rFonts w:ascii="Arial" w:cs="Arial" w:eastAsia="Arial" w:hAnsi="Arial"/>
            <w:sz w:val="18"/>
            <w:szCs w:val="18"/>
            <w:u w:val="single" w:color="auto"/>
            <w:color w:val="0000EE"/>
          </w:rPr>
          <w:t>Exhibit 4.2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Annual Report on Form 10-K for the year ended December 31, 2019, filed with the SEC on February 25, 2020.</w:t>
      </w:r>
    </w:p>
    <w:p>
      <w:pPr>
        <w:spacing w:after="0" w:line="187" w:lineRule="exact"/>
        <w:rPr>
          <w:rFonts w:ascii="Arial" w:cs="Arial" w:eastAsia="Arial" w:hAnsi="Arial"/>
          <w:sz w:val="18"/>
          <w:szCs w:val="18"/>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after the date of this prospectus and prior to the termination of the offering of the securities hereunder. We are not, however, incorporating, in each case, any documents or information that we are deemed to furnish and not file in accordance with SEC rules.</w:t>
      </w:r>
    </w:p>
    <w:p>
      <w:pPr>
        <w:spacing w:after="0" w:line="165" w:lineRule="exact"/>
        <w:rPr>
          <w:rFonts w:ascii="Arial" w:cs="Arial" w:eastAsia="Arial" w:hAnsi="Arial"/>
          <w:sz w:val="18"/>
          <w:szCs w:val="18"/>
          <w:color w:val="auto"/>
        </w:rPr>
      </w:pPr>
    </w:p>
    <w:p>
      <w:pPr>
        <w:ind w:left="120" w:firstLine="440"/>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telephone (650) 243-6300. We will not, however, send exhibits to those documents, unless the exhibits are specifically incorporated by reference in those documents.</w:t>
      </w:r>
    </w:p>
    <w:p>
      <w:pPr>
        <w:spacing w:after="0" w:line="119"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600"/>
        <w:spacing w:after="0"/>
        <w:rPr>
          <w:sz w:val="20"/>
          <w:szCs w:val="20"/>
          <w:color w:val="auto"/>
        </w:rPr>
      </w:pPr>
      <w:r>
        <w:rPr>
          <w:rFonts w:ascii="Arial" w:cs="Arial" w:eastAsia="Arial" w:hAnsi="Arial"/>
          <w:sz w:val="29"/>
          <w:szCs w:val="29"/>
          <w:b w:val="1"/>
          <w:bCs w:val="1"/>
          <w:color w:val="auto"/>
        </w:rPr>
        <w:t>7,432,433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365760</wp:posOffset>
            </wp:positionV>
            <wp:extent cx="1920240" cy="13887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192024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Goldman Sachs &amp; Co. LLC</w:t>
      </w:r>
    </w:p>
    <w:p>
      <w:pPr>
        <w:spacing w:after="0" w:line="147"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SVB Leerink</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William Blair</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BTIG</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Needham &amp; Company</w:t>
      </w:r>
    </w:p>
    <w:p>
      <w:pPr>
        <w:spacing w:after="0" w:line="112"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Lake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February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608965</wp:posOffset>
            </wp:positionV>
            <wp:extent cx="6995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668655</wp:posOffset>
            </wp:positionV>
            <wp:extent cx="699516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bullet"/>
      <w:start w:val="1"/>
    </w:lvl>
  </w:abstractNum>
  <w:abstractNum w:abstractNumId="5">
    <w:nsid w:val="4353D0CD"/>
    <w:multiLevelType w:val="hybridMultilevel"/>
    <w:lvl w:ilvl="0">
      <w:lvlJc w:val="left"/>
      <w:lvlText w:val="2"/>
      <w:numFmt w:val="bullet"/>
      <w:start w:val="1"/>
    </w:lvl>
  </w:abstractNum>
  <w:abstractNum w:abstractNumId="6">
    <w:nsid w:val="B03E0C6"/>
    <w:multiLevelType w:val="hybridMultilevel"/>
    <w:lvl w:ilvl="0">
      <w:lvlJc w:val="left"/>
      <w:lvlText w:val="3"/>
      <w:numFmt w:val="bullet"/>
      <w:start w:val="1"/>
    </w:lvl>
  </w:abstractNum>
  <w:abstractNum w:abstractNumId="7">
    <w:nsid w:val="189A769B"/>
    <w:multiLevelType w:val="hybridMultilevel"/>
    <w:lvl w:ilvl="0">
      <w:lvlJc w:val="left"/>
      <w:lvlText w:val="4"/>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
      <w:numFmt w:val="bullet"/>
      <w:start w:val="1"/>
    </w:lvl>
  </w:abstractNum>
  <w:abstractNum w:abstractNumId="15">
    <w:nsid w:val="1E7FF521"/>
    <w:multiLevelType w:val="hybridMultilevel"/>
    <w:lvl w:ilvl="0">
      <w:lvlJc w:val="left"/>
      <w:lvlText w:val="(%1)"/>
      <w:numFmt w:val="lowerLetter"/>
      <w:start w:val="3"/>
    </w:lvl>
  </w:abstractNum>
  <w:abstractNum w:abstractNumId="16">
    <w:nsid w:val="7C3DBD3D"/>
    <w:multiLevelType w:val="hybridMultilevel"/>
    <w:lvl w:ilvl="0">
      <w:lvlJc w:val="left"/>
      <w:lvlText w:val="(%1)"/>
      <w:numFmt w:val="lowerLetter"/>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lowerRoman"/>
      <w:start w:val="3"/>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
      <w:numFmt w:val="bullet"/>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
      <w:numFmt w:val="bullet"/>
      <w:start w:val="1"/>
    </w:lvl>
  </w:abstractNum>
  <w:abstractNum w:abstractNumId="39">
    <w:nsid w:val="6A2342EC"/>
    <w:multiLevelType w:val="hybridMultilevel"/>
    <w:lvl w:ilvl="0">
      <w:lvlJc w:val="left"/>
      <w:lvlText w:val="•"/>
      <w:numFmt w:val="bullet"/>
      <w:start w:val="1"/>
    </w:lvl>
  </w:abstractNum>
  <w:abstractNum w:abstractNumId="40">
    <w:nsid w:val="2A487CB0"/>
    <w:multiLevelType w:val="hybridMultilevel"/>
    <w:lvl w:ilvl="0">
      <w:lvlJc w:val="left"/>
      <w:lvlText w:val="•"/>
      <w:numFmt w:val="bullet"/>
      <w:start w:val="1"/>
    </w:lvl>
  </w:abstractNum>
  <w:abstractNum w:abstractNumId="41">
    <w:nsid w:val="1D4ED43B"/>
    <w:multiLevelType w:val="hybridMultilevel"/>
    <w:lvl w:ilvl="0">
      <w:lvlJc w:val="left"/>
      <w:lvlText w:val="•"/>
      <w:numFmt w:val="bullet"/>
      <w:start w:val="1"/>
    </w:lvl>
  </w:abstractNum>
  <w:abstractNum w:abstractNumId="42">
    <w:nsid w:val="725A06FB"/>
    <w:multiLevelType w:val="hybridMultilevel"/>
    <w:lvl w:ilvl="0">
      <w:lvlJc w:val="left"/>
      <w:lvlText w:val="•"/>
      <w:numFmt w:val="bullet"/>
      <w:start w:val="1"/>
    </w:lvl>
  </w:abstractNum>
  <w:abstractNum w:abstractNumId="43">
    <w:nsid w:val="2CD89A32"/>
    <w:multiLevelType w:val="hybridMultilevel"/>
    <w:lvl w:ilvl="0">
      <w:lvlJc w:val="left"/>
      <w:lvlText w:val="•"/>
      <w:numFmt w:val="bullet"/>
      <w:start w:val="1"/>
    </w:lvl>
  </w:abstractNum>
  <w:abstractNum w:abstractNumId="44">
    <w:nsid w:val="57E4CCA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8"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jpe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jpeg"/><Relationship Id="rId93" Type="http://schemas.openxmlformats.org/officeDocument/2006/relationships/image" Target="media/image75.png"/><Relationship Id="rId94" Type="http://schemas.openxmlformats.org/officeDocument/2006/relationships/image" Target="media/image76.png"/><Relationship Id="rId49" Type="http://schemas.openxmlformats.org/officeDocument/2006/relationships/hyperlink" Target="http://www.sec.gov/ix?doc=/Archives/edgar/data/1384101/000138410120000015/vcyt-12312019x10k.htm" TargetMode="External"/><Relationship Id="rId50" Type="http://schemas.openxmlformats.org/officeDocument/2006/relationships/hyperlink" Target="http://www.sec.gov/Archives/edgar/data/1384101/000138410120000052/vcyt-proxy2020xdef14a.htm" TargetMode="External"/><Relationship Id="rId51" Type="http://schemas.openxmlformats.org/officeDocument/2006/relationships/hyperlink" Target="http://www.sec.gov/ix?doc=/Archives/edgar/data/1384101/000138410120000058/vcyt-20200331.htm" TargetMode="External"/><Relationship Id="rId52" Type="http://schemas.openxmlformats.org/officeDocument/2006/relationships/hyperlink" Target="http://www.sec.gov/ix?doc=/Archives/edgar/data/1384101/000143774920016062/vcyt20200630_10q.htm" TargetMode="External"/><Relationship Id="rId53" Type="http://schemas.openxmlformats.org/officeDocument/2006/relationships/hyperlink" Target="http://www.sec.gov/ix?doc=/Archives/edgar/data/1384101/000143774920022261/vcyt20200930_10q.htm" TargetMode="External"/><Relationship Id="rId54" Type="http://schemas.openxmlformats.org/officeDocument/2006/relationships/hyperlink" Target="http://www.sec.gov/Archives/edgar/data/1384101/000138410120000011/vcyt8ka2-18x20.htm" TargetMode="External"/><Relationship Id="rId55" Type="http://schemas.openxmlformats.org/officeDocument/2006/relationships/hyperlink" Target="http://www.sec.gov/ix?doc=/Archives/edgar/data/1384101/000143774920025486/vcyt20201216_8k.htm" TargetMode="External"/><Relationship Id="rId56" Type="http://schemas.openxmlformats.org/officeDocument/2006/relationships/hyperlink" Target="http://www.sec.gov/ix?doc=/Archives/edgar/data/1384101/000143774921001142/vcyt20210124_8k.htm" TargetMode="External"/><Relationship Id="rId57" Type="http://schemas.openxmlformats.org/officeDocument/2006/relationships/hyperlink" Target="http://www.sec.gov/ix?doc=/Archives/edgar/data/1384101/000119312521026509/d110946d8k.htm" TargetMode="External"/><Relationship Id="rId59" Type="http://schemas.openxmlformats.org/officeDocument/2006/relationships/hyperlink" Target="http://www.sec.gov/Archives/edgar/data/1384101/000110465913078343/a13-16266_158a12b.htm" TargetMode="External"/><Relationship Id="rId60" Type="http://schemas.openxmlformats.org/officeDocument/2006/relationships/hyperlink" Target="http://www.sec.gov/Archives/edgar/data/1384101/000138410120000015/vcyt-12312019x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2021-02-05T15:53:50Z</dcterms:created>
  <dcterms:modified xsi:type="dcterms:W3CDTF">2021-02-05T15:53:50Z</dcterms:modified>
</cp:coreProperties>
</file>