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 January 6, 2022</w:t>
            </w:r>
          </w:p>
        </w:tc>
        <w:tc>
          <w:tcPr>
            <w:tcW w:w="2340" w:type="dxa"/>
            <w:vAlign w:val="bottom"/>
          </w:tcPr>
          <w:p>
            <w:pPr>
              <w:spacing w:after="0"/>
              <w:rPr>
                <w:sz w:val="20"/>
                <w:szCs w:val="20"/>
                <w:color w:val="auto"/>
              </w:rPr>
            </w:pPr>
          </w:p>
        </w:tc>
      </w:tr>
      <w:tr>
        <w:trPr>
          <w:trHeight w:val="445"/>
        </w:trPr>
        <w:tc>
          <w:tcPr>
            <w:tcW w:w="232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40" w:type="dxa"/>
            <w:vAlign w:val="bottom"/>
          </w:tcPr>
          <w:p>
            <w:pPr>
              <w:spacing w:after="0"/>
              <w:rPr>
                <w:sz w:val="24"/>
                <w:szCs w:val="24"/>
                <w:color w:val="auto"/>
              </w:rPr>
            </w:pPr>
          </w:p>
        </w:tc>
      </w:tr>
      <w:tr>
        <w:trPr>
          <w:trHeight w:val="230"/>
        </w:trPr>
        <w:tc>
          <w:tcPr>
            <w:tcW w:w="232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40" w:type="dxa"/>
            <w:vAlign w:val="bottom"/>
          </w:tcPr>
          <w:p>
            <w:pPr>
              <w:spacing w:after="0"/>
              <w:rPr>
                <w:sz w:val="20"/>
                <w:szCs w:val="20"/>
                <w:color w:val="auto"/>
              </w:rPr>
            </w:pPr>
          </w:p>
        </w:tc>
      </w:tr>
      <w:tr>
        <w:trPr>
          <w:trHeight w:val="270"/>
        </w:trPr>
        <w:tc>
          <w:tcPr>
            <w:tcW w:w="2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4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2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 of</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40" w:type="dxa"/>
            <w:vAlign w:val="bottom"/>
          </w:tcPr>
          <w:p>
            <w:pPr>
              <w:jc w:val="center"/>
              <w:ind w:left="1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20" w:type="dxa"/>
            <w:vAlign w:val="bottom"/>
          </w:tcPr>
          <w:p>
            <w:pPr>
              <w:jc w:val="center"/>
              <w:ind w:right="150"/>
              <w:spacing w:after="0"/>
              <w:rPr>
                <w:sz w:val="20"/>
                <w:szCs w:val="20"/>
                <w:color w:val="auto"/>
              </w:rPr>
            </w:pPr>
            <w:r>
              <w:rPr>
                <w:rFonts w:ascii="Arial" w:cs="Arial" w:eastAsia="Arial" w:hAnsi="Arial"/>
                <w:sz w:val="18"/>
                <w:szCs w:val="18"/>
                <w:color w:val="auto"/>
                <w:w w:val="94"/>
              </w:rPr>
              <w:t>incorporation)</w:t>
            </w:r>
          </w:p>
        </w:tc>
        <w:tc>
          <w:tcPr>
            <w:tcW w:w="5120" w:type="dxa"/>
            <w:vAlign w:val="bottom"/>
          </w:tcPr>
          <w:p>
            <w:pPr>
              <w:spacing w:after="0"/>
              <w:rPr>
                <w:sz w:val="20"/>
                <w:szCs w:val="20"/>
                <w:color w:val="auto"/>
              </w:rPr>
            </w:pPr>
          </w:p>
        </w:tc>
        <w:tc>
          <w:tcPr>
            <w:tcW w:w="2340" w:type="dxa"/>
            <w:vAlign w:val="bottom"/>
          </w:tcPr>
          <w:p>
            <w:pPr>
              <w:jc w:val="center"/>
              <w:ind w:left="130"/>
              <w:spacing w:after="0"/>
              <w:rPr>
                <w:sz w:val="20"/>
                <w:szCs w:val="20"/>
                <w:color w:val="auto"/>
              </w:rPr>
            </w:pPr>
            <w:r>
              <w:rPr>
                <w:rFonts w:ascii="Arial" w:cs="Arial" w:eastAsia="Arial" w:hAnsi="Arial"/>
                <w:sz w:val="18"/>
                <w:szCs w:val="18"/>
                <w:color w:val="auto"/>
                <w:w w:val="93"/>
              </w:rPr>
              <w:t>No.)</w:t>
            </w:r>
          </w:p>
        </w:tc>
      </w:tr>
      <w:tr>
        <w:trPr>
          <w:trHeight w:val="365"/>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44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340" w:type="dxa"/>
            <w:vAlign w:val="bottom"/>
          </w:tcPr>
          <w:p>
            <w:pPr>
              <w:jc w:val="center"/>
              <w:ind w:left="17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2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January 6, 2022, Veracyte, Inc. (the “Company”), announced certain key leadership promotions including the appointment of Tina S. Nova, Ph.D., to serve as President of the Company’s CLIA U.S. business, effective as of January 6, 2022.</w:t>
      </w:r>
    </w:p>
    <w:p>
      <w:pPr>
        <w:spacing w:after="0" w:line="19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Dr. Nova served on the Company’s board of directors from November 2015 to February 2021 and has served as the Company’s General Manager, Thyroid and Urologic Cancers, since March 2021. Dr. Nova previously served as President and Chief Executive Officer of Decipher Biosciences, Inc. (“Decipher”), a molecular diagnostics company, from August 2018 until its acquisition by the Company in March 2021. Prior to Decipher, Dr. Nova served as President and Chief Executive Officer of Molecular Stethoscope, Inc., a molecular diagnostics company, from September 2015 to July 2018. Dr. Nova served as senior vice president and general manager of Illumina Inc.’s oncology business unit from July 2014 to August 2015. From March 2000 to April 2014, Dr. Nova founded and served as a member of the board of directors, President and Chief Executive Officer of Genoptix, Inc., a medical laboratory, which was acquired in 2011 by Novartis Pharmaceuticals Corporation, a pharmaceutical company. Dr. Nova also held senior positions with Nanogen, Inc., a molecular diagnostics and biomedical research company, Ligand Pharmaceuticals, Inc., a biopharmaceutical company, and Hybritech, Inc., a monoclonal antibody development company. Dr. Nova has served on the board of directors of Arena Pharmaceuticals, Inc., since September 2004 and was chairman of its board of directors from June 2013 to June 2016. She also serves on the board of directors of Exagen, a diagnostic company. Dr. Nova is vice chairman of the board of directors of the Rady Pediatric Genomics and Systems Medicine Institute, which is part of Rady Children’s Hospital-San Diego. Dr. Nova received a B.S. degree in Biological Sciences from the University of California, Irvine and a Ph.D. in Biochemistry from the University of California, Riverside.</w:t>
      </w:r>
    </w:p>
    <w:p>
      <w:pPr>
        <w:spacing w:after="0" w:line="21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In connection with her appointment as President of the Company’s CLIA U.S. business, Dr. Nova will enter into the Company’s standard form of indemnification agreement, which is filed as Exhibit 10.1 to the Company’s Registration Statement on Form S-1 filed with the U.S. Securities and Exchange Commission on October 7, 2013 (File No. 333-191282).</w:t>
      </w:r>
    </w:p>
    <w:p>
      <w:pPr>
        <w:spacing w:after="0" w:line="202" w:lineRule="exact"/>
        <w:rPr>
          <w:sz w:val="20"/>
          <w:szCs w:val="20"/>
          <w:color w:val="auto"/>
        </w:rPr>
      </w:pPr>
    </w:p>
    <w:p>
      <w:pPr>
        <w:jc w:val="both"/>
        <w:ind w:right="20" w:firstLine="648"/>
        <w:spacing w:after="0" w:line="242" w:lineRule="auto"/>
        <w:rPr>
          <w:rFonts w:ascii="Arial" w:cs="Arial" w:eastAsia="Arial" w:hAnsi="Arial"/>
          <w:sz w:val="17"/>
          <w:szCs w:val="17"/>
          <w:color w:val="auto"/>
        </w:rPr>
      </w:pPr>
      <w:r>
        <w:rPr>
          <w:rFonts w:ascii="Arial" w:cs="Arial" w:eastAsia="Arial" w:hAnsi="Arial"/>
          <w:sz w:val="17"/>
          <w:szCs w:val="17"/>
          <w:color w:val="auto"/>
        </w:rPr>
        <w:t xml:space="preserve">There is no arrangement or understanding between Dr. Nova and any other person pursuant to which she was selected as an officer of the Company, and there are no family relationships between Dr. Nova and any of the Company’s directors or executive officers. There are no transactions to which the Company is a party and in which Dr. Nova has a direct or indirect material interest that would be required to be disclosed under Item 404(a) of Regulation S-K, other than the Company’s acquisition of Decipher. For additional information, see “Certain Relationships and Related Party Transactions —Decipher Acquisition” in the Company’s </w:t>
      </w:r>
      <w:hyperlink r:id="rId13">
        <w:r>
          <w:rPr>
            <w:rFonts w:ascii="Arial" w:cs="Arial" w:eastAsia="Arial" w:hAnsi="Arial"/>
            <w:sz w:val="17"/>
            <w:szCs w:val="17"/>
            <w:u w:val="single" w:color="auto"/>
            <w:color w:val="0000FF"/>
          </w:rPr>
          <w:t>Definitive Proxy Statement on Schedule 14A, filed on April 23, 2021</w:t>
        </w:r>
      </w:hyperlink>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11, 2022</w:t>
      </w:r>
    </w:p>
    <w:p>
      <w:pPr>
        <w:spacing w:after="0" w:line="27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634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Rebecca Chambers</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960" w:type="dxa"/>
            <w:vAlign w:val="bottom"/>
          </w:tcPr>
          <w:p>
            <w:pPr>
              <w:ind w:left="60"/>
              <w:spacing w:after="0"/>
              <w:rPr>
                <w:sz w:val="20"/>
                <w:szCs w:val="20"/>
                <w:color w:val="auto"/>
              </w:rPr>
            </w:pPr>
            <w:r>
              <w:rPr>
                <w:rFonts w:ascii="Arial" w:cs="Arial" w:eastAsia="Arial" w:hAnsi="Arial"/>
                <w:sz w:val="18"/>
                <w:szCs w:val="18"/>
                <w:color w:val="auto"/>
              </w:rPr>
              <w:t>Rebecca Chambers</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6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00"/>
      </w:cols>
      <w:pgMar w:left="320" w:top="1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3" Type="http://schemas.openxmlformats.org/officeDocument/2006/relationships/hyperlink" Target="https://www.sec.gov/Archives/edgar/data/1384101/000138410121000070/vcyt-proxynotice2021xdef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2022-01-11T16:00:25Z</dcterms:created>
  <dcterms:modified xsi:type="dcterms:W3CDTF">2022-01-11T16:00:25Z</dcterms:modified>
</cp:coreProperties>
</file>