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2"/>
          <w:szCs w:val="22"/>
          <w:b w:val="1"/>
          <w:bCs w:val="1"/>
          <w:color w:val="auto"/>
        </w:rPr>
        <w:t>Washington, D.C. 20549</w:t>
      </w:r>
    </w:p>
    <w:p>
      <w:pPr>
        <w:ind w:left="4900"/>
        <w:spacing w:after="0"/>
        <w:rPr>
          <w:sz w:val="20"/>
          <w:szCs w:val="20"/>
          <w:color w:val="auto"/>
        </w:rPr>
      </w:pPr>
      <w:r>
        <w:rPr>
          <w:rFonts w:ascii="Arial" w:cs="Arial" w:eastAsia="Arial" w:hAnsi="Arial"/>
          <w:sz w:val="18"/>
          <w:szCs w:val="18"/>
          <w:b w:val="1"/>
          <w:bCs w:val="1"/>
          <w:color w:val="auto"/>
        </w:rPr>
        <w:t>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70"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81292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2925" cy="34290"/>
                    </a:xfrm>
                    <a:prstGeom prst="rect">
                      <a:avLst/>
                    </a:prstGeom>
                    <a:noFill/>
                  </pic:spPr>
                </pic:pic>
              </a:graphicData>
            </a:graphic>
          </wp:anchor>
        </w:drawing>
      </w:r>
    </w:p>
    <w:p>
      <w:pPr>
        <w:spacing w:after="0" w:line="15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
        </w:trPr>
        <w:tc>
          <w:tcPr>
            <w:tcW w:w="4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900" w:type="dxa"/>
            <w:vAlign w:val="bottom"/>
            <w:vMerge w:val="restart"/>
          </w:tcPr>
          <w:p>
            <w:pPr>
              <w:ind w:left="2880"/>
              <w:spacing w:after="0"/>
              <w:rPr>
                <w:sz w:val="20"/>
                <w:szCs w:val="20"/>
                <w:color w:val="auto"/>
              </w:rPr>
            </w:pPr>
            <w:r>
              <w:rPr>
                <w:rFonts w:ascii="Arial" w:cs="Arial" w:eastAsia="Arial" w:hAnsi="Arial"/>
                <w:sz w:val="22"/>
                <w:szCs w:val="22"/>
                <w:b w:val="1"/>
                <w:bCs w:val="1"/>
                <w:color w:val="auto"/>
              </w:rPr>
              <w:t>13G/A</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CUSIP No. 92337F107</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90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gridSpan w:val="5"/>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1.</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Sumitomo Mitsui Trust Holdings, Inc. (“SMTH”)</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tcBorders>
            <w:gridSpan w:val="5"/>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jc w:val="center"/>
              <w:ind w:left="10"/>
              <w:spacing w:after="0" w:line="163" w:lineRule="exact"/>
              <w:rPr>
                <w:sz w:val="20"/>
                <w:szCs w:val="20"/>
                <w:color w:val="auto"/>
              </w:rPr>
            </w:pPr>
            <w:r>
              <w:rPr>
                <w:rFonts w:ascii="Arial" w:cs="Arial" w:eastAsia="Arial" w:hAnsi="Arial"/>
                <w:sz w:val="18"/>
                <w:szCs w:val="18"/>
                <w:b w:val="1"/>
                <w:bCs w:val="1"/>
                <w:color w:val="auto"/>
                <w:w w:val="92"/>
              </w:rPr>
              <w:t>2.</w:t>
            </w:r>
          </w:p>
        </w:tc>
        <w:tc>
          <w:tcPr>
            <w:tcW w:w="80" w:type="dxa"/>
            <w:vAlign w:val="bottom"/>
            <w:tcBorders>
              <w:right w:val="single" w:sz="8" w:color="auto"/>
            </w:tcBorders>
          </w:tcPr>
          <w:p>
            <w:pPr>
              <w:spacing w:after="0"/>
              <w:rPr>
                <w:sz w:val="14"/>
                <w:szCs w:val="14"/>
                <w:color w:val="auto"/>
              </w:rPr>
            </w:pPr>
          </w:p>
        </w:tc>
        <w:tc>
          <w:tcPr>
            <w:tcW w:w="9040" w:type="dxa"/>
            <w:vAlign w:val="bottom"/>
            <w:gridSpan w:val="5"/>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tcBorders>
              <w:right w:val="single" w:sz="8" w:color="auto"/>
            </w:tcBorders>
          </w:tcPr>
          <w:p>
            <w:pPr>
              <w:ind w:left="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0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9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3.</w:t>
            </w:r>
          </w:p>
        </w:tc>
        <w:tc>
          <w:tcPr>
            <w:tcW w:w="80" w:type="dxa"/>
            <w:vAlign w:val="bottom"/>
            <w:tcBorders>
              <w:right w:val="single" w:sz="8" w:color="auto"/>
            </w:tcBorders>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9040" w:type="dxa"/>
            <w:vAlign w:val="bottom"/>
            <w:tcBorders>
              <w:bottom w:val="single" w:sz="8" w:color="auto"/>
            </w:tcBorders>
            <w:gridSpan w:val="5"/>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4.</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Japan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gridSpan w:val="2"/>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5.</w:t>
            </w:r>
          </w:p>
        </w:tc>
        <w:tc>
          <w:tcPr>
            <w:tcW w:w="7120" w:type="dxa"/>
            <w:vAlign w:val="bottom"/>
            <w:gridSpan w:val="2"/>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0</w:t>
            </w:r>
          </w:p>
        </w:tc>
        <w:tc>
          <w:tcPr>
            <w:tcW w:w="690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6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120" w:type="dxa"/>
            <w:vAlign w:val="bottom"/>
            <w:gridSpan w:val="2"/>
            <w:vMerge w:val="restart"/>
          </w:tcPr>
          <w:p>
            <w:pPr>
              <w:spacing w:after="0" w:line="191"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restart"/>
          </w:tcPr>
          <w:p>
            <w:pPr>
              <w:jc w:val="center"/>
              <w:ind w:right="350"/>
              <w:spacing w:after="0"/>
              <w:rPr>
                <w:sz w:val="20"/>
                <w:szCs w:val="20"/>
                <w:color w:val="auto"/>
              </w:rPr>
            </w:pPr>
            <w:r>
              <w:rPr>
                <w:rFonts w:ascii="Arial" w:cs="Arial" w:eastAsia="Arial" w:hAnsi="Arial"/>
                <w:sz w:val="18"/>
                <w:szCs w:val="18"/>
                <w:color w:val="auto"/>
                <w:w w:val="94"/>
              </w:rPr>
              <w:t>SHARES</w:t>
            </w:r>
          </w:p>
        </w:tc>
        <w:tc>
          <w:tcPr>
            <w:tcW w:w="2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7120" w:type="dxa"/>
            <w:vAlign w:val="bottom"/>
            <w:gridSpan w:val="2"/>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3,121,103</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7120" w:type="dxa"/>
            <w:vAlign w:val="bottom"/>
            <w:gridSpan w:val="2"/>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1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vMerge w:val="restart"/>
          </w:tcPr>
          <w:p>
            <w:pPr>
              <w:jc w:val="center"/>
              <w:ind w:right="430"/>
              <w:spacing w:after="0"/>
              <w:rPr>
                <w:sz w:val="20"/>
                <w:szCs w:val="20"/>
                <w:color w:val="auto"/>
              </w:rPr>
            </w:pPr>
            <w:r>
              <w:rPr>
                <w:rFonts w:ascii="Arial" w:cs="Arial" w:eastAsia="Arial" w:hAnsi="Arial"/>
                <w:sz w:val="18"/>
                <w:szCs w:val="18"/>
                <w:color w:val="auto"/>
                <w:w w:val="99"/>
              </w:rPr>
              <w:t>EACH</w:t>
            </w:r>
          </w:p>
        </w:tc>
        <w:tc>
          <w:tcPr>
            <w:tcW w:w="220" w:type="dxa"/>
            <w:vAlign w:val="bottom"/>
          </w:tcPr>
          <w:p>
            <w:pPr>
              <w:spacing w:after="0"/>
              <w:rPr>
                <w:sz w:val="10"/>
                <w:szCs w:val="10"/>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7120" w:type="dxa"/>
            <w:vAlign w:val="bottom"/>
            <w:gridSpan w:val="2"/>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 w:type="dxa"/>
            <w:vAlign w:val="bottom"/>
            <w:tcBorders>
              <w:lef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0</w:t>
            </w:r>
          </w:p>
        </w:tc>
        <w:tc>
          <w:tcPr>
            <w:tcW w:w="690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900" w:type="dxa"/>
            <w:vAlign w:val="bottom"/>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90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900" w:type="dxa"/>
            <w:vAlign w:val="bottom"/>
            <w:tcBorders>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120" w:type="dxa"/>
            <w:vAlign w:val="bottom"/>
            <w:gridSpan w:val="2"/>
            <w:vMerge w:val="restart"/>
          </w:tcPr>
          <w:p>
            <w:pPr>
              <w:spacing w:after="0" w:line="191" w:lineRule="exact"/>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120" w:type="dxa"/>
            <w:vAlign w:val="bottom"/>
            <w:gridSpan w:val="2"/>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w:t>
            </w: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3,121,103</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120" w:type="dxa"/>
            <w:vAlign w:val="bottom"/>
            <w:tcBorders>
              <w:bottom w:val="single" w:sz="8" w:color="auto"/>
            </w:tcBorders>
            <w:gridSpan w:val="2"/>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9.</w:t>
            </w:r>
          </w:p>
        </w:tc>
        <w:tc>
          <w:tcPr>
            <w:tcW w:w="80" w:type="dxa"/>
            <w:vAlign w:val="bottom"/>
            <w:tcBorders>
              <w:right w:val="single" w:sz="8" w:color="auto"/>
            </w:tcBorders>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8"/>
                <w:szCs w:val="18"/>
                <w:color w:val="auto"/>
                <w:w w:val="95"/>
              </w:rPr>
              <w:t>AGGREGATE AMOUNT</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BENEFICIALLY OWNED BY EACH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3,121,103</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120" w:type="dxa"/>
            <w:vAlign w:val="bottom"/>
            <w:tcBorders>
              <w:bottom w:val="single" w:sz="8" w:color="auto"/>
            </w:tcBorders>
            <w:gridSpan w:val="2"/>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10.</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11.</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4.39</w:t>
            </w: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12.</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HC, FI</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Page 2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
        </w:trPr>
        <w:tc>
          <w:tcPr>
            <w:tcW w:w="4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900" w:type="dxa"/>
            <w:vAlign w:val="bottom"/>
            <w:vMerge w:val="restart"/>
          </w:tcPr>
          <w:p>
            <w:pPr>
              <w:ind w:left="2880"/>
              <w:spacing w:after="0"/>
              <w:rPr>
                <w:sz w:val="20"/>
                <w:szCs w:val="20"/>
                <w:color w:val="auto"/>
              </w:rPr>
            </w:pPr>
            <w:r>
              <w:rPr>
                <w:rFonts w:ascii="Arial" w:cs="Arial" w:eastAsia="Arial" w:hAnsi="Arial"/>
                <w:sz w:val="22"/>
                <w:szCs w:val="22"/>
                <w:b w:val="1"/>
                <w:bCs w:val="1"/>
                <w:color w:val="auto"/>
              </w:rPr>
              <w:t>13G/A</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CUSIP No. 92337F107</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90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gridSpan w:val="5"/>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1.</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Nikko Asset Management Co., Ltd. (“NAM”)</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tcBorders>
            <w:gridSpan w:val="5"/>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jc w:val="center"/>
              <w:ind w:left="10"/>
              <w:spacing w:after="0" w:line="163" w:lineRule="exact"/>
              <w:rPr>
                <w:sz w:val="20"/>
                <w:szCs w:val="20"/>
                <w:color w:val="auto"/>
              </w:rPr>
            </w:pPr>
            <w:r>
              <w:rPr>
                <w:rFonts w:ascii="Arial" w:cs="Arial" w:eastAsia="Arial" w:hAnsi="Arial"/>
                <w:sz w:val="18"/>
                <w:szCs w:val="18"/>
                <w:b w:val="1"/>
                <w:bCs w:val="1"/>
                <w:color w:val="auto"/>
                <w:w w:val="92"/>
              </w:rPr>
              <w:t>2.</w:t>
            </w:r>
          </w:p>
        </w:tc>
        <w:tc>
          <w:tcPr>
            <w:tcW w:w="80" w:type="dxa"/>
            <w:vAlign w:val="bottom"/>
            <w:tcBorders>
              <w:right w:val="single" w:sz="8" w:color="auto"/>
            </w:tcBorders>
          </w:tcPr>
          <w:p>
            <w:pPr>
              <w:spacing w:after="0"/>
              <w:rPr>
                <w:sz w:val="14"/>
                <w:szCs w:val="14"/>
                <w:color w:val="auto"/>
              </w:rPr>
            </w:pPr>
          </w:p>
        </w:tc>
        <w:tc>
          <w:tcPr>
            <w:tcW w:w="9040" w:type="dxa"/>
            <w:vAlign w:val="bottom"/>
            <w:gridSpan w:val="5"/>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tcBorders>
              <w:right w:val="single" w:sz="8" w:color="auto"/>
            </w:tcBorders>
          </w:tcPr>
          <w:p>
            <w:pPr>
              <w:ind w:left="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0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9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3.</w:t>
            </w:r>
          </w:p>
        </w:tc>
        <w:tc>
          <w:tcPr>
            <w:tcW w:w="80" w:type="dxa"/>
            <w:vAlign w:val="bottom"/>
            <w:tcBorders>
              <w:right w:val="single" w:sz="8" w:color="auto"/>
            </w:tcBorders>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9040" w:type="dxa"/>
            <w:vAlign w:val="bottom"/>
            <w:tcBorders>
              <w:bottom w:val="single" w:sz="8" w:color="auto"/>
            </w:tcBorders>
            <w:gridSpan w:val="5"/>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4.</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Japan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gridSpan w:val="2"/>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5.</w:t>
            </w:r>
          </w:p>
        </w:tc>
        <w:tc>
          <w:tcPr>
            <w:tcW w:w="7120" w:type="dxa"/>
            <w:vAlign w:val="bottom"/>
            <w:gridSpan w:val="2"/>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0</w:t>
            </w:r>
          </w:p>
        </w:tc>
        <w:tc>
          <w:tcPr>
            <w:tcW w:w="690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6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120" w:type="dxa"/>
            <w:vAlign w:val="bottom"/>
            <w:gridSpan w:val="2"/>
            <w:vMerge w:val="restart"/>
          </w:tcPr>
          <w:p>
            <w:pPr>
              <w:spacing w:after="0" w:line="191"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restart"/>
          </w:tcPr>
          <w:p>
            <w:pPr>
              <w:jc w:val="center"/>
              <w:ind w:right="350"/>
              <w:spacing w:after="0"/>
              <w:rPr>
                <w:sz w:val="20"/>
                <w:szCs w:val="20"/>
                <w:color w:val="auto"/>
              </w:rPr>
            </w:pPr>
            <w:r>
              <w:rPr>
                <w:rFonts w:ascii="Arial" w:cs="Arial" w:eastAsia="Arial" w:hAnsi="Arial"/>
                <w:sz w:val="18"/>
                <w:szCs w:val="18"/>
                <w:color w:val="auto"/>
                <w:w w:val="94"/>
              </w:rPr>
              <w:t>SHARES</w:t>
            </w:r>
          </w:p>
        </w:tc>
        <w:tc>
          <w:tcPr>
            <w:tcW w:w="2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7120" w:type="dxa"/>
            <w:vAlign w:val="bottom"/>
            <w:gridSpan w:val="2"/>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3,121,103</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7120" w:type="dxa"/>
            <w:vAlign w:val="bottom"/>
            <w:gridSpan w:val="2"/>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1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vMerge w:val="restart"/>
          </w:tcPr>
          <w:p>
            <w:pPr>
              <w:jc w:val="center"/>
              <w:ind w:right="430"/>
              <w:spacing w:after="0"/>
              <w:rPr>
                <w:sz w:val="20"/>
                <w:szCs w:val="20"/>
                <w:color w:val="auto"/>
              </w:rPr>
            </w:pPr>
            <w:r>
              <w:rPr>
                <w:rFonts w:ascii="Arial" w:cs="Arial" w:eastAsia="Arial" w:hAnsi="Arial"/>
                <w:sz w:val="18"/>
                <w:szCs w:val="18"/>
                <w:color w:val="auto"/>
                <w:w w:val="99"/>
              </w:rPr>
              <w:t>EACH</w:t>
            </w:r>
          </w:p>
        </w:tc>
        <w:tc>
          <w:tcPr>
            <w:tcW w:w="220" w:type="dxa"/>
            <w:vAlign w:val="bottom"/>
          </w:tcPr>
          <w:p>
            <w:pPr>
              <w:spacing w:after="0"/>
              <w:rPr>
                <w:sz w:val="10"/>
                <w:szCs w:val="10"/>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7120" w:type="dxa"/>
            <w:vAlign w:val="bottom"/>
            <w:gridSpan w:val="2"/>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 w:type="dxa"/>
            <w:vAlign w:val="bottom"/>
            <w:tcBorders>
              <w:lef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0</w:t>
            </w:r>
          </w:p>
        </w:tc>
        <w:tc>
          <w:tcPr>
            <w:tcW w:w="690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900" w:type="dxa"/>
            <w:vAlign w:val="bottom"/>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90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900" w:type="dxa"/>
            <w:vAlign w:val="bottom"/>
            <w:tcBorders>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120" w:type="dxa"/>
            <w:vAlign w:val="bottom"/>
            <w:gridSpan w:val="2"/>
            <w:vMerge w:val="restart"/>
          </w:tcPr>
          <w:p>
            <w:pPr>
              <w:spacing w:after="0" w:line="191" w:lineRule="exact"/>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120" w:type="dxa"/>
            <w:vAlign w:val="bottom"/>
            <w:gridSpan w:val="2"/>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w:t>
            </w: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3,121,103</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120" w:type="dxa"/>
            <w:vAlign w:val="bottom"/>
            <w:tcBorders>
              <w:bottom w:val="single" w:sz="8" w:color="auto"/>
            </w:tcBorders>
            <w:gridSpan w:val="2"/>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9.</w:t>
            </w:r>
          </w:p>
        </w:tc>
        <w:tc>
          <w:tcPr>
            <w:tcW w:w="80" w:type="dxa"/>
            <w:vAlign w:val="bottom"/>
            <w:tcBorders>
              <w:right w:val="single" w:sz="8" w:color="auto"/>
            </w:tcBorders>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8"/>
                <w:szCs w:val="18"/>
                <w:color w:val="auto"/>
                <w:w w:val="95"/>
              </w:rPr>
              <w:t>AGGREGATE AMOUNT</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BENEFICIALLY OWNED BY EACH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3,121,103</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120" w:type="dxa"/>
            <w:vAlign w:val="bottom"/>
            <w:tcBorders>
              <w:bottom w:val="single" w:sz="8" w:color="auto"/>
            </w:tcBorders>
            <w:gridSpan w:val="2"/>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10.</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11.</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4.39</w:t>
            </w: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12.</w:t>
            </w:r>
          </w:p>
        </w:tc>
        <w:tc>
          <w:tcPr>
            <w:tcW w:w="80" w:type="dxa"/>
            <w:vAlign w:val="bottom"/>
            <w:tcBorders>
              <w:right w:val="single" w:sz="8" w:color="auto"/>
            </w:tcBorders>
          </w:tcPr>
          <w:p>
            <w:pPr>
              <w:spacing w:after="0"/>
              <w:rPr>
                <w:sz w:val="19"/>
                <w:szCs w:val="19"/>
                <w:color w:val="auto"/>
              </w:rPr>
            </w:pPr>
          </w:p>
        </w:tc>
        <w:tc>
          <w:tcPr>
            <w:tcW w:w="9040" w:type="dxa"/>
            <w:vAlign w:val="bottom"/>
            <w:gridSpan w:val="5"/>
          </w:tcPr>
          <w:p>
            <w:pPr>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IA, HC, FI</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Page 3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Item 1(a). Name of Issuer: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6000 Shoreline Court Suite 300 South San Francisco, CA 94080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Sumitomo Mitsui Trust Holdings,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Nikko Asset Management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 1-4-1 Marunouchi, Chiyoda-ku, Tokyo 100-8233, Japan</w:t>
      </w:r>
    </w:p>
    <w:p>
      <w:pPr>
        <w:spacing w:after="0" w:line="225" w:lineRule="exact"/>
        <w:rPr>
          <w:sz w:val="20"/>
          <w:szCs w:val="20"/>
          <w:color w:val="auto"/>
        </w:rPr>
      </w:pPr>
    </w:p>
    <w:p>
      <w:pPr>
        <w:ind w:right="4359" w:firstLine="324"/>
        <w:spacing w:after="0" w:line="500" w:lineRule="auto"/>
        <w:rPr>
          <w:sz w:val="20"/>
          <w:szCs w:val="20"/>
          <w:color w:val="auto"/>
        </w:rPr>
      </w:pPr>
      <w:r>
        <w:rPr>
          <w:rFonts w:ascii="Arial" w:cs="Arial" w:eastAsia="Arial" w:hAnsi="Arial"/>
          <w:sz w:val="18"/>
          <w:szCs w:val="18"/>
          <w:color w:val="auto"/>
        </w:rPr>
        <w:t>NAM: Midtown Tower, 9-7-1 Akasaka, Minato-ku, Tokyo 107-6242, Japan Item 2(c). Citizenship:</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 Japan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92337F107</w:t>
      </w:r>
    </w:p>
    <w:p>
      <w:pPr>
        <w:spacing w:after="0" w:line="36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w:t>
      </w:r>
    </w:p>
    <w:p>
      <w:pPr>
        <w:spacing w:after="0" w:line="192" w:lineRule="exact"/>
        <w:rPr>
          <w:sz w:val="20"/>
          <w:szCs w:val="20"/>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23" w:lineRule="exact"/>
        <w:tabs>
          <w:tab w:leader="none" w:pos="693"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58" w:lineRule="exact"/>
        <w:rPr>
          <w:sz w:val="20"/>
          <w:szCs w:val="20"/>
          <w:color w:val="auto"/>
        </w:rPr>
      </w:pPr>
    </w:p>
    <w:p>
      <w:pPr>
        <w:ind w:left="340" w:right="580"/>
        <w:spacing w:after="0" w:line="481"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Parent Holding Company NAM:</w:t>
      </w:r>
    </w:p>
    <w:p>
      <w:pPr>
        <w:spacing w:after="0" w:line="2" w:lineRule="exact"/>
        <w:rPr>
          <w:sz w:val="20"/>
          <w:szCs w:val="20"/>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23" w:lineRule="exact"/>
        <w:tabs>
          <w:tab w:leader="none" w:pos="693"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6" w:right="59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Investment Adviser, Parent Holding Company</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SMTH:</w:t>
      </w:r>
    </w:p>
    <w:p>
      <w:pPr>
        <w:spacing w:after="0" w:line="221" w:lineRule="exact"/>
        <w:rPr>
          <w:sz w:val="20"/>
          <w:szCs w:val="20"/>
          <w:color w:val="auto"/>
        </w:rPr>
      </w:pPr>
    </w:p>
    <w:p>
      <w:pPr>
        <w:ind w:left="1000" w:hanging="99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3,121,103</w:t>
      </w:r>
    </w:p>
    <w:p>
      <w:pPr>
        <w:spacing w:after="0" w:line="225" w:lineRule="exact"/>
        <w:rPr>
          <w:rFonts w:ascii="Arial" w:cs="Arial" w:eastAsia="Arial" w:hAnsi="Arial"/>
          <w:sz w:val="18"/>
          <w:szCs w:val="18"/>
          <w:color w:val="auto"/>
        </w:rPr>
      </w:pPr>
    </w:p>
    <w:p>
      <w:pPr>
        <w:ind w:left="1000" w:hanging="99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4.39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00" w:hanging="99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000" w:hanging="37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1" w:lineRule="exact"/>
        <w:rPr>
          <w:rFonts w:ascii="Arial" w:cs="Arial" w:eastAsia="Arial" w:hAnsi="Arial"/>
          <w:sz w:val="18"/>
          <w:szCs w:val="18"/>
          <w:color w:val="auto"/>
        </w:rPr>
      </w:pPr>
    </w:p>
    <w:p>
      <w:pPr>
        <w:ind w:left="1000" w:hanging="42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3,121,103</w:t>
      </w:r>
    </w:p>
    <w:p>
      <w:pPr>
        <w:spacing w:after="0" w:line="229" w:lineRule="exact"/>
        <w:rPr>
          <w:rFonts w:ascii="Arial" w:cs="Arial" w:eastAsia="Arial" w:hAnsi="Arial"/>
          <w:sz w:val="18"/>
          <w:szCs w:val="18"/>
          <w:color w:val="auto"/>
        </w:rPr>
      </w:pPr>
    </w:p>
    <w:p>
      <w:pPr>
        <w:ind w:left="1000" w:hanging="47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1" w:lineRule="exact"/>
        <w:rPr>
          <w:rFonts w:ascii="Arial" w:cs="Arial" w:eastAsia="Arial" w:hAnsi="Arial"/>
          <w:sz w:val="18"/>
          <w:szCs w:val="18"/>
          <w:color w:val="auto"/>
        </w:rPr>
      </w:pPr>
    </w:p>
    <w:p>
      <w:pPr>
        <w:ind w:left="1000" w:hanging="46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3,121,103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w:t>
      </w:r>
    </w:p>
    <w:p>
      <w:pPr>
        <w:spacing w:after="0" w:line="221" w:lineRule="exact"/>
        <w:rPr>
          <w:sz w:val="20"/>
          <w:szCs w:val="20"/>
          <w:color w:val="auto"/>
        </w:rPr>
      </w:pPr>
    </w:p>
    <w:p>
      <w:pPr>
        <w:ind w:left="1000" w:hanging="992"/>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3,121,103</w:t>
      </w:r>
    </w:p>
    <w:p>
      <w:pPr>
        <w:spacing w:after="0" w:line="225" w:lineRule="exact"/>
        <w:rPr>
          <w:rFonts w:ascii="Arial" w:cs="Arial" w:eastAsia="Arial" w:hAnsi="Arial"/>
          <w:sz w:val="18"/>
          <w:szCs w:val="18"/>
          <w:color w:val="auto"/>
        </w:rPr>
      </w:pPr>
    </w:p>
    <w:p>
      <w:pPr>
        <w:ind w:left="1000" w:hanging="992"/>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4.39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00" w:hanging="992"/>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000" w:hanging="379"/>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1" w:lineRule="exact"/>
        <w:rPr>
          <w:rFonts w:ascii="Arial" w:cs="Arial" w:eastAsia="Arial" w:hAnsi="Arial"/>
          <w:sz w:val="18"/>
          <w:szCs w:val="18"/>
          <w:color w:val="auto"/>
        </w:rPr>
      </w:pPr>
    </w:p>
    <w:p>
      <w:pPr>
        <w:ind w:left="1000" w:hanging="429"/>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3,121,103</w:t>
      </w:r>
    </w:p>
    <w:p>
      <w:pPr>
        <w:spacing w:after="0" w:line="229" w:lineRule="exact"/>
        <w:rPr>
          <w:rFonts w:ascii="Arial" w:cs="Arial" w:eastAsia="Arial" w:hAnsi="Arial"/>
          <w:sz w:val="18"/>
          <w:szCs w:val="18"/>
          <w:color w:val="auto"/>
        </w:rPr>
      </w:pPr>
    </w:p>
    <w:p>
      <w:pPr>
        <w:ind w:left="1000" w:hanging="479"/>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1" w:lineRule="exact"/>
        <w:rPr>
          <w:rFonts w:ascii="Arial" w:cs="Arial" w:eastAsia="Arial" w:hAnsi="Arial"/>
          <w:sz w:val="18"/>
          <w:szCs w:val="18"/>
          <w:color w:val="auto"/>
        </w:rPr>
      </w:pPr>
    </w:p>
    <w:p>
      <w:pPr>
        <w:ind w:left="1000" w:hanging="469"/>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3,121,103</w:t>
      </w:r>
    </w:p>
    <w:p>
      <w:pPr>
        <w:spacing w:after="0" w:line="36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746" w:right="73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46" w:right="5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February 4, 2022</w:t>
      </w:r>
    </w:p>
    <w:p>
      <w:pPr>
        <w:spacing w:after="0" w:line="22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Sumitomo Mitsui Trust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Hideaki Takamiya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Hideaki Takamiya / Senior Manager of Risk Management</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Nikko Asset Management Co.,Ltd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Masahito Tonegawa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6120"/>
        <w:spacing w:after="0"/>
        <w:rPr>
          <w:sz w:val="20"/>
          <w:szCs w:val="20"/>
          <w:color w:val="auto"/>
        </w:rPr>
      </w:pPr>
      <w:r>
        <w:rPr>
          <w:rFonts w:ascii="Arial" w:cs="Arial" w:eastAsia="Arial" w:hAnsi="Arial"/>
          <w:sz w:val="16"/>
          <w:szCs w:val="16"/>
          <w:color w:val="auto"/>
        </w:rPr>
        <w:t>Masahito Tonegawa / Head of Business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29210</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(Name/Title)</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42" w:right="499" w:bottom="1440" w:gutter="0" w:footer="0" w:header="0"/>
        </w:sectPr>
      </w:pPr>
    </w:p>
    <w:bookmarkStart w:id="8" w:name="page9"/>
    <w:bookmarkEnd w:id="8"/>
    <w:p>
      <w:pPr>
        <w:jc w:val="center"/>
        <w:ind w:right="-4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instructions in Item 5 and Item 7 of Schedule 13G, the securities being reported on by each of SMTH and NAM, as parent holding companies, are owned, or may be deemed to be beneficially owned, by their subsidiary Nikko Asset Management Americas, Inc., which is classified as an investment adviser in accordance with §240.13d-1(b)(1)(ii)(E).</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2022-02-04T05:24:41Z</dcterms:created>
  <dcterms:modified xsi:type="dcterms:W3CDTF">2022-02-04T05:24:41Z</dcterms:modified>
</cp:coreProperties>
</file>