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424(b)(7)</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333-252681</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CALCULATION OF REGISTRATION FEE</w:t>
      </w:r>
    </w:p>
    <w:p>
      <w:pPr>
        <w:spacing w:after="0" w:line="129"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88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88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1"/>
              </w:rPr>
              <w:t>Title of Each Class of</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4"/>
              </w:rPr>
              <w:t>Offering Price</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2"/>
              </w:rPr>
              <w:t>Aggregate</w:t>
            </w:r>
          </w:p>
        </w:tc>
        <w:tc>
          <w:tcPr>
            <w:tcW w:w="1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5"/>
        </w:trPr>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Registered (1)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 (1)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Registration Fee (2)</w:t>
            </w:r>
          </w:p>
        </w:tc>
        <w:tc>
          <w:tcPr>
            <w:tcW w:w="0" w:type="dxa"/>
            <w:vAlign w:val="bottom"/>
          </w:tcPr>
          <w:p>
            <w:pPr>
              <w:spacing w:after="0"/>
              <w:rPr>
                <w:sz w:val="1"/>
                <w:szCs w:val="1"/>
                <w:color w:val="auto"/>
              </w:rPr>
            </w:pPr>
          </w:p>
        </w:tc>
      </w:tr>
      <w:tr>
        <w:trPr>
          <w:trHeight w:val="210"/>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par value $0.001 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3,347,493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$39.30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$131,556,474.90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$14,353</w:t>
            </w:r>
          </w:p>
        </w:tc>
        <w:tc>
          <w:tcPr>
            <w:tcW w:w="0" w:type="dxa"/>
            <w:vAlign w:val="bottom"/>
          </w:tcPr>
          <w:p>
            <w:pPr>
              <w:spacing w:after="0"/>
              <w:rPr>
                <w:sz w:val="1"/>
                <w:szCs w:val="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right="120" w:hanging="424"/>
        <w:spacing w:after="0" w:line="255"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purposes of computing the registration fee with respect to 3,347,493 shares of Common Stock pursuant to Rule 457(c) under the Securities Act of 1933, as amended (the “Securities Act”), based on the average of the high and low prices of the Registrant’s Common Stock as reported on The Nasdaq Global Market on July 29, 2021.</w:t>
      </w:r>
    </w:p>
    <w:p>
      <w:pPr>
        <w:spacing w:after="0" w:line="1" w:lineRule="exact"/>
        <w:rPr>
          <w:rFonts w:ascii="Arial" w:cs="Arial" w:eastAsia="Arial" w:hAnsi="Arial"/>
          <w:sz w:val="18"/>
          <w:szCs w:val="18"/>
          <w:color w:val="auto"/>
        </w:rPr>
      </w:pPr>
    </w:p>
    <w:p>
      <w:pPr>
        <w:ind w:left="540" w:right="240" w:hanging="424"/>
        <w:spacing w:after="0" w:line="260"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filing fee is calculated and being paid pursuant to Rule 457(r) under the Securities Act of 1933, and relates to the Registration Statement on Form S-3ASR (File No. 333-252681) filed by the Registrant on February 3, 2021.</w:t>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Prospectus dated February 3, 2021)</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3,347,493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178435</wp:posOffset>
            </wp:positionV>
            <wp:extent cx="3917315" cy="8572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1731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Veracyte, Inc.</w:t>
      </w: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Common Stock</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selling stockholders of Veracyte, Inc. identified in this prospectus supplement (the “Selling Stockholders”) may offer and resell up to</w:t>
      </w:r>
    </w:p>
    <w:p>
      <w:pPr>
        <w:spacing w:after="0" w:line="23"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3,347,493 shares of our common stock, par value $0.001 per share, under this prospectus supplement. The Selling Stockholders acquired these shares from us pursuant to a Securities Purchase and Contribution Agreement, dated as of July 13, 2021 (the “SPA”), by and among us, HalioDx SAS, a French société par actions simplifiée (“HalioDx”), and certain stockholders of HalioDx. We are not selling any shares of our common stock pursuant to this prospectus supplement and we will not receive any proceeds from the sale of these shares by the Selling Stockholders.</w:t>
      </w:r>
    </w:p>
    <w:p>
      <w:pPr>
        <w:spacing w:after="0" w:line="176"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Selling Stockholders (which term as used herein includes their respective transferees, pledgees, distributees, donees or other successors) identified in this prospectus supplement may offer the shares of our common stock from time to time through public or private transactions. The shares of our common stock offered by the Selling Stockholders may be sold at market prices prevailing at the time of sale, at prices related to such market prices, at a fixed price or prices subject to change, or at negotiated prices. See the section titled “Plan of Distribution.”</w:t>
      </w:r>
    </w:p>
    <w:p>
      <w:pPr>
        <w:spacing w:after="0" w:line="17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Our common stock is listed on The Nasdaq Global Market under the symbol “VCYT.” On August 2, 2021, the last reported sale price of our shares of common stock on The Nasdaq Global Market was $43.94 per share.</w:t>
      </w:r>
    </w:p>
    <w:p>
      <w:pPr>
        <w:spacing w:after="0" w:line="157" w:lineRule="exact"/>
        <w:rPr>
          <w:sz w:val="20"/>
          <w:szCs w:val="20"/>
          <w:color w:val="auto"/>
        </w:rPr>
      </w:pPr>
    </w:p>
    <w:p>
      <w:pPr>
        <w:ind w:left="120" w:right="860"/>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a high degree of risk. See “</w:t>
      </w:r>
      <w:hyperlink w:anchor="page7">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S-4 of this prospectus supplement.</w:t>
      </w:r>
    </w:p>
    <w:p>
      <w:pPr>
        <w:spacing w:after="0" w:line="171" w:lineRule="exact"/>
        <w:rPr>
          <w:sz w:val="20"/>
          <w:szCs w:val="20"/>
          <w:color w:val="auto"/>
        </w:rPr>
      </w:pPr>
    </w:p>
    <w:p>
      <w:pPr>
        <w:jc w:val="both"/>
        <w:ind w:left="12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17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date of this prospectus supplement is August 4, 2021.</w:t>
      </w:r>
    </w:p>
    <w:p>
      <w:pPr>
        <w:sectPr>
          <w:pgSz w:w="11900" w:h="16838" w:orient="portrait"/>
          <w:cols w:equalWidth="0" w:num="1">
            <w:col w:w="11120"/>
          </w:cols>
          <w:pgMar w:left="320" w:top="459"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4500" w:type="dxa"/>
            <w:vAlign w:val="bottom"/>
            <w:gridSpan w:val="2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658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580" w:type="dxa"/>
            <w:vAlign w:val="bottom"/>
          </w:tcPr>
          <w:p>
            <w:pPr>
              <w:jc w:val="right"/>
              <w:ind w:right="4410"/>
              <w:spacing w:after="0"/>
              <w:rPr>
                <w:sz w:val="20"/>
                <w:szCs w:val="20"/>
                <w:color w:val="auto"/>
              </w:rPr>
            </w:pPr>
            <w:r>
              <w:rPr>
                <w:rFonts w:ascii="Arial" w:cs="Arial" w:eastAsia="Arial" w:hAnsi="Arial"/>
                <w:sz w:val="18"/>
                <w:szCs w:val="18"/>
                <w:b w:val="1"/>
                <w:bCs w:val="1"/>
                <w:color w:val="auto"/>
              </w:rPr>
              <w:t>TABLE OF CONTENTS</w:t>
            </w:r>
          </w:p>
        </w:tc>
      </w:tr>
      <w:tr>
        <w:trPr>
          <w:trHeight w:val="459"/>
        </w:trPr>
        <w:tc>
          <w:tcPr>
            <w:tcW w:w="120" w:type="dxa"/>
            <w:vAlign w:val="bottom"/>
          </w:tcPr>
          <w:p>
            <w:pPr>
              <w:spacing w:after="0"/>
              <w:rPr>
                <w:sz w:val="24"/>
                <w:szCs w:val="24"/>
                <w:color w:val="auto"/>
              </w:rPr>
            </w:pPr>
          </w:p>
        </w:tc>
        <w:tc>
          <w:tcPr>
            <w:tcW w:w="4380" w:type="dxa"/>
            <w:vAlign w:val="bottom"/>
            <w:gridSpan w:val="21"/>
          </w:tcPr>
          <w:p>
            <w:pPr>
              <w:spacing w:after="0"/>
              <w:rPr>
                <w:sz w:val="20"/>
                <w:szCs w:val="20"/>
                <w:color w:val="auto"/>
              </w:rPr>
            </w:pPr>
            <w:r>
              <w:rPr>
                <w:rFonts w:ascii="Arial" w:cs="Arial" w:eastAsia="Arial" w:hAnsi="Arial"/>
                <w:sz w:val="18"/>
                <w:szCs w:val="18"/>
                <w:b w:val="1"/>
                <w:bCs w:val="1"/>
                <w:color w:val="auto"/>
              </w:rPr>
              <w:t>Prospectus Supplement</w:t>
            </w:r>
          </w:p>
        </w:tc>
        <w:tc>
          <w:tcPr>
            <w:tcW w:w="6580" w:type="dxa"/>
            <w:vAlign w:val="bottom"/>
          </w:tcPr>
          <w:p>
            <w:pPr>
              <w:spacing w:after="0"/>
              <w:rPr>
                <w:sz w:val="24"/>
                <w:szCs w:val="24"/>
                <w:color w:val="auto"/>
              </w:rPr>
            </w:pPr>
          </w:p>
        </w:tc>
      </w:tr>
      <w:tr>
        <w:trPr>
          <w:trHeight w:val="283"/>
        </w:trPr>
        <w:tc>
          <w:tcPr>
            <w:tcW w:w="120" w:type="dxa"/>
            <w:vAlign w:val="bottom"/>
          </w:tcPr>
          <w:p>
            <w:pPr>
              <w:spacing w:after="0"/>
              <w:rPr>
                <w:sz w:val="24"/>
                <w:szCs w:val="24"/>
                <w:color w:val="auto"/>
              </w:rPr>
            </w:pPr>
          </w:p>
        </w:tc>
        <w:tc>
          <w:tcPr>
            <w:tcW w:w="3440" w:type="dxa"/>
            <w:vAlign w:val="bottom"/>
            <w:tcBorders>
              <w:bottom w:val="single" w:sz="8" w:color="0000EE"/>
            </w:tcBorders>
            <w:gridSpan w:val="18"/>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ABOUT THIS PROSPECTUS SUPPLEMENT</w:t>
              </w:r>
            </w:hyperlink>
          </w:p>
        </w:tc>
        <w:tc>
          <w:tcPr>
            <w:tcW w:w="940" w:type="dxa"/>
            <w:vAlign w:val="bottom"/>
            <w:gridSpan w:val="3"/>
          </w:tcPr>
          <w:p>
            <w:pPr>
              <w:spacing w:after="0"/>
              <w:rPr>
                <w:sz w:val="24"/>
                <w:szCs w:val="24"/>
                <w:color w:val="auto"/>
              </w:rPr>
            </w:pPr>
          </w:p>
        </w:tc>
        <w:tc>
          <w:tcPr>
            <w:tcW w:w="658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196"/>
        </w:trPr>
        <w:tc>
          <w:tcPr>
            <w:tcW w:w="120" w:type="dxa"/>
            <w:vAlign w:val="bottom"/>
          </w:tcPr>
          <w:p>
            <w:pPr>
              <w:spacing w:after="0"/>
              <w:rPr>
                <w:sz w:val="17"/>
                <w:szCs w:val="17"/>
                <w:color w:val="auto"/>
              </w:rPr>
            </w:pPr>
          </w:p>
        </w:tc>
        <w:tc>
          <w:tcPr>
            <w:tcW w:w="128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THE OFFERING</w:t>
              </w:r>
            </w:hyperlink>
          </w:p>
        </w:tc>
        <w:tc>
          <w:tcPr>
            <w:tcW w:w="3100" w:type="dxa"/>
            <w:vAlign w:val="bottom"/>
            <w:gridSpan w:val="18"/>
          </w:tcPr>
          <w:p>
            <w:pPr>
              <w:spacing w:after="0"/>
              <w:rPr>
                <w:sz w:val="17"/>
                <w:szCs w:val="17"/>
                <w:color w:val="auto"/>
              </w:rPr>
            </w:pPr>
          </w:p>
        </w:tc>
        <w:tc>
          <w:tcPr>
            <w:tcW w:w="6580" w:type="dxa"/>
            <w:vAlign w:val="bottom"/>
          </w:tcPr>
          <w:p>
            <w:pPr>
              <w:jc w:val="right"/>
              <w:spacing w:after="0" w:line="196" w:lineRule="exact"/>
              <w:rPr>
                <w:sz w:val="20"/>
                <w:szCs w:val="20"/>
                <w:color w:val="auto"/>
              </w:rPr>
            </w:pPr>
            <w:r>
              <w:rPr>
                <w:rFonts w:ascii="Arial" w:cs="Arial" w:eastAsia="Arial" w:hAnsi="Arial"/>
                <w:sz w:val="18"/>
                <w:szCs w:val="18"/>
                <w:color w:val="auto"/>
              </w:rPr>
              <w:t>S-3</w:t>
            </w:r>
          </w:p>
        </w:tc>
      </w:tr>
      <w:tr>
        <w:trPr>
          <w:trHeight w:val="196"/>
        </w:trPr>
        <w:tc>
          <w:tcPr>
            <w:tcW w:w="120" w:type="dxa"/>
            <w:vAlign w:val="bottom"/>
          </w:tcPr>
          <w:p>
            <w:pPr>
              <w:spacing w:after="0"/>
              <w:rPr>
                <w:sz w:val="17"/>
                <w:szCs w:val="17"/>
                <w:color w:val="auto"/>
              </w:rPr>
            </w:pPr>
          </w:p>
        </w:tc>
        <w:tc>
          <w:tcPr>
            <w:tcW w:w="4380" w:type="dxa"/>
            <w:vAlign w:val="bottom"/>
            <w:gridSpan w:val="21"/>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RISK FACTORS</w:t>
              </w:r>
            </w:hyperlink>
          </w:p>
        </w:tc>
        <w:tc>
          <w:tcPr>
            <w:tcW w:w="6580" w:type="dxa"/>
            <w:vAlign w:val="bottom"/>
          </w:tcPr>
          <w:p>
            <w:pPr>
              <w:jc w:val="right"/>
              <w:spacing w:after="0" w:line="196" w:lineRule="exact"/>
              <w:rPr>
                <w:sz w:val="20"/>
                <w:szCs w:val="20"/>
                <w:color w:val="auto"/>
              </w:rPr>
            </w:pPr>
            <w:r>
              <w:rPr>
                <w:rFonts w:ascii="Arial" w:cs="Arial" w:eastAsia="Arial" w:hAnsi="Arial"/>
                <w:sz w:val="18"/>
                <w:szCs w:val="18"/>
                <w:color w:val="auto"/>
              </w:rPr>
              <w:t>S-4</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380" w:type="dxa"/>
            <w:vAlign w:val="bottom"/>
            <w:gridSpan w:val="21"/>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FORWARD-LOOKING STATEMENTS</w:t>
              </w:r>
            </w:hyperlink>
          </w:p>
        </w:tc>
        <w:tc>
          <w:tcPr>
            <w:tcW w:w="6580" w:type="dxa"/>
            <w:vAlign w:val="bottom"/>
          </w:tcPr>
          <w:p>
            <w:pPr>
              <w:jc w:val="right"/>
              <w:spacing w:after="0" w:line="196" w:lineRule="exact"/>
              <w:rPr>
                <w:sz w:val="20"/>
                <w:szCs w:val="20"/>
                <w:color w:val="auto"/>
              </w:rPr>
            </w:pPr>
            <w:r>
              <w:rPr>
                <w:rFonts w:ascii="Arial" w:cs="Arial" w:eastAsia="Arial" w:hAnsi="Arial"/>
                <w:sz w:val="18"/>
                <w:szCs w:val="18"/>
                <w:color w:val="auto"/>
              </w:rPr>
              <w:t>S-5</w:t>
            </w:r>
          </w:p>
        </w:tc>
      </w:tr>
      <w:tr>
        <w:trPr>
          <w:trHeight w:val="196"/>
        </w:trPr>
        <w:tc>
          <w:tcPr>
            <w:tcW w:w="12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9">
              <w:r>
                <w:rPr>
                  <w:rFonts w:ascii="Arial" w:cs="Arial" w:eastAsia="Arial" w:hAnsi="Arial"/>
                  <w:sz w:val="18"/>
                  <w:szCs w:val="18"/>
                  <w:color w:val="0000EE"/>
                  <w:w w:val="90"/>
                </w:rPr>
                <w:t>USE OF PROCEEDS</w:t>
              </w:r>
            </w:hyperlink>
          </w:p>
        </w:tc>
        <w:tc>
          <w:tcPr>
            <w:tcW w:w="1340" w:type="dxa"/>
            <w:vAlign w:val="bottom"/>
            <w:tcBorders>
              <w:top w:val="single" w:sz="8" w:color="0000EE"/>
            </w:tcBorders>
            <w:gridSpan w:val="9"/>
          </w:tcPr>
          <w:p>
            <w:pPr>
              <w:spacing w:after="0"/>
              <w:rPr>
                <w:sz w:val="17"/>
                <w:szCs w:val="17"/>
                <w:color w:val="auto"/>
              </w:rPr>
            </w:pPr>
          </w:p>
        </w:tc>
        <w:tc>
          <w:tcPr>
            <w:tcW w:w="1460" w:type="dxa"/>
            <w:vAlign w:val="bottom"/>
            <w:gridSpan w:val="7"/>
          </w:tcPr>
          <w:p>
            <w:pPr>
              <w:spacing w:after="0"/>
              <w:rPr>
                <w:sz w:val="17"/>
                <w:szCs w:val="17"/>
                <w:color w:val="auto"/>
              </w:rPr>
            </w:pPr>
          </w:p>
        </w:tc>
        <w:tc>
          <w:tcPr>
            <w:tcW w:w="6580" w:type="dxa"/>
            <w:vAlign w:val="bottom"/>
          </w:tcPr>
          <w:p>
            <w:pPr>
              <w:jc w:val="right"/>
              <w:spacing w:after="0" w:line="196" w:lineRule="exact"/>
              <w:rPr>
                <w:sz w:val="20"/>
                <w:szCs w:val="20"/>
                <w:color w:val="auto"/>
              </w:rPr>
            </w:pPr>
            <w:r>
              <w:rPr>
                <w:rFonts w:ascii="Arial" w:cs="Arial" w:eastAsia="Arial" w:hAnsi="Arial"/>
                <w:sz w:val="18"/>
                <w:szCs w:val="18"/>
                <w:color w:val="auto"/>
              </w:rPr>
              <w:t>S-6</w:t>
            </w:r>
          </w:p>
        </w:tc>
      </w:tr>
      <w:tr>
        <w:trPr>
          <w:trHeight w:val="196"/>
        </w:trPr>
        <w:tc>
          <w:tcPr>
            <w:tcW w:w="120" w:type="dxa"/>
            <w:vAlign w:val="bottom"/>
          </w:tcPr>
          <w:p>
            <w:pPr>
              <w:spacing w:after="0"/>
              <w:rPr>
                <w:sz w:val="17"/>
                <w:szCs w:val="17"/>
                <w:color w:val="auto"/>
              </w:rPr>
            </w:pPr>
          </w:p>
        </w:tc>
        <w:tc>
          <w:tcPr>
            <w:tcW w:w="4380" w:type="dxa"/>
            <w:vAlign w:val="bottom"/>
            <w:gridSpan w:val="21"/>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SELLING STOCKHOLDERS</w:t>
              </w:r>
            </w:hyperlink>
          </w:p>
        </w:tc>
        <w:tc>
          <w:tcPr>
            <w:tcW w:w="658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r>
      <w:tr>
        <w:trPr>
          <w:trHeight w:val="196"/>
        </w:trPr>
        <w:tc>
          <w:tcPr>
            <w:tcW w:w="120" w:type="dxa"/>
            <w:vAlign w:val="bottom"/>
          </w:tcPr>
          <w:p>
            <w:pPr>
              <w:spacing w:after="0"/>
              <w:rPr>
                <w:sz w:val="17"/>
                <w:szCs w:val="17"/>
                <w:color w:val="auto"/>
              </w:rPr>
            </w:pPr>
          </w:p>
        </w:tc>
        <w:tc>
          <w:tcPr>
            <w:tcW w:w="22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PLAN OF DISTRIBUTION</w:t>
              </w:r>
            </w:hyperlink>
          </w:p>
        </w:tc>
        <w:tc>
          <w:tcPr>
            <w:tcW w:w="2180" w:type="dxa"/>
            <w:vAlign w:val="bottom"/>
            <w:gridSpan w:val="12"/>
          </w:tcPr>
          <w:p>
            <w:pPr>
              <w:spacing w:after="0"/>
              <w:rPr>
                <w:sz w:val="17"/>
                <w:szCs w:val="17"/>
                <w:color w:val="auto"/>
              </w:rPr>
            </w:pPr>
          </w:p>
        </w:tc>
        <w:tc>
          <w:tcPr>
            <w:tcW w:w="658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6"/>
              </w:rPr>
            </w:pPr>
            <w:hyperlink w:anchor="page15">
              <w:r>
                <w:rPr>
                  <w:rFonts w:ascii="Arial" w:cs="Arial" w:eastAsia="Arial" w:hAnsi="Arial"/>
                  <w:sz w:val="18"/>
                  <w:szCs w:val="18"/>
                  <w:color w:val="0000EE"/>
                  <w:w w:val="96"/>
                </w:rPr>
                <w:t>LEGAL MATTERS</w:t>
              </w:r>
            </w:hyperlink>
          </w:p>
        </w:tc>
        <w:tc>
          <w:tcPr>
            <w:tcW w:w="580" w:type="dxa"/>
            <w:vAlign w:val="bottom"/>
            <w:tcBorders>
              <w:top w:val="single" w:sz="8" w:color="0000EE"/>
            </w:tcBorders>
            <w:gridSpan w:val="3"/>
          </w:tcPr>
          <w:p>
            <w:pPr>
              <w:spacing w:after="0"/>
              <w:rPr>
                <w:sz w:val="17"/>
                <w:szCs w:val="17"/>
                <w:color w:val="auto"/>
              </w:rPr>
            </w:pPr>
          </w:p>
        </w:tc>
        <w:tc>
          <w:tcPr>
            <w:tcW w:w="2340" w:type="dxa"/>
            <w:vAlign w:val="bottom"/>
            <w:gridSpan w:val="14"/>
          </w:tcPr>
          <w:p>
            <w:pPr>
              <w:spacing w:after="0"/>
              <w:rPr>
                <w:sz w:val="17"/>
                <w:szCs w:val="17"/>
                <w:color w:val="auto"/>
              </w:rPr>
            </w:pPr>
          </w:p>
        </w:tc>
        <w:tc>
          <w:tcPr>
            <w:tcW w:w="6580" w:type="dxa"/>
            <w:vAlign w:val="bottom"/>
          </w:tcPr>
          <w:p>
            <w:pPr>
              <w:jc w:val="right"/>
              <w:spacing w:after="0" w:line="196" w:lineRule="exact"/>
              <w:rPr>
                <w:sz w:val="20"/>
                <w:szCs w:val="20"/>
                <w:color w:val="auto"/>
              </w:rPr>
            </w:pPr>
            <w:r>
              <w:rPr>
                <w:rFonts w:ascii="Arial" w:cs="Arial" w:eastAsia="Arial" w:hAnsi="Arial"/>
                <w:sz w:val="18"/>
                <w:szCs w:val="18"/>
                <w:color w:val="auto"/>
              </w:rPr>
              <w:t>S-12</w:t>
            </w:r>
          </w:p>
        </w:tc>
      </w:tr>
      <w:tr>
        <w:trPr>
          <w:trHeight w:val="196"/>
        </w:trPr>
        <w:tc>
          <w:tcPr>
            <w:tcW w:w="120" w:type="dxa"/>
            <w:vAlign w:val="bottom"/>
          </w:tcPr>
          <w:p>
            <w:pPr>
              <w:spacing w:after="0"/>
              <w:rPr>
                <w:sz w:val="17"/>
                <w:szCs w:val="17"/>
                <w:color w:val="auto"/>
              </w:rPr>
            </w:pPr>
          </w:p>
        </w:tc>
        <w:tc>
          <w:tcPr>
            <w:tcW w:w="4380" w:type="dxa"/>
            <w:vAlign w:val="bottom"/>
            <w:gridSpan w:val="21"/>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EXPERTS</w:t>
              </w:r>
            </w:hyperlink>
          </w:p>
        </w:tc>
        <w:tc>
          <w:tcPr>
            <w:tcW w:w="6580" w:type="dxa"/>
            <w:vAlign w:val="bottom"/>
          </w:tcPr>
          <w:p>
            <w:pPr>
              <w:jc w:val="right"/>
              <w:spacing w:after="0" w:line="196" w:lineRule="exact"/>
              <w:rPr>
                <w:sz w:val="20"/>
                <w:szCs w:val="20"/>
                <w:color w:val="auto"/>
              </w:rPr>
            </w:pPr>
            <w:r>
              <w:rPr>
                <w:rFonts w:ascii="Arial" w:cs="Arial" w:eastAsia="Arial" w:hAnsi="Arial"/>
                <w:sz w:val="18"/>
                <w:szCs w:val="18"/>
                <w:color w:val="auto"/>
              </w:rPr>
              <w:t>S-12</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380" w:type="dxa"/>
            <w:vAlign w:val="bottom"/>
            <w:gridSpan w:val="21"/>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WHERE YOU CAN FIND MORE INFORMATION</w:t>
              </w:r>
            </w:hyperlink>
          </w:p>
        </w:tc>
        <w:tc>
          <w:tcPr>
            <w:tcW w:w="6580" w:type="dxa"/>
            <w:vAlign w:val="bottom"/>
          </w:tcPr>
          <w:p>
            <w:pPr>
              <w:jc w:val="right"/>
              <w:spacing w:after="0" w:line="196" w:lineRule="exact"/>
              <w:rPr>
                <w:sz w:val="20"/>
                <w:szCs w:val="20"/>
                <w:color w:val="auto"/>
              </w:rPr>
            </w:pPr>
            <w:r>
              <w:rPr>
                <w:rFonts w:ascii="Arial" w:cs="Arial" w:eastAsia="Arial" w:hAnsi="Arial"/>
                <w:sz w:val="18"/>
                <w:szCs w:val="18"/>
                <w:color w:val="auto"/>
              </w:rPr>
              <w:t>S-12</w:t>
            </w:r>
          </w:p>
        </w:tc>
      </w:tr>
      <w:tr>
        <w:trPr>
          <w:trHeight w:val="344"/>
        </w:trPr>
        <w:tc>
          <w:tcPr>
            <w:tcW w:w="120" w:type="dxa"/>
            <w:vAlign w:val="bottom"/>
          </w:tcPr>
          <w:p>
            <w:pPr>
              <w:spacing w:after="0"/>
              <w:rPr>
                <w:sz w:val="24"/>
                <w:szCs w:val="24"/>
                <w:color w:val="auto"/>
              </w:rPr>
            </w:pPr>
          </w:p>
        </w:tc>
        <w:tc>
          <w:tcPr>
            <w:tcW w:w="3800" w:type="dxa"/>
            <w:vAlign w:val="bottom"/>
            <w:tcBorders>
              <w:top w:val="single" w:sz="8" w:color="0000EE"/>
            </w:tcBorders>
            <w:gridSpan w:val="20"/>
          </w:tcPr>
          <w:p>
            <w:pPr>
              <w:spacing w:after="0"/>
              <w:rPr>
                <w:sz w:val="20"/>
                <w:szCs w:val="20"/>
                <w:color w:val="auto"/>
              </w:rPr>
            </w:pPr>
            <w:r>
              <w:rPr>
                <w:rFonts w:ascii="Arial" w:cs="Arial" w:eastAsia="Arial" w:hAnsi="Arial"/>
                <w:sz w:val="18"/>
                <w:szCs w:val="18"/>
                <w:b w:val="1"/>
                <w:bCs w:val="1"/>
                <w:color w:val="auto"/>
              </w:rPr>
              <w:t>Prospectus</w:t>
            </w:r>
          </w:p>
        </w:tc>
        <w:tc>
          <w:tcPr>
            <w:tcW w:w="580" w:type="dxa"/>
            <w:vAlign w:val="bottom"/>
          </w:tcPr>
          <w:p>
            <w:pPr>
              <w:spacing w:after="0"/>
              <w:rPr>
                <w:sz w:val="24"/>
                <w:szCs w:val="24"/>
                <w:color w:val="auto"/>
              </w:rPr>
            </w:pPr>
          </w:p>
        </w:tc>
        <w:tc>
          <w:tcPr>
            <w:tcW w:w="6580" w:type="dxa"/>
            <w:vAlign w:val="bottom"/>
          </w:tcPr>
          <w:p>
            <w:pPr>
              <w:spacing w:after="0"/>
              <w:rPr>
                <w:sz w:val="24"/>
                <w:szCs w:val="24"/>
                <w:color w:val="auto"/>
              </w:rPr>
            </w:pPr>
          </w:p>
        </w:tc>
      </w:tr>
      <w:tr>
        <w:trPr>
          <w:trHeight w:val="283"/>
        </w:trPr>
        <w:tc>
          <w:tcPr>
            <w:tcW w:w="120" w:type="dxa"/>
            <w:vAlign w:val="bottom"/>
          </w:tcPr>
          <w:p>
            <w:pPr>
              <w:spacing w:after="0"/>
              <w:rPr>
                <w:sz w:val="24"/>
                <w:szCs w:val="24"/>
                <w:color w:val="auto"/>
              </w:rPr>
            </w:pPr>
          </w:p>
        </w:tc>
        <w:tc>
          <w:tcPr>
            <w:tcW w:w="4380" w:type="dxa"/>
            <w:vAlign w:val="bottom"/>
            <w:gridSpan w:val="21"/>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ABOUT THIS PROSPECTUS</w:t>
              </w:r>
            </w:hyperlink>
          </w:p>
        </w:tc>
        <w:tc>
          <w:tcPr>
            <w:tcW w:w="6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20" w:type="dxa"/>
            <w:vAlign w:val="bottom"/>
          </w:tcPr>
          <w:p>
            <w:pPr>
              <w:spacing w:after="0"/>
              <w:rPr>
                <w:sz w:val="17"/>
                <w:szCs w:val="17"/>
                <w:color w:val="auto"/>
              </w:rPr>
            </w:pPr>
          </w:p>
        </w:tc>
        <w:tc>
          <w:tcPr>
            <w:tcW w:w="2220" w:type="dxa"/>
            <w:vAlign w:val="bottom"/>
            <w:tcBorders>
              <w:top w:val="single" w:sz="8" w:color="0000EE"/>
            </w:tcBorders>
            <w:gridSpan w:val="10"/>
          </w:tcPr>
          <w:p>
            <w:pPr>
              <w:spacing w:after="0" w:line="196" w:lineRule="exact"/>
              <w:rPr>
                <w:rFonts w:ascii="Arial" w:cs="Arial" w:eastAsia="Arial" w:hAnsi="Arial"/>
                <w:sz w:val="18"/>
                <w:szCs w:val="18"/>
                <w:color w:val="0000EE"/>
                <w:w w:val="99"/>
              </w:rPr>
            </w:pPr>
            <w:hyperlink w:anchor="page20">
              <w:r>
                <w:rPr>
                  <w:rFonts w:ascii="Arial" w:cs="Arial" w:eastAsia="Arial" w:hAnsi="Arial"/>
                  <w:sz w:val="18"/>
                  <w:szCs w:val="18"/>
                  <w:color w:val="0000EE"/>
                  <w:w w:val="99"/>
                </w:rPr>
                <w:t>PROSPECTUS SUMMARY</w:t>
              </w:r>
            </w:hyperlink>
          </w:p>
        </w:tc>
        <w:tc>
          <w:tcPr>
            <w:tcW w:w="2160" w:type="dxa"/>
            <w:vAlign w:val="bottom"/>
            <w:gridSpan w:val="11"/>
          </w:tcPr>
          <w:p>
            <w:pPr>
              <w:spacing w:after="0"/>
              <w:rPr>
                <w:sz w:val="17"/>
                <w:szCs w:val="17"/>
                <w:color w:val="auto"/>
              </w:rPr>
            </w:pPr>
          </w:p>
        </w:tc>
        <w:tc>
          <w:tcPr>
            <w:tcW w:w="65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20" w:type="dxa"/>
            <w:vAlign w:val="bottom"/>
          </w:tcPr>
          <w:p>
            <w:pPr>
              <w:spacing w:after="0"/>
              <w:rPr>
                <w:sz w:val="17"/>
                <w:szCs w:val="17"/>
                <w:color w:val="auto"/>
              </w:rPr>
            </w:pPr>
          </w:p>
        </w:tc>
        <w:tc>
          <w:tcPr>
            <w:tcW w:w="20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RISK FACTORS</w:t>
              </w:r>
            </w:hyperlink>
          </w:p>
        </w:tc>
        <w:tc>
          <w:tcPr>
            <w:tcW w:w="2300" w:type="dxa"/>
            <w:vAlign w:val="bottom"/>
            <w:gridSpan w:val="13"/>
          </w:tcPr>
          <w:p>
            <w:pPr>
              <w:spacing w:after="0"/>
              <w:rPr>
                <w:sz w:val="17"/>
                <w:szCs w:val="17"/>
                <w:color w:val="auto"/>
              </w:rPr>
            </w:pPr>
          </w:p>
        </w:tc>
        <w:tc>
          <w:tcPr>
            <w:tcW w:w="65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12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380" w:type="dxa"/>
            <w:vAlign w:val="bottom"/>
            <w:gridSpan w:val="21"/>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FORWARD-LOOKING STATEMENTS</w:t>
              </w:r>
            </w:hyperlink>
          </w:p>
        </w:tc>
        <w:tc>
          <w:tcPr>
            <w:tcW w:w="65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2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USE OF PROCEEDS</w:t>
              </w:r>
            </w:hyperlink>
          </w:p>
        </w:tc>
        <w:tc>
          <w:tcPr>
            <w:tcW w:w="1340" w:type="dxa"/>
            <w:vAlign w:val="bottom"/>
            <w:tcBorders>
              <w:top w:val="single" w:sz="8" w:color="0000EE"/>
            </w:tcBorders>
            <w:gridSpan w:val="9"/>
          </w:tcPr>
          <w:p>
            <w:pPr>
              <w:spacing w:after="0"/>
              <w:rPr>
                <w:sz w:val="17"/>
                <w:szCs w:val="17"/>
                <w:color w:val="auto"/>
              </w:rPr>
            </w:pPr>
          </w:p>
        </w:tc>
        <w:tc>
          <w:tcPr>
            <w:tcW w:w="1460" w:type="dxa"/>
            <w:vAlign w:val="bottom"/>
            <w:gridSpan w:val="7"/>
          </w:tcPr>
          <w:p>
            <w:pPr>
              <w:spacing w:after="0"/>
              <w:rPr>
                <w:sz w:val="17"/>
                <w:szCs w:val="17"/>
                <w:color w:val="auto"/>
              </w:rPr>
            </w:pPr>
          </w:p>
        </w:tc>
        <w:tc>
          <w:tcPr>
            <w:tcW w:w="65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20" w:type="dxa"/>
            <w:vAlign w:val="bottom"/>
          </w:tcPr>
          <w:p>
            <w:pPr>
              <w:spacing w:after="0"/>
              <w:rPr>
                <w:sz w:val="17"/>
                <w:szCs w:val="17"/>
                <w:color w:val="auto"/>
              </w:rPr>
            </w:pPr>
          </w:p>
        </w:tc>
        <w:tc>
          <w:tcPr>
            <w:tcW w:w="240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w:anchor="page23">
              <w:r>
                <w:rPr>
                  <w:rFonts w:ascii="Arial" w:cs="Arial" w:eastAsia="Arial" w:hAnsi="Arial"/>
                  <w:sz w:val="18"/>
                  <w:szCs w:val="18"/>
                  <w:color w:val="0000EE"/>
                  <w:w w:val="94"/>
                </w:rPr>
                <w:t>SECURITIES WE MAY OFFER</w:t>
              </w:r>
            </w:hyperlink>
          </w:p>
        </w:tc>
        <w:tc>
          <w:tcPr>
            <w:tcW w:w="1980" w:type="dxa"/>
            <w:vAlign w:val="bottom"/>
            <w:gridSpan w:val="10"/>
          </w:tcPr>
          <w:p>
            <w:pPr>
              <w:spacing w:after="0"/>
              <w:rPr>
                <w:sz w:val="17"/>
                <w:szCs w:val="17"/>
                <w:color w:val="auto"/>
              </w:rPr>
            </w:pPr>
          </w:p>
        </w:tc>
        <w:tc>
          <w:tcPr>
            <w:tcW w:w="65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20" w:type="dxa"/>
            <w:vAlign w:val="bottom"/>
          </w:tcPr>
          <w:p>
            <w:pPr>
              <w:spacing w:after="0"/>
              <w:rPr>
                <w:sz w:val="17"/>
                <w:szCs w:val="17"/>
                <w:color w:val="auto"/>
              </w:rPr>
            </w:pPr>
          </w:p>
        </w:tc>
        <w:tc>
          <w:tcPr>
            <w:tcW w:w="4380" w:type="dxa"/>
            <w:vAlign w:val="bottom"/>
            <w:gridSpan w:val="21"/>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DESCRIPTION OF COMMON STOCK</w:t>
              </w:r>
            </w:hyperlink>
          </w:p>
        </w:tc>
        <w:tc>
          <w:tcPr>
            <w:tcW w:w="65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120" w:type="dxa"/>
            <w:vAlign w:val="bottom"/>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46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14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DESCRIPTION OF PREFERRED STOCK</w:t>
              </w:r>
            </w:hyperlink>
          </w:p>
        </w:tc>
        <w:tc>
          <w:tcPr>
            <w:tcW w:w="1240" w:type="dxa"/>
            <w:vAlign w:val="bottom"/>
            <w:gridSpan w:val="4"/>
          </w:tcPr>
          <w:p>
            <w:pPr>
              <w:spacing w:after="0"/>
              <w:rPr>
                <w:sz w:val="17"/>
                <w:szCs w:val="17"/>
                <w:color w:val="auto"/>
              </w:rPr>
            </w:pPr>
          </w:p>
        </w:tc>
        <w:tc>
          <w:tcPr>
            <w:tcW w:w="65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120" w:type="dxa"/>
            <w:vAlign w:val="bottom"/>
          </w:tcPr>
          <w:p>
            <w:pPr>
              <w:spacing w:after="0"/>
              <w:rPr>
                <w:sz w:val="17"/>
                <w:szCs w:val="17"/>
                <w:color w:val="auto"/>
              </w:rPr>
            </w:pPr>
          </w:p>
        </w:tc>
        <w:tc>
          <w:tcPr>
            <w:tcW w:w="3020" w:type="dxa"/>
            <w:vAlign w:val="bottom"/>
            <w:tcBorders>
              <w:bottom w:val="single" w:sz="8" w:color="0000EE"/>
            </w:tcBorders>
            <w:gridSpan w:val="16"/>
          </w:tcPr>
          <w:p>
            <w:pPr>
              <w:spacing w:after="0" w:line="196" w:lineRule="exact"/>
              <w:rPr>
                <w:rFonts w:ascii="Arial" w:cs="Arial" w:eastAsia="Arial" w:hAnsi="Arial"/>
                <w:sz w:val="18"/>
                <w:szCs w:val="18"/>
                <w:color w:val="0000EE"/>
                <w:w w:val="94"/>
              </w:rPr>
            </w:pPr>
            <w:hyperlink w:anchor="page27">
              <w:r>
                <w:rPr>
                  <w:rFonts w:ascii="Arial" w:cs="Arial" w:eastAsia="Arial" w:hAnsi="Arial"/>
                  <w:sz w:val="18"/>
                  <w:szCs w:val="18"/>
                  <w:color w:val="0000EE"/>
                  <w:w w:val="94"/>
                </w:rPr>
                <w:t>DESCRIPTION OF DEBT SECURITIES</w:t>
              </w:r>
            </w:hyperlink>
          </w:p>
        </w:tc>
        <w:tc>
          <w:tcPr>
            <w:tcW w:w="1360" w:type="dxa"/>
            <w:vAlign w:val="bottom"/>
            <w:gridSpan w:val="5"/>
          </w:tcPr>
          <w:p>
            <w:pPr>
              <w:spacing w:after="0"/>
              <w:rPr>
                <w:sz w:val="17"/>
                <w:szCs w:val="17"/>
                <w:color w:val="auto"/>
              </w:rPr>
            </w:pPr>
          </w:p>
        </w:tc>
        <w:tc>
          <w:tcPr>
            <w:tcW w:w="65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20" w:type="dxa"/>
            <w:vAlign w:val="bottom"/>
          </w:tcPr>
          <w:p>
            <w:pPr>
              <w:spacing w:after="0"/>
              <w:rPr>
                <w:sz w:val="17"/>
                <w:szCs w:val="17"/>
                <w:color w:val="auto"/>
              </w:rPr>
            </w:pPr>
          </w:p>
        </w:tc>
        <w:tc>
          <w:tcPr>
            <w:tcW w:w="248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w:anchor="page35">
              <w:r>
                <w:rPr>
                  <w:rFonts w:ascii="Arial" w:cs="Arial" w:eastAsia="Arial" w:hAnsi="Arial"/>
                  <w:sz w:val="18"/>
                  <w:szCs w:val="18"/>
                  <w:color w:val="0000EE"/>
                  <w:w w:val="94"/>
                </w:rPr>
                <w:t>DESCRIPTION OF WARRANTS</w:t>
              </w:r>
            </w:hyperlink>
          </w:p>
        </w:tc>
        <w:tc>
          <w:tcPr>
            <w:tcW w:w="1900" w:type="dxa"/>
            <w:vAlign w:val="bottom"/>
            <w:gridSpan w:val="9"/>
          </w:tcPr>
          <w:p>
            <w:pPr>
              <w:spacing w:after="0"/>
              <w:rPr>
                <w:sz w:val="17"/>
                <w:szCs w:val="17"/>
                <w:color w:val="auto"/>
              </w:rPr>
            </w:pPr>
          </w:p>
        </w:tc>
        <w:tc>
          <w:tcPr>
            <w:tcW w:w="65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20" w:type="dxa"/>
            <w:vAlign w:val="bottom"/>
          </w:tcPr>
          <w:p>
            <w:pPr>
              <w:spacing w:after="0"/>
              <w:rPr>
                <w:sz w:val="17"/>
                <w:szCs w:val="17"/>
                <w:color w:val="auto"/>
              </w:rPr>
            </w:pPr>
          </w:p>
        </w:tc>
        <w:tc>
          <w:tcPr>
            <w:tcW w:w="4380" w:type="dxa"/>
            <w:vAlign w:val="bottom"/>
            <w:gridSpan w:val="21"/>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DESCRIPTION OF SUBSCRIPTION RIGHTS</w:t>
              </w:r>
            </w:hyperlink>
          </w:p>
        </w:tc>
        <w:tc>
          <w:tcPr>
            <w:tcW w:w="65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2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4"/>
              </w:rPr>
            </w:pPr>
            <w:hyperlink w:anchor="page37">
              <w:r>
                <w:rPr>
                  <w:rFonts w:ascii="Arial" w:cs="Arial" w:eastAsia="Arial" w:hAnsi="Arial"/>
                  <w:sz w:val="18"/>
                  <w:szCs w:val="18"/>
                  <w:color w:val="0000EE"/>
                  <w:w w:val="94"/>
                </w:rPr>
                <w:t>DESCRIPTION OF UNITS</w:t>
              </w:r>
            </w:hyperlink>
          </w:p>
        </w:tc>
        <w:tc>
          <w:tcPr>
            <w:tcW w:w="1440" w:type="dxa"/>
            <w:vAlign w:val="bottom"/>
            <w:tcBorders>
              <w:top w:val="single" w:sz="8" w:color="0000EE"/>
            </w:tcBorders>
            <w:gridSpan w:val="13"/>
          </w:tcPr>
          <w:p>
            <w:pPr>
              <w:spacing w:after="0"/>
              <w:rPr>
                <w:sz w:val="17"/>
                <w:szCs w:val="17"/>
                <w:color w:val="auto"/>
              </w:rPr>
            </w:pPr>
          </w:p>
        </w:tc>
        <w:tc>
          <w:tcPr>
            <w:tcW w:w="920" w:type="dxa"/>
            <w:vAlign w:val="bottom"/>
            <w:gridSpan w:val="2"/>
          </w:tcPr>
          <w:p>
            <w:pPr>
              <w:spacing w:after="0"/>
              <w:rPr>
                <w:sz w:val="17"/>
                <w:szCs w:val="17"/>
                <w:color w:val="auto"/>
              </w:rPr>
            </w:pPr>
          </w:p>
        </w:tc>
        <w:tc>
          <w:tcPr>
            <w:tcW w:w="65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20" w:type="dxa"/>
            <w:vAlign w:val="bottom"/>
          </w:tcPr>
          <w:p>
            <w:pPr>
              <w:spacing w:after="0"/>
              <w:rPr>
                <w:sz w:val="17"/>
                <w:szCs w:val="17"/>
                <w:color w:val="auto"/>
              </w:rPr>
            </w:pPr>
          </w:p>
        </w:tc>
        <w:tc>
          <w:tcPr>
            <w:tcW w:w="250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w:anchor="page37">
              <w:r>
                <w:rPr>
                  <w:rFonts w:ascii="Arial" w:cs="Arial" w:eastAsia="Arial" w:hAnsi="Arial"/>
                  <w:sz w:val="18"/>
                  <w:szCs w:val="18"/>
                  <w:color w:val="0000EE"/>
                  <w:w w:val="95"/>
                </w:rPr>
                <w:t>SELLING SECURITYHOLDERS</w:t>
              </w:r>
            </w:hyperlink>
          </w:p>
        </w:tc>
        <w:tc>
          <w:tcPr>
            <w:tcW w:w="1880" w:type="dxa"/>
            <w:vAlign w:val="bottom"/>
            <w:gridSpan w:val="8"/>
          </w:tcPr>
          <w:p>
            <w:pPr>
              <w:spacing w:after="0"/>
              <w:rPr>
                <w:sz w:val="17"/>
                <w:szCs w:val="17"/>
                <w:color w:val="auto"/>
              </w:rPr>
            </w:pPr>
          </w:p>
        </w:tc>
        <w:tc>
          <w:tcPr>
            <w:tcW w:w="65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20" w:type="dxa"/>
            <w:vAlign w:val="bottom"/>
          </w:tcPr>
          <w:p>
            <w:pPr>
              <w:spacing w:after="0"/>
              <w:rPr>
                <w:sz w:val="17"/>
                <w:szCs w:val="17"/>
                <w:color w:val="auto"/>
              </w:rPr>
            </w:pPr>
          </w:p>
        </w:tc>
        <w:tc>
          <w:tcPr>
            <w:tcW w:w="4380" w:type="dxa"/>
            <w:vAlign w:val="bottom"/>
            <w:gridSpan w:val="21"/>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PLAN OF DISTRIBUTION</w:t>
              </w:r>
            </w:hyperlink>
          </w:p>
        </w:tc>
        <w:tc>
          <w:tcPr>
            <w:tcW w:w="65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6"/>
              </w:rPr>
            </w:pPr>
            <w:hyperlink w:anchor="page39">
              <w:r>
                <w:rPr>
                  <w:rFonts w:ascii="Arial" w:cs="Arial" w:eastAsia="Arial" w:hAnsi="Arial"/>
                  <w:sz w:val="18"/>
                  <w:szCs w:val="18"/>
                  <w:color w:val="0000EE"/>
                  <w:w w:val="96"/>
                </w:rPr>
                <w:t>LEGAL MATTERS</w:t>
              </w:r>
            </w:hyperlink>
          </w:p>
        </w:tc>
        <w:tc>
          <w:tcPr>
            <w:tcW w:w="580" w:type="dxa"/>
            <w:vAlign w:val="bottom"/>
            <w:tcBorders>
              <w:top w:val="single" w:sz="8" w:color="0000EE"/>
            </w:tcBorders>
            <w:gridSpan w:val="3"/>
          </w:tcPr>
          <w:p>
            <w:pPr>
              <w:spacing w:after="0"/>
              <w:rPr>
                <w:sz w:val="17"/>
                <w:szCs w:val="17"/>
                <w:color w:val="auto"/>
              </w:rPr>
            </w:pPr>
          </w:p>
        </w:tc>
        <w:tc>
          <w:tcPr>
            <w:tcW w:w="2340" w:type="dxa"/>
            <w:vAlign w:val="bottom"/>
            <w:gridSpan w:val="14"/>
          </w:tcPr>
          <w:p>
            <w:pPr>
              <w:spacing w:after="0"/>
              <w:rPr>
                <w:sz w:val="17"/>
                <w:szCs w:val="17"/>
                <w:color w:val="auto"/>
              </w:rPr>
            </w:pPr>
          </w:p>
        </w:tc>
        <w:tc>
          <w:tcPr>
            <w:tcW w:w="65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20" w:type="dxa"/>
            <w:vAlign w:val="bottom"/>
          </w:tcPr>
          <w:p>
            <w:pPr>
              <w:spacing w:after="0"/>
              <w:rPr>
                <w:sz w:val="17"/>
                <w:szCs w:val="17"/>
                <w:color w:val="auto"/>
              </w:rPr>
            </w:pPr>
          </w:p>
        </w:tc>
        <w:tc>
          <w:tcPr>
            <w:tcW w:w="4380" w:type="dxa"/>
            <w:vAlign w:val="bottom"/>
            <w:gridSpan w:val="21"/>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EXPERTS</w:t>
              </w:r>
            </w:hyperlink>
          </w:p>
        </w:tc>
        <w:tc>
          <w:tcPr>
            <w:tcW w:w="65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40" w:type="dxa"/>
            <w:vAlign w:val="bottom"/>
            <w:gridSpan w:val="1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380" w:type="dxa"/>
            <w:vAlign w:val="bottom"/>
            <w:gridSpan w:val="21"/>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WHERE YOU CAN FIND MORE INFORMATION</w:t>
              </w:r>
            </w:hyperlink>
          </w:p>
        </w:tc>
        <w:tc>
          <w:tcPr>
            <w:tcW w:w="65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120" w:type="dxa"/>
            <w:vAlign w:val="bottom"/>
          </w:tcPr>
          <w:p>
            <w:pPr>
              <w:spacing w:after="0" w:line="20" w:lineRule="exact"/>
              <w:rPr>
                <w:sz w:val="1"/>
                <w:szCs w:val="1"/>
                <w:color w:val="auto"/>
              </w:rPr>
            </w:pPr>
          </w:p>
        </w:tc>
        <w:tc>
          <w:tcPr>
            <w:tcW w:w="3800" w:type="dxa"/>
            <w:vAlign w:val="bottom"/>
            <w:gridSpan w:val="20"/>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380" w:type="dxa"/>
            <w:vAlign w:val="bottom"/>
            <w:tcBorders>
              <w:bottom w:val="single" w:sz="8" w:color="0000EE"/>
            </w:tcBorders>
            <w:gridSpan w:val="21"/>
          </w:tcPr>
          <w:p>
            <w:pPr>
              <w:spacing w:after="0" w:line="196" w:lineRule="exact"/>
              <w:rPr>
                <w:rFonts w:ascii="Arial" w:cs="Arial" w:eastAsia="Arial" w:hAnsi="Arial"/>
                <w:sz w:val="18"/>
                <w:szCs w:val="18"/>
                <w:color w:val="0000EE"/>
                <w:w w:val="95"/>
              </w:rPr>
            </w:pPr>
            <w:hyperlink w:anchor="page40">
              <w:r>
                <w:rPr>
                  <w:rFonts w:ascii="Arial" w:cs="Arial" w:eastAsia="Arial" w:hAnsi="Arial"/>
                  <w:sz w:val="18"/>
                  <w:szCs w:val="18"/>
                  <w:color w:val="0000EE"/>
                  <w:w w:val="95"/>
                </w:rPr>
                <w:t>INCORPORATION OF INFORMATION BY REFERENCE</w:t>
              </w:r>
            </w:hyperlink>
          </w:p>
        </w:tc>
        <w:tc>
          <w:tcPr>
            <w:tcW w:w="65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bl>
    <w:p>
      <w:pPr>
        <w:jc w:val="right"/>
        <w:spacing w:after="0" w:line="196" w:lineRule="exact"/>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On February 3, 2021, we filed with the Securities and Exchange Commission (the “SEC”), a registration statement on Form S-3 (File No. 333-252681) utilizing a shelf registration process relating to the securities described in this prospectus supplement, which registration statement became automatically effective upon filing.</w:t>
      </w:r>
    </w:p>
    <w:p>
      <w:pPr>
        <w:spacing w:after="0" w:line="184"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This document contains two parts. The first part is this prospectus supplement, which describes the specific terms of this offering and also adds and updates information contained in the accompanying prospectus and the documents incorporated by reference into this prospectus supplement and the accompanying prospectus. The second part is the accompanying prospectus, which provides more general information, some of which may not apply to this offering. If the information contained in this prospectus supplement differs or varies from the information contained in the accompanying prospectus, you should rely on the information set forth in this prospectus supplement.</w:t>
      </w:r>
    </w:p>
    <w:p>
      <w:pPr>
        <w:spacing w:after="0" w:line="176"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You should rely only on the information contained or incorporated by reference in this prospectus supplement and the accompanying prospectus. Neither we nor the Selling Stockholders have authorized anyone else to provide you with information that is in addition to or different from that contained or incorporated by reference in this prospectus supplement and the accompanying prospectus, along with the information contained in any permitted free writing prospectuses we have authorized for use in connection with this offering.</w:t>
      </w:r>
    </w:p>
    <w:p>
      <w:pPr>
        <w:spacing w:after="0" w:line="187" w:lineRule="exact"/>
        <w:rPr>
          <w:sz w:val="20"/>
          <w:szCs w:val="20"/>
          <w:color w:val="auto"/>
        </w:rPr>
      </w:pPr>
    </w:p>
    <w:p>
      <w:pPr>
        <w:ind w:left="120" w:right="300"/>
        <w:spacing w:after="0" w:line="293" w:lineRule="auto"/>
        <w:rPr>
          <w:sz w:val="20"/>
          <w:szCs w:val="20"/>
          <w:color w:val="auto"/>
        </w:rPr>
      </w:pPr>
      <w:r>
        <w:rPr>
          <w:rFonts w:ascii="Arial" w:cs="Arial" w:eastAsia="Arial" w:hAnsi="Arial"/>
          <w:sz w:val="16"/>
          <w:szCs w:val="16"/>
          <w:color w:val="auto"/>
        </w:rPr>
        <w:t>Neither we nor the Selling Stockholders are offering to sell these securities in any jurisdiction where such offer and sale is not permitted. The distribution of this prospectus supplement and the offering of the common stock in certain jurisdictions may be restricted by law. Persons outside the United States who come into possession of this prospectus supplement must inform themselves about, and observe any restrictions relating to, the offering of the common stock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w:t>
      </w:r>
    </w:p>
    <w:p>
      <w:pPr>
        <w:spacing w:after="0" w:line="164"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information contained in this prospectus supplement and the accompanying prospectus is accurate only as of the date of this prospectus supplement or the date of the accompanying prospectus, and the information in the documents incorporated by reference in this prospectus supplement and the accompanying prospectus is accurate only as of the date of those respective documents, regardless of the time of delivery of this prospectus supplement and the accompanying prospectus or of any sale of our common stock. Our business, financial condition, results of operations and prospects may have changed since those dates. It is important for you to read and consider all information contained or incorporated by reference in this prospectus supplement and the accompanying prospectus in making your investment decision. You should read both this prospectus supplement and the accompanying prospectus, as well as the documents incorporated by reference into this prospectus supplement and the accompanying prospectus and the additional information described under “Where You Can Find More Information” in this prospectus supplement and in the accompanying prospectus, before investing in our common stock.</w:t>
      </w:r>
    </w:p>
    <w:p>
      <w:pPr>
        <w:spacing w:after="0" w:line="18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Unless otherwise indicated or the context otherwise requires, references in this prospectus supplement and the accompanying prospectus to “Veracyte,” the “company,” “we,” “us” and “our” refer to Veracyte, Inc.</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Veracyte, the Veracyte logo, HalioDx, Decipher, Decipher GRID, Afirma, Percepta, Envisia, Prosigna, Lymphmark, “Know by Design” and “More about You” are registered trademarks of Veracyte, Inc. and its affiliates in the United States and selected countries. nCounter is the registered trademark of NanoString Technologies, Inc. in the United States and selected countries, and used by Veracyte under license. Immunoscore is the registered trademark of Inserm in the United States and selected countries, and is used by HalioDx under license. This prospectus supplement, the accompanying prospectus and the documents incorporated by reference into this prospectus supplement and the accompanying prospectus may also contain trademarks and trade names that are the property of their respective owners. We do not intend our use or display of other companies’ trade names, trademarks or service marks to imply relationships with, or endorsements or sponsorship of us by, these other companies.</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080"/>
          </w:cols>
          <w:pgMar w:left="320" w:top="459"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This prospectus supplement relates to the resale of 3,347,493 shares of our common stock held by the Selling Stockholders identified under the section titled “Selling Stockholders.” The shares of our common stock that may be offered by the Selling Stockholders using this prospectus supplement represent shares of our common stock that we issued to the Selling Stockholders in connection with our entry into the SPA. We will not receive any of the proceeds from the sale of these shares of our common stock by the Selling Stockholders.</w:t>
      </w:r>
    </w:p>
    <w:p>
      <w:pPr>
        <w:spacing w:after="0" w:line="10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980"/>
          </w:cols>
          <w:pgMar w:left="320" w:top="459" w:right="5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Investing in our common stock involves a high degree of risk. Before making a decision to invest in our common stock, in addition to the other information contained in this prospectus supplement, in the accompanying prospectus, or incorporated into this prospectus supplement or the accompanying prospectus by reference, you should carefully consider the risks described under “Risk Factors” contained in our Annual Report on Form 10-K for the year ended December 31, 2020 and our Quarterly Report on Form 10-Q for the three months ended June 30, 2021, as well as any amendments thereto, which are incorporated by reference into this prospectus supplement in their entirety, together with other information in this prospectus supplement, the documents incorporated by reference, and any free writing prospectus that we may authorize for use in connection with a specific offering. See the section titled “Where You Can Find Additional Information.”</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080"/>
          </w:cols>
          <w:pgMar w:left="320" w:top="459" w:right="4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This prospectus supplement, the accompanying prospectus and the documents we have filed with the SEC that are incorporated by reference in this prospectus supplement and the accompanying prospectus contain forward-looking statements that involve risks and uncertainties. These statements relate to future periods, future events or our future operating or financial plans or performance. These statements can often be identified by the use of forward-looking terminology such as “expects,” “believes,” “anticipates,” “estimates,” “plans,” “may,” “could,” “will,” “intends” or the negative of these terms, and other similar expressions and include statements as to the estimated market opportunities for our products. We have based these forward-looking statements on our current expectations and projections about future events and trends that we believe may affect our financial condition, results of operations, strategy, short- and long-term business operations and objectives and financial needs. These statements are subject to known and unknown risks, uncertainties and assumptions that could cause actual results to differ materially from those projected or otherwise implied by the forward-looking statements. Given these risks, uncertainties and assumptions, you should not place undue reliance on these forward-looking statements. We discuss in greater detail, and incorporate by reference into this prospectus supplement and the accompanying prospectus, many of these risks, uncertainties and assumptions in the section titled “Risk Factors” contained in our Annual Report on Form 10-K for the year ended December 31, 2020 and our Quarterly Report on Form 10-Q for the three months ended June 30, 2021. Additional cautionary statements or discussions of risks, uncertainties and assumptions that could affect our results or the achievement of the expectations described in forward-looking statements are also contained in the documents we incorporate by reference into this prospectus supplement and the accompanying prospectus.</w:t>
      </w:r>
    </w:p>
    <w:p>
      <w:pPr>
        <w:spacing w:after="0" w:line="171"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Any forward-looking statement made by us in this prospectus supplement, the accompanying prospectus, or any of the documents incorporated by reference in this prospectus supplement and the accompanying prospectus speaks only as of the date on which it was made. We expressly disclaim any obligation or undertaking to release publicly any updates or revisions to any forward-looking statements contained herein to reflect any change in our expectations with regard thereto or any change in events, conditions or circumstances on which any such statement is based. You should, however, review additional disclosures we make in our Annual Report on Form 10-K, Quarterly Reports on Form 10-Q, and Current Reports on Form 8-K filed with the SEC.</w:t>
      </w:r>
    </w:p>
    <w:p>
      <w:pPr>
        <w:spacing w:after="0" w:line="192"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You should read this prospectus supplement, the accompanying prospectus, and the documents that we reference in this prospectus supplement and the accompanying prospectus completely and with the understanding that our actual future results, levels of activity, performance and events and circumstances may be materially different from what we expect. We qualify all of our forward-looking statements by these cautionary statements.</w:t>
      </w:r>
    </w:p>
    <w:p>
      <w:pPr>
        <w:spacing w:after="0" w:line="149"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This prospectus supplement, the accompanying prospectus, and the documents that we reference in this prospectus and the accompanying prospectus also contain statistical data and estimates that we obtained from industry publications and reports. These publications typically indicate that they have obtained their information from sources they believe to be reliable, but do not guarantee the accuracy and completeness of their information. You are cautioned not to give undue weight to those data and estimates. Projections, assumptions and estimates of future performance are necessarily subject to risks and uncertainties that could cause actual results to differ materially.</w:t>
      </w:r>
    </w:p>
    <w:p>
      <w:pPr>
        <w:spacing w:after="0" w:line="1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040"/>
          </w:cols>
          <w:pgMar w:left="320" w:top="459" w:right="5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All of the shares of common stock being offered hereby are being sold by the Selling Stockholders identified in this prospectus supplement. We will not receive any proceeds from the sale of shares of common stock by the Selling Stockholders.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060"/>
          </w:cols>
          <w:pgMar w:left="320" w:top="459" w:right="5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This prospectus supplement relates to the resale of up to 3,347,493 shares of our common stock held by the Selling Stockholders listed in the table below. The shares being offered were issued to the Selling Stockholders pursuant to exemptions from registration provided under Section 4(a)(2) of the Securities Act of 1933, as amended (the “Securities Act”), Rule 506 of Regulation D promulgated by the SEC under the Securities Act, or Regulation S promulgated under the Securities Act, in connection with our entry into the SPA. The Selling Stockholders may, from time to time, offer and sell pursuant to this prospectus any or all of the shares of common stock being registered. When we refer to the “selling stockholders” in this prospectus, we mean the selling stockholders listed in the table below, together with their respective transferees, pledgees, distributees, donees or other successors. Pursuant to the SPA, we agreed to file a prospectus supplement with the SEC for the purposes of registering for resale the shares of our common stock issued to the Selling Stockholders.</w:t>
      </w:r>
    </w:p>
    <w:p>
      <w:pPr>
        <w:spacing w:after="0" w:line="192" w:lineRule="exact"/>
        <w:rPr>
          <w:sz w:val="20"/>
          <w:szCs w:val="20"/>
          <w:color w:val="auto"/>
        </w:rPr>
      </w:pPr>
    </w:p>
    <w:p>
      <w:pPr>
        <w:ind w:left="120" w:right="180"/>
        <w:spacing w:after="0" w:line="272" w:lineRule="auto"/>
        <w:rPr>
          <w:sz w:val="20"/>
          <w:szCs w:val="20"/>
          <w:color w:val="auto"/>
        </w:rPr>
      </w:pPr>
      <w:r>
        <w:rPr>
          <w:rFonts w:ascii="Arial" w:cs="Arial" w:eastAsia="Arial" w:hAnsi="Arial"/>
          <w:sz w:val="17"/>
          <w:szCs w:val="17"/>
          <w:color w:val="auto"/>
        </w:rPr>
        <w:t>The table below sets forth certain information known to us, based upon written representations from the Selling Stockholders, with respect to the beneficial ownership of our shares of common stock held by the Selling Stockholders as of August 2, 2021, the date on which our acquisition of HalioDx was completed. Because the Selling Stockholders may sell, transfer or otherwise dispose of all, some or none of the shares of our common stock covered by this prospectus supplement, we cannot determine the number of such shares that will be sold, transferred or otherwise disposed of by the Selling Stockholders, or the amount or percentage of shares of our common stock that will be held by the Selling Stockholders upon termination of any particular offering. See the section titled “Plan of Distribution.” For purposes of the table below, we assume that the Selling Stockholders will sell all their shares of common stock covered by this prospectus supplement.</w:t>
      </w:r>
    </w:p>
    <w:p>
      <w:pPr>
        <w:spacing w:after="0" w:line="177"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We have determined beneficial ownership in accordance with Rule 13d-3 under the Securities Exchange Act of 1934, as amended (the “Exchange Act”). Except as indicated by the footnotes below, we believe, based on the information furnished to us, that the Selling Stockholders have sole voting and investment power with respect to all shares of common stock that it beneficially owns, subject to applicable community property laws. Unless otherwise described below, to our knowledge, the Selling Stockholders have not held any position or office or had any other material relationship with us or our affiliates during the three years prior to the date of this prospectus supplement. In addition, except as otherwise described below, based on the information provided to us by the Selling Stockholders, the Selling Stockholders are not broker-dealers or affiliates of broker-dealers.</w:t>
      </w:r>
    </w:p>
    <w:p>
      <w:pPr>
        <w:spacing w:after="0" w:line="164"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Applicable percentage ownership is based on 70,853,886 shares of common stock outstanding as of August 2, 2021. The Selling Stockholders do not hold any stock options or other convertible securities that are currently exercisable or releasable or that will become exercisable or releasable within 60 days of August 2, 2021.</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100" w:type="dxa"/>
            <w:vAlign w:val="bottom"/>
            <w:gridSpan w:val="3"/>
          </w:tcPr>
          <w:p>
            <w:pPr>
              <w:jc w:val="center"/>
              <w:ind w:left="136"/>
              <w:spacing w:after="0"/>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3"/>
          </w:tcPr>
          <w:p>
            <w:pPr>
              <w:jc w:val="center"/>
              <w:ind w:left="116"/>
              <w:spacing w:after="0"/>
              <w:rPr>
                <w:sz w:val="20"/>
                <w:szCs w:val="20"/>
                <w:color w:val="auto"/>
              </w:rPr>
            </w:pPr>
            <w:r>
              <w:rPr>
                <w:rFonts w:ascii="Arial" w:cs="Arial" w:eastAsia="Arial" w:hAnsi="Arial"/>
                <w:sz w:val="14"/>
                <w:szCs w:val="14"/>
                <w:b w:val="1"/>
                <w:bCs w:val="1"/>
                <w:color w:val="auto"/>
                <w:w w:val="89"/>
              </w:rPr>
              <w:t>Shares</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100" w:type="dxa"/>
            <w:vAlign w:val="bottom"/>
            <w:gridSpan w:val="3"/>
          </w:tcPr>
          <w:p>
            <w:pPr>
              <w:jc w:val="center"/>
              <w:ind w:left="136"/>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3"/>
          </w:tcPr>
          <w:p>
            <w:pPr>
              <w:jc w:val="center"/>
              <w:ind w:left="96"/>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1100" w:type="dxa"/>
            <w:vAlign w:val="bottom"/>
            <w:gridSpan w:val="3"/>
          </w:tcPr>
          <w:p>
            <w:pPr>
              <w:jc w:val="center"/>
              <w:ind w:left="136"/>
              <w:spacing w:after="0" w:line="158" w:lineRule="exact"/>
              <w:rPr>
                <w:sz w:val="20"/>
                <w:szCs w:val="20"/>
                <w:color w:val="auto"/>
              </w:rPr>
            </w:pPr>
            <w:r>
              <w:rPr>
                <w:rFonts w:ascii="Arial" w:cs="Arial" w:eastAsia="Arial" w:hAnsi="Arial"/>
                <w:sz w:val="14"/>
                <w:szCs w:val="14"/>
                <w:b w:val="1"/>
                <w:bCs w:val="1"/>
                <w:color w:val="auto"/>
                <w:w w:val="92"/>
              </w:rPr>
              <w:t>Owned Before</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4"/>
              </w:rPr>
              <w:t>Number of</w:t>
            </w:r>
          </w:p>
        </w:tc>
        <w:tc>
          <w:tcPr>
            <w:tcW w:w="1160" w:type="dxa"/>
            <w:vAlign w:val="bottom"/>
            <w:gridSpan w:val="5"/>
          </w:tcPr>
          <w:p>
            <w:pPr>
              <w:jc w:val="center"/>
              <w:ind w:right="80"/>
              <w:spacing w:after="0" w:line="158" w:lineRule="exact"/>
              <w:rPr>
                <w:sz w:val="20"/>
                <w:szCs w:val="20"/>
                <w:color w:val="auto"/>
              </w:rPr>
            </w:pPr>
            <w:r>
              <w:rPr>
                <w:rFonts w:ascii="Arial" w:cs="Arial" w:eastAsia="Arial" w:hAnsi="Arial"/>
                <w:sz w:val="14"/>
                <w:szCs w:val="14"/>
                <w:b w:val="1"/>
                <w:bCs w:val="1"/>
                <w:color w:val="auto"/>
                <w:w w:val="96"/>
              </w:rPr>
              <w:t>Owned After</w:t>
            </w:r>
          </w:p>
        </w:tc>
        <w:tc>
          <w:tcPr>
            <w:tcW w:w="0" w:type="dxa"/>
            <w:vAlign w:val="bottom"/>
          </w:tcPr>
          <w:p>
            <w:pPr>
              <w:spacing w:after="0"/>
              <w:rPr>
                <w:sz w:val="1"/>
                <w:szCs w:val="1"/>
                <w:color w:val="auto"/>
              </w:rPr>
            </w:pPr>
          </w:p>
        </w:tc>
      </w:tr>
      <w:tr>
        <w:trPr>
          <w:trHeight w:val="162"/>
        </w:trPr>
        <w:tc>
          <w:tcPr>
            <w:tcW w:w="17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Name of Selling Stockholder</w:t>
            </w:r>
          </w:p>
        </w:tc>
        <w:tc>
          <w:tcPr>
            <w:tcW w:w="5440" w:type="dxa"/>
            <w:vAlign w:val="bottom"/>
            <w:vMerge w:val="restart"/>
          </w:tcPr>
          <w:p>
            <w:pPr>
              <w:spacing w:after="0"/>
              <w:rPr>
                <w:sz w:val="14"/>
                <w:szCs w:val="14"/>
                <w:color w:val="auto"/>
              </w:rPr>
            </w:pPr>
          </w:p>
        </w:tc>
        <w:tc>
          <w:tcPr>
            <w:tcW w:w="1100" w:type="dxa"/>
            <w:vAlign w:val="bottom"/>
            <w:gridSpan w:val="3"/>
          </w:tcPr>
          <w:p>
            <w:pPr>
              <w:jc w:val="center"/>
              <w:ind w:left="136"/>
              <w:spacing w:after="0"/>
              <w:rPr>
                <w:sz w:val="20"/>
                <w:szCs w:val="20"/>
                <w:color w:val="auto"/>
              </w:rPr>
            </w:pPr>
            <w:r>
              <w:rPr>
                <w:rFonts w:ascii="Arial" w:cs="Arial" w:eastAsia="Arial" w:hAnsi="Arial"/>
                <w:sz w:val="14"/>
                <w:szCs w:val="14"/>
                <w:b w:val="1"/>
                <w:bCs w:val="1"/>
                <w:color w:val="auto"/>
                <w:w w:val="96"/>
              </w:rPr>
              <w:t>this Offering</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Shares</w:t>
            </w:r>
          </w:p>
        </w:tc>
        <w:tc>
          <w:tcPr>
            <w:tcW w:w="116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3"/>
              </w:rPr>
              <w:t>this Offering</w:t>
            </w:r>
          </w:p>
        </w:tc>
        <w:tc>
          <w:tcPr>
            <w:tcW w:w="0" w:type="dxa"/>
            <w:vAlign w:val="bottom"/>
          </w:tcPr>
          <w:p>
            <w:pPr>
              <w:spacing w:after="0"/>
              <w:rPr>
                <w:sz w:val="1"/>
                <w:szCs w:val="1"/>
                <w:color w:val="auto"/>
              </w:rPr>
            </w:pPr>
          </w:p>
        </w:tc>
      </w:tr>
      <w:tr>
        <w:trPr>
          <w:trHeight w:val="149"/>
        </w:trPr>
        <w:tc>
          <w:tcPr>
            <w:tcW w:w="1760" w:type="dxa"/>
            <w:vAlign w:val="bottom"/>
            <w:tcBorders>
              <w:bottom w:val="single" w:sz="8" w:color="auto"/>
            </w:tcBorders>
            <w:gridSpan w:val="2"/>
            <w:vMerge w:val="continue"/>
          </w:tcPr>
          <w:p>
            <w:pPr>
              <w:spacing w:after="0"/>
              <w:rPr>
                <w:sz w:val="12"/>
                <w:szCs w:val="12"/>
                <w:color w:val="auto"/>
              </w:rPr>
            </w:pPr>
          </w:p>
        </w:tc>
        <w:tc>
          <w:tcPr>
            <w:tcW w:w="5440" w:type="dxa"/>
            <w:vAlign w:val="bottom"/>
            <w:vMerge w:val="continue"/>
          </w:tcPr>
          <w:p>
            <w:pPr>
              <w:spacing w:after="0"/>
              <w:rPr>
                <w:sz w:val="12"/>
                <w:szCs w:val="12"/>
                <w:color w:val="auto"/>
              </w:rPr>
            </w:pPr>
          </w:p>
        </w:tc>
        <w:tc>
          <w:tcPr>
            <w:tcW w:w="1100" w:type="dxa"/>
            <w:vAlign w:val="bottom"/>
            <w:tcBorders>
              <w:top w:val="single" w:sz="8" w:color="auto"/>
            </w:tcBorders>
            <w:gridSpan w:val="3"/>
          </w:tcPr>
          <w:p>
            <w:pPr>
              <w:ind w:left="180"/>
              <w:spacing w:after="0" w:line="129"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106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2"/>
              </w:rPr>
              <w:t>Offered</w:t>
            </w:r>
          </w:p>
        </w:tc>
        <w:tc>
          <w:tcPr>
            <w:tcW w:w="900" w:type="dxa"/>
            <w:vAlign w:val="bottom"/>
            <w:tcBorders>
              <w:top w:val="single" w:sz="8" w:color="auto"/>
            </w:tcBorders>
            <w:gridSpan w:val="3"/>
          </w:tcPr>
          <w:p>
            <w:pPr>
              <w:jc w:val="right"/>
              <w:ind w:right="320"/>
              <w:spacing w:after="0" w:line="129" w:lineRule="exact"/>
              <w:rPr>
                <w:sz w:val="20"/>
                <w:szCs w:val="20"/>
                <w:color w:val="auto"/>
              </w:rPr>
            </w:pPr>
            <w:r>
              <w:rPr>
                <w:rFonts w:ascii="Arial" w:cs="Arial" w:eastAsia="Arial" w:hAnsi="Arial"/>
                <w:sz w:val="14"/>
                <w:szCs w:val="14"/>
                <w:b w:val="1"/>
                <w:bCs w:val="1"/>
                <w:color w:val="auto"/>
                <w:w w:val="87"/>
              </w:rPr>
              <w:t>Shares(1)</w:t>
            </w:r>
          </w:p>
        </w:tc>
        <w:tc>
          <w:tcPr>
            <w:tcW w:w="2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6"/>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20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MI3 S.A</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816,879</w:t>
            </w:r>
          </w:p>
        </w:tc>
        <w:tc>
          <w:tcPr>
            <w:tcW w:w="2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1.2</w:t>
            </w:r>
          </w:p>
        </w:tc>
        <w:tc>
          <w:tcPr>
            <w:tcW w:w="2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816,879</w:t>
            </w:r>
          </w:p>
        </w:tc>
        <w:tc>
          <w:tcPr>
            <w:tcW w:w="2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0" w:type="dxa"/>
            <w:vAlign w:val="bottom"/>
            <w:gridSpan w:val="3"/>
          </w:tcPr>
          <w:p>
            <w:pPr>
              <w:spacing w:after="0"/>
              <w:rPr>
                <w:sz w:val="20"/>
                <w:szCs w:val="20"/>
                <w:color w:val="auto"/>
              </w:rPr>
            </w:pPr>
            <w:r>
              <w:rPr>
                <w:rFonts w:ascii="Arial" w:cs="Arial" w:eastAsia="Arial" w:hAnsi="Arial"/>
                <w:sz w:val="18"/>
                <w:szCs w:val="18"/>
                <w:color w:val="auto"/>
              </w:rPr>
              <w:t>FPCI PSIM BPIFrance Investissement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501,941</w:t>
            </w:r>
          </w:p>
        </w:tc>
        <w:tc>
          <w:tcPr>
            <w:tcW w:w="6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501,941</w:t>
            </w:r>
          </w:p>
        </w:tc>
        <w:tc>
          <w:tcPr>
            <w:tcW w:w="9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7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SHAM Innovation Santé</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372,565</w:t>
            </w: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372,565</w:t>
            </w:r>
          </w:p>
        </w:tc>
        <w:tc>
          <w:tcPr>
            <w:tcW w:w="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7200" w:type="dxa"/>
            <w:vAlign w:val="bottom"/>
            <w:gridSpan w:val="3"/>
          </w:tcPr>
          <w:p>
            <w:pPr>
              <w:spacing w:after="0"/>
              <w:rPr>
                <w:sz w:val="20"/>
                <w:szCs w:val="20"/>
                <w:color w:val="auto"/>
              </w:rPr>
            </w:pPr>
            <w:r>
              <w:rPr>
                <w:rFonts w:ascii="Arial" w:cs="Arial" w:eastAsia="Arial" w:hAnsi="Arial"/>
                <w:sz w:val="18"/>
                <w:szCs w:val="18"/>
                <w:color w:val="auto"/>
              </w:rPr>
              <w:t>SARL Philis</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254,445</w:t>
            </w:r>
          </w:p>
        </w:tc>
        <w:tc>
          <w:tcPr>
            <w:tcW w:w="6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254,445</w:t>
            </w:r>
          </w:p>
        </w:tc>
        <w:tc>
          <w:tcPr>
            <w:tcW w:w="9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7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BNP Paribas Developpement(2)</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240,051</w:t>
            </w: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240,051</w:t>
            </w:r>
          </w:p>
        </w:tc>
        <w:tc>
          <w:tcPr>
            <w:tcW w:w="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7200" w:type="dxa"/>
            <w:vAlign w:val="bottom"/>
            <w:gridSpan w:val="3"/>
          </w:tcPr>
          <w:p>
            <w:pPr>
              <w:spacing w:after="0"/>
              <w:rPr>
                <w:sz w:val="20"/>
                <w:szCs w:val="20"/>
                <w:color w:val="auto"/>
              </w:rPr>
            </w:pPr>
            <w:r>
              <w:rPr>
                <w:rFonts w:ascii="Arial" w:cs="Arial" w:eastAsia="Arial" w:hAnsi="Arial"/>
                <w:sz w:val="18"/>
                <w:szCs w:val="18"/>
                <w:color w:val="auto"/>
              </w:rPr>
              <w:t>SAS TABODAR</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188,464</w:t>
            </w:r>
          </w:p>
        </w:tc>
        <w:tc>
          <w:tcPr>
            <w:tcW w:w="6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188,464</w:t>
            </w:r>
          </w:p>
        </w:tc>
        <w:tc>
          <w:tcPr>
            <w:tcW w:w="9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7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Stéphane Debono</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188,464</w:t>
            </w: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188,464</w:t>
            </w:r>
          </w:p>
        </w:tc>
        <w:tc>
          <w:tcPr>
            <w:tcW w:w="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7200" w:type="dxa"/>
            <w:vAlign w:val="bottom"/>
            <w:gridSpan w:val="3"/>
          </w:tcPr>
          <w:p>
            <w:pPr>
              <w:spacing w:after="0"/>
              <w:rPr>
                <w:sz w:val="20"/>
                <w:szCs w:val="20"/>
                <w:color w:val="auto"/>
              </w:rPr>
            </w:pPr>
            <w:r>
              <w:rPr>
                <w:rFonts w:ascii="Arial" w:cs="Arial" w:eastAsia="Arial" w:hAnsi="Arial"/>
                <w:sz w:val="18"/>
                <w:szCs w:val="18"/>
                <w:color w:val="auto"/>
              </w:rPr>
              <w:t>Sofipaca</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168,345</w:t>
            </w:r>
          </w:p>
        </w:tc>
        <w:tc>
          <w:tcPr>
            <w:tcW w:w="6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168,345</w:t>
            </w:r>
          </w:p>
        </w:tc>
        <w:tc>
          <w:tcPr>
            <w:tcW w:w="9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2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All other selling stockholders who beneficially own, in the aggregate, less than 1% of our</w:t>
            </w: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0" w:type="dxa"/>
            <w:vAlign w:val="bottom"/>
            <w:shd w:val="clear" w:color="auto" w:fill="CCEEFF"/>
          </w:tcPr>
          <w:p>
            <w:pPr>
              <w:spacing w:after="0"/>
              <w:rPr>
                <w:sz w:val="20"/>
                <w:szCs w:val="20"/>
                <w:color w:val="auto"/>
              </w:rPr>
            </w:pPr>
          </w:p>
        </w:tc>
        <w:tc>
          <w:tcPr>
            <w:tcW w:w="7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616,344</w:t>
            </w:r>
          </w:p>
        </w:tc>
        <w:tc>
          <w:tcPr>
            <w:tcW w:w="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616,339</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7200" w:type="dxa"/>
            <w:vAlign w:val="bottom"/>
            <w:gridSpan w:val="3"/>
          </w:tcPr>
          <w:p>
            <w:pPr>
              <w:spacing w:after="0"/>
              <w:rPr>
                <w:sz w:val="20"/>
                <w:szCs w:val="20"/>
                <w:color w:val="auto"/>
              </w:rPr>
            </w:pPr>
            <w:r>
              <w:rPr>
                <w:rFonts w:ascii="Arial" w:cs="Arial" w:eastAsia="Arial" w:hAnsi="Arial"/>
                <w:sz w:val="18"/>
                <w:szCs w:val="18"/>
                <w:b w:val="1"/>
                <w:bCs w:val="1"/>
                <w:color w:val="auto"/>
              </w:rPr>
              <w:t>Total shares of common stock</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3,347,498</w:t>
            </w:r>
          </w:p>
        </w:tc>
        <w:tc>
          <w:tcPr>
            <w:tcW w:w="60" w:type="dxa"/>
            <w:vAlign w:val="bottom"/>
          </w:tcPr>
          <w:p>
            <w:pPr>
              <w:spacing w:after="0"/>
              <w:rPr>
                <w:sz w:val="20"/>
                <w:szCs w:val="20"/>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w w:val="79"/>
              </w:rPr>
              <w:t>4.7</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3,347,493</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0"/>
                <w:szCs w:val="20"/>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41"/>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7060" w:type="dxa"/>
            <w:vAlign w:val="bottom"/>
            <w:gridSpan w:val="2"/>
          </w:tcPr>
          <w:p>
            <w:pPr>
              <w:ind w:left="280"/>
              <w:spacing w:after="0"/>
              <w:rPr>
                <w:sz w:val="20"/>
                <w:szCs w:val="20"/>
                <w:color w:val="auto"/>
              </w:rPr>
            </w:pPr>
            <w:r>
              <w:rPr>
                <w:rFonts w:ascii="Arial" w:cs="Arial" w:eastAsia="Arial" w:hAnsi="Arial"/>
                <w:sz w:val="18"/>
                <w:szCs w:val="18"/>
                <w:color w:val="auto"/>
              </w:rPr>
              <w:t>Less than 1%.</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440" w:type="dxa"/>
            <w:vAlign w:val="bottom"/>
          </w:tcPr>
          <w:p>
            <w:pPr>
              <w:ind w:left="3620"/>
              <w:spacing w:after="0"/>
              <w:rPr>
                <w:sz w:val="20"/>
                <w:szCs w:val="20"/>
                <w:color w:val="auto"/>
              </w:rPr>
            </w:pPr>
            <w:r>
              <w:rPr>
                <w:rFonts w:ascii="Arial" w:cs="Arial" w:eastAsia="Arial" w:hAnsi="Arial"/>
                <w:sz w:val="18"/>
                <w:szCs w:val="18"/>
                <w:color w:val="auto"/>
              </w:rPr>
              <w:t>S-7</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line="255"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Assumes the Selling Stockholders dispose of all of the shares of common stock covered by this prospectus supplement and do not acquire beneficial ownership of any additional shares. The registration of these shares does not necessarily mean that the Selling Stockholders will sell all or any portion of the shares covered by this prospectus supplement.</w:t>
      </w:r>
    </w:p>
    <w:p>
      <w:pPr>
        <w:spacing w:after="0" w:line="2" w:lineRule="exact"/>
        <w:rPr>
          <w:rFonts w:ascii="Arial" w:cs="Arial" w:eastAsia="Arial" w:hAnsi="Arial"/>
          <w:sz w:val="18"/>
          <w:szCs w:val="18"/>
          <w:color w:val="auto"/>
        </w:rPr>
      </w:pPr>
    </w:p>
    <w:p>
      <w:pPr>
        <w:ind w:left="540" w:right="100" w:hanging="424"/>
        <w:spacing w:after="0" w:line="302" w:lineRule="auto"/>
        <w:tabs>
          <w:tab w:leader="none" w:pos="54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Selling stockholder is an affiliate of a broker-dealer. The selling stockholder has represented to us that (1) it received the securities in the ordinary course of business and (2) at the time of the receipt of the securities, it had no agreements or understandings, directly or indirectly, with any person to distribute the securities. The address for the Selling Stockholder is 1, boulevard Haussmann, 75009 Paris, France.</w:t>
      </w:r>
    </w:p>
    <w:p>
      <w:pPr>
        <w:spacing w:after="0" w:line="8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040"/>
          </w:cols>
          <w:pgMar w:left="320" w:top="459" w:right="5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The Selling Stockholders, which as used herein includes any donees, pledgees, transferees or other successors–in–interest selling shares received after the date of this prospectus supplement from the Selling Stockholders as a gift, pledge, partnership distribution or other transfer, may, from time to time, sell, transfer, or otherwise dispose of any or all of their shares on any stock exchange, market or trading facility on which the shares are traded or in private transactions. The Selling Stockholders will act independently of us in making decisions with respect to the timing, manner, and size of any such sale, transfer or other disposition. These dispositions may be at market prices prevailing at the time of sale, at prices related to such market prices, at a fixed price or prices subject to change, or at negotiated prices.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Selling Stockholders may use any one or more of the following methods when disposing of shares or interests therein:</w:t>
      </w:r>
    </w:p>
    <w:p>
      <w:pPr>
        <w:spacing w:after="0" w:line="131" w:lineRule="exact"/>
        <w:rPr>
          <w:sz w:val="20"/>
          <w:szCs w:val="20"/>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any national securities exchange or quotation service on which the securities may be listed or quoted at the time of 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transactions otherwise than on these exchanges or systems or in the over-the-counter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130"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broker-dealers may agree with the Selling Stockholders to sell a specified number of such shares at a stipulated price per share;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Selling Stockholders may, subject to our Insider Trading Policy (in the case of Selling Stockholders that are Veracyte employees), enter into option, derivative or hedging transactions with respect to the shares of common stock, and any related offers or sales of shares may be made pursuant to this prospectus supplement. For example, the Selling Stockholders may:</w:t>
      </w:r>
    </w:p>
    <w:p>
      <w:pPr>
        <w:spacing w:after="0" w:line="89" w:lineRule="exact"/>
        <w:rPr>
          <w:sz w:val="20"/>
          <w:szCs w:val="20"/>
          <w:color w:val="auto"/>
        </w:rPr>
      </w:pPr>
    </w:p>
    <w:p>
      <w:pPr>
        <w:ind w:left="1080" w:right="28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enter into transactions involving short sales of the shares by broker-dealers in the course of hedging the positions they assume with the Selling Stockholders;</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sell shares short itself and deliver the shares registered hereby to settle such short sales or to close out stock loans incurred in connection with its short positions;</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write call options, put options or other derivative instruments (including exchange-traded options or privately negotiated options) with respect to the shares, or which they settle through delivery of the shares;</w:t>
      </w:r>
    </w:p>
    <w:p>
      <w:pPr>
        <w:spacing w:after="0" w:line="75" w:lineRule="exact"/>
        <w:rPr>
          <w:rFonts w:ascii="Arial" w:cs="Arial" w:eastAsia="Arial" w:hAnsi="Arial"/>
          <w:sz w:val="18"/>
          <w:szCs w:val="18"/>
          <w:color w:val="auto"/>
        </w:rPr>
      </w:pPr>
    </w:p>
    <w:p>
      <w:pPr>
        <w:ind w:left="1080" w:right="300" w:hanging="424"/>
        <w:spacing w:after="0" w:line="308" w:lineRule="auto"/>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enter into option transactions or other types of transactions that require the Selling Stockholders to deliver shares to a broker, dealer or other financial institution, who may then resell or transfer the shares under this prospectus supplement; or</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lend the shares to a broker, dealer or other financial institution, which may sell the lent shares.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060"/>
          </w:cols>
          <w:pgMar w:left="320" w:top="459" w:right="5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These option, derivative and hedging transactions may require the delivery to a broker, dealer or other financial institution of shares offered hereby, and such broker, dealer or other financial institution may resell such shares pursuant to this prospectus supplement.</w:t>
      </w:r>
    </w:p>
    <w:p>
      <w:pPr>
        <w:spacing w:after="0" w:line="170"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The Selling Stockholders may also sell shares under Rule 144 under the Securities Act, if available, rather than under this prospectus supplement. The Selling Stockholders are not obligated to, and there is no assurance that the Selling Stockholders will, sell all or any of the shares we are registering. The Selling Stockholders may transfer, devise or gift such shares by other means not described in this prospectus supplement.</w:t>
      </w:r>
    </w:p>
    <w:p>
      <w:pPr>
        <w:spacing w:after="0" w:line="149"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The aggregate proceeds to the Selling Stockholders from the sale of the common stock offered by them will be the purchase price of the common stock less discounts or commissions, if any. The Selling Stockholders reserve the right to accept and, together with its agents from time to time, to reject, in whole or in part, any proposed purchase of common stock to be made directly or through agents. We will not receive any of the proceeds from this offering. We are required to pay certain fees and expenses incurred by us incident to the registration of the shares.</w:t>
      </w:r>
    </w:p>
    <w:p>
      <w:pPr>
        <w:spacing w:after="0" w:line="171"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Broker-dealers engaged by the Selling Stockholders may arrange for other brokers-dealers to participate in sales. Broker-dealers may receive commissions or discounts from the Selling Stockholders (or, if any broker-dealer acts as agent for the purchaser of shares, from the purchaser) in amounts to be negotiated. The Selling Stockholders do not expect these commissions and discounts to exceed what is customary in the types of transactions involved. Any profits on the resale of shares by a broker-dealer acting as principal might be deemed to be underwriting discounts or commissions under the Securities Act. Discounts, concessions, commissions and similar selling expenses, if any, attributable to the sale of shares will be borne by the Selling Stockholders. The Selling Stockholders may agree to indemnify any agent, dealer or broker-dealer that participates in transactions involving sales of the shares if liabilities are imposed on that person under the Securities Act.</w:t>
      </w:r>
    </w:p>
    <w:p>
      <w:pPr>
        <w:spacing w:after="0" w:line="17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Selling Stockholders, broker-dealers or agents that participate in the sale of the common stock may be “underwriters” within the meaning of Section 2(11) of the Securities Act. Any discounts, commissions, concessions or profit they earn on any resale of the shares may be underwriting discounts and commissions under the Securities Act. If any Selling Stockholder is an “underwriter” within the meaning of Section 2(11) of the Securities Act, it will be subject to the prospectus delivery requirements of the Securities Act. There is no underwriter or coordinating broker acting in connection with the proposed sale of the resale shares by the Selling Stockholders and the Selling Stockholders may not participate in an underwritten offering without our prior written consent.</w:t>
      </w:r>
    </w:p>
    <w:p>
      <w:pPr>
        <w:spacing w:after="0" w:line="192"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The Selling Stockholders, subject to our Insider Trading Policy (in the case of Selling Stockholders that are Veracyte employees), may from time to time pledge or grant a security interest in some or all of the shares owned by them and, if any Selling Stockholder defaults in the performance of any of its secured obligations, the pledgees or secured parties may offer and sell the shares from time to time under this prospectus supplement, or under an amendment to this prospectus supplement or other applicable provision of the Securities Act amending the list of selling stockholders to include the pledgee, transferee or other successors-in-interest as selling stockholders under this prospectus supplement. The Selling Stockholders also may transfer the shares of common stock in other circumstances, in which case the transferees, pledgees or other successors-in-interest will be the selling beneficial owners for purposes of this prospectus supplement.</w:t>
      </w:r>
    </w:p>
    <w:p>
      <w:pPr>
        <w:spacing w:after="0" w:line="177"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To the extent required, the shares to be sold, the names of the selling stockholders, the respective purchase prices and public offering prices, the names of any agents, dealer, or underwriter and any applicable commissions or discounts with respect to a particular offer will be set forth in an accompanying prospectus supplement or, if appropriate, a post-effective amendment to the registration statement that includes this prospectus supplement.</w:t>
      </w:r>
    </w:p>
    <w:p>
      <w:pPr>
        <w:spacing w:after="0" w:line="14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common stock is listed on The Nasdaq Global Market under the symbol “VCYT.”</w:t>
      </w:r>
    </w:p>
    <w:p>
      <w:pPr>
        <w:spacing w:after="0" w:line="22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anti-manipulation rules of Regulation M under the Exchange Act, may apply to sales of shares in the market and to the activities of the Selling Stockholders and their respective affiliates. In addition, we will make copies of this prospectus supplement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88"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We have agreed to indemnify the Selling Stockholders against liabilities, including liabilities under the Securities Act and state securities laws, relating to the registration of the shares offered by this prospectus supplement.</w:t>
      </w:r>
    </w:p>
    <w:p>
      <w:pPr>
        <w:spacing w:after="0" w:line="170" w:lineRule="exact"/>
        <w:rPr>
          <w:sz w:val="20"/>
          <w:szCs w:val="20"/>
          <w:color w:val="auto"/>
        </w:rPr>
      </w:pPr>
    </w:p>
    <w:p>
      <w:pPr>
        <w:jc w:val="both"/>
        <w:ind w:left="120" w:right="380"/>
        <w:spacing w:after="0" w:line="263" w:lineRule="auto"/>
        <w:rPr>
          <w:sz w:val="20"/>
          <w:szCs w:val="20"/>
          <w:color w:val="auto"/>
        </w:rPr>
      </w:pPr>
      <w:r>
        <w:rPr>
          <w:rFonts w:ascii="Arial" w:cs="Arial" w:eastAsia="Arial" w:hAnsi="Arial"/>
          <w:sz w:val="18"/>
          <w:szCs w:val="18"/>
          <w:color w:val="auto"/>
        </w:rPr>
        <w:t>We may restrict or suspend offers and sales or other dispositions of the shares under this prospectus supplement under certain circumstances. In the event of such restriction or suspension, the Selling Stockholders will not be able to offer or sell or otherwise dispose of the shares of common stock under this prospectus supplement.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Expenses associated with this offering to be paid by us are estimated to be approximately $40,000, including SEC filing fees.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00"/>
          </w:cols>
          <w:pgMar w:left="320" w:top="459"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validity of the shares of common stock being offered hereby will be passed upon for us by Fenwick &amp; West LLP, San Francisco, California.</w:t>
      </w:r>
    </w:p>
    <w:p>
      <w:pPr>
        <w:spacing w:after="0" w:line="200" w:lineRule="exact"/>
        <w:rPr>
          <w:sz w:val="20"/>
          <w:szCs w:val="20"/>
          <w:color w:val="auto"/>
        </w:rPr>
      </w:pPr>
    </w:p>
    <w:p>
      <w:pPr>
        <w:spacing w:after="0" w:line="24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Ernst &amp; Young LLP, independent registered public accounting firm, has audited our consolidated financial statements included in our Annual Report on Form 10-K for the year ended December 31, 2020, and the effectiveness of our internal control over financial reporting as of December 31, 2020,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w:t>
      </w:r>
    </w:p>
    <w:p>
      <w:pPr>
        <w:spacing w:after="0" w:line="36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We have filed a registration statement on Form S-3 with the SEC under the Securities Act. This prospectus supplement and the accompanying prospectus are part of the registration statement but the registration statement includes and incorporates by reference additional information and exhibits. We file annual, quarterly and current reports, proxy statements and other information with the SEC. The SEC maintains a website that contains reports, proxy and information statements and other information regarding companies, such as ours, that file documents electronically with the SEC. The address of that site on the Internet is http://www.sec.gov. The information on the SEC’s website is not part of this prospectus supplement or the accompanying prospectus, and any references to this website or any other website are inactive textual references only.</w:t>
      </w:r>
    </w:p>
    <w:p>
      <w:pPr>
        <w:spacing w:after="0" w:line="178"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The SEC permits us to “incorporate by reference” the information contained in documents we file with the SEC, which means that we can disclose important information to you by referring you to those documents rather than by including them in this prospectus supplement or the accompanying prospectus. Information that is incorporated by reference is considered to be part of this prospectus supplement and the accompanying prospectus and you should read it with the same care that you read this prospectus supplement and the accompanying prospectus. Later information that we file with the SEC will automatically update and supersede the information that is either contained, or incorporated by reference, in this prospectus supplement and the accompanying prospectus, and will be considered to be a part of this prospectus supplement and the accompanying prospectus from the date those documents are filed. We have filed with the SEC, and incorporate by reference in this prospectus supplement and the accompanying prospectus:</w:t>
      </w:r>
    </w:p>
    <w:p>
      <w:pPr>
        <w:spacing w:after="0" w:line="72"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23">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2020, filed with the SEC on February 22, 2021;</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5"/>
        </w:numPr>
        <w:rPr>
          <w:rFonts w:ascii="Arial" w:cs="Arial" w:eastAsia="Arial" w:hAnsi="Arial"/>
          <w:sz w:val="18"/>
          <w:szCs w:val="18"/>
          <w:color w:val="0000EE"/>
        </w:rPr>
      </w:pPr>
      <w:r>
        <w:rPr>
          <w:rFonts w:ascii="Arial" w:cs="Arial" w:eastAsia="Arial" w:hAnsi="Arial"/>
          <w:sz w:val="18"/>
          <w:szCs w:val="18"/>
          <w:color w:val="auto"/>
        </w:rPr>
        <w:t xml:space="preserve">our Quarterly Reports on Form 10-Q for the quarters ended March 31, 2021 and June 30, 2021, filed with the SEC on </w:t>
      </w:r>
      <w:hyperlink r:id="rId24">
        <w:r>
          <w:rPr>
            <w:rFonts w:ascii="Arial" w:cs="Arial" w:eastAsia="Arial" w:hAnsi="Arial"/>
            <w:sz w:val="18"/>
            <w:szCs w:val="18"/>
            <w:u w:val="single" w:color="auto"/>
            <w:color w:val="0000EE"/>
          </w:rPr>
          <w:t>May 10,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5">
        <w:r>
          <w:rPr>
            <w:rFonts w:ascii="Arial" w:cs="Arial" w:eastAsia="Arial" w:hAnsi="Arial"/>
            <w:sz w:val="18"/>
            <w:szCs w:val="18"/>
            <w:u w:val="single" w:color="auto"/>
            <w:color w:val="0000EE"/>
          </w:rPr>
          <w:t>July 29, 2021</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respectively;</w:t>
      </w:r>
    </w:p>
    <w:p>
      <w:pPr>
        <w:spacing w:after="0" w:line="75" w:lineRule="exact"/>
        <w:rPr>
          <w:rFonts w:ascii="Arial" w:cs="Arial" w:eastAsia="Arial" w:hAnsi="Arial"/>
          <w:sz w:val="18"/>
          <w:szCs w:val="18"/>
          <w:color w:val="0000EE"/>
        </w:rPr>
      </w:pPr>
    </w:p>
    <w:p>
      <w:pPr>
        <w:ind w:left="1080" w:right="160" w:hanging="424"/>
        <w:spacing w:after="0" w:line="259" w:lineRule="auto"/>
        <w:tabs>
          <w:tab w:leader="none" w:pos="1080" w:val="left"/>
        </w:tabs>
        <w:numPr>
          <w:ilvl w:val="0"/>
          <w:numId w:val="5"/>
        </w:numPr>
        <w:rPr>
          <w:rFonts w:ascii="Arial" w:cs="Arial" w:eastAsia="Arial" w:hAnsi="Arial"/>
          <w:sz w:val="18"/>
          <w:szCs w:val="18"/>
          <w:color w:val="0000EE"/>
        </w:rPr>
      </w:pPr>
      <w:hyperlink r:id="rId26">
        <w:r>
          <w:rPr>
            <w:rFonts w:ascii="Arial" w:cs="Arial" w:eastAsia="Arial" w:hAnsi="Arial"/>
            <w:sz w:val="18"/>
            <w:szCs w:val="18"/>
            <w:color w:val="auto"/>
          </w:rPr>
          <w:t xml:space="preserve">our Current Reports on Form 8-K filed with the SEC on </w:t>
        </w:r>
        <w:r>
          <w:rPr>
            <w:rFonts w:ascii="Arial" w:cs="Arial" w:eastAsia="Arial" w:hAnsi="Arial"/>
            <w:sz w:val="18"/>
            <w:szCs w:val="18"/>
            <w:u w:val="single" w:color="auto"/>
            <w:color w:val="0000EE"/>
          </w:rPr>
          <w:t>January 25,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February 3,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February 5,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March 3,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March</w:t>
        </w:r>
      </w:hyperlink>
      <w:r>
        <w:rPr>
          <w:rFonts w:ascii="Arial" w:cs="Arial" w:eastAsia="Arial" w:hAnsi="Arial"/>
          <w:sz w:val="18"/>
          <w:szCs w:val="18"/>
          <w:color w:val="auto"/>
        </w:rPr>
        <w:t xml:space="preserve"> </w:t>
      </w:r>
      <w:hyperlink r:id="rId26">
        <w:r>
          <w:rPr>
            <w:rFonts w:ascii="Arial" w:cs="Arial" w:eastAsia="Arial" w:hAnsi="Arial"/>
            <w:sz w:val="18"/>
            <w:szCs w:val="18"/>
            <w:u w:val="single" w:color="auto"/>
            <w:color w:val="0000EE"/>
          </w:rPr>
          <w:t>15, 2021</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7">
        <w:r>
          <w:rPr>
            <w:rFonts w:ascii="Arial" w:cs="Arial" w:eastAsia="Arial" w:hAnsi="Arial"/>
            <w:sz w:val="18"/>
            <w:szCs w:val="18"/>
            <w:u w:val="single" w:color="auto"/>
            <w:color w:val="0000EE"/>
          </w:rPr>
          <w:t>March 22, 2021</w:t>
        </w:r>
      </w:hyperlink>
      <w:hyperlink r:id="rId26">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8">
        <w:r>
          <w:rPr>
            <w:rFonts w:ascii="Arial" w:cs="Arial" w:eastAsia="Arial" w:hAnsi="Arial"/>
            <w:sz w:val="18"/>
            <w:szCs w:val="18"/>
            <w:u w:val="single" w:color="auto"/>
            <w:color w:val="0000EE"/>
          </w:rPr>
          <w:t>April 5, 2021</w:t>
        </w:r>
      </w:hyperlink>
      <w:hyperlink r:id="rId26">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9">
        <w:r>
          <w:rPr>
            <w:rFonts w:ascii="Arial" w:cs="Arial" w:eastAsia="Arial" w:hAnsi="Arial"/>
            <w:sz w:val="18"/>
            <w:szCs w:val="18"/>
            <w:u w:val="single" w:color="auto"/>
            <w:color w:val="0000EE"/>
          </w:rPr>
          <w:t>April 15, 2021</w:t>
        </w:r>
      </w:hyperlink>
      <w:hyperlink r:id="rId26">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30">
        <w:r>
          <w:rPr>
            <w:rFonts w:ascii="Arial" w:cs="Arial" w:eastAsia="Arial" w:hAnsi="Arial"/>
            <w:sz w:val="18"/>
            <w:szCs w:val="18"/>
            <w:u w:val="single" w:color="auto"/>
            <w:color w:val="0000EE"/>
          </w:rPr>
          <w:t>May 10, 2021</w:t>
        </w:r>
      </w:hyperlink>
      <w:hyperlink r:id="rId26">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31">
        <w:r>
          <w:rPr>
            <w:rFonts w:ascii="Arial" w:cs="Arial" w:eastAsia="Arial" w:hAnsi="Arial"/>
            <w:sz w:val="18"/>
            <w:szCs w:val="18"/>
            <w:u w:val="single" w:color="auto"/>
            <w:color w:val="0000EE"/>
          </w:rPr>
          <w:t>May 19, 2021</w:t>
        </w:r>
      </w:hyperlink>
      <w:hyperlink r:id="rId26">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32">
        <w:r>
          <w:rPr>
            <w:rFonts w:ascii="Arial" w:cs="Arial" w:eastAsia="Arial" w:hAnsi="Arial"/>
            <w:sz w:val="18"/>
            <w:szCs w:val="18"/>
            <w:u w:val="single" w:color="auto"/>
            <w:color w:val="0000EE"/>
          </w:rPr>
          <w:t>June 1, 2021</w:t>
        </w:r>
      </w:hyperlink>
      <w:hyperlink r:id="rId26">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33">
        <w:r>
          <w:rPr>
            <w:rFonts w:ascii="Arial" w:cs="Arial" w:eastAsia="Arial" w:hAnsi="Arial"/>
            <w:sz w:val="18"/>
            <w:szCs w:val="18"/>
            <w:u w:val="single" w:color="auto"/>
            <w:color w:val="0000EE"/>
          </w:rPr>
          <w:t>June 8, 2021</w:t>
        </w:r>
      </w:hyperlink>
      <w:hyperlink r:id="rId26">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34">
        <w:r>
          <w:rPr>
            <w:rFonts w:ascii="Arial" w:cs="Arial" w:eastAsia="Arial" w:hAnsi="Arial"/>
            <w:sz w:val="18"/>
            <w:szCs w:val="18"/>
            <w:u w:val="single" w:color="auto"/>
            <w:color w:val="0000EE"/>
          </w:rPr>
          <w:t>July 12, 2021</w:t>
        </w:r>
      </w:hyperlink>
      <w:hyperlink r:id="rId26">
        <w:r>
          <w:rPr>
            <w:rFonts w:ascii="Arial" w:cs="Arial" w:eastAsia="Arial" w:hAnsi="Arial"/>
            <w:sz w:val="18"/>
            <w:szCs w:val="18"/>
            <w:color w:val="000000"/>
          </w:rPr>
          <w:t>,</w:t>
        </w:r>
      </w:hyperlink>
      <w:r>
        <w:rPr>
          <w:rFonts w:ascii="Arial" w:cs="Arial" w:eastAsia="Arial" w:hAnsi="Arial"/>
          <w:sz w:val="18"/>
          <w:szCs w:val="18"/>
          <w:color w:val="0000EE"/>
        </w:rPr>
        <w:t xml:space="preserve"> </w:t>
      </w:r>
      <w:hyperlink r:id="rId35">
        <w:r>
          <w:rPr>
            <w:rFonts w:ascii="Arial" w:cs="Arial" w:eastAsia="Arial" w:hAnsi="Arial"/>
            <w:sz w:val="18"/>
            <w:szCs w:val="18"/>
            <w:u w:val="single" w:color="auto"/>
            <w:color w:val="0000EE"/>
          </w:rPr>
          <w:t>July 13, 2021</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36">
        <w:r>
          <w:rPr>
            <w:rFonts w:ascii="Arial" w:cs="Arial" w:eastAsia="Arial" w:hAnsi="Arial"/>
            <w:sz w:val="18"/>
            <w:szCs w:val="18"/>
            <w:u w:val="single" w:color="auto"/>
            <w:color w:val="0000EE"/>
          </w:rPr>
          <w:t xml:space="preserve">July 16, 2021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37">
        <w:r>
          <w:rPr>
            <w:rFonts w:ascii="Arial" w:cs="Arial" w:eastAsia="Arial" w:hAnsi="Arial"/>
            <w:sz w:val="18"/>
            <w:szCs w:val="18"/>
            <w:u w:val="single" w:color="auto"/>
            <w:color w:val="0000EE"/>
          </w:rPr>
          <w:t xml:space="preserve">August 2, 2021 </w:t>
        </w:r>
      </w:hyperlink>
      <w:r>
        <w:rPr>
          <w:rFonts w:ascii="Arial" w:cs="Arial" w:eastAsia="Arial" w:hAnsi="Arial"/>
          <w:sz w:val="18"/>
          <w:szCs w:val="18"/>
          <w:color w:val="000000"/>
        </w:rPr>
        <w:t>(except</w:t>
      </w:r>
      <w:r>
        <w:rPr>
          <w:rFonts w:ascii="Arial" w:cs="Arial" w:eastAsia="Arial" w:hAnsi="Arial"/>
          <w:sz w:val="18"/>
          <w:szCs w:val="18"/>
          <w:color w:val="0000EE"/>
        </w:rPr>
        <w:t xml:space="preserve"> </w:t>
      </w:r>
      <w:r>
        <w:rPr>
          <w:rFonts w:ascii="Arial" w:cs="Arial" w:eastAsia="Arial" w:hAnsi="Arial"/>
          <w:sz w:val="18"/>
          <w:szCs w:val="18"/>
          <w:color w:val="000000"/>
        </w:rPr>
        <w:t>that any portions thereof which are furnished and not filed shall not be deemed</w:t>
      </w:r>
      <w:r>
        <w:rPr>
          <w:rFonts w:ascii="Arial" w:cs="Arial" w:eastAsia="Arial" w:hAnsi="Arial"/>
          <w:sz w:val="18"/>
          <w:szCs w:val="18"/>
          <w:color w:val="0000EE"/>
        </w:rPr>
        <w:t xml:space="preserve"> </w:t>
      </w:r>
      <w:r>
        <w:rPr>
          <w:rFonts w:ascii="Arial" w:cs="Arial" w:eastAsia="Arial" w:hAnsi="Arial"/>
          <w:sz w:val="18"/>
          <w:szCs w:val="18"/>
          <w:color w:val="000000"/>
        </w:rPr>
        <w:t>incorporated); and</w:t>
      </w:r>
    </w:p>
    <w:p>
      <w:pPr>
        <w:spacing w:after="0" w:line="92" w:lineRule="exact"/>
        <w:rPr>
          <w:rFonts w:ascii="Arial" w:cs="Arial" w:eastAsia="Arial" w:hAnsi="Arial"/>
          <w:sz w:val="18"/>
          <w:szCs w:val="18"/>
          <w:color w:val="0000EE"/>
        </w:rPr>
      </w:pPr>
    </w:p>
    <w:p>
      <w:pPr>
        <w:ind w:left="1080" w:right="140" w:hanging="424"/>
        <w:spacing w:after="0" w:line="311" w:lineRule="auto"/>
        <w:tabs>
          <w:tab w:leader="none" w:pos="1080" w:val="left"/>
        </w:tabs>
        <w:numPr>
          <w:ilvl w:val="0"/>
          <w:numId w:val="5"/>
        </w:numPr>
        <w:rPr>
          <w:rFonts w:ascii="Arial" w:cs="Arial" w:eastAsia="Arial" w:hAnsi="Arial"/>
          <w:sz w:val="16"/>
          <w:szCs w:val="16"/>
          <w:color w:val="0000EE"/>
        </w:rPr>
      </w:pPr>
      <w:r>
        <w:rPr>
          <w:rFonts w:ascii="Arial" w:cs="Arial" w:eastAsia="Arial" w:hAnsi="Arial"/>
          <w:sz w:val="16"/>
          <w:szCs w:val="16"/>
          <w:color w:val="auto"/>
        </w:rPr>
        <w:t xml:space="preserve">the description of our common stock contained in our registration statement on </w:t>
      </w:r>
      <w:hyperlink r:id="rId38">
        <w:r>
          <w:rPr>
            <w:rFonts w:ascii="Arial" w:cs="Arial" w:eastAsia="Arial" w:hAnsi="Arial"/>
            <w:sz w:val="16"/>
            <w:szCs w:val="16"/>
            <w:u w:val="single" w:color="auto"/>
            <w:color w:val="0000EE"/>
          </w:rPr>
          <w:t>Form 8-A</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filed with the SEC on October 28, 2013 under </w:t>
      </w:r>
      <w:hyperlink r:id="rId39">
        <w:r>
          <w:rPr>
            <w:rFonts w:ascii="Arial" w:cs="Arial" w:eastAsia="Arial" w:hAnsi="Arial"/>
            <w:sz w:val="16"/>
            <w:szCs w:val="16"/>
            <w:color w:val="auto"/>
          </w:rPr>
          <w:t xml:space="preserve">Section 12 of the Exchange Act, including any amendment or report filed for the purpose of updating such description, including </w:t>
        </w:r>
        <w:r>
          <w:rPr>
            <w:rFonts w:ascii="Arial" w:cs="Arial" w:eastAsia="Arial" w:hAnsi="Arial"/>
            <w:sz w:val="16"/>
            <w:szCs w:val="16"/>
            <w:u w:val="single" w:color="auto"/>
            <w:color w:val="0000EE"/>
          </w:rPr>
          <w:t>Exhibit</w:t>
        </w:r>
      </w:hyperlink>
      <w:r>
        <w:rPr>
          <w:rFonts w:ascii="Arial" w:cs="Arial" w:eastAsia="Arial" w:hAnsi="Arial"/>
          <w:sz w:val="16"/>
          <w:szCs w:val="16"/>
          <w:color w:val="auto"/>
        </w:rPr>
        <w:t xml:space="preserve"> </w:t>
      </w:r>
      <w:hyperlink r:id="rId39">
        <w:r>
          <w:rPr>
            <w:rFonts w:ascii="Arial" w:cs="Arial" w:eastAsia="Arial" w:hAnsi="Arial"/>
            <w:sz w:val="16"/>
            <w:szCs w:val="16"/>
            <w:u w:val="single" w:color="auto"/>
            <w:color w:val="0000EE"/>
          </w:rPr>
          <w:t>4.2</w:t>
        </w:r>
        <w:r>
          <w:rPr>
            <w:rFonts w:ascii="Arial" w:cs="Arial" w:eastAsia="Arial" w:hAnsi="Arial"/>
            <w:sz w:val="16"/>
            <w:szCs w:val="16"/>
            <w:color w:val="0000EE"/>
          </w:rPr>
          <w:t xml:space="preserve"> </w:t>
        </w:r>
        <w:r>
          <w:rPr>
            <w:rFonts w:ascii="Arial" w:cs="Arial" w:eastAsia="Arial" w:hAnsi="Arial"/>
            <w:sz w:val="16"/>
            <w:szCs w:val="16"/>
            <w:color w:val="000000"/>
          </w:rPr>
          <w:t>to our Annual Report on Form 10-K for the year ended December 31, 2020, filed with the SEC on February 22, 2021.</w:t>
        </w:r>
      </w:hyperlink>
    </w:p>
    <w:p>
      <w:pPr>
        <w:spacing w:after="0" w:line="81" w:lineRule="exact"/>
        <w:rPr>
          <w:rFonts w:ascii="Arial" w:cs="Arial" w:eastAsia="Arial" w:hAnsi="Arial"/>
          <w:sz w:val="16"/>
          <w:szCs w:val="16"/>
          <w:color w:val="auto"/>
        </w:rPr>
      </w:pPr>
    </w:p>
    <w:p>
      <w:pPr>
        <w:jc w:val="center"/>
        <w:ind w:right="-1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We also incorporate by reference all additional documents that we file with the SEC under the terms of Section 13(a), 13(c), 14 or 15(d) of the Exchange Act that are made after the initial filing date of the registration statement of which this prospectus supplement and the accompanying prospectus is a part and the effectiveness of the registration statement, as well as between the date of this prospectus supplement and the termination of any offering of securities offered by this prospectus supplement and the accompanying prospectus. We are not, however, incorporating, in each case, any documents or information that we are deemed to furnish and not file in accordance with SEC rules.</w:t>
      </w:r>
    </w:p>
    <w:p>
      <w:pPr>
        <w:spacing w:after="0" w:line="176"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You may request a copy of any or all of the documents incorporated by reference but not delivered with this prospectus supplement and the accompanying prospectus, at no cost, by writing or telephoning us at the following address and number: Investor Relations, Veracyte, Inc., 6000 Shoreline Court, Suite 300, South San Francisco, California 94080 and (650) 243-6300. We will not, however, send exhibits to those documents, unless the exhibits are specifically incorporated by reference in those documents.</w:t>
      </w:r>
    </w:p>
    <w:p>
      <w:pPr>
        <w:spacing w:after="0" w:line="187"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We make available free of charge on our website our annual reports on Form 10-K, quarterly reports on Form 10-Q, current reports on Form 8-K and amendments to those reports, as soon as reasonably practicable after we electronically file or furnish such materials to the SEC. You may obtain a free copy of these reports on the Investor Relations section of our website, www.veracyte.com.</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171450</wp:posOffset>
            </wp:positionV>
            <wp:extent cx="1920240" cy="13887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2">
                      <a:extLst>
                        <a:ext uri="{28A0092B-C50C-407E-A947-70E740481C1C}"/>
                      </a:extLst>
                    </a:blip>
                    <a:srcRect/>
                    <a:stretch>
                      <a:fillRect/>
                    </a:stretch>
                  </pic:blipFill>
                  <pic:spPr bwMode="auto">
                    <a:xfrm>
                      <a:off x="0" y="0"/>
                      <a:ext cx="1920240" cy="138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9"/>
        <w:spacing w:after="0"/>
        <w:rPr>
          <w:sz w:val="20"/>
          <w:szCs w:val="20"/>
          <w:color w:val="auto"/>
        </w:rPr>
      </w:pPr>
      <w:r>
        <w:rPr>
          <w:rFonts w:ascii="Arial" w:cs="Arial" w:eastAsia="Arial" w:hAnsi="Arial"/>
          <w:sz w:val="43"/>
          <w:szCs w:val="43"/>
          <w:b w:val="1"/>
          <w:bCs w:val="1"/>
          <w:color w:val="auto"/>
        </w:rPr>
        <w:t>VERACYTE, INC.</w:t>
      </w:r>
    </w:p>
    <w:p>
      <w:pPr>
        <w:spacing w:after="0" w:line="133"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Common Stock, Preferred Stock,</w:t>
      </w:r>
    </w:p>
    <w:p>
      <w:pPr>
        <w:spacing w:after="0" w:line="38"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Debt Securities, Warrants,</w:t>
      </w:r>
    </w:p>
    <w:p>
      <w:pPr>
        <w:spacing w:after="0" w:line="10"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Subscription Rights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156845</wp:posOffset>
            </wp:positionV>
            <wp:extent cx="1474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5"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We may, from time to time, offer and sell common stock, preferred stock, debt securities, warrants, subscription rights, and/or units consisting of some or all of these securities, in any combination, together or separately, in one or more offerings. The preferred stock, debt securities and warrants may be convertible into or exercisable or exchangeable for common or preferred stock or debt securities. The subscription rights may be exercisable for common or preferred stock. We will specify in an accompanying prospectus supplement more specific information about any such offering.</w:t>
      </w:r>
    </w:p>
    <w:p>
      <w:pPr>
        <w:spacing w:after="0" w:line="4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addition, certain selling securityholders to be identified in a prospectus supplement may use this prospectus from time to time to offer shares of our common stock. Unless the applicable prospectus supplement provides otherwise, we will not receive any proceeds from the sale of common stock by the selling securityholders.</w:t>
      </w:r>
    </w:p>
    <w:p>
      <w:pPr>
        <w:spacing w:after="0" w:line="76"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You should read this document and any prospectus supplement or amendment carefully before you invest in our securities. Neither we nor any selling securityholders may use this prospectus to sell securities unless it includes a prospectus supplement.</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is listed on The Nasdaq Global Market under the symbol “VCYT.”</w:t>
      </w:r>
    </w:p>
    <w:p>
      <w:pPr>
        <w:spacing w:after="0" w:line="104" w:lineRule="exact"/>
        <w:rPr>
          <w:sz w:val="20"/>
          <w:szCs w:val="20"/>
          <w:color w:val="auto"/>
        </w:rPr>
      </w:pPr>
    </w:p>
    <w:p>
      <w:pPr>
        <w:ind w:left="120" w:right="120" w:firstLine="440"/>
        <w:spacing w:after="0" w:line="289" w:lineRule="auto"/>
        <w:rPr>
          <w:rFonts w:ascii="Arial" w:cs="Arial" w:eastAsia="Arial" w:hAnsi="Arial"/>
          <w:sz w:val="19"/>
          <w:szCs w:val="19"/>
          <w:b w:val="1"/>
          <w:bCs w:val="1"/>
          <w:color w:val="auto"/>
        </w:rPr>
      </w:pPr>
      <w:r>
        <w:rPr>
          <w:rFonts w:ascii="Arial" w:cs="Arial" w:eastAsia="Arial" w:hAnsi="Arial"/>
          <w:sz w:val="19"/>
          <w:szCs w:val="19"/>
          <w:b w:val="1"/>
          <w:bCs w:val="1"/>
          <w:color w:val="auto"/>
        </w:rPr>
        <w:t>Investing in our securities involves risks. See the section entitled “</w:t>
      </w:r>
      <w:hyperlink w:anchor="page22">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on page 4 of this prospectus. You should carefully review the risks and uncertainties described under the heading “Risk Factors” contained in the applicable prospectus supplement and any related free writing prospectus, and under similar headings in the other documents that are incorporated or deemed incorporated by reference into this prospectus.</w:t>
      </w:r>
    </w:p>
    <w:p>
      <w:pPr>
        <w:spacing w:after="0" w:line="41"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The securities described in this prospectus may be offered and sold to or through underwriters, dealers or agents as designated from time to time, or directly to one or more other purchasers or through a combination of such methods. See “Plan of Distribution” on page 19. If any underwriters, dealers or agents are involved in the sale of any of the securities, their names, and any applicable purchase price, fee, commission or discount arrangements between or among them, will be set forth, or will be calculable from the information set forth, in the applicable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117475</wp:posOffset>
            </wp:positionV>
            <wp:extent cx="14744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68" w:lineRule="exact"/>
        <w:rPr>
          <w:sz w:val="20"/>
          <w:szCs w:val="20"/>
          <w:color w:val="auto"/>
        </w:rPr>
      </w:pPr>
    </w:p>
    <w:p>
      <w:pPr>
        <w:ind w:left="120" w:right="30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regulators have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109220</wp:posOffset>
            </wp:positionV>
            <wp:extent cx="14744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5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date of this prospectus is February 3, 2021.</w:t>
      </w:r>
    </w:p>
    <w:p>
      <w:pPr>
        <w:sectPr>
          <w:pgSz w:w="11900" w:h="16838" w:orient="portrait"/>
          <w:cols w:equalWidth="0" w:num="1">
            <w:col w:w="11060"/>
          </w:cols>
          <w:pgMar w:left="320" w:top="459" w:right="51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8740" w:type="dxa"/>
            <w:vAlign w:val="bottom"/>
            <w:gridSpan w:val="21"/>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340" w:type="dxa"/>
            <w:vAlign w:val="bottom"/>
          </w:tcPr>
          <w:p>
            <w:pPr>
              <w:spacing w:after="0"/>
              <w:rPr>
                <w:sz w:val="17"/>
                <w:szCs w:val="17"/>
                <w:color w:val="auto"/>
              </w:rPr>
            </w:pPr>
          </w:p>
        </w:tc>
      </w:tr>
      <w:tr>
        <w:trPr>
          <w:trHeight w:val="534"/>
        </w:trPr>
        <w:tc>
          <w:tcPr>
            <w:tcW w:w="12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0" w:type="dxa"/>
            <w:vAlign w:val="bottom"/>
            <w:gridSpan w:val="2"/>
          </w:tcPr>
          <w:p>
            <w:pPr>
              <w:ind w:left="520"/>
              <w:spacing w:after="0"/>
              <w:rPr>
                <w:sz w:val="20"/>
                <w:szCs w:val="20"/>
                <w:color w:val="auto"/>
              </w:rPr>
            </w:pPr>
            <w:r>
              <w:rPr>
                <w:rFonts w:ascii="Arial" w:cs="Arial" w:eastAsia="Arial" w:hAnsi="Arial"/>
                <w:sz w:val="18"/>
                <w:szCs w:val="18"/>
                <w:b w:val="1"/>
                <w:bCs w:val="1"/>
                <w:color w:val="auto"/>
              </w:rPr>
              <w:t>TABLE OF CONTENTS</w:t>
            </w:r>
          </w:p>
        </w:tc>
        <w:tc>
          <w:tcPr>
            <w:tcW w:w="23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8620" w:type="dxa"/>
            <w:vAlign w:val="bottom"/>
            <w:gridSpan w:val="20"/>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ABOUT THIS PROSPECTUS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20" w:type="dxa"/>
            <w:vAlign w:val="bottom"/>
          </w:tcPr>
          <w:p>
            <w:pPr>
              <w:spacing w:after="0"/>
              <w:rPr>
                <w:sz w:val="17"/>
                <w:szCs w:val="17"/>
                <w:color w:val="auto"/>
              </w:rPr>
            </w:pPr>
          </w:p>
        </w:tc>
        <w:tc>
          <w:tcPr>
            <w:tcW w:w="2340" w:type="dxa"/>
            <w:vAlign w:val="bottom"/>
            <w:tcBorders>
              <w:top w:val="single" w:sz="8" w:color="0000EE"/>
            </w:tcBorders>
            <w:gridSpan w:val="9"/>
          </w:tcPr>
          <w:p>
            <w:pPr>
              <w:spacing w:after="0" w:line="196" w:lineRule="exact"/>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PROSPECTUS SUMMARY</w:t>
              </w:r>
            </w:hyperlink>
          </w:p>
        </w:tc>
        <w:tc>
          <w:tcPr>
            <w:tcW w:w="6280" w:type="dxa"/>
            <w:vAlign w:val="bottom"/>
            <w:gridSpan w:val="11"/>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20" w:type="dxa"/>
            <w:vAlign w:val="bottom"/>
          </w:tcPr>
          <w:p>
            <w:pPr>
              <w:spacing w:after="0"/>
              <w:rPr>
                <w:sz w:val="17"/>
                <w:szCs w:val="17"/>
                <w:color w:val="auto"/>
              </w:rPr>
            </w:pPr>
          </w:p>
        </w:tc>
        <w:tc>
          <w:tcPr>
            <w:tcW w:w="2180" w:type="dxa"/>
            <w:vAlign w:val="bottom"/>
            <w:tcBorders>
              <w:top w:val="single" w:sz="8" w:color="0000EE"/>
            </w:tcBorders>
            <w:gridSpan w:val="8"/>
          </w:tcPr>
          <w:p>
            <w:pPr>
              <w:spacing w:after="0" w:line="19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RISK FACTORS</w:t>
              </w:r>
            </w:hyperlink>
          </w:p>
        </w:tc>
        <w:tc>
          <w:tcPr>
            <w:tcW w:w="6440" w:type="dxa"/>
            <w:vAlign w:val="bottom"/>
            <w:gridSpan w:val="12"/>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20"/>
          </w:tcPr>
          <w:p>
            <w:pPr>
              <w:spacing w:after="0" w:line="19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FORWARD-LOOKING STATEMENTS</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20" w:type="dxa"/>
            <w:vAlign w:val="bottom"/>
          </w:tcPr>
          <w:p>
            <w:pPr>
              <w:spacing w:after="0"/>
              <w:rPr>
                <w:sz w:val="17"/>
                <w:szCs w:val="17"/>
                <w:color w:val="auto"/>
              </w:rPr>
            </w:pPr>
          </w:p>
        </w:tc>
        <w:tc>
          <w:tcPr>
            <w:tcW w:w="3100" w:type="dxa"/>
            <w:vAlign w:val="bottom"/>
            <w:tcBorders>
              <w:top w:val="single" w:sz="8" w:color="0000EE"/>
            </w:tcBorders>
            <w:gridSpan w:val="13"/>
          </w:tcPr>
          <w:p>
            <w:pPr>
              <w:spacing w:after="0" w:line="196"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USE OF PROCEEDS</w:t>
              </w:r>
            </w:hyperlink>
          </w:p>
        </w:tc>
        <w:tc>
          <w:tcPr>
            <w:tcW w:w="5520" w:type="dxa"/>
            <w:vAlign w:val="bottom"/>
            <w:gridSpan w:val="7"/>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20"/>
          </w:tcPr>
          <w:p>
            <w:pPr>
              <w:spacing w:after="0" w:line="196"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SECURITIES WE MAY OFFER</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140" w:type="dxa"/>
            <w:vAlign w:val="bottom"/>
            <w:tcBorders>
              <w:bottom w:val="single" w:sz="8" w:color="0000EE"/>
            </w:tcBorders>
            <w:gridSpan w:val="14"/>
          </w:tcPr>
          <w:p>
            <w:pPr>
              <w:spacing w:after="0" w:line="196"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DESCRIPTION OF COMMON STOCK</w:t>
              </w:r>
            </w:hyperlink>
          </w:p>
        </w:tc>
        <w:tc>
          <w:tcPr>
            <w:tcW w:w="5480" w:type="dxa"/>
            <w:vAlign w:val="bottom"/>
            <w:gridSpan w:val="6"/>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20" w:type="dxa"/>
            <w:vAlign w:val="bottom"/>
          </w:tcPr>
          <w:p>
            <w:pPr>
              <w:spacing w:after="0"/>
              <w:rPr>
                <w:sz w:val="17"/>
                <w:szCs w:val="17"/>
                <w:color w:val="auto"/>
              </w:rPr>
            </w:pPr>
          </w:p>
        </w:tc>
        <w:tc>
          <w:tcPr>
            <w:tcW w:w="3360" w:type="dxa"/>
            <w:vAlign w:val="bottom"/>
            <w:tcBorders>
              <w:bottom w:val="single" w:sz="8" w:color="0000EE"/>
            </w:tcBorders>
            <w:gridSpan w:val="16"/>
          </w:tcPr>
          <w:p>
            <w:pPr>
              <w:spacing w:after="0" w:line="196" w:lineRule="exact"/>
              <w:rPr>
                <w:rFonts w:ascii="Arial" w:cs="Arial" w:eastAsia="Arial" w:hAnsi="Arial"/>
                <w:sz w:val="18"/>
                <w:szCs w:val="18"/>
                <w:b w:val="1"/>
                <w:bCs w:val="1"/>
                <w:color w:val="0000EE"/>
                <w:w w:val="99"/>
              </w:rPr>
            </w:pPr>
            <w:hyperlink w:anchor="page26">
              <w:r>
                <w:rPr>
                  <w:rFonts w:ascii="Arial" w:cs="Arial" w:eastAsia="Arial" w:hAnsi="Arial"/>
                  <w:sz w:val="18"/>
                  <w:szCs w:val="18"/>
                  <w:b w:val="1"/>
                  <w:bCs w:val="1"/>
                  <w:color w:val="0000EE"/>
                  <w:w w:val="99"/>
                </w:rPr>
                <w:t>DESCRIPTION OF PREFERRED STOCK</w:t>
              </w:r>
            </w:hyperlink>
          </w:p>
        </w:tc>
        <w:tc>
          <w:tcPr>
            <w:tcW w:w="5260" w:type="dxa"/>
            <w:vAlign w:val="bottom"/>
            <w:gridSpan w:val="4"/>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120" w:type="dxa"/>
            <w:vAlign w:val="bottom"/>
          </w:tcPr>
          <w:p>
            <w:pPr>
              <w:spacing w:after="0"/>
              <w:rPr>
                <w:sz w:val="17"/>
                <w:szCs w:val="17"/>
                <w:color w:val="auto"/>
              </w:rPr>
            </w:pPr>
          </w:p>
        </w:tc>
        <w:tc>
          <w:tcPr>
            <w:tcW w:w="3220" w:type="dxa"/>
            <w:vAlign w:val="bottom"/>
            <w:tcBorders>
              <w:bottom w:val="single" w:sz="8" w:color="0000EE"/>
            </w:tcBorders>
            <w:gridSpan w:val="15"/>
          </w:tcPr>
          <w:p>
            <w:pPr>
              <w:spacing w:after="0" w:line="196" w:lineRule="exact"/>
              <w:rPr>
                <w:rFonts w:ascii="Arial" w:cs="Arial" w:eastAsia="Arial" w:hAnsi="Arial"/>
                <w:sz w:val="18"/>
                <w:szCs w:val="18"/>
                <w:b w:val="1"/>
                <w:bCs w:val="1"/>
                <w:color w:val="0000EE"/>
                <w:w w:val="99"/>
              </w:rPr>
            </w:pPr>
            <w:hyperlink w:anchor="page27">
              <w:r>
                <w:rPr>
                  <w:rFonts w:ascii="Arial" w:cs="Arial" w:eastAsia="Arial" w:hAnsi="Arial"/>
                  <w:sz w:val="18"/>
                  <w:szCs w:val="18"/>
                  <w:b w:val="1"/>
                  <w:bCs w:val="1"/>
                  <w:color w:val="0000EE"/>
                  <w:w w:val="99"/>
                </w:rPr>
                <w:t>DESCRIPTION OF DEBT SECURITIES</w:t>
              </w:r>
            </w:hyperlink>
          </w:p>
        </w:tc>
        <w:tc>
          <w:tcPr>
            <w:tcW w:w="5400" w:type="dxa"/>
            <w:vAlign w:val="bottom"/>
            <w:gridSpan w:val="5"/>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20" w:type="dxa"/>
            <w:vAlign w:val="bottom"/>
          </w:tcPr>
          <w:p>
            <w:pPr>
              <w:spacing w:after="0"/>
              <w:rPr>
                <w:sz w:val="17"/>
                <w:szCs w:val="17"/>
                <w:color w:val="auto"/>
              </w:rPr>
            </w:pPr>
          </w:p>
        </w:tc>
        <w:tc>
          <w:tcPr>
            <w:tcW w:w="2620" w:type="dxa"/>
            <w:vAlign w:val="bottom"/>
            <w:tcBorders>
              <w:bottom w:val="single" w:sz="8" w:color="0000EE"/>
            </w:tcBorders>
            <w:gridSpan w:val="11"/>
          </w:tcPr>
          <w:p>
            <w:pPr>
              <w:spacing w:after="0" w:line="196" w:lineRule="exact"/>
              <w:rPr>
                <w:rFonts w:ascii="Arial" w:cs="Arial" w:eastAsia="Arial" w:hAnsi="Arial"/>
                <w:sz w:val="18"/>
                <w:szCs w:val="18"/>
                <w:b w:val="1"/>
                <w:bCs w:val="1"/>
                <w:color w:val="0000EE"/>
                <w:w w:val="98"/>
              </w:rPr>
            </w:pPr>
            <w:hyperlink w:anchor="page35">
              <w:r>
                <w:rPr>
                  <w:rFonts w:ascii="Arial" w:cs="Arial" w:eastAsia="Arial" w:hAnsi="Arial"/>
                  <w:sz w:val="18"/>
                  <w:szCs w:val="18"/>
                  <w:b w:val="1"/>
                  <w:bCs w:val="1"/>
                  <w:color w:val="0000EE"/>
                  <w:w w:val="98"/>
                </w:rPr>
                <w:t>DESCRIPTION OF WARRANTS</w:t>
              </w:r>
            </w:hyperlink>
          </w:p>
        </w:tc>
        <w:tc>
          <w:tcPr>
            <w:tcW w:w="6000" w:type="dxa"/>
            <w:vAlign w:val="bottom"/>
            <w:gridSpan w:val="9"/>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20" w:type="dxa"/>
            <w:vAlign w:val="bottom"/>
          </w:tcPr>
          <w:p>
            <w:pPr>
              <w:spacing w:after="0"/>
              <w:rPr>
                <w:sz w:val="17"/>
                <w:szCs w:val="17"/>
                <w:color w:val="auto"/>
              </w:rPr>
            </w:pPr>
          </w:p>
        </w:tc>
        <w:tc>
          <w:tcPr>
            <w:tcW w:w="8620" w:type="dxa"/>
            <w:vAlign w:val="bottom"/>
            <w:gridSpan w:val="20"/>
          </w:tcPr>
          <w:p>
            <w:pPr>
              <w:spacing w:after="0" w:line="196"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DESCRIPTION OF SUBSCRIPTION RIGHTS</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20" w:type="dxa"/>
            <w:vAlign w:val="bottom"/>
          </w:tcPr>
          <w:p>
            <w:pPr>
              <w:spacing w:after="0"/>
              <w:rPr>
                <w:sz w:val="17"/>
                <w:szCs w:val="17"/>
                <w:color w:val="auto"/>
              </w:rPr>
            </w:pPr>
          </w:p>
        </w:tc>
        <w:tc>
          <w:tcPr>
            <w:tcW w:w="21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b w:val="1"/>
                <w:bCs w:val="1"/>
                <w:color w:val="0000EE"/>
                <w:w w:val="99"/>
              </w:rPr>
            </w:pPr>
            <w:hyperlink w:anchor="page37">
              <w:r>
                <w:rPr>
                  <w:rFonts w:ascii="Arial" w:cs="Arial" w:eastAsia="Arial" w:hAnsi="Arial"/>
                  <w:sz w:val="18"/>
                  <w:szCs w:val="18"/>
                  <w:b w:val="1"/>
                  <w:bCs w:val="1"/>
                  <w:color w:val="0000EE"/>
                  <w:w w:val="99"/>
                </w:rPr>
                <w:t>DESCRIPTION OF UNITS</w:t>
              </w:r>
            </w:hyperlink>
          </w:p>
        </w:tc>
        <w:tc>
          <w:tcPr>
            <w:tcW w:w="1540" w:type="dxa"/>
            <w:vAlign w:val="bottom"/>
            <w:tcBorders>
              <w:top w:val="single" w:sz="8" w:color="0000EE"/>
            </w:tcBorders>
            <w:gridSpan w:val="11"/>
          </w:tcPr>
          <w:p>
            <w:pPr>
              <w:spacing w:after="0"/>
              <w:rPr>
                <w:sz w:val="17"/>
                <w:szCs w:val="17"/>
                <w:color w:val="auto"/>
              </w:rPr>
            </w:pPr>
          </w:p>
        </w:tc>
        <w:tc>
          <w:tcPr>
            <w:tcW w:w="4940" w:type="dxa"/>
            <w:vAlign w:val="bottom"/>
            <w:gridSpan w:val="3"/>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20" w:type="dxa"/>
            <w:vAlign w:val="bottom"/>
          </w:tcPr>
          <w:p>
            <w:pPr>
              <w:spacing w:after="0"/>
              <w:rPr>
                <w:sz w:val="17"/>
                <w:szCs w:val="17"/>
                <w:color w:val="auto"/>
              </w:rPr>
            </w:pPr>
          </w:p>
        </w:tc>
        <w:tc>
          <w:tcPr>
            <w:tcW w:w="2660" w:type="dxa"/>
            <w:vAlign w:val="bottom"/>
            <w:tcBorders>
              <w:bottom w:val="single" w:sz="8" w:color="0000EE"/>
            </w:tcBorders>
            <w:gridSpan w:val="12"/>
          </w:tcPr>
          <w:p>
            <w:pPr>
              <w:spacing w:after="0" w:line="196"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SELLING SECURITYHOLDERS</w:t>
              </w:r>
            </w:hyperlink>
          </w:p>
        </w:tc>
        <w:tc>
          <w:tcPr>
            <w:tcW w:w="5960" w:type="dxa"/>
            <w:vAlign w:val="bottom"/>
            <w:gridSpan w:val="8"/>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20" w:type="dxa"/>
            <w:vAlign w:val="bottom"/>
          </w:tcPr>
          <w:p>
            <w:pPr>
              <w:spacing w:after="0"/>
              <w:rPr>
                <w:sz w:val="17"/>
                <w:szCs w:val="17"/>
                <w:color w:val="auto"/>
              </w:rPr>
            </w:pPr>
          </w:p>
        </w:tc>
        <w:tc>
          <w:tcPr>
            <w:tcW w:w="2160" w:type="dxa"/>
            <w:vAlign w:val="bottom"/>
            <w:tcBorders>
              <w:bottom w:val="single" w:sz="8" w:color="0000EE"/>
            </w:tcBorders>
            <w:gridSpan w:val="7"/>
          </w:tcPr>
          <w:p>
            <w:pPr>
              <w:spacing w:after="0" w:line="196"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PLAN OF DISTRIBUTION</w:t>
              </w:r>
            </w:hyperlink>
          </w:p>
        </w:tc>
        <w:tc>
          <w:tcPr>
            <w:tcW w:w="6460" w:type="dxa"/>
            <w:vAlign w:val="bottom"/>
            <w:gridSpan w:val="13"/>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20" w:type="dxa"/>
            <w:vAlign w:val="bottom"/>
          </w:tcPr>
          <w:p>
            <w:pPr>
              <w:spacing w:after="0"/>
              <w:rPr>
                <w:sz w:val="17"/>
                <w:szCs w:val="17"/>
                <w:color w:val="auto"/>
              </w:rPr>
            </w:pPr>
          </w:p>
        </w:tc>
        <w:tc>
          <w:tcPr>
            <w:tcW w:w="8620" w:type="dxa"/>
            <w:vAlign w:val="bottom"/>
            <w:gridSpan w:val="20"/>
          </w:tcPr>
          <w:p>
            <w:pPr>
              <w:spacing w:after="0" w:line="196"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LEGAL MATTERS</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20" w:type="dxa"/>
            <w:vAlign w:val="bottom"/>
          </w:tcPr>
          <w:p>
            <w:pPr>
              <w:spacing w:after="0"/>
              <w:rPr>
                <w:sz w:val="17"/>
                <w:szCs w:val="17"/>
                <w:color w:val="auto"/>
              </w:rPr>
            </w:pPr>
          </w:p>
        </w:tc>
        <w:tc>
          <w:tcPr>
            <w:tcW w:w="820" w:type="dxa"/>
            <w:vAlign w:val="bottom"/>
            <w:tcBorders>
              <w:top w:val="single" w:sz="8" w:color="0000EE"/>
              <w:bottom w:val="single" w:sz="8" w:color="0000EE"/>
            </w:tcBorders>
          </w:tcPr>
          <w:p>
            <w:pPr>
              <w:spacing w:after="0" w:line="196" w:lineRule="exact"/>
              <w:rPr>
                <w:rFonts w:ascii="Arial" w:cs="Arial" w:eastAsia="Arial" w:hAnsi="Arial"/>
                <w:sz w:val="18"/>
                <w:szCs w:val="18"/>
                <w:b w:val="1"/>
                <w:bCs w:val="1"/>
                <w:color w:val="0000EE"/>
                <w:w w:val="95"/>
              </w:rPr>
            </w:pPr>
            <w:hyperlink w:anchor="page39">
              <w:r>
                <w:rPr>
                  <w:rFonts w:ascii="Arial" w:cs="Arial" w:eastAsia="Arial" w:hAnsi="Arial"/>
                  <w:sz w:val="18"/>
                  <w:szCs w:val="18"/>
                  <w:b w:val="1"/>
                  <w:bCs w:val="1"/>
                  <w:color w:val="0000EE"/>
                  <w:w w:val="95"/>
                </w:rPr>
                <w:t>EXPERTS</w:t>
              </w:r>
            </w:hyperlink>
          </w:p>
        </w:tc>
        <w:tc>
          <w:tcPr>
            <w:tcW w:w="720" w:type="dxa"/>
            <w:vAlign w:val="bottom"/>
            <w:tcBorders>
              <w:top w:val="single" w:sz="8" w:color="0000EE"/>
            </w:tcBorders>
            <w:gridSpan w:val="3"/>
          </w:tcPr>
          <w:p>
            <w:pPr>
              <w:spacing w:after="0"/>
              <w:rPr>
                <w:sz w:val="17"/>
                <w:szCs w:val="17"/>
                <w:color w:val="auto"/>
              </w:rPr>
            </w:pPr>
          </w:p>
        </w:tc>
        <w:tc>
          <w:tcPr>
            <w:tcW w:w="7080" w:type="dxa"/>
            <w:vAlign w:val="bottom"/>
            <w:gridSpan w:val="16"/>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20" w:type="dxa"/>
            <w:vAlign w:val="bottom"/>
          </w:tcPr>
          <w:p>
            <w:pPr>
              <w:spacing w:after="0"/>
              <w:rPr>
                <w:sz w:val="17"/>
                <w:szCs w:val="17"/>
                <w:color w:val="auto"/>
              </w:rPr>
            </w:pPr>
          </w:p>
        </w:tc>
        <w:tc>
          <w:tcPr>
            <w:tcW w:w="8620" w:type="dxa"/>
            <w:vAlign w:val="bottom"/>
            <w:gridSpan w:val="20"/>
          </w:tcPr>
          <w:p>
            <w:pPr>
              <w:spacing w:after="0" w:line="196"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WHERE YOU CAN FIND MORE INFORMATION</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120" w:type="dxa"/>
            <w:vAlign w:val="bottom"/>
          </w:tcPr>
          <w:p>
            <w:pPr>
              <w:spacing w:after="0" w:line="20" w:lineRule="exact"/>
              <w:rPr>
                <w:sz w:val="1"/>
                <w:szCs w:val="1"/>
                <w:color w:val="auto"/>
              </w:rPr>
            </w:pPr>
          </w:p>
        </w:tc>
        <w:tc>
          <w:tcPr>
            <w:tcW w:w="4020" w:type="dxa"/>
            <w:vAlign w:val="bottom"/>
            <w:gridSpan w:val="18"/>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20"/>
          </w:tcPr>
          <w:p>
            <w:pPr>
              <w:spacing w:after="0" w:line="196"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INCORPORATION OF INFORMATION BY REFERENCE</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left="120" w:right="180" w:firstLine="440"/>
        <w:spacing w:after="0" w:line="259" w:lineRule="auto"/>
        <w:rPr>
          <w:sz w:val="20"/>
          <w:szCs w:val="20"/>
          <w:color w:val="auto"/>
        </w:rPr>
      </w:pPr>
      <w:r>
        <w:rPr>
          <w:rFonts w:ascii="Arial" w:cs="Arial" w:eastAsia="Arial" w:hAnsi="Arial"/>
          <w:sz w:val="18"/>
          <w:szCs w:val="18"/>
          <w:color w:val="auto"/>
        </w:rPr>
        <w:t>This prospectus is part of an automatic registration statement on Form S-3 that we filed with the SEC, using a “shelf” registration, or continuous offering, process under the Securities Act of 1933, as amended, or the Securities Act. Under this shelf registration process, we may, from time to time, offer and sell separately or together in any combination the securities described in this prospectus in one or more offerings, and selling securityholders may sell our common stock from time to time in one or more offerings.</w:t>
      </w:r>
    </w:p>
    <w:p>
      <w:pPr>
        <w:spacing w:after="0" w:line="18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This prospectus provides you with a general description of the securities we or the selling securityholders may offer. Each time we or the selling securityholders sell securities, we will provide one or more prospectus supplements that will contain specific information about the terms of the offering. We may also authorize one or more free writing prospectuses to be provided to you in connection with these offerings. Any prospectus supplement and any free writing prospectus may also add, update or change information contained in this prospectus. You should read this prospectus, the information incorporated, or deemed to be incorporated, by reference in this prospectus, the accompanying prospectus supplement and any free writing prospectus, together with the additional information described under the heading “Where You Can Find More Information,” before making your investment decision.</w:t>
      </w:r>
    </w:p>
    <w:p>
      <w:pPr>
        <w:spacing w:after="0" w:line="195"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any accompanying prospectus supplement or in any related free writing prospectus filed by us with the SEC. We and the selling securityholders have not authorized anyone to provide you with different information. This prospectus and the accompanying prospectus supplement do not constitute an offer to sell or the solicitation of an offer to buy any securities other than the securities described in the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operating results and prospects may have changed materially since those dates.</w:t>
      </w:r>
    </w:p>
    <w:p>
      <w:pPr>
        <w:spacing w:after="0" w:line="166"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This prospectus contains summaries of certain provisions contained in some of the documents described herein, but reference is made to the actual documents for complete information.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18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Unless the context otherwise requires, references in this prospectus and the accompanying prospectus supplement to “Veracyte,” the “company,” “we,” “us” and “our” refer to Veracyte, Inc.</w:t>
      </w:r>
    </w:p>
    <w:p>
      <w:pPr>
        <w:spacing w:after="0" w:line="170"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Veracyte, Afirma, Percepta, Envisia, Prosigna, Know by Design and the Veracyte, Afirma, Percepta, Envisia and Prosigna logos, among others, are our registered trademarks in the United States and other countries. We also have common law rights and pending trademark applications for LymphMark and More About You. This prospectus and the documents incorporated by reference into this prospectus may also contain trademarks and trade names that are the property of their respective owners. We do not intend our use or display of other companies’ trade names, trademarks or service marks to imply relationships with, or endorsements or sponsorship of us by, these other companies.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This summary does not contain all of the information that you should consider before investing in our securities. You should carefully read this entire prospectus and the information incorporated by reference in this prospectus, including “Risk Factors” and the financial data and related notes and other information incorporated by reference, before making an investment decision.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We are a global genomic diagnostics company that improves patient care by answering important clinical questions to inform diagnosis and treatment decisions throughout the patient journey in cancer and other diseases. Our growing menu of tests leverages advances in genomic science and machine learning technology to change care for patients, enabling them to avoid risky, costly procedures and reduce time to appropriate treatment. In addition to making our genomic tests available in the United States through our central laboratory, our exclusive license to the nCounter Analysis System, which we believe to be a best-in-class diagnostics platform, positions us to deliver our tests to patients worldwide through laboratories and hospitals that can perform the tests locally. We estimate that our current and near-term pipeline products address an estimated $10 billion global market and that our longer-term pipeline products will enable us to address an estimated $50 billion global market.</w:t>
      </w:r>
    </w:p>
    <w:p>
      <w:pPr>
        <w:spacing w:after="0" w:line="166" w:lineRule="exact"/>
        <w:rPr>
          <w:sz w:val="20"/>
          <w:szCs w:val="20"/>
          <w:color w:val="auto"/>
        </w:rPr>
      </w:pPr>
    </w:p>
    <w:p>
      <w:pPr>
        <w:ind w:left="120" w:right="380" w:firstLine="440"/>
        <w:spacing w:after="0" w:line="311" w:lineRule="auto"/>
        <w:rPr>
          <w:sz w:val="20"/>
          <w:szCs w:val="20"/>
          <w:color w:val="auto"/>
        </w:rPr>
      </w:pPr>
      <w:r>
        <w:rPr>
          <w:rFonts w:ascii="Arial" w:cs="Arial" w:eastAsia="Arial" w:hAnsi="Arial"/>
          <w:sz w:val="16"/>
          <w:szCs w:val="16"/>
          <w:color w:val="auto"/>
        </w:rPr>
        <w:t>We design our tests to answer critical questions in the diagnosis, prognosis and treatment of cancer and other diseases and improve patient outcomes. We deliver clinical and economic utility to patients, physicians and payers, thereby helping to eliminate unnecessary costs burdening the healthcare system. We position our tests to integrate seamlessly into the way physicians currently evaluate patients in order to facilitate adoption.</w:t>
      </w:r>
    </w:p>
    <w:p>
      <w:pPr>
        <w:spacing w:after="0" w:line="14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develop our genomic tests using advanced scientific methods, such as ribonucleic acid, or RNA, whole-transcriptome sequencing and machine learning, and then optimize the assays and classifiers for the platform on which the test will be performed. Historically, we have utilized RNA sequencing methods performed in our CLIA laboratory in South San Francisco, California. Beginning in 2021, we expect to adapt select tests to be performed on the nCounter Analysis System for international distribution of our tests.</w:t>
      </w:r>
    </w:p>
    <w:p>
      <w:pPr>
        <w:spacing w:after="0" w:line="18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We believe our powerful scientific platform provides multiple vectors to create value for patients, providers and payers, as well as stockholders, and to help advance precision medicine:</w:t>
      </w:r>
    </w:p>
    <w:p>
      <w:pPr>
        <w:spacing w:after="0" w:line="197" w:lineRule="exact"/>
        <w:rPr>
          <w:sz w:val="20"/>
          <w:szCs w:val="20"/>
          <w:color w:val="auto"/>
        </w:rPr>
      </w:pPr>
    </w:p>
    <w:p>
      <w:pPr>
        <w:ind w:left="1080" w:right="20" w:hanging="424"/>
        <w:spacing w:after="0" w:line="296"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Unique Biorepositories—When we develop new tests, we build extensive, robust biorepositories of patient-consented samples and well-curated clinical, radiological, outcome and other information from Institutional Review Board-approved clinical trials to inform our discovery and validation efforts. Our biorepositories are designed to encompass the broad spectrum of disease that our tests may encounter when used in clinical practice, as well as the wide range of conditions associated with patients who are suspected of having a particular disease. We extract extensive genomic information from these patient samples using our RNA whole-transcriptome sequencing platform.</w:t>
      </w:r>
    </w:p>
    <w:p>
      <w:pPr>
        <w:spacing w:after="0" w:line="188" w:lineRule="exact"/>
        <w:rPr>
          <w:rFonts w:ascii="Arial" w:cs="Arial" w:eastAsia="Arial" w:hAnsi="Arial"/>
          <w:sz w:val="16"/>
          <w:szCs w:val="16"/>
          <w:color w:val="auto"/>
        </w:rPr>
      </w:pPr>
    </w:p>
    <w:p>
      <w:pPr>
        <w:ind w:left="1080" w:right="60" w:hanging="424"/>
        <w:spacing w:after="0" w:line="279" w:lineRule="auto"/>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Proprietary Technology and Bioinformatics—For biomarker discovery and product development, we utilize machine learning to select the genomic, clinical or other features from our biorepository that best distinguish the condition we are trying to identify. This enables us to develop high-performing genomic classifiers that can answer specific clinical questions. In addition, our bioinformatics pipelines are built to extract genomic variant content from the same assay to inform therapeutic selection.</w:t>
      </w:r>
    </w:p>
    <w:p>
      <w:pPr>
        <w:spacing w:after="0" w:line="198" w:lineRule="exact"/>
        <w:rPr>
          <w:rFonts w:ascii="Arial" w:cs="Arial" w:eastAsia="Arial" w:hAnsi="Arial"/>
          <w:sz w:val="17"/>
          <w:szCs w:val="17"/>
          <w:color w:val="auto"/>
        </w:rPr>
      </w:pPr>
    </w:p>
    <w:p>
      <w:pPr>
        <w:ind w:left="1080" w:right="60" w:hanging="424"/>
        <w:spacing w:after="0" w:line="286" w:lineRule="auto"/>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High-Performing Commercial Genomic Tests—With the exception of Prosigna, which competes with a first-to-market test in a highly competitive environment, our genomic tests generally serve large, untapped markets where they are changing the diagnostic and treatment paradigm for patients. The majority of our genomic testing business stems from our CLIA certified laboratory serving the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32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00"/>
        <w:spacing w:after="0" w:line="259" w:lineRule="auto"/>
        <w:rPr>
          <w:sz w:val="20"/>
          <w:szCs w:val="20"/>
          <w:color w:val="auto"/>
        </w:rPr>
      </w:pPr>
      <w:r>
        <w:rPr>
          <w:rFonts w:ascii="Arial" w:cs="Arial" w:eastAsia="Arial" w:hAnsi="Arial"/>
          <w:sz w:val="18"/>
          <w:szCs w:val="18"/>
          <w:color w:val="auto"/>
        </w:rPr>
        <w:t>United States market. We believe the nCounter Analysis System affords us the opportunity to adapt our test menu for multiple markets globally, providing flexibility for a global distributed testing model and increased efficiency in our United States-based CLIA lab. Our RNA sequencing platform enables us to offer testing from our CLIA lab for a broad range of gene alterations, which can inform treatment decisions at the time of diagnosis.</w:t>
      </w:r>
    </w:p>
    <w:p>
      <w:pPr>
        <w:spacing w:after="0" w:line="18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currently offer commercialized genomic tests in four clinical indications that we believe are changing disease diagnosis and patient care. All of our commercial tests are available in the United States and one is available internationally. These include the Afirma</w:t>
      </w:r>
      <w:r>
        <w:rPr>
          <w:rFonts w:ascii="Arial" w:cs="Arial" w:eastAsia="Arial" w:hAnsi="Arial"/>
          <w:sz w:val="14"/>
          <w:szCs w:val="14"/>
          <w:color w:val="auto"/>
        </w:rPr>
        <w:t>®</w:t>
      </w:r>
      <w:r>
        <w:rPr>
          <w:rFonts w:ascii="Arial" w:cs="Arial" w:eastAsia="Arial" w:hAnsi="Arial"/>
          <w:sz w:val="17"/>
          <w:szCs w:val="17"/>
          <w:color w:val="auto"/>
        </w:rPr>
        <w:t xml:space="preserve"> Genomic Sequencing Classifier, or GSC, and the Xpression Atlas, or XA, designed to improve diagnosis of and inform treatment decisions, respectively, for thyroid cancer; the Percepta GSC for lung cancer; the Envisia Genomic Classifier for interstitial lung disease, or ILD, and idiopathic pulmonary fibrosis, or IPF; and the Prosigna Breast Cancer Assay for assessing risk of breast cancer distant recurrence. The Prosigna test is available for use on the nCounter Analysis System internationally and in the United States. Our investigational LymphMark lymphoma subtyping is also intended for use on the nCounter Analysis System and is expected to launch in 2021.</w:t>
      </w:r>
    </w:p>
    <w:p>
      <w:pPr>
        <w:spacing w:after="0" w:line="17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We believe our focus on developing clinically useful tests that change patient care is enabling us to set new standards in genomic test reimbursement. Our genomic classifiers in thyroid cancer, lung cancer and IPF, as well as the Prosigna breast cancer assay, are covered by Medicare. Our Afirma classifier, for use in thyroid cancer diagnosis, is now covered by every major health plan in the United States, which collectively insure more than 275 million people. We are contracted as an in-network service provider to health plans representing over 225 million people in the United States. We believe that our in-network status with private payers will help facilitate private insurer reimbursement for our Percepta and Envisia classifiers. The Prosigna test is covered by leading private payers in the United States and is widely reimbursed by government and private payers in the countries where it is available.</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Company Information</w:t>
      </w:r>
    </w:p>
    <w:p>
      <w:pPr>
        <w:spacing w:after="0" w:line="121"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We were incorporated in Delaware as Calderome, Inc. in August 2006. Calderome operated as an incubator until early 2008. We changed our name to Veracyte, Inc. in March 2008. Our principal executive offices are located at 6000 Shoreline Court, Suite 300, South San Francisco, California 94080 and our telephone number is (650) 243-6300. Our website address is www.veracyte.com. We do not incorporate the information on, or accessible through, our website into this prospectus, and you should not consider any information on, or accessible through, our website as part of this prospectus.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Investing in our securities involves risk. The prospectus supplement relating to a particular offering will contain a discussion of risks applicable to an investment in the securities offered. Prior to making a decision about investing in our securities, you should carefully consider the specific factors discussed under the heading “Risk Factors” in the applicable prospectus supplement together with all of the other information contained in the prospectus supplement or appearing or incorporated by reference in this prospectus. You should also consider the risks, uncertainties and assumptions discussed under Part II, Item 1A, “Risk Factors,” in our Quarterly Report on Form 10-Q for the quarterly period ended September 30, 2020, which is incorporated herein by reference, and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w:t>
      </w:r>
    </w:p>
    <w:p>
      <w:pPr>
        <w:spacing w:after="0" w:line="39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When used in this prospectus and documents incorporated herein by reference, the words “expects,” “believes,” “anticipates,” “estimates,” “may,” “could,” “intends,” and similar expressions are intended to identify forward-looking statements. These statements are subject to known and unknown risks and uncertainties that could cause actual results to differ materially from those projected or otherwise implied by the forward-looking statements. These forward-looking statements speak only as of the date of this prospectus. Given these risks and uncertainties, you should not place undue reliance on these forward-looking statements. We will discuss many of these risks and uncertainties in greater detail in any prospectus supplement under the heading “Risk Factors.” Additional cautionary statements or discussions of risks and uncertainties that could affect our results or the achievement of the expectations described in forward-looking statements may also be contained in the documents we incorporate by reference into this prospectus.</w:t>
      </w:r>
    </w:p>
    <w:p>
      <w:pPr>
        <w:spacing w:after="0" w:line="166"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These forward-looking statements are based on the current beliefs and expectations of our management and speak only as of the date of this prospectus. We expressly disclaim any obligation or undertaking to release publicly any updates or revisions to any forward-looking statements contained herein to reflect any change in our expectations with regard thereto or any change in events, conditions or circumstances on which any such statement is based. You should, however, review additional disclosures we make in our Annual Report on Form 10-K, Quarterly Reports on Form 10-Q, and Current Reports on Form 8-K filed with the SEC.</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00"/>
          </w:cols>
          <w:pgMar w:left="32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Unless we state otherwise in the applicable prospectus supplement, we intend to use the net proceeds from the sale of the securities offered by us pursuant to this prospectus for general corporate purposes. General corporate purposes may include additions to working capital, financing of capital expenditures, repayment or redemption of existing indebtedness, and future acquisitions and strategic investment opportunities. Unless we state otherwise in the applicable prospectus supplement, pending the application of net proceeds, we expect to invest the net proceeds in short- and intermediate-term, interest-bearing obligations, investment-grade instruments, certificates of deposit or direct or guaranteed obligations of the U.S. government.</w:t>
      </w:r>
    </w:p>
    <w:p>
      <w:pPr>
        <w:spacing w:after="0" w:line="192"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Unless otherwise indicated in the prospectus supplement, we will not receive any of the proceeds from any sale of our common stock by selling securityholders.</w:t>
      </w: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WE MAY OFFER</w:t>
      </w:r>
    </w:p>
    <w:p>
      <w:pPr>
        <w:spacing w:after="0" w:line="229"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We may offer common stock, preferred stock, debt securities, warrants, subscription rights, and/or units consisting of some or all of these securities, in any combination, together or separately, in one or more offerings. Selling securityholders may also offer shares of our common stock in one or more offerings This prospectus provides you with a general description of the securities we or the selling securityholders may offer. A prospectus supplement, which we will provide each time we offer securities, will describe the specific amounts, prices and terms of these securities.</w:t>
      </w:r>
    </w:p>
    <w:p>
      <w:pPr>
        <w:spacing w:after="0" w:line="15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 or selling securityholders may sell the securities to or through underwriters, dealers or agents or directly to purchasers or as otherwise set forth below under “Plan of Distribution.” We, as well as any agents acting on our behalf, reserve the sole right to accept and to reject in whole or in part any proposed purchase of securities.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32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This section describes the general terms and provisions of the shares of our common stock, par value $0.001 per share. This description is only a summary and is qualified in its entirety by reference to the description of our common stock incorporated by reference in this prospectus. Our restated certificate of incorporation and our bylaws have been filed as exhibits to our periodic reports filed with the SEC, which are incorporated by reference in this prospectus. You should read our restated certificate of incorporation and our bylaws for additional information before you buy any of our common stock or other securities. See “Where You Can Find More Information.”</w:t>
      </w:r>
    </w:p>
    <w:p>
      <w:pPr>
        <w:spacing w:after="0" w:line="176"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We have 125,000,000 shares of authorized common stock. As of September 30, 2020, there were 57,813,833 shares of common stock issued and outstanding. Each holder of common stock is entitled to one vote for each share of common stock held on all matters submitted to a vote of stockholders. We have not provided for cumulative voting for the election of directors in our restated certificate of incorporation. This means that the holders of a majority of the shares voted can elect all of the directors then standing for election. Subject to preferences that may apply to shares of preferred stock outstanding at the time, the holders of outstanding shares of our common stock are entitled to receive dividends out of assets legally available at the times and in the amounts that our board of directors may determine from time to time. Upon our liquidation, dissolution or winding-up, the holders of common stock are entitled to share ratably in all assets remaining after payment of all liabilities and the liquidation preferences of any outstanding preferred stock. Holders of common stock have no preemptive or conversion rights or other subscription rights. There are no redemption or sinking fund provisions applicable to the common stock. All outstanding shares of common stock are fully paid and nonassessable.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Effects of Delaware Law and Our Restated Certificate of Incorporation and Bylaws</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Certain provisions of Delaware law, our restated certificate of incorporation and our amended and restated bylaws could have the effect of delaying, deferring or discouraging another party from acquiring control of us. These provisions, which are summarized below, are expected to discourage certain types of coercive takeover practices and inadequate takeover bids. These provisions are also designed, in part, to encourage persons seeking to acquire control of us to first negotiate with our board of directors.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Certificate of Incorporation and Bylaws</w:t>
      </w:r>
      <w:r>
        <w:rPr>
          <w:rFonts w:ascii="Arial" w:cs="Arial" w:eastAsia="Arial" w:hAnsi="Arial"/>
          <w:sz w:val="17"/>
          <w:szCs w:val="17"/>
          <w:color w:val="auto"/>
        </w:rPr>
        <w:t>. Our restated certificate of incorporation and amended and restated bylaws include provisions that:</w:t>
      </w:r>
    </w:p>
    <w:p>
      <w:pPr>
        <w:spacing w:after="0" w:line="142" w:lineRule="exact"/>
        <w:rPr>
          <w:sz w:val="20"/>
          <w:szCs w:val="20"/>
          <w:color w:val="auto"/>
        </w:rPr>
      </w:pPr>
    </w:p>
    <w:p>
      <w:pPr>
        <w:ind w:left="1080" w:right="38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up to 5,000,000 shares of undesignated preferred stock;</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153" w:lineRule="exact"/>
        <w:rPr>
          <w:rFonts w:ascii="Arial" w:cs="Arial" w:eastAsia="Arial" w:hAnsi="Arial"/>
          <w:sz w:val="16"/>
          <w:szCs w:val="16"/>
          <w:color w:val="auto"/>
        </w:rPr>
      </w:pPr>
    </w:p>
    <w:p>
      <w:pPr>
        <w:ind w:left="1080" w:right="38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our chairman of the board, or our chief executive officer;</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establish that our board of directors is divided into three classes, Class I, Class II and Class III, with each class serving staggered terms;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except as otherwise required by law, be filled only by a majority of directors then in office, even if less than a quorum;</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320" w:top="459" w:right="5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440"/>
        <w:spacing w:after="0" w:line="286" w:lineRule="auto"/>
        <w:rPr>
          <w:sz w:val="20"/>
          <w:szCs w:val="20"/>
          <w:color w:val="auto"/>
        </w:rPr>
      </w:pPr>
      <w:r>
        <w:rPr>
          <w:rFonts w:ascii="Arial" w:cs="Arial" w:eastAsia="Arial" w:hAnsi="Arial"/>
          <w:sz w:val="17"/>
          <w:szCs w:val="17"/>
          <w:i w:val="1"/>
          <w:iCs w:val="1"/>
          <w:color w:val="auto"/>
        </w:rPr>
        <w:t>Delaware Law</w:t>
      </w:r>
      <w:r>
        <w:rPr>
          <w:rFonts w:ascii="Arial" w:cs="Arial" w:eastAsia="Arial" w:hAnsi="Arial"/>
          <w:sz w:val="17"/>
          <w:szCs w:val="17"/>
          <w:color w:val="auto"/>
        </w:rPr>
        <w:t>. We are subject to the provisions of Section 203 of the General Corporation Law of the State of Delaware regulating 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takeovers. In general, those provisions prohibit a publicly-held Delaware corporation from engaging in any business combination with any interested stockholder for a period of three years following the date that the stockholder became an interested stockholder, unless:</w:t>
      </w:r>
    </w:p>
    <w:p>
      <w:pPr>
        <w:spacing w:after="0" w:line="71"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transaction is approved by the board of directors of the corporation before the date the interested stockholder attained that status;</w:t>
      </w:r>
    </w:p>
    <w:p>
      <w:pPr>
        <w:spacing w:after="0" w:line="142" w:lineRule="exact"/>
        <w:rPr>
          <w:rFonts w:ascii="Arial" w:cs="Arial" w:eastAsia="Arial" w:hAnsi="Arial"/>
          <w:sz w:val="17"/>
          <w:szCs w:val="17"/>
          <w:color w:val="auto"/>
        </w:rPr>
      </w:pPr>
    </w:p>
    <w:p>
      <w:pPr>
        <w:ind w:left="1080" w:right="40" w:hanging="424"/>
        <w:spacing w:after="0" w:line="25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93" w:lineRule="exact"/>
        <w:rPr>
          <w:rFonts w:ascii="Arial" w:cs="Arial" w:eastAsia="Arial" w:hAnsi="Arial"/>
          <w:sz w:val="18"/>
          <w:szCs w:val="18"/>
          <w:color w:val="auto"/>
        </w:rPr>
      </w:pPr>
    </w:p>
    <w:p>
      <w:pPr>
        <w:ind w:left="1080" w:right="560" w:hanging="424"/>
        <w:spacing w:after="0" w:line="308" w:lineRule="auto"/>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on or after the date the business combination is approved by the board of directors of the corporation and authorized at a meeting of stockholders by at least 66-2/3% of the outstanding voting stock that is not owned by the interested stockholder.</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Section 203 defines “business combination” to include the following:</w:t>
      </w:r>
    </w:p>
    <w:p>
      <w:pPr>
        <w:spacing w:after="0" w:line="131"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263" w:lineRule="exact"/>
        <w:rPr>
          <w:rFonts w:ascii="Arial" w:cs="Arial" w:eastAsia="Arial" w:hAnsi="Arial"/>
          <w:sz w:val="17"/>
          <w:szCs w:val="17"/>
          <w:color w:val="auto"/>
        </w:rPr>
      </w:pPr>
    </w:p>
    <w:p>
      <w:pPr>
        <w:ind w:left="108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197"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197"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In general, Section 203 defines an interested stockholder as any entity or person beneficially owning 15% or more of the outstanding voting stock of the corporation and any entity or person affiliated with or controlling or controlled by any of these entities or persons.</w:t>
      </w:r>
    </w:p>
    <w:p>
      <w:pPr>
        <w:spacing w:after="0" w:line="146"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 Delaware corporation may opt out of these provisions either with an express provision in its original certificate of incorporation or in an amendment to its certificate of incorporation or bylaws approved by its stockholders. However, we have not opted out, and do not currently intend to opt out of, these provisions. The statute could prohibit or delay mergers or other takeover or change in control attempts and, accordingly, may discourage attempts to acquire us.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transfer agent and registrar for our common stock is Broadridge Corporate Issuer Solutions, Inc.</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jc w:val="both"/>
        <w:ind w:left="120" w:right="420" w:firstLine="440"/>
        <w:spacing w:after="0" w:line="286" w:lineRule="auto"/>
        <w:rPr>
          <w:sz w:val="20"/>
          <w:szCs w:val="20"/>
          <w:color w:val="auto"/>
        </w:rPr>
      </w:pPr>
      <w:r>
        <w:rPr>
          <w:rFonts w:ascii="Arial" w:cs="Arial" w:eastAsia="Arial" w:hAnsi="Arial"/>
          <w:sz w:val="17"/>
          <w:szCs w:val="17"/>
          <w:color w:val="auto"/>
        </w:rPr>
        <w:t>As of December 31, 2020, our authorized preferred stock, par value $0.001 per share, was 5,000,000 shares, none of which were issued and outstanding. We may issue preferred stock, in series, with such designations, powers, preferences and other rights and qualifications, limitations or restrictions as our board of directors may authorize, without further action by our stockholders, including:</w:t>
      </w:r>
    </w:p>
    <w:p>
      <w:pPr>
        <w:spacing w:after="0" w:line="71"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distinctive designation of each series and the number of shares that will constitute the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voting rights, if any, of shares of the series and the terms and conditions of the voting rights;</w:t>
      </w:r>
    </w:p>
    <w:p>
      <w:pPr>
        <w:spacing w:after="0" w:line="130" w:lineRule="exact"/>
        <w:rPr>
          <w:rFonts w:ascii="Arial" w:cs="Arial" w:eastAsia="Arial" w:hAnsi="Arial"/>
          <w:sz w:val="18"/>
          <w:szCs w:val="18"/>
          <w:color w:val="auto"/>
        </w:rPr>
      </w:pPr>
    </w:p>
    <w:p>
      <w:pPr>
        <w:ind w:left="1080" w:right="340" w:hanging="424"/>
        <w:spacing w:after="0" w:line="342"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dividend rate on the shares of the series, the dates on which dividends are payable, any restriction, limitation or condition upon the payment of dividends, whether dividends will be cumulative, and the dates from and after which dividends shall accumulate;</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prices at which, and the terms and conditions on which, the shares of the series may be redeemed, if the shares are redeemable;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terms and conditions of a sinking or purchase fund for the purchase or redemption of shares of the series, if such a fund is provided;</w:t>
      </w:r>
    </w:p>
    <w:p>
      <w:pPr>
        <w:spacing w:after="0" w:line="153" w:lineRule="exact"/>
        <w:rPr>
          <w:rFonts w:ascii="Arial" w:cs="Arial" w:eastAsia="Arial" w:hAnsi="Arial"/>
          <w:sz w:val="16"/>
          <w:szCs w:val="16"/>
          <w:color w:val="auto"/>
        </w:rPr>
      </w:pPr>
    </w:p>
    <w:p>
      <w:pPr>
        <w:ind w:left="1080" w:right="64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preferential amount payable upon shares of the series in the event of the liquidation, dissolution or winding up of, or upon the distribution of any of our assets; and</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prices or rates of conversion or exchange at which, and the terms and conditions on which, the shares of the series may be converted or exchanged into other securities, if the shares are convertible or exchangeable.</w:t>
      </w:r>
    </w:p>
    <w:p>
      <w:pPr>
        <w:spacing w:after="0" w:line="170"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particular terms of any series of preferred stock, and the transfer agent and registrar for that series, will be described in a prospectus supplement. Any material United States federal income tax consequences and other special considerations with respect to any preferred stock offered under this prospectus will also be described in the applicable prospectus supplement.</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80"/>
          </w:cols>
          <w:pgMar w:left="320" w:top="459" w:right="4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following is a summary of the general terms of the debt securities we may offer. We will file a prospectus supplement that may contain additional terms when we issue debt securities. The terms presented here, together with the terms in the applicable prospectus supplement, together with any free writing prospectus or term sheet, will be a description of the material terms of the debt securities. The terms of the debt securities will include those stated in the indenture and those made part of the indenture by reference to the Trust Indenture Act of 1939, as in effect on the date of the indenture. We have filed a copy of the form of indenture as an exhibit to the registration statement in which this prospectus is included. The indenture will be subject to and governed by the terms of the Trust Indenture Act of 1939.</w:t>
      </w:r>
    </w:p>
    <w:p>
      <w:pPr>
        <w:spacing w:after="0" w:line="178"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We may issue, from time to time, debt securities, in one or more series. These debt securities that we may issue include senior debt securities, senior subordinated debt securities, subordinated debt securities, convertible debt securities and exchangeable debt securities. The following is a summary of the material provisions of the form of indenture filed as an exhibit to the registration statement of which this prospectus is a part. For each series of debt securities, the applicable prospectus supplement for the series may change and supplement the summary below.</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used in this section only, “we,” “us” and “our” refer to Veracyte, Inc., unless expressly stated or the context otherwise requires.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Terms of the Indenture</w:t>
      </w:r>
    </w:p>
    <w:p>
      <w:pPr>
        <w:spacing w:after="0" w:line="121"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The indenture does not limit the amount of debt securities that we may issue. It provides that we may issue debt securities for any series of debt securities up to the principal amount that we may authorize.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 For each series of debt securities, any restrictive covenants for those debt securities will be described in the applicable prospectus supplement for those debt securities.</w:t>
      </w:r>
    </w:p>
    <w:p>
      <w:pPr>
        <w:spacing w:after="0" w:line="16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You should refer to the prospectus supplement relating to a particular series of debt securities for a description of the following terms of the debt securities offered by that prospectus supplement and by this prospectus:</w:t>
      </w:r>
    </w:p>
    <w:p>
      <w:pPr>
        <w:spacing w:after="0" w:line="76"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title of the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aggregate principal amount, and, if a series, the total amount authorized and the total amount outstanding;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date or dates on which principal and premium, if any, of the debt securities of that series is payable;</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interest rates, and the dates from which interest, if any, on the debt securities of that series will accrue, and the dates when interest is payable and the maturity;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the extensions;</w:t>
      </w:r>
    </w:p>
    <w:p>
      <w:pPr>
        <w:spacing w:after="0" w:line="130"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amount of payments of principal or interest is to be determined by reference to an index or formula, or based on a coin or currency other than that in which the debt securities are stated to be payable, the manner in which these amounts are determined and the calculation agent, if any, with respect thereto;</w:t>
      </w:r>
    </w:p>
    <w:p>
      <w:pPr>
        <w:spacing w:after="0" w:line="89"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place or places where and the manner in which principal of, premium, if any, and interest, if any, on the debt securities of that series will be payable and the place or places where those debt securities may be presented for transfer and, if applicable, conversion or exchange;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80"/>
          </w:cols>
          <w:pgMar w:left="320" w:top="459" w:right="4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40" w:hanging="424"/>
        <w:spacing w:after="0" w:line="342"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period or periods within which, the price or prices at which, and other terms and conditions upon which those debt securities may be redeemed, in whole or in part, at our option or the option of a holder of those securities, if we or a holder is to have that option;</w:t>
      </w:r>
    </w:p>
    <w:p>
      <w:pPr>
        <w:spacing w:after="0" w:line="29" w:lineRule="exact"/>
        <w:rPr>
          <w:rFonts w:ascii="Arial" w:cs="Arial" w:eastAsia="Arial" w:hAnsi="Arial"/>
          <w:sz w:val="16"/>
          <w:szCs w:val="16"/>
          <w:color w:val="auto"/>
        </w:rPr>
      </w:pPr>
    </w:p>
    <w:p>
      <w:pPr>
        <w:ind w:left="1080" w:right="100" w:hanging="424"/>
        <w:spacing w:after="0" w:line="263"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obligation or right, if any, to redeem, repay or purchase those debt securities pursuant to any sinking fund or analogous provision or at the option of a holder of those securities, and the terms and conditions upon which the debt securities will be redeemed, repaid or purchased, in whole or in part, pursuant to that obligation;</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terms, if any, on which the debt securities of that series will be subordinate in right and priority of payment to our other debt;</w:t>
      </w:r>
    </w:p>
    <w:p>
      <w:pPr>
        <w:spacing w:after="0" w:line="142" w:lineRule="exact"/>
        <w:rPr>
          <w:rFonts w:ascii="Arial" w:cs="Arial" w:eastAsia="Arial" w:hAnsi="Arial"/>
          <w:sz w:val="17"/>
          <w:szCs w:val="17"/>
          <w:color w:val="auto"/>
        </w:rPr>
      </w:pPr>
    </w:p>
    <w:p>
      <w:pPr>
        <w:ind w:left="1080" w:right="32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denominations in which those debt securities will be issuable, if other than denominations of $1,000 or any integral multiple of that number;</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other than the entire principal amount of the debt securities when issued, the portion of the principal amount payable upon acceleration of maturity as a result of a default on our obligations;</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any securities of that series are to be issued in whole or in part in the form of one or more global securities and the depositary for those global securities;</w:t>
      </w:r>
    </w:p>
    <w:p>
      <w:pPr>
        <w:spacing w:after="0" w:line="75" w:lineRule="exact"/>
        <w:rPr>
          <w:rFonts w:ascii="Arial" w:cs="Arial" w:eastAsia="Arial" w:hAnsi="Arial"/>
          <w:sz w:val="18"/>
          <w:szCs w:val="18"/>
          <w:color w:val="auto"/>
        </w:rPr>
      </w:pPr>
    </w:p>
    <w:p>
      <w:pPr>
        <w:ind w:left="1080" w:right="160" w:hanging="424"/>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principal of or any premium or interest on the debt securities of that series is to be payable, or is to be payable at our election or the election of a holder of those securities, in securities or other property, the type and amount of those securities or other property, or the manner of determining that amount, and the period or periods within which, and the terms and conditions upon which, any such election may be made;</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events of default and covenants relating to the debt securities that are in addition to, modify or delete those described in this prospectus;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conversion or exchange provisions, if any, including conversion or exchange prices or rates and adjustments thereto;</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and upon what terms the debt securities may be defeased, if different from the provisions set forth in the indenture;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nature and terms of any security for any secured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terms applicable to any debt securities issued at a discount from their stated principal amount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any addition to or change in the covenants and/or the acceleration provisions described in this prospectus or in the indenture;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other specific terms of any debt securities.</w:t>
      </w:r>
    </w:p>
    <w:p>
      <w:pPr>
        <w:spacing w:after="0" w:line="22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for United States federal income tax purposes, be treated as if they were issued with “original issue discount” because of interest payment and other characteristics. Special United States federal income tax considerations applicable to debt securities issued with original issue discount will be described in more detail in any applicable prospectus supplement.</w:t>
      </w:r>
    </w:p>
    <w:p>
      <w:pPr>
        <w:spacing w:after="0" w:line="188"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applicable prospectus supplement will present material United States federal income tax considerations for holders of any debt securities and the securities exchange or quotation system on which any debt securities are to be listed or quoted.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Unless otherwise indicated in this prospectus or the applicable prospectus supplement, our debt securities will not have the benefit of any covenants that limit or restrict our business or operations, the pledging of our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assets or the incurrence by us of indebtedness. We will describe in the applicable prospectus supplement any material covenants in respect of a series of debt securities.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Protection in the Event of Change of Control</w:t>
      </w:r>
    </w:p>
    <w:p>
      <w:pPr>
        <w:spacing w:after="0" w:line="12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indenture does not have any covenants or other provisions providing for a put or increased interest or otherwise that would afford holders of our debt securities additional protection in the event of a recapitalization transaction, a change of control or a highly leveraged transaction. If we offer any covenants or provisions of this type with respect to any debt securities covered by this prospectus, we will describe them in the applicable prospectus supplement.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Conversion or Exchange Rights</w:t>
      </w:r>
    </w:p>
    <w:p>
      <w:pPr>
        <w:spacing w:after="0" w:line="121" w:lineRule="exact"/>
        <w:rPr>
          <w:sz w:val="20"/>
          <w:szCs w:val="20"/>
          <w:color w:val="auto"/>
        </w:rPr>
      </w:pPr>
    </w:p>
    <w:p>
      <w:pPr>
        <w:ind w:left="120" w:right="620" w:firstLine="440"/>
        <w:spacing w:after="0" w:line="342" w:lineRule="auto"/>
        <w:rPr>
          <w:sz w:val="20"/>
          <w:szCs w:val="20"/>
          <w:color w:val="auto"/>
        </w:rPr>
      </w:pPr>
      <w:r>
        <w:rPr>
          <w:rFonts w:ascii="Arial" w:cs="Arial" w:eastAsia="Arial" w:hAnsi="Arial"/>
          <w:sz w:val="16"/>
          <w:szCs w:val="16"/>
          <w:color w:val="auto"/>
        </w:rPr>
        <w:t>Debt securities may be convertible into or exchangeable for shares of our equity securities or other securities. The terms and conditions of conversion or exchange will be stated in the applicable prospectus supplement. The terms will include, among others, the following:</w:t>
      </w:r>
    </w:p>
    <w:p>
      <w:pPr>
        <w:spacing w:after="0" w:line="29"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conversion or exchange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conversion or exchange period;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provisions regarding our ability or the ability of any holder to convert or exchange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events requiring adjustment to the conversion or exchange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provisions affecting conversion or exchange in the event of our redemption of the debt securities;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anti-dilution provisions, if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or Sale</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cannot consolidate with or merge with or into, or transfer or lease all or substantially all of our assets to, any person, unless we are the surviving corporation or the successor person is a corporation organized under the laws of the United States, any state of the United States or the District of Columbia and expressly assumes our obligations under the debt securities and the indenture. In addition, we cannot complete such a transaction unless immediately after completing the transaction, no event of default under the indenture, and no event that, after notice or lapse of time or both, would become an event of default under the indenture, has occurred and is continuing. When the successor person has assumed our obligations under the debt securities and the indenture, we will be discharged from all our obligations under the debt securities and the indenture except in limited circumstances.</w:t>
      </w:r>
    </w:p>
    <w:p>
      <w:pPr>
        <w:spacing w:after="0" w:line="195" w:lineRule="exact"/>
        <w:rPr>
          <w:sz w:val="20"/>
          <w:szCs w:val="20"/>
          <w:color w:val="auto"/>
        </w:rPr>
      </w:pPr>
    </w:p>
    <w:p>
      <w:pPr>
        <w:ind w:left="120" w:right="260" w:firstLine="440"/>
        <w:spacing w:after="0" w:line="342" w:lineRule="auto"/>
        <w:rPr>
          <w:sz w:val="20"/>
          <w:szCs w:val="20"/>
          <w:color w:val="auto"/>
        </w:rPr>
      </w:pPr>
      <w:r>
        <w:rPr>
          <w:rFonts w:ascii="Arial" w:cs="Arial" w:eastAsia="Arial" w:hAnsi="Arial"/>
          <w:sz w:val="16"/>
          <w:szCs w:val="16"/>
          <w:color w:val="auto"/>
        </w:rPr>
        <w:t>This covenant would not apply to any recapitalization transaction, a change of control affecting us or a highly leveraged transaction, unless the transaction or change of control were structured to include a merger or consolidation or transfer or lease of all or substantially all of our assets.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Unless otherwise specified in the applicable prospectus supplement, the following will be “events of default” under the indenture with respect to any series of debt securities:</w:t>
      </w:r>
    </w:p>
    <w:p>
      <w:pPr>
        <w:spacing w:after="0" w:line="76"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pay interest for 30 days after the date payment is due and payable;</w:t>
      </w:r>
    </w:p>
    <w:p>
      <w:pPr>
        <w:spacing w:after="0" w:line="130"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pay principal or premium, if any, on any debt security when due, either at maturity, upon any redemption, by declaration or otherwise and, in the case of technical or administrative difficulties, only if such default persists for a period of more than three business days;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make sinking fund payments when due and continuance of such default for a period of 30 days;</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perform other covenants for 60 days after notice that performance was required;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events in bankruptcy, insolvency or reorganization relating to us; or</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other event of default provided in the applicable officer’s certificate, resolution of our board of directors or the supplemental indenture under which we issue a series of debt securities.</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indenture. For each series of debt securities, any modifications to the above events of default will be described in the applicable prospectus supplement for those debt securities.</w:t>
      </w:r>
    </w:p>
    <w:p>
      <w:pPr>
        <w:spacing w:after="0" w:line="184"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The indenture provides that if an event of default specified in the first, second, third, fourth or sixth bullets above occurs and is continuing, either the trustee or the holders of at least 25% in aggregate principal amount of the outstanding debt securities of that series may declare the principal amount of all those debt securities (or, in the case of discount securities or indexed securities, that portion of the principal amount as may be specified in the terms of that series) to be due and payable immediately. If an event of default specified in the fifth bullet above occurs and is continuing, then the principal amount of all those debt securities (or, in the case of discount securities or indexed securities, that portion of the principal amount as may be specified in the terms of that series) will be due and payable immediately, without any declaration or other act on the part of the trustee or any holder. In certain cases, holders of a majority in principal amount of the outstanding debt securities of any series may, on behalf of holders of all those debt securities, rescind and annul a declaration of acceleration.</w:t>
      </w:r>
    </w:p>
    <w:p>
      <w:pPr>
        <w:spacing w:after="0" w:line="17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indenture imposes limitations on suits brought by holders of debt securities against us. Except for actions for payment of overdue principal or interest, no holder of debt securities of any series may institute any action against us under the indenture unless:</w:t>
      </w:r>
    </w:p>
    <w:p>
      <w:pPr>
        <w:spacing w:after="0" w:line="76"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holder has previously given to the trustee written notice of default and continuance of such default;</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the affected series have requested that the trustee institute the action;</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requesting holders have offered the trustee indemnity for the reasonable expenses and liabilities that may be incurred by bringing the action;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trustee has not instituted the action within 60 days of the request and offer of indemnity; and</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trustee has not received inconsistent direction by the holders of a majority in principal amount of the outstanding debt securities of the affected series.</w:t>
      </w:r>
    </w:p>
    <w:p>
      <w:pPr>
        <w:spacing w:after="0" w:line="170"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We will be required to file annually with the trustee a certificate, signed by one of our officers, stating whether or not the officer knows of any default by us in the performance, observance or fulfillment of any condition or covenant of the indenture.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can discharge or decrease our obligations under the indenture as stated below.</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may discharge obligations to holders of any series of debt securities that have not already been delivered to the trustee for cancellation and that have either become due and payable or are by their terms to become due and payable, or are scheduled for redemption, within one year. We may effect a discharge by irrevocably depositing with the trustee cash or government obligations, as trust funds, in an amount certified to be enough to pay when due, whether at maturity, upon redemption or otherwise, the principal of, and any premium and interest on, the debt securities and any mandatory sinking fund payments.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Unless otherwise provided in the applicable prospectus supplement, we may also discharge any and all of our obligations to holders of any series of debt securities at any time, which we refer to as defeasance. We may also be released from the obligations imposed by any covenants of any outstanding series of debt securities and provisions of the indenture, and we may omit to comply with those covenants without creating an event of default under the trust declaration, which we refer to as covenant defeasance. We may effect defeasance and covenant defeasance only if, among other things:</w:t>
      </w:r>
    </w:p>
    <w:p>
      <w:pPr>
        <w:spacing w:after="0" w:line="93" w:lineRule="exact"/>
        <w:rPr>
          <w:sz w:val="20"/>
          <w:szCs w:val="20"/>
          <w:color w:val="auto"/>
        </w:rPr>
      </w:pPr>
    </w:p>
    <w:p>
      <w:pPr>
        <w:ind w:left="1080" w:hanging="424"/>
        <w:spacing w:after="0" w:line="263"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irrevocably deposit with the trustee cash or government obligations denominated in the currency of the debt securities, as trust funds, in an amount certified to be enough to pay at maturity, or upon redemption, the principal (including any mandatory sinking fund payments) of, and any premium and interest on, all outstanding debt securities of the series; and</w:t>
      </w:r>
    </w:p>
    <w:p>
      <w:pPr>
        <w:spacing w:after="0" w:line="89" w:lineRule="exact"/>
        <w:rPr>
          <w:rFonts w:ascii="Arial" w:cs="Arial" w:eastAsia="Arial" w:hAnsi="Arial"/>
          <w:sz w:val="18"/>
          <w:szCs w:val="18"/>
          <w:color w:val="auto"/>
        </w:rPr>
      </w:pPr>
    </w:p>
    <w:p>
      <w:pPr>
        <w:ind w:left="1080" w:right="20" w:hanging="424"/>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deliver to the trustee an opinion of counsel from a nationally recognized law firm to the effect that the holders of the series of debt securities will not recognize income, gain or loss for U.S. federal income tax purposes as a result of the defeasance or covenant defeasance and that defeasance or covenant defeasance will not otherwise alter the holders’ U.S. federal income tax treatment of principal, and any premium and interest payments on, the series of debt securities.</w:t>
      </w:r>
    </w:p>
    <w:p>
      <w:pPr>
        <w:spacing w:after="0" w:line="18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In the case of a defeasance by us, the opinion we deliver must be based on a ruling of the Internal Revenue Service issued, or a change in U.S. federal income tax law occurring, after the date of the indenture, since such a result would not occur under the U.S. federal income tax laws in effect on that date.</w:t>
      </w:r>
    </w:p>
    <w:p>
      <w:pPr>
        <w:spacing w:after="0" w:line="184"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Although we may discharge or decrease our obligations under the indenture as described in the two preceding paragraphs, we may not avoid, among other things, our duty to register the transfer or exchange of any series of debt securities, to replace any temporary, mutilated, destroyed, lost or stolen series of debt securities or to maintain an office or agency in respect of any series of debt securities.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of the Indenture</w:t>
      </w:r>
    </w:p>
    <w:p>
      <w:pPr>
        <w:spacing w:after="0" w:line="12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indenture provides that we and the trustee may enter into supplemental indentures without the consent of the holders of debt securities to, among other things:</w:t>
      </w:r>
    </w:p>
    <w:p>
      <w:pPr>
        <w:spacing w:after="0" w:line="76"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evidence the assumption by a successor entity of our obligations;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 to our covenants for the benefit of the holders of debt securities, or to surrender any rights or power conferred upon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 any additional events of default;</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 to, change or eliminate any of the provisions of the indenture in a manner that will become effective only when there is no outstanding debt security which is entitled to the benefit of the provision as to which the modification would apply;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 guarantees with respect to or secure any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the forms or terms of debt securities of any series;</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 and add to or change any of the provisions of the indenture as is necessary for the administration of the trusts by more than one trustee;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cure any ambiguity or correct any inconsistency or defect in the indenture;</w:t>
      </w:r>
    </w:p>
    <w:p>
      <w:pPr>
        <w:spacing w:after="0" w:line="130"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modify, eliminate or add to the provisions of the indenture as shall be necessary to effect the qualification of the indenture under the Trust Indenture Act of 1939 or under any similar federal statute later enacted, and to add to the indenture such other provisions as may be expressly required by the Trust Indenture Act; and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080" w:right="100" w:hanging="424"/>
        <w:spacing w:after="0" w:line="263"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any other provisions with respect to matters or questions arising under the indenture that will not be inconsistent with any provision of the indenture as long as the new provisions do not adversely affect the interests of the holders of any outstanding debt securities of any series created prior to the modification.</w:t>
      </w:r>
    </w:p>
    <w:p>
      <w:pPr>
        <w:spacing w:after="0" w:line="18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indenture also provides that we and the trustee may, with the consent of the holders of not less than a majority in aggregate principal amount of debt securities of each series of debt securities affected by such supplemental indenture then outstanding, add any provisions to, or change in any manner, eliminate or modify in any way the provisions of, the indenture or any supplemental indenture or modify in any manner the rights of the holders of the debt securities. We and the trustee may not, however, without the consent of the holder of each outstanding debt security affected thereby:</w:t>
      </w:r>
    </w:p>
    <w:p>
      <w:pPr>
        <w:spacing w:after="0" w:line="63"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extend the final maturity of any debt security;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 the principal amount or premium,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 the rate or extend the time of payment of interest;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reduce the amount of the principal of any debt security issued with an original issue discount that is payable upon acceleration;</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 the currency in which the principal, and any premium or interest, is payable;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any debt security when due;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applicable, adversely affect the right of a holder to convert or exchange a debt security; or</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of any series whose consent is required for any modification of the indenture or for waivers of compliance with or defaults under the indenture with respect to debt securities of that series.</w:t>
      </w:r>
    </w:p>
    <w:p>
      <w:pPr>
        <w:spacing w:after="0" w:line="170"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The indenture provides that the holders of not less than a majority in aggregate principal amount of the then outstanding debt securities of any series, by notice to the relevant trustee, may on behalf of the holders of the debt securities of that series waive any default and its consequences under the indenture except:</w:t>
      </w:r>
    </w:p>
    <w:p>
      <w:pPr>
        <w:spacing w:after="0" w:line="89"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default in the payment of, any premium and any interest on, or principal of, any such debt security held by a nonconsenting holder; or</w:t>
      </w:r>
    </w:p>
    <w:p>
      <w:pPr>
        <w:spacing w:after="0" w:line="153" w:lineRule="exact"/>
        <w:rPr>
          <w:rFonts w:ascii="Arial" w:cs="Arial" w:eastAsia="Arial" w:hAnsi="Arial"/>
          <w:sz w:val="16"/>
          <w:szCs w:val="16"/>
          <w:color w:val="auto"/>
        </w:rPr>
      </w:pPr>
    </w:p>
    <w:p>
      <w:pPr>
        <w:ind w:left="1080" w:right="28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default in respect of a covenant or provision of the indenture that cannot be modified or amended without the consent of the holder of each outstanding debt security of each series affected.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Registered Global Securities and Book Entry System</w:t>
      </w:r>
    </w:p>
    <w:p>
      <w:pPr>
        <w:spacing w:after="0" w:line="121"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The debt securities of a series may be issued in whole or in part in book-entry form and will be represented by one or more fully registered global securities. We will deposit any registered global securities with a depositary or with a nominee for a depositary identified in the applicable prospectus supplement and registered in the name of such depositary or nominee. In such case, we will issue one or more registered global securities denominated in an amount equal to the aggregate principal amount of all of the debt securities of the series to be issued and represented by such registered global security or securities. This means that we will not issue certificates to each holder.</w:t>
      </w:r>
    </w:p>
    <w:p>
      <w:pPr>
        <w:spacing w:after="0" w:line="176"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Unless and until it is exchanged in whole or in part for debt securities in definitive registered form, a registered global security may not be transferred except as a whole:</w:t>
      </w:r>
    </w:p>
    <w:p>
      <w:pPr>
        <w:spacing w:after="0" w:line="76"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by the depositary for the registered global security to its nominee;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by a nominee of the depositary to the depositary or another nominee of the depositary; or</w:t>
      </w:r>
    </w:p>
    <w:p>
      <w:pPr>
        <w:spacing w:after="0" w:line="130" w:lineRule="exact"/>
        <w:rPr>
          <w:rFonts w:ascii="Arial" w:cs="Arial" w:eastAsia="Arial" w:hAnsi="Arial"/>
          <w:sz w:val="18"/>
          <w:szCs w:val="18"/>
          <w:color w:val="auto"/>
        </w:rPr>
      </w:pPr>
    </w:p>
    <w:p>
      <w:pPr>
        <w:ind w:left="5540" w:right="3180" w:hanging="4884"/>
        <w:spacing w:after="0" w:line="449" w:lineRule="auto"/>
        <w:tabs>
          <w:tab w:leader="none" w:pos="1094" w:val="left"/>
        </w:tabs>
        <w:numPr>
          <w:ilvl w:val="0"/>
          <w:numId w:val="22"/>
        </w:numPr>
        <w:rPr>
          <w:rFonts w:ascii="Arial" w:cs="Arial" w:eastAsia="Arial" w:hAnsi="Arial"/>
          <w:sz w:val="18"/>
          <w:szCs w:val="18"/>
          <w:color w:val="auto"/>
        </w:rPr>
      </w:pPr>
      <w:r>
        <w:rPr>
          <w:rFonts w:ascii="Arial" w:cs="Arial" w:eastAsia="Arial" w:hAnsi="Arial"/>
          <w:sz w:val="18"/>
          <w:szCs w:val="18"/>
          <w:color w:val="auto"/>
        </w:rPr>
        <w:t>by the depositary or its nominee to a successor of the depositary or a nominee of the successor. 14</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prospectus supplement relating to a series of debt securities will describe the specific terms of the depositary arrangement involving any portion of the series represented by a registered global security. We anticipate that the following provisions will apply to all depositary arrangements for debt securities:</w:t>
      </w:r>
    </w:p>
    <w:p>
      <w:pPr>
        <w:spacing w:after="0" w:line="89" w:lineRule="exact"/>
        <w:rPr>
          <w:sz w:val="20"/>
          <w:szCs w:val="20"/>
          <w:color w:val="auto"/>
        </w:rPr>
      </w:pPr>
    </w:p>
    <w:p>
      <w:pPr>
        <w:ind w:left="1080" w:right="220" w:hanging="424"/>
        <w:spacing w:after="0" w:line="342"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ownership of beneficial interests in a registered global security will be limited to persons that have accounts with the depositary for such registered global security, these persons being referred to as “participants,” or persons that may hold interests through participants;</w:t>
      </w:r>
    </w:p>
    <w:p>
      <w:pPr>
        <w:spacing w:after="0" w:line="29" w:lineRule="exact"/>
        <w:rPr>
          <w:rFonts w:ascii="Arial" w:cs="Arial" w:eastAsia="Arial" w:hAnsi="Arial"/>
          <w:sz w:val="16"/>
          <w:szCs w:val="16"/>
          <w:color w:val="auto"/>
        </w:rPr>
      </w:pPr>
    </w:p>
    <w:p>
      <w:pPr>
        <w:ind w:left="1080" w:right="80" w:hanging="424"/>
        <w:spacing w:after="0" w:line="26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upon the issuance of a registered global security, the depositary for the registered global security will credit, on its book- entry registration and transfer system, the participants’ accounts with the respective principal amounts of the debt securities represented by the registered global security beneficially owned by the participants;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any dealers, underwriters, or agents participating in the distribution of the debt securities will designate the accounts to be credited; and</w:t>
      </w:r>
    </w:p>
    <w:p>
      <w:pPr>
        <w:spacing w:after="0" w:line="153" w:lineRule="exact"/>
        <w:rPr>
          <w:rFonts w:ascii="Arial" w:cs="Arial" w:eastAsia="Arial" w:hAnsi="Arial"/>
          <w:sz w:val="16"/>
          <w:szCs w:val="16"/>
          <w:color w:val="auto"/>
        </w:rPr>
      </w:pPr>
    </w:p>
    <w:p>
      <w:pPr>
        <w:jc w:val="both"/>
        <w:ind w:left="1080" w:right="540" w:hanging="424"/>
        <w:spacing w:after="0" w:line="26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ownership of beneficial interest in the registered global security will be shown on, and the transfer of the ownership interest will be effected only through, records maintained by the depositary for the registered global security for interests of participants, and on the records of participants for interests of persons holding through participants.</w:t>
      </w:r>
    </w:p>
    <w:p>
      <w:pPr>
        <w:spacing w:after="0" w:line="184"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laws of some states may require that specified purchasers of securities take physical delivery of the securities in definitive form. These laws may limit the ability of those persons to own, transfer or pledge beneficial interests in registered global securities.</w:t>
      </w:r>
    </w:p>
    <w:p>
      <w:pPr>
        <w:spacing w:after="0" w:line="170" w:lineRule="exact"/>
        <w:rPr>
          <w:sz w:val="20"/>
          <w:szCs w:val="20"/>
          <w:color w:val="auto"/>
        </w:rPr>
      </w:pPr>
    </w:p>
    <w:p>
      <w:pPr>
        <w:jc w:val="both"/>
        <w:ind w:left="120" w:right="60" w:firstLine="440"/>
        <w:spacing w:after="0" w:line="286" w:lineRule="auto"/>
        <w:rPr>
          <w:sz w:val="20"/>
          <w:szCs w:val="20"/>
          <w:color w:val="auto"/>
        </w:rPr>
      </w:pPr>
      <w:r>
        <w:rPr>
          <w:rFonts w:ascii="Arial" w:cs="Arial" w:eastAsia="Arial" w:hAnsi="Arial"/>
          <w:sz w:val="17"/>
          <w:szCs w:val="17"/>
          <w:color w:val="auto"/>
        </w:rPr>
        <w:t>So long as the depositary for a registered global security, or its nominee, is the registered owner of the registered global security, the depositary or such nominee, as the case may be, will be considered the sole owner or holder of the debt securities represented by the registered global security for all purposes under the indenture. Except as stated below, owners of beneficial interests in a registered global security:</w:t>
      </w:r>
    </w:p>
    <w:p>
      <w:pPr>
        <w:spacing w:after="0" w:line="71"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will not be entitled to have the debt securities represented by a registered global security registered in their names;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delivery of the debt securities in the definitive form;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debt securities under the relevant indenture.</w:t>
      </w:r>
    </w:p>
    <w:p>
      <w:pPr>
        <w:spacing w:after="0" w:line="22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Accordingly, each person owning a beneficial interest in a registered global security must rely on the procedures of the depositary for the registered global security and, if the person is not a participant, on the procedures of a participant through which the person owns its interest, to exercise any rights of a holder under the indenture.</w:t>
      </w:r>
    </w:p>
    <w:p>
      <w:pPr>
        <w:spacing w:after="0" w:line="184"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We understand that under existing industry practices, if we request any action of holders or if an owner of a beneficial interest in a registered global security desires to give or take any action that a holder is entitled to give or take under the indenture, the depositary for the registered global security would authorize the participants holding the relevant beneficial interests to give or take the action, and the participants would authorize beneficial owners owning through the participants to give or take the action or would otherwise act upon the instructions of beneficial owners holding through them.</w:t>
      </w:r>
    </w:p>
    <w:p>
      <w:pPr>
        <w:spacing w:after="0" w:line="18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will make payments of principal and premium, if any, and interest, if any, on debt securities represented by a registered global security registered in the name of a depositary or its nominee to the depositary or its nominee, as the case may be, as the registered owners of the registered global security. Neither we nor the trustee, or any other agent of ours or the trustee will be responsible or liable for any aspect of the records relating to, or payments made on account of, beneficial ownership interests in the registered global security or for maintaining, supervising or reviewing any records relating to the beneficial ownership interests.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We expect that the depositary for any debt securities represented by a registered global security, upon receipt of any payments of principal and premium, if any, and interest, if any, in respect of the registered global security, will immediately credit participants’ accounts with payments in amounts proportionate to their respective beneficial interests in the registered global security as shown on the records of the depositary. We also expect that standing customer instructions and customary practices will govern payments by participants to owners of beneficial interests in the registered global security held through the participants, as is now the case with the securities held for the accounts of customers in bearer form or registered in “street name.” We also expect that any of these payments will be the responsibility of the participants.</w:t>
      </w:r>
    </w:p>
    <w:p>
      <w:pPr>
        <w:spacing w:after="0" w:line="17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If the depositary for any debt securities represented by a registered global security is at any time unwilling or unable to continue as depositary or stops being a clearing agency registered under the Securities Exchange Act of 1934, as amended, or the Exchange Act, we will appoint an eligible successor depositary. If we fail to appoint an eligible successor depositary within 90 days, we will issue the debt securities in definitive form in exchange for the registered global security. In addition, we may at any time and in our sole discretion decide not to have any of the debt securities of a series represented by one or more registered global securities. In that event, we will issue debt securities of the series in a definitive form in exchange for all of the registered global securities representing the debt securities. The trustee will register any debt securities issued in definitive form in exchange for a registered global security in the name or names as the depositary, based upon instructions from its participants, shall instruct the trustee.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Concerning the Trustee</w:t>
      </w:r>
    </w:p>
    <w:p>
      <w:pPr>
        <w:spacing w:after="0" w:line="121" w:lineRule="exact"/>
        <w:rPr>
          <w:sz w:val="20"/>
          <w:szCs w:val="20"/>
          <w:color w:val="auto"/>
        </w:rPr>
      </w:pPr>
    </w:p>
    <w:p>
      <w:pPr>
        <w:ind w:left="120" w:right="220" w:firstLine="440"/>
        <w:spacing w:after="0" w:line="272" w:lineRule="auto"/>
        <w:rPr>
          <w:sz w:val="20"/>
          <w:szCs w:val="20"/>
          <w:color w:val="auto"/>
        </w:rPr>
      </w:pPr>
      <w:r>
        <w:rPr>
          <w:rFonts w:ascii="Arial" w:cs="Arial" w:eastAsia="Arial" w:hAnsi="Arial"/>
          <w:sz w:val="17"/>
          <w:szCs w:val="17"/>
          <w:color w:val="auto"/>
        </w:rPr>
        <w:t>The indenture provides that there may be more than one trustee under the indenture, each for one or more series of debt securities. If there are different trustees for different series of debt securities, each trustee will be a trustee of a trust under the indenture separate and apart from the trust administered by any other trustee under that indenture. Except as otherwise indicated in this prospectus or any prospectus supplement, any action permitted to be taken by a trustee may be taken by such trustee only on the one or more series of debt securities for which it is the trustee under the indenture. Any trustee under the indenture may resign or be removed from one or more series of debt securities. All payments of principal of, and any premium and interest on, and all registration, transfer, exchange, authentication and delivery of, the debt securities of a series will be effected by the trustee for that series at an office designated by the trustee in New York, New York.</w:t>
      </w:r>
    </w:p>
    <w:p>
      <w:pPr>
        <w:spacing w:after="0" w:line="17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indenture provides that, except during the continuance of an event of default, the trustee will perform only such duties as are specifically set forth in the indenture. During the existence of an event of default, the trustee will exercise those rights and powers vested in it under the indenture and use the same degree of care and skill in its exercise as a prudent person would exercise under the circumstances in the conduct of such person’s own affairs.</w:t>
      </w:r>
    </w:p>
    <w:p>
      <w:pPr>
        <w:spacing w:after="0" w:line="187" w:lineRule="exact"/>
        <w:rPr>
          <w:sz w:val="20"/>
          <w:szCs w:val="20"/>
          <w:color w:val="auto"/>
        </w:rPr>
      </w:pPr>
    </w:p>
    <w:p>
      <w:pPr>
        <w:ind w:left="120" w:right="320" w:firstLine="440"/>
        <w:spacing w:after="0" w:line="286" w:lineRule="auto"/>
        <w:rPr>
          <w:sz w:val="20"/>
          <w:szCs w:val="20"/>
          <w:color w:val="auto"/>
        </w:rPr>
      </w:pPr>
      <w:r>
        <w:rPr>
          <w:rFonts w:ascii="Arial" w:cs="Arial" w:eastAsia="Arial" w:hAnsi="Arial"/>
          <w:sz w:val="17"/>
          <w:szCs w:val="17"/>
          <w:color w:val="auto"/>
        </w:rPr>
        <w:t>If the trustee becomes a creditor of ours, the indenture places limitations on the right of the trustee to obtain payment of claims or to realize on property received in respect of any such claim as security or otherwise. The trustee may engage in other transactions. If it acquires any conflicting interest relating to any duties concerning the debt securities, however, it must eliminate the conflict or resign as trustee.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Individual Liability of Incorporators, Stockholders, Officers or Directors</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indenture provides that no past, present or future director, officer, stockholder or employee of ours, any of our affiliates, or any successor corporation, in their capacity as such, shall have any individual liability for any of our obligations, covenants or agreements under the debt securities or the indenture.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laws of the State of New York.</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may issue warrants for the purchase of common stock, preferred stock, debt securities, or any combination thereof. We may issue warrants independently or together with any other securities offered by any prospectus supplement and may be attached to or separate from the other offered securities. Each series of warrants may be issued under a separate warrant agreement to be entered into by us with a warrant agent. The applicable warrant agent will act solely as our agent in connection with the warrants and will not assume any obligation or relationship of agency or trust for or with any holders or beneficial owners of warrants. Further terms of the warrants and the applicable warrant agreements will be set forth in the applicable prospectus supplement.</w:t>
      </w:r>
    </w:p>
    <w:p>
      <w:pPr>
        <w:spacing w:after="0" w:line="192"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applicable prospectus supplement relating to any particular issue of warrants will describe the terms of the warrants, including, as applicable, the following:</w:t>
      </w:r>
    </w:p>
    <w:p>
      <w:pPr>
        <w:spacing w:after="0" w:line="76"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aggregate number of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price or prices at which the warrants will be issued;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designation, terms and number of shares of common stock, preferred stock or debt securities purchasable upon exercise of the warrants;</w:t>
      </w:r>
    </w:p>
    <w:p>
      <w:pPr>
        <w:spacing w:after="0" w:line="153" w:lineRule="exact"/>
        <w:rPr>
          <w:rFonts w:ascii="Arial" w:cs="Arial" w:eastAsia="Arial" w:hAnsi="Arial"/>
          <w:sz w:val="16"/>
          <w:szCs w:val="16"/>
          <w:color w:val="auto"/>
        </w:rPr>
      </w:pPr>
    </w:p>
    <w:p>
      <w:pPr>
        <w:ind w:left="1080" w:right="22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designation and terms of the offered securities, if any, with which the warrants are issued and the number of the warrants issued with each offered security;</w:t>
      </w:r>
    </w:p>
    <w:p>
      <w:pPr>
        <w:spacing w:after="0" w:line="75"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if any, on and after which the warrants and the related common stock, preferred stock or debt securities will be separately transferable;</w:t>
      </w:r>
    </w:p>
    <w:p>
      <w:pPr>
        <w:spacing w:after="0" w:line="75"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price at which each share of common stock, preferred stock or debt securities purchasable upon exercise of the warrants may be purchased;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shall commence and the date on which that right shall expire;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minimum or maximum amount of the warrants which may be exercised at any one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other terms of the warrants, including terms, procedures and limitations relating to the exchange and exercise of the warrants.</w:t>
      </w:r>
    </w:p>
    <w:p>
      <w:pPr>
        <w:spacing w:after="0" w:line="129"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We and the applicable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SUBSCRIPTION RIGHTS</w:t>
      </w:r>
    </w:p>
    <w:p>
      <w:pPr>
        <w:spacing w:after="0" w:line="229"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We may issue subscription rights to purchase common stock or preferred stock. This prospectus and any accompanying prospectus supplement will contain the material terms and conditions for each subscription right. The accompanying prospectus supplement may add, update or change the terms and conditions of the subscription rights as described in this prospectus.</w:t>
      </w:r>
    </w:p>
    <w:p>
      <w:pPr>
        <w:spacing w:after="0" w:line="18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will describe in the applicable prospectus supplement the terms and conditions of the issue of subscription rights being offered, the subscription rights agreement relating to the subscription rights and the subscription rights certificates representing the subscription rights, including, as applicable:</w:t>
      </w:r>
    </w:p>
    <w:p>
      <w:pPr>
        <w:spacing w:after="0" w:line="89"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title of the subscription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of determining the stockholders entitled to the subscription rights distribution;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title, aggregate number of shares of common stock or preferred stock purchasable upon exercise of the subscription rights;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aggregate number of subscription rights issued;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if any, on and after which the subscription rights will be separately transferable;</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on which the subscription right to exercise the subscription rights will commence and the date on which the subscription right will expire; and</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terms of the subscription rights, including terms, procedures and limitations relating to the distribution, exchange and exercise of the subscription rights.</w:t>
      </w:r>
    </w:p>
    <w:p>
      <w:pPr>
        <w:spacing w:after="0" w:line="170"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Each subscription right will entitle the holder of subscription rights to purchase for cash the principal amount of shares of common stock or preferred stock at the exercise price provided in the applicable prospectus supplement. Subscription rights may be exercised at any time up to the close of business on the expiration date for the subscription rights provided in the applicable prospectus supplement. After the close of business on the expiration date, all unexercised subscription rights will be void.</w:t>
      </w:r>
    </w:p>
    <w:p>
      <w:pPr>
        <w:spacing w:after="0" w:line="18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Holders may exercise subscription rights as described in the applicable prospectus supplement. Upon receipt of payment and the subscription rights certificate properly completed and duly executed at the corporate trust office of the subscription rights agent or any other office indicated in the prospectus supplement, we will, as soon as practicable, forward the shares of common stock or preferred stock purchasable upon exercise of the subscription rights. If less than all of the subscription rights issued in any subscription rights offering are exercised, we may offer any unsubscribed securities directly to persons other than stockholders, to or through agents, underwriters or dealers or through a combination of such methods, including pursuant to standby underwriting arrangements, as described in the applicable prospectus supplement.</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80"/>
          </w:cols>
          <w:pgMar w:left="320" w:top="459" w:right="4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We may issue units consisting of some or all of the securities described above, in any combination, including common stock, preferred stock, warrants and/or debt securities. The terms of these units will be set forth in a prospectus supplement. The description of the terms of these units in the related prospectus supplement will not be complete. You should refer to the applicable form of unit and unit agreement for complete information with respect to these units.</w:t>
      </w:r>
    </w:p>
    <w:p>
      <w:pPr>
        <w:spacing w:after="0" w:line="39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SELLING SECURITYHOLDERS</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Selling securityholders are persons or entities that, directly or indirectly, have acquired, or will from time to time acquire from us, our common stock. If the registration statement of which this prospectus forms a part is used by selling securityholders for the resale of any securities registered thereunder, information about such selling securityholders, their beneficial ownership of our securities and their relationship with us will be set forth in a prospectus supplement.</w:t>
      </w:r>
    </w:p>
    <w:p>
      <w:pPr>
        <w:spacing w:after="0" w:line="39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left="120" w:right="120" w:firstLine="440"/>
        <w:spacing w:after="0" w:line="286" w:lineRule="auto"/>
        <w:rPr>
          <w:sz w:val="20"/>
          <w:szCs w:val="20"/>
          <w:color w:val="auto"/>
        </w:rPr>
      </w:pPr>
      <w:r>
        <w:rPr>
          <w:rFonts w:ascii="Arial" w:cs="Arial" w:eastAsia="Arial" w:hAnsi="Arial"/>
          <w:sz w:val="17"/>
          <w:szCs w:val="17"/>
          <w:color w:val="auto"/>
        </w:rPr>
        <w:t>We or selling securityholders may sell the securities offered by this prospectus to one or more underwriters or dealers for public offering and sale by them or to investors directly or through agents. The accompanying prospectus supplement will set forth the terms of the offering and the method of distribution and will identify any firms acting as underwriters, dealers or agents in connection with the offering, including:</w:t>
      </w:r>
    </w:p>
    <w:p>
      <w:pPr>
        <w:spacing w:after="0" w:line="71"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applicable, the names of any selling securityholders;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purchase price of the securities and the proceeds to us or the selling securityholders from the 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underwriting discounts and other items constituting compensation to underwriters, dealers or agents;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offered in the prospectus supplement may be listed.</w:t>
      </w:r>
    </w:p>
    <w:p>
      <w:pPr>
        <w:spacing w:after="0" w:line="225"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Only those underwriters identified in such prospectus supplement are deemed to be underwriters in connection with the securities offered in the prospectus supplement. We or selling securityholders may directly solicit offers to purchase the securities being offered by this prospectus. We or selling securityholders may also designate agents to solicit offers to purchase the securities from time to time. We or selling securityholders will name in a prospectus supplement any agent involved in the offer or sale of our securities. Unless otherwise indicated in a prospectus supplement, an agent will be acting on a best efforts basis, and a dealer will purchase securities as a principal for resale at varying prices to be determined by the dealer.</w:t>
      </w:r>
    </w:p>
    <w:p>
      <w:pPr>
        <w:spacing w:after="0" w:line="161"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 distribution of the securities may be effected from time to time in one or more transactions at a fixed price or prices, which may be changed, or at prices determined as the applicable prospectus supplement specifies. The securities may be sold through an at-the-market offering, a subscription rights offering, forward contracts or similar arrangements. In addition, we or selling securityholders may enter into derivative transactions with third parties, or sell securities not covered by this prospectus to third parties in privately negotiated transactions. If the applicable prospectus supplement so indicates, in connection with those derivatives, the third parties may sell</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securities covered by this prospectus and the applicable prospectus supplement, including in short sale transactions. If so, the third party may use securities pledged by us or selling securityholders or borrowed from us or selling securityholders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 effective amendment). In addition, we or selling securityholders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66"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In connection with the sale of the securities, underwriters, dealers or agents may be deemed to have received compensation from us or selling securityholders in the form of underwriting discounts or commissions and also may receive commissions from securities purchasers for whom they may act as agent. Underwriters may sell the securities to or through dealers, and the dealers may receive compensation in the form of discounts, concessions or commissions from the underwriters or commissions from the purchasers for whom they may act as agent.</w:t>
      </w:r>
    </w:p>
    <w:p>
      <w:pPr>
        <w:spacing w:after="0" w:line="171"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We or selling securityholders will provide in the applicable prospectus supplement information regarding any underwriting discounts or other compensation that we or selling securityholders pay to underwriters or agents in connection with the securities offering, and any discounts, concessions or commissions that underwriters allow to dealers. Underwriters, dealers, agents and selling securityholders participating in the securities distribution may be deemed to be underwriters, and any discounts, commissions or concessions they receive and any profit they realize on the resale of the securities may be deemed to be underwriting discounts and commissions under the Securities Act. Underwriters and their controlling persons, dealers and agents may be entitled, under agreements entered into with us or selling securityholders, to indemnification against and contribution toward specific civil liabilities, including liabilities under the Securities Act. Some of the underwriters, dealers or agents who participate in the securities distribution may engage in other transactions with, and perform other services for, us in the ordinary course of business.</w:t>
      </w:r>
    </w:p>
    <w:p>
      <w:pPr>
        <w:spacing w:after="0" w:line="165"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Our common stock is currently listed on The Nasdaq Global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validity of any securities offered by this prospectus will be passed upon for us by Fenwick &amp; West LLP, San Francisco, California. Counsel representing any underwriters, dealers or agents will be named in the applicable prospectus supplement.</w:t>
      </w: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Ernst &amp; Young LLP, independent registered public accounting firm, has audited our consolidated financial statements included in our Annual Report on Form 10-K for the year ended December 31, 2019, and the effectiveness of our internal control over financial reporting as of December 31, 2019,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w:t>
      </w:r>
    </w:p>
    <w:p>
      <w:pPr>
        <w:spacing w:after="0" w:line="36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We have filed with the SEC a registration statement on Form S-3 under the Securities Act with respect to the securities offered hereby. This prospectus, which constitutes a part of the registration statement, does not contain all of the information set forth in the registration statement, the exhibits filed therewith or the documents incorporated by reference therein. For further information about us and the securities offered hereby, reference is made to the registration statement, the exhibits filed therewith and the documents incorporated by reference therein.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The SEC maintains a website that contains reports, proxy and information statements and other information regarding registrants that file electronically with the SEC. The address of the website is www.sec.gov.</w:t>
      </w:r>
    </w:p>
    <w:p>
      <w:pPr>
        <w:spacing w:after="0" w:line="178"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are subject to the information and reporting requirements of the Exchange Act, and, in accordance with this law, file periodic reports and other information with the SEC. These periodic reports and other information are available for inspection and copying at the SEC’s public reference facilities and the website of the SEC referred to above. We also maintain a website at www.veracyte.com.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OF INFORMATION BY REFERENCE</w:t>
      </w:r>
    </w:p>
    <w:p>
      <w:pPr>
        <w:spacing w:after="0" w:line="229"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SEC permits us to “incorporate by reference” the information contained in documents we file with the SEC, which means that we can disclose important information to you by referring you to those documents rather than by including them in this prospectus. Information that is incorporated by reference is considered to be part of this prospectus and you should read it with the same care that you read this prospectus. Later information that we file with the SEC will automatically update and supersede the information that is either contained, or incorporated by reference, in this prospectus, and will be considered to be a part of this prospectus from the date those documents are filed. We have filed with the SEC, and incorporate by reference in this prospectus:</w:t>
      </w:r>
    </w:p>
    <w:p>
      <w:pPr>
        <w:spacing w:after="0" w:line="98"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our Annual Report on Form 10-K for the year ended December 31, 2019, filed with the SEC on </w:t>
      </w:r>
      <w:hyperlink r:id="rId69">
        <w:r>
          <w:rPr>
            <w:rFonts w:ascii="Arial" w:cs="Arial" w:eastAsia="Arial" w:hAnsi="Arial"/>
            <w:sz w:val="18"/>
            <w:szCs w:val="18"/>
            <w:u w:val="single" w:color="auto"/>
            <w:color w:val="0000EE"/>
          </w:rPr>
          <w:t>February 25, 2020;</w:t>
        </w:r>
      </w:hyperlink>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the information specifically incorporated by reference into our Annual Report on Form 10-K for the year ended December 31, 2019 from our definitive proxy statement on Schedule 14A, which was filed with the SEC on </w:t>
      </w:r>
      <w:hyperlink r:id="rId70">
        <w:r>
          <w:rPr>
            <w:rFonts w:ascii="Arial" w:cs="Arial" w:eastAsia="Arial" w:hAnsi="Arial"/>
            <w:sz w:val="18"/>
            <w:szCs w:val="18"/>
            <w:u w:val="single" w:color="auto"/>
            <w:color w:val="0000EE"/>
          </w:rPr>
          <w:t>April 24, 2020;</w:t>
        </w:r>
      </w:hyperlink>
    </w:p>
    <w:p>
      <w:pPr>
        <w:spacing w:after="0" w:line="75" w:lineRule="exact"/>
        <w:rPr>
          <w:rFonts w:ascii="Arial" w:cs="Arial" w:eastAsia="Arial" w:hAnsi="Arial"/>
          <w:sz w:val="18"/>
          <w:szCs w:val="18"/>
          <w:color w:val="auto"/>
        </w:rPr>
      </w:pPr>
    </w:p>
    <w:p>
      <w:pPr>
        <w:ind w:left="1080" w:right="300" w:hanging="424"/>
        <w:spacing w:after="0" w:line="342"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our Quarterly Reports on Form 10-Q for the quarter ended March 31, 2020, filed with the SEC on </w:t>
      </w:r>
      <w:hyperlink r:id="rId71">
        <w:r>
          <w:rPr>
            <w:rFonts w:ascii="Arial" w:cs="Arial" w:eastAsia="Arial" w:hAnsi="Arial"/>
            <w:sz w:val="16"/>
            <w:szCs w:val="16"/>
            <w:u w:val="single" w:color="auto"/>
            <w:color w:val="0000EE"/>
          </w:rPr>
          <w:t>May 6, 2020</w:t>
        </w:r>
      </w:hyperlink>
      <w:r>
        <w:rPr>
          <w:rFonts w:ascii="Arial" w:cs="Arial" w:eastAsia="Arial" w:hAnsi="Arial"/>
          <w:sz w:val="16"/>
          <w:szCs w:val="16"/>
          <w:color w:val="auto"/>
        </w:rPr>
        <w:t xml:space="preserve">, the quarter ended June 30, 2020, filed with the SEC on </w:t>
      </w:r>
      <w:hyperlink r:id="rId72">
        <w:r>
          <w:rPr>
            <w:rFonts w:ascii="Arial" w:cs="Arial" w:eastAsia="Arial" w:hAnsi="Arial"/>
            <w:sz w:val="16"/>
            <w:szCs w:val="16"/>
            <w:u w:val="single" w:color="auto"/>
            <w:color w:val="0000EE"/>
          </w:rPr>
          <w:t>July 30, 2020</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the quarter ended September 30, 2020, filed with the SEC on </w:t>
      </w:r>
      <w:hyperlink r:id="rId73">
        <w:r>
          <w:rPr>
            <w:rFonts w:ascii="Arial" w:cs="Arial" w:eastAsia="Arial" w:hAnsi="Arial"/>
            <w:sz w:val="16"/>
            <w:szCs w:val="16"/>
            <w:u w:val="single" w:color="auto"/>
            <w:color w:val="0000EE"/>
          </w:rPr>
          <w:t>November 2, 2020</w:t>
        </w:r>
      </w:hyperlink>
      <w:r>
        <w:rPr>
          <w:rFonts w:ascii="Arial" w:cs="Arial" w:eastAsia="Arial" w:hAnsi="Arial"/>
          <w:sz w:val="16"/>
          <w:szCs w:val="16"/>
          <w:color w:val="auto"/>
        </w:rPr>
        <w:t>;</w:t>
      </w:r>
    </w:p>
    <w:p>
      <w:pPr>
        <w:spacing w:after="0" w:line="29" w:lineRule="exact"/>
        <w:rPr>
          <w:rFonts w:ascii="Arial" w:cs="Arial" w:eastAsia="Arial" w:hAnsi="Arial"/>
          <w:sz w:val="16"/>
          <w:szCs w:val="16"/>
          <w:color w:val="auto"/>
        </w:rPr>
      </w:pPr>
    </w:p>
    <w:p>
      <w:pPr>
        <w:ind w:left="1080" w:right="120" w:hanging="424"/>
        <w:spacing w:after="0" w:line="259" w:lineRule="auto"/>
        <w:tabs>
          <w:tab w:leader="none" w:pos="1080" w:val="left"/>
        </w:tabs>
        <w:numPr>
          <w:ilvl w:val="0"/>
          <w:numId w:val="28"/>
        </w:numPr>
        <w:rPr>
          <w:rFonts w:ascii="Arial" w:cs="Arial" w:eastAsia="Arial" w:hAnsi="Arial"/>
          <w:sz w:val="18"/>
          <w:szCs w:val="18"/>
          <w:color w:val="0000EE"/>
        </w:rPr>
      </w:pPr>
      <w:r>
        <w:rPr>
          <w:rFonts w:ascii="Arial" w:cs="Arial" w:eastAsia="Arial" w:hAnsi="Arial"/>
          <w:sz w:val="18"/>
          <w:szCs w:val="18"/>
          <w:color w:val="auto"/>
        </w:rPr>
        <w:t xml:space="preserve">our Current Report on Form 8-K/A filed with the SEC on </w:t>
      </w:r>
      <w:hyperlink r:id="rId74">
        <w:r>
          <w:rPr>
            <w:rFonts w:ascii="Arial" w:cs="Arial" w:eastAsia="Arial" w:hAnsi="Arial"/>
            <w:sz w:val="18"/>
            <w:szCs w:val="18"/>
            <w:u w:val="single" w:color="auto"/>
            <w:color w:val="0000EE"/>
          </w:rPr>
          <w:t>February 18, 2020</w:t>
        </w:r>
      </w:hyperlink>
      <w:r>
        <w:rPr>
          <w:rFonts w:ascii="Arial" w:cs="Arial" w:eastAsia="Arial" w:hAnsi="Arial"/>
          <w:sz w:val="18"/>
          <w:szCs w:val="18"/>
          <w:color w:val="auto"/>
        </w:rPr>
        <w:t xml:space="preserve">, and our Current Reports on Form 8-K filed with the SEC on </w:t>
      </w:r>
      <w:hyperlink r:id="rId75">
        <w:r>
          <w:rPr>
            <w:rFonts w:ascii="Arial" w:cs="Arial" w:eastAsia="Arial" w:hAnsi="Arial"/>
            <w:sz w:val="18"/>
            <w:szCs w:val="18"/>
            <w:u w:val="single" w:color="auto"/>
            <w:color w:val="0000EE"/>
          </w:rPr>
          <w:t>February 25, 2020</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March 2, 2020</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April 14, 2020</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June 9, 2020</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July 27, 2020</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August 5, 2020</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November 17, 2020</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December 16,</w:t>
        </w:r>
      </w:hyperlink>
      <w:r>
        <w:rPr>
          <w:rFonts w:ascii="Arial" w:cs="Arial" w:eastAsia="Arial" w:hAnsi="Arial"/>
          <w:sz w:val="18"/>
          <w:szCs w:val="18"/>
          <w:color w:val="0000EE"/>
        </w:rPr>
        <w:t xml:space="preserve"> </w:t>
      </w:r>
      <w:hyperlink r:id="rId75">
        <w:r>
          <w:rPr>
            <w:rFonts w:ascii="Arial" w:cs="Arial" w:eastAsia="Arial" w:hAnsi="Arial"/>
            <w:sz w:val="18"/>
            <w:szCs w:val="18"/>
            <w:u w:val="single" w:color="auto"/>
            <w:color w:val="0000EE"/>
          </w:rPr>
          <w:t>2020</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76">
        <w:r>
          <w:rPr>
            <w:rFonts w:ascii="Arial" w:cs="Arial" w:eastAsia="Arial" w:hAnsi="Arial"/>
            <w:sz w:val="18"/>
            <w:szCs w:val="18"/>
            <w:u w:val="single" w:color="auto"/>
            <w:color w:val="0000EE"/>
          </w:rPr>
          <w:t xml:space="preserve">January 25, 2021 </w:t>
        </w:r>
      </w:hyperlink>
      <w:hyperlink r:id="rId75">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77">
        <w:r>
          <w:rPr>
            <w:rFonts w:ascii="Arial" w:cs="Arial" w:eastAsia="Arial" w:hAnsi="Arial"/>
            <w:sz w:val="18"/>
            <w:szCs w:val="18"/>
            <w:u w:val="single" w:color="auto"/>
            <w:color w:val="0000EE"/>
          </w:rPr>
          <w:t xml:space="preserve">February 3, 2021 </w:t>
        </w:r>
      </w:hyperlink>
      <w:hyperlink r:id="rId75">
        <w:r>
          <w:rPr>
            <w:rFonts w:ascii="Arial" w:cs="Arial" w:eastAsia="Arial" w:hAnsi="Arial"/>
            <w:sz w:val="18"/>
            <w:szCs w:val="18"/>
            <w:color w:val="000000"/>
          </w:rPr>
          <w:t>(except that any portions thereof which are furnished and not filed shall not be deemed</w:t>
        </w:r>
      </w:hyperlink>
      <w:r>
        <w:rPr>
          <w:rFonts w:ascii="Arial" w:cs="Arial" w:eastAsia="Arial" w:hAnsi="Arial"/>
          <w:sz w:val="18"/>
          <w:szCs w:val="18"/>
          <w:color w:val="0000EE"/>
        </w:rPr>
        <w:t xml:space="preserve"> </w:t>
      </w:r>
      <w:r>
        <w:rPr>
          <w:rFonts w:ascii="Arial" w:cs="Arial" w:eastAsia="Arial" w:hAnsi="Arial"/>
          <w:sz w:val="18"/>
          <w:szCs w:val="18"/>
          <w:color w:val="000000"/>
        </w:rPr>
        <w:t>incorporated); and</w:t>
      </w:r>
    </w:p>
    <w:p>
      <w:pPr>
        <w:spacing w:after="0" w:line="92" w:lineRule="exact"/>
        <w:rPr>
          <w:rFonts w:ascii="Arial" w:cs="Arial" w:eastAsia="Arial" w:hAnsi="Arial"/>
          <w:sz w:val="18"/>
          <w:szCs w:val="18"/>
          <w:color w:val="0000EE"/>
        </w:rPr>
      </w:pPr>
    </w:p>
    <w:p>
      <w:pPr>
        <w:ind w:left="1080" w:right="80" w:hanging="424"/>
        <w:spacing w:after="0" w:line="259"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38">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filed with the SEC on October 28, 2013 under Section 12 of the Exchange Act, including any amendment or report filed for the purpose of updating such description, including any amendment or report filed for the purposes of updating such description, including </w:t>
      </w:r>
      <w:hyperlink r:id="rId78">
        <w:r>
          <w:rPr>
            <w:rFonts w:ascii="Arial" w:cs="Arial" w:eastAsia="Arial" w:hAnsi="Arial"/>
            <w:sz w:val="18"/>
            <w:szCs w:val="18"/>
            <w:u w:val="single" w:color="auto"/>
            <w:color w:val="0000EE"/>
          </w:rPr>
          <w:t>Exhibit 4.2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Annual Report on Form 10-K for the year ended December 31, 2019, filed with the SEC on February 25, 2020.</w:t>
      </w:r>
    </w:p>
    <w:p>
      <w:pPr>
        <w:spacing w:after="0" w:line="187" w:lineRule="exact"/>
        <w:rPr>
          <w:rFonts w:ascii="Arial" w:cs="Arial" w:eastAsia="Arial" w:hAnsi="Arial"/>
          <w:sz w:val="18"/>
          <w:szCs w:val="18"/>
          <w:color w:val="auto"/>
        </w:rPr>
      </w:pPr>
    </w:p>
    <w:p>
      <w:pPr>
        <w:ind w:left="120" w:right="340" w:firstLine="440"/>
        <w:spacing w:after="0" w:line="286" w:lineRule="auto"/>
        <w:rPr>
          <w:sz w:val="20"/>
          <w:szCs w:val="20"/>
          <w:color w:val="auto"/>
        </w:rPr>
      </w:pPr>
      <w:r>
        <w:rPr>
          <w:rFonts w:ascii="Arial" w:cs="Arial" w:eastAsia="Arial" w:hAnsi="Arial"/>
          <w:sz w:val="17"/>
          <w:szCs w:val="17"/>
          <w:color w:val="auto"/>
        </w:rPr>
        <w:t>We also incorporate by reference all additional documents that we file with the SEC under the terms of Section 13(a), 13(c), 14 or 15(d) of the Exchange Act after the date of this prospectus and prior to the termination of the offering of the securities hereunder. We are not, however, incorporating, in each case, any documents or information that we are deemed to furnish and not file in accordance with SEC rules.</w:t>
      </w:r>
    </w:p>
    <w:p>
      <w:pPr>
        <w:spacing w:after="0" w:line="165" w:lineRule="exact"/>
        <w:rPr>
          <w:rFonts w:ascii="Arial" w:cs="Arial" w:eastAsia="Arial" w:hAnsi="Arial"/>
          <w:sz w:val="18"/>
          <w:szCs w:val="18"/>
          <w:color w:val="auto"/>
        </w:rPr>
      </w:pPr>
    </w:p>
    <w:p>
      <w:pPr>
        <w:ind w:left="120" w:firstLine="440"/>
        <w:spacing w:after="0" w:line="259" w:lineRule="auto"/>
        <w:rPr>
          <w:sz w:val="20"/>
          <w:szCs w:val="20"/>
          <w:color w:val="auto"/>
        </w:rPr>
      </w:pPr>
      <w:r>
        <w:rPr>
          <w:rFonts w:ascii="Arial" w:cs="Arial" w:eastAsia="Arial" w:hAnsi="Arial"/>
          <w:sz w:val="18"/>
          <w:szCs w:val="18"/>
          <w:color w:val="auto"/>
        </w:rPr>
        <w:t>You may request a copy of any or all of the documents incorporated by reference but not delivered with this prospectus, at no cost, by writing or telephoning us at the following address and number: Investor Relations, Veracyte, Inc., 6000 Shoreline Court, Suite 300, South San Francisco, California 94080, telephone (650) 243-6300. We will not, however, send exhibits to those documents, unless the exhibits are specifically incorporated by reference in those documents.</w:t>
      </w:r>
    </w:p>
    <w:p>
      <w:pPr>
        <w:spacing w:after="0" w:line="11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22</w:t>
      </w:r>
    </w:p>
    <w:sectPr>
      <w:pgSz w:w="11900" w:h="16838" w:orient="portrait"/>
      <w:cols w:equalWidth="0" w:num="1">
        <w:col w:w="11140"/>
      </w:cols>
      <w:pgMar w:left="320" w:top="45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1"/>
    </w:lvl>
  </w:abstractNum>
  <w:abstractNum w:abstractNumId="1">
    <w:nsid w:val="1BEFD79F"/>
    <w:multiLevelType w:val="hybridMultilevel"/>
    <w:lvl w:ilvl="0">
      <w:lvlJc w:val="left"/>
      <w:lvlText w:val="(%1)"/>
      <w:numFmt w:val="decimal"/>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
      <w:numFmt w:val="bullet"/>
      <w:start w:val="1"/>
    </w:lvl>
  </w:abstractNum>
  <w:abstractNum w:abstractNumId="27">
    <w:nsid w:val="2CA8861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40" Type="http://schemas.openxmlformats.org/officeDocument/2006/relationships/image" Target="media/image16.png"/><Relationship Id="rId41" Type="http://schemas.openxmlformats.org/officeDocument/2006/relationships/image" Target="media/image17.png"/><Relationship Id="rId42" Type="http://schemas.openxmlformats.org/officeDocument/2006/relationships/image" Target="media/image18.jpeg"/><Relationship Id="rId43" Type="http://schemas.openxmlformats.org/officeDocument/2006/relationships/image" Target="media/image19.png"/><Relationship Id="rId44" Type="http://schemas.openxmlformats.org/officeDocument/2006/relationships/image" Target="media/image20.png"/><Relationship Id="rId45" Type="http://schemas.openxmlformats.org/officeDocument/2006/relationships/image" Target="media/image21.png"/><Relationship Id="rId46" Type="http://schemas.openxmlformats.org/officeDocument/2006/relationships/image" Target="media/image22.png"/><Relationship Id="rId47" Type="http://schemas.openxmlformats.org/officeDocument/2006/relationships/image" Target="media/image23.png"/><Relationship Id="rId48" Type="http://schemas.openxmlformats.org/officeDocument/2006/relationships/image" Target="media/image24.png"/><Relationship Id="rId49" Type="http://schemas.openxmlformats.org/officeDocument/2006/relationships/image" Target="media/image25.png"/><Relationship Id="rId50" Type="http://schemas.openxmlformats.org/officeDocument/2006/relationships/image" Target="media/image26.png"/><Relationship Id="rId51" Type="http://schemas.openxmlformats.org/officeDocument/2006/relationships/image" Target="media/image27.png"/><Relationship Id="rId52" Type="http://schemas.openxmlformats.org/officeDocument/2006/relationships/image" Target="media/image28.png"/><Relationship Id="rId53" Type="http://schemas.openxmlformats.org/officeDocument/2006/relationships/image" Target="media/image29.png"/><Relationship Id="rId54" Type="http://schemas.openxmlformats.org/officeDocument/2006/relationships/image" Target="media/image30.png"/><Relationship Id="rId55" Type="http://schemas.openxmlformats.org/officeDocument/2006/relationships/image" Target="media/image31.png"/><Relationship Id="rId56" Type="http://schemas.openxmlformats.org/officeDocument/2006/relationships/image" Target="media/image32.png"/><Relationship Id="rId57" Type="http://schemas.openxmlformats.org/officeDocument/2006/relationships/image" Target="media/image33.png"/><Relationship Id="rId58" Type="http://schemas.openxmlformats.org/officeDocument/2006/relationships/image" Target="media/image34.png"/><Relationship Id="rId59" Type="http://schemas.openxmlformats.org/officeDocument/2006/relationships/image" Target="media/image35.png"/><Relationship Id="rId60" Type="http://schemas.openxmlformats.org/officeDocument/2006/relationships/image" Target="media/image36.png"/><Relationship Id="rId61" Type="http://schemas.openxmlformats.org/officeDocument/2006/relationships/image" Target="media/image37.png"/><Relationship Id="rId62" Type="http://schemas.openxmlformats.org/officeDocument/2006/relationships/image" Target="media/image38.png"/><Relationship Id="rId63" Type="http://schemas.openxmlformats.org/officeDocument/2006/relationships/image" Target="media/image39.png"/><Relationship Id="rId64" Type="http://schemas.openxmlformats.org/officeDocument/2006/relationships/image" Target="media/image40.png"/><Relationship Id="rId65" Type="http://schemas.openxmlformats.org/officeDocument/2006/relationships/image" Target="media/image41.png"/><Relationship Id="rId66" Type="http://schemas.openxmlformats.org/officeDocument/2006/relationships/image" Target="media/image42.png"/><Relationship Id="rId67" Type="http://schemas.openxmlformats.org/officeDocument/2006/relationships/image" Target="media/image43.png"/><Relationship Id="rId68" Type="http://schemas.openxmlformats.org/officeDocument/2006/relationships/image" Target="media/image44.png"/><Relationship Id="rId23" Type="http://schemas.openxmlformats.org/officeDocument/2006/relationships/hyperlink" Target="http://www.sec.gov/ix?doc=/Archives/edgar/data/1384101/000138410121000012/vcyt-20201231.htm" TargetMode="External"/><Relationship Id="rId24" Type="http://schemas.openxmlformats.org/officeDocument/2006/relationships/hyperlink" Target="http://www.sec.gov/ix?doc=/Archives/edgar/data/1384101/000138410121000082/vcyt-20210331.htm" TargetMode="External"/><Relationship Id="rId25" Type="http://schemas.openxmlformats.org/officeDocument/2006/relationships/hyperlink" Target="http://www.sec.gov/ix?doc=/Archives/edgar/data/1384101/000138410121000139/vcyt-20210630.htm" TargetMode="External"/><Relationship Id="rId26" Type="http://schemas.openxmlformats.org/officeDocument/2006/relationships/hyperlink" Target="http://www.sec.gov/ix?doc=/Archives/edgar/data/1384101/000138410121000047/vcyt-20210312.htm" TargetMode="External"/><Relationship Id="rId27" Type="http://schemas.openxmlformats.org/officeDocument/2006/relationships/hyperlink" Target="http://www.sec.gov/ix?doc=/Archives/edgar/data/1384101/000138410121000051/vcyt-20210319.htm" TargetMode="External"/><Relationship Id="rId28" Type="http://schemas.openxmlformats.org/officeDocument/2006/relationships/hyperlink" Target="http://www.sec.gov/ix?doc=/Archives/edgar/data/1384101/000138410121000057/vcyt-20210401.htm" TargetMode="External"/><Relationship Id="rId29" Type="http://schemas.openxmlformats.org/officeDocument/2006/relationships/hyperlink" Target="http://www.sec.gov/ix?doc=/Archives/edgar/data/1384101/000138410121000064/vcyt-20210412.htm" TargetMode="External"/><Relationship Id="rId30" Type="http://schemas.openxmlformats.org/officeDocument/2006/relationships/hyperlink" Target="http://www.sec.gov/ix?doc=/Archives/edgar/data/1384101/000138410121000080/vcyt-20210507.htm" TargetMode="External"/><Relationship Id="rId31" Type="http://schemas.openxmlformats.org/officeDocument/2006/relationships/hyperlink" Target="http://www.sec.gov/ix?doc=/Archives/edgar/data/1384101/000138410121000088/vcyt-20210519.htm" TargetMode="External"/><Relationship Id="rId32" Type="http://schemas.openxmlformats.org/officeDocument/2006/relationships/hyperlink" Target="http://www.sec.gov/ix?doc=/Archives/edgar/data/1384101/000119312521177785/d16438d8k.htm" TargetMode="External"/><Relationship Id="rId33" Type="http://schemas.openxmlformats.org/officeDocument/2006/relationships/hyperlink" Target="http://www.sec.gov/ix?doc=/Archives/edgar/data/1384101/000138410121000102/vcyt-20210607.htm" TargetMode="External"/><Relationship Id="rId34" Type="http://schemas.openxmlformats.org/officeDocument/2006/relationships/hyperlink" Target="http://www.sec.gov/ix?doc=/Archives/edgar/data/1384101/000138410121000118/vcyt-20210712.htm" TargetMode="External"/><Relationship Id="rId35" Type="http://schemas.openxmlformats.org/officeDocument/2006/relationships/hyperlink" Target="http://www.sec.gov/ix?doc=/Archives/edgar/data/1384101/000138410121000120/vcyt-20210713.htm" TargetMode="External"/><Relationship Id="rId36" Type="http://schemas.openxmlformats.org/officeDocument/2006/relationships/hyperlink" Target="http://www.sec.gov/ix?doc=/Archives/edgar/data/1384101/000138410121000123/vcyt-20210713.htm" TargetMode="External"/><Relationship Id="rId37" Type="http://schemas.openxmlformats.org/officeDocument/2006/relationships/hyperlink" Target="http://www.sec.gov/ix?doc=/Archives/edgar/data/1384101/000138410121000141/vcyt-20210802.htm" TargetMode="External"/><Relationship Id="rId38" Type="http://schemas.openxmlformats.org/officeDocument/2006/relationships/hyperlink" Target="http://www.sec.gov/Archives/edgar/data/1384101/000110465913078343/a13-16266_158a12b.htm" TargetMode="External"/><Relationship Id="rId39" Type="http://schemas.openxmlformats.org/officeDocument/2006/relationships/hyperlink" Target="http://www.sec.gov/Archives/edgar/data/1384101/000138410121000012/vcyt-12312020xex42.htm" TargetMode="External"/><Relationship Id="rId69" Type="http://schemas.openxmlformats.org/officeDocument/2006/relationships/hyperlink" Target="http://www.sec.gov/ix?doc=/Archives/edgar/data/1384101/000138410120000015/vcyt-12312019x10k.htm" TargetMode="External"/><Relationship Id="rId70" Type="http://schemas.openxmlformats.org/officeDocument/2006/relationships/hyperlink" Target="http://www.sec.gov/Archives/edgar/data/1384101/000138410120000052/vcyt-proxy2020xdef14a.htm" TargetMode="External"/><Relationship Id="rId71" Type="http://schemas.openxmlformats.org/officeDocument/2006/relationships/hyperlink" Target="http://www.sec.gov/ix?doc=/Archives/edgar/data/1384101/000138410120000058/vcyt-20200331.htm" TargetMode="External"/><Relationship Id="rId72" Type="http://schemas.openxmlformats.org/officeDocument/2006/relationships/hyperlink" Target="http://www.sec.gov/ix?doc=/Archives/edgar/data/1384101/000143774920016062/vcyt20200630_10q.htm" TargetMode="External"/><Relationship Id="rId73" Type="http://schemas.openxmlformats.org/officeDocument/2006/relationships/hyperlink" Target="http://www.sec.gov/ix?doc=/Archives/edgar/data/1384101/000143774920022261/vcyt20200930_10q.htm" TargetMode="External"/><Relationship Id="rId74" Type="http://schemas.openxmlformats.org/officeDocument/2006/relationships/hyperlink" Target="http://www.sec.gov/Archives/edgar/data/1384101/000138410120000011/vcyt8ka2-18x20.htm" TargetMode="External"/><Relationship Id="rId75" Type="http://schemas.openxmlformats.org/officeDocument/2006/relationships/hyperlink" Target="http://www.sec.gov/ix?doc=/Archives/edgar/data/1384101/000143774920025486/vcyt20201216_8k.htm" TargetMode="External"/><Relationship Id="rId76" Type="http://schemas.openxmlformats.org/officeDocument/2006/relationships/hyperlink" Target="http://www.sec.gov/ix?doc=/Archives/edgar/data/1384101/000143774921001142/vcyt20210124_8k.htm" TargetMode="External"/><Relationship Id="rId77" Type="http://schemas.openxmlformats.org/officeDocument/2006/relationships/hyperlink" Target="http://www.sec.gov/ix?doc=/Archives/edgar/data/1384101/000119312521026509/d110946d8k.htm" TargetMode="External"/><Relationship Id="rId78" Type="http://schemas.openxmlformats.org/officeDocument/2006/relationships/hyperlink" Target="http://www.sec.gov/Archives/edgar/data/1384101/000138410120000015/vcyt-12312019x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2021-08-04T15:37:36Z</dcterms:created>
  <dcterms:modified xsi:type="dcterms:W3CDTF">2021-08-04T15:37:36Z</dcterms:modified>
</cp:coreProperties>
</file>