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22, 2023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3"/>
              </w:rPr>
              <w:t>No.)</w:t>
            </w:r>
          </w:p>
        </w:tc>
      </w:tr>
      <w:tr>
        <w:trPr>
          <w:trHeight w:val="392"/>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94080</w:t>
            </w:r>
          </w:p>
        </w:tc>
      </w:tr>
      <w:tr>
        <w:trPr>
          <w:trHeight w:val="257"/>
        </w:trPr>
        <w:tc>
          <w:tcPr>
            <w:tcW w:w="67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48" w:lineRule="exact"/>
        <w:rPr>
          <w:sz w:val="24"/>
          <w:szCs w:val="24"/>
          <w:color w:val="auto"/>
        </w:rPr>
      </w:pPr>
    </w:p>
    <w:p>
      <w:pPr>
        <w:ind w:left="20" w:right="2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2023, Veracyte, Inc. issued a press release announcing its financial results for the quarter and year ended December 31, 2022. The full text of the press release is furnished as Exhibit 99.1 to this report.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issued by Veracyte, Inc. dated February 22, 2023.</w:t>
            </w:r>
          </w:p>
        </w:tc>
        <w:tc>
          <w:tcPr>
            <w:tcW w:w="500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22, 2023</w:t>
      </w:r>
    </w:p>
    <w:p>
      <w:pPr>
        <w:spacing w:after="0" w:line="30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Rebecca Chambers</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6350</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Fourth Quarter and Full-Year 2022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Fourth Quarter Revenue to $80.3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2022 Total Revenue to $296.5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SOUTH SAN FRANCISCO, Calif., February 22, 2023 --- Veracyte, Inc. (Nasdaq: VCYT) today announced financial results for the fourth quarter and full year ended December 31, 2022.</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had an outstanding fourth quarter, driving record revenue and operating cash flows, achieving the best quarter ever for both our Decipher prostate and Afirma thyroid tests,” said Marc Stapley, Veracyte’s chief executive officer. “Moreover, throughout 2022, we invested in our long-term growth drivers to deliver on our promise of empowering clinicians with high-value insights to guide and assure patients at pivotal moments in the race to diagnose and treat cancer. Moving into 2023, we have a clear strategy, strong financial position, and significant momentum to advance our vision of transforming cancer care for patients all over the world.”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72" w:lineRule="exact"/>
        <w:rPr>
          <w:sz w:val="20"/>
          <w:szCs w:val="20"/>
          <w:color w:val="auto"/>
        </w:rPr>
      </w:pPr>
    </w:p>
    <w:p>
      <w:pPr>
        <w:ind w:left="660" w:right="140" w:hanging="328"/>
        <w:spacing w:after="0" w:line="24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total test volume to 28,001 in the fourth quarter and 102,524 for the full-year 2022, an increase of 26% and 30%, respectively, compared to the prior year.</w:t>
      </w:r>
    </w:p>
    <w:p>
      <w:pPr>
        <w:spacing w:after="0" w:line="34"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an updated Decipher Genomics Resource for Intelligent Discovery (GRID) patient report, providing physicians who order the Decipher Prostate Genomic Classifier with expanded precision-medicine insights, on a Research Use Only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Submitted the Envisia Genomic Classifier to the Notified Body for CE marking in the European Union, ahead of schedule.</w:t>
      </w:r>
    </w:p>
    <w:p>
      <w:pPr>
        <w:spacing w:after="0" w:line="31" w:lineRule="exact"/>
        <w:rPr>
          <w:rFonts w:ascii="Arial" w:cs="Arial" w:eastAsia="Arial" w:hAnsi="Arial"/>
          <w:sz w:val="18"/>
          <w:szCs w:val="18"/>
          <w:color w:val="auto"/>
        </w:rPr>
      </w:pPr>
    </w:p>
    <w:p>
      <w:pPr>
        <w:ind w:left="660" w:right="70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Published data in the </w:t>
      </w:r>
      <w:r>
        <w:rPr>
          <w:rFonts w:ascii="Arial" w:cs="Arial" w:eastAsia="Arial" w:hAnsi="Arial"/>
          <w:sz w:val="18"/>
          <w:szCs w:val="18"/>
          <w:i w:val="1"/>
          <w:iCs w:val="1"/>
          <w:color w:val="auto"/>
        </w:rPr>
        <w:t>International Journal of Radiation Oncology, Biology, Physics</w:t>
      </w:r>
      <w:r>
        <w:rPr>
          <w:rFonts w:ascii="Arial" w:cs="Arial" w:eastAsia="Arial" w:hAnsi="Arial"/>
          <w:sz w:val="18"/>
          <w:szCs w:val="18"/>
          <w:color w:val="auto"/>
        </w:rPr>
        <w:t xml:space="preserve"> demonstrating that the Decipher Prostate Genomic Classifier can improve risk stratification among men with clinically high-risk prostate cancer.</w:t>
      </w:r>
    </w:p>
    <w:p>
      <w:pPr>
        <w:ind w:left="660" w:right="720" w:hanging="328"/>
        <w:spacing w:after="0" w:line="281"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Published a meta-analysis of 13 independent studies for the Afirma Genomic Sequencing Classifier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&amp; Metabolism</w:t>
      </w:r>
      <w:r>
        <w:rPr>
          <w:rFonts w:ascii="Arial" w:cs="Arial" w:eastAsia="Arial" w:hAnsi="Arial"/>
          <w:sz w:val="17"/>
          <w:szCs w:val="17"/>
          <w:color w:val="auto"/>
        </w:rPr>
        <w:t>, confirming the test’s strong real-world performance in informing thyroid nodule diagnosis.</w:t>
      </w:r>
    </w:p>
    <w:p>
      <w:pPr>
        <w:spacing w:after="0" w:line="1" w:lineRule="exact"/>
        <w:rPr>
          <w:rFonts w:ascii="Arial" w:cs="Arial" w:eastAsia="Arial" w:hAnsi="Arial"/>
          <w:sz w:val="17"/>
          <w:szCs w:val="17"/>
          <w:color w:val="auto"/>
        </w:rPr>
      </w:pPr>
    </w:p>
    <w:p>
      <w:pPr>
        <w:ind w:left="660" w:right="760" w:hanging="328"/>
        <w:spacing w:after="0" w:line="26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Published data in </w:t>
      </w:r>
      <w:r>
        <w:rPr>
          <w:rFonts w:ascii="Arial" w:cs="Arial" w:eastAsia="Arial" w:hAnsi="Arial"/>
          <w:sz w:val="18"/>
          <w:szCs w:val="18"/>
          <w:i w:val="1"/>
          <w:iCs w:val="1"/>
          <w:color w:val="auto"/>
        </w:rPr>
        <w:t>Frontiers in Endocrinology</w:t>
      </w:r>
      <w:r>
        <w:rPr>
          <w:rFonts w:ascii="Arial" w:cs="Arial" w:eastAsia="Arial" w:hAnsi="Arial"/>
          <w:sz w:val="18"/>
          <w:szCs w:val="18"/>
          <w:color w:val="auto"/>
        </w:rPr>
        <w:t xml:space="preserve"> suggesting that insights derived from Veracyte’s comprehensive thyroid nodule database of whole-transcriptome sequencing may help personalize care for patients with thyroid nodules.</w:t>
      </w:r>
    </w:p>
    <w:p>
      <w:pPr>
        <w:spacing w:after="0" w:line="16" w:lineRule="exact"/>
        <w:rPr>
          <w:rFonts w:ascii="Arial" w:cs="Arial" w:eastAsia="Arial" w:hAnsi="Arial"/>
          <w:sz w:val="18"/>
          <w:szCs w:val="18"/>
          <w:color w:val="auto"/>
        </w:rPr>
      </w:pPr>
    </w:p>
    <w:p>
      <w:pPr>
        <w:ind w:left="660" w:right="14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$9.7 million in cash from operating activities in the fourth quarter and $7.5 million for the full-year 2022. Ended the fourth quarter of 2022 with cash, cash equivalents and short-term investments of $178.9 million, compared to $177.2 million at the beginning of 2022.</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Promoted Annie McGuire to General Counsel and Chief People Officer.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Financial Results</w:t>
      </w:r>
    </w:p>
    <w:p>
      <w:pPr>
        <w:spacing w:after="0" w:line="7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Total revenue for the fourth quarter of 2022 was $ 80.3 million, an increase of 19% compared to $67.3 million in the fourth quarter of 2021. Testing revenue was $70.3 million, an increase of 32% compared to $53.4 million in the fourth quarter of 2021 driven primarily by the strong</w:t>
      </w:r>
    </w:p>
    <w:p>
      <w:pPr>
        <w:spacing w:after="0" w:line="1"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performance of our Decipher and Afirma tests. Product revenue was $3.2 million, an increase of 17% compared to $2.8 million in the fourth quarter of 2021. Biopharmaceutical and other revenue was $6.8 million, a decrease of 39% compared to $11.2 million, driven primarily by a milestone payment received in the prior year period.</w:t>
      </w:r>
    </w:p>
    <w:p>
      <w:pPr>
        <w:sectPr>
          <w:pgSz w:w="11900" w:h="16838" w:orient="portrait"/>
          <w:cols w:equalWidth="0" w:num="1">
            <w:col w:w="11240"/>
          </w:cols>
          <w:pgMar w:left="320" w:top="908" w:right="339" w:bottom="1440" w:gutter="0" w:footer="0" w:header="0"/>
        </w:sectPr>
      </w:pPr>
    </w:p>
    <w:bookmarkStart w:id="4" w:name="page5"/>
    <w:bookmarkEnd w:id="4"/>
    <w:p>
      <w:pPr>
        <w:ind w:right="120"/>
        <w:spacing w:after="0"/>
        <w:rPr>
          <w:sz w:val="20"/>
          <w:szCs w:val="20"/>
          <w:color w:val="auto"/>
        </w:rPr>
      </w:pPr>
      <w:r>
        <w:rPr>
          <w:rFonts w:ascii="Arial" w:cs="Arial" w:eastAsia="Arial" w:hAnsi="Arial"/>
          <w:sz w:val="18"/>
          <w:szCs w:val="18"/>
          <w:color w:val="auto"/>
        </w:rPr>
        <w:t>Total gross margin for the fourth quarter of 2022, including the amortization of acquired intangible assets, was 61%, compared to 59% in the fourth quarter of 2021. Non-GAAP gross margin, excluding the amortization of acquired intangible assets and other acquisition related expenses was 67% compared to 66% in the fourth quarter of 2021.</w:t>
      </w:r>
    </w:p>
    <w:p>
      <w:pPr>
        <w:spacing w:after="0" w:line="28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Operating expenses, excluding cost of revenue, were $58.9 million, an increase of 4% compared to the fourth quarter of 2021. Non-GAAP operating expenses, excluding cost of revenue, amortization of acquired intangible assets, other acquisition related expenses and other restructuring costs, were $51.1 million compared to $46.2 million in the fourth quarter of 2021.</w:t>
      </w:r>
    </w:p>
    <w:p>
      <w:pPr>
        <w:spacing w:after="0" w:line="2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Net loss for the fourth quarter of 2022 was $3.8 million, an improvement of 63% compared to the fourth quarter of 2021. Basic and diluted net loss per common share was $0.05, an improvement of 67% compared to the fourth quarter of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Results</w:t>
      </w:r>
    </w:p>
    <w:p>
      <w:pPr>
        <w:spacing w:after="0" w:line="72"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Total revenue for 2022 was $296.5 million, an increase of 35% compared to $219.5 million in 2021. Testing revenue was $250.5 million, an increase of 33% compared to $188.2 million in 2021 driven primarily by the strong performance of our Decipher and Afirma tests. Product</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revenue was $ 12.6 million, an increase of 10% compared to $ 11.5 million in 2021. Biopharmaceutical and other revenue was $33.4 million, an increase of 68% compared to $19.9 million in 2021, driven primarily by the contribution of the HalioDx acquisition.</w:t>
      </w:r>
    </w:p>
    <w:p>
      <w:pPr>
        <w:spacing w:after="0" w:line="283" w:lineRule="exact"/>
        <w:rPr>
          <w:sz w:val="20"/>
          <w:szCs w:val="20"/>
          <w:color w:val="auto"/>
        </w:rPr>
      </w:pPr>
    </w:p>
    <w:p>
      <w:pPr>
        <w:jc w:val="both"/>
        <w:ind w:right="140"/>
        <w:spacing w:after="0" w:line="274" w:lineRule="auto"/>
        <w:rPr>
          <w:sz w:val="20"/>
          <w:szCs w:val="20"/>
          <w:color w:val="auto"/>
        </w:rPr>
      </w:pPr>
      <w:r>
        <w:rPr>
          <w:rFonts w:ascii="Arial" w:cs="Arial" w:eastAsia="Arial" w:hAnsi="Arial"/>
          <w:sz w:val="17"/>
          <w:szCs w:val="17"/>
          <w:color w:val="auto"/>
        </w:rPr>
        <w:t>Total gross margin for the full year 2022, including the amortization of acquired intangible assets, was 59%, compared to 60% in 2021. Non-GAAP gross margin, excluding the amortization of acquired intangible assets and other acquisition related expenses was 66%, flat to 2021.</w:t>
      </w:r>
    </w:p>
    <w:p>
      <w:pPr>
        <w:spacing w:after="0" w:line="25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Operating expenses, excluding cost of revenue, were $236.0 million, an increase of 4% compared to 2021. Non-GAAP operating expenses, excluding cost of revenue, amortization of acquired intangible assets, other acquisition related expenses and other restructuring costs, were $200.3 million compared to $158.4 million in 2021.</w:t>
      </w:r>
    </w:p>
    <w:p>
      <w:pPr>
        <w:spacing w:after="0" w:line="28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Net loss for the full year 2022 was $ 36.6 million, an improvement of 52% compared to 2021. Basic and diluted net loss per common share was $0.51, an improvement of 54% compared to 2021. Net cash provided by operating activities in 2022 was $7.5 million, an improvement of $39.2 million compared to 2021.</w:t>
      </w:r>
    </w:p>
    <w:p>
      <w:pPr>
        <w:spacing w:after="0" w:line="23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Financial Outlook</w:t>
      </w:r>
    </w:p>
    <w:p>
      <w:pPr>
        <w:spacing w:after="0" w:line="4" w:lineRule="exact"/>
        <w:rPr>
          <w:sz w:val="20"/>
          <w:szCs w:val="20"/>
          <w:color w:val="auto"/>
        </w:rPr>
      </w:pPr>
    </w:p>
    <w:p>
      <w:pPr>
        <w:ind w:right="140"/>
        <w:spacing w:after="0"/>
        <w:rPr>
          <w:sz w:val="20"/>
          <w:szCs w:val="20"/>
          <w:color w:val="auto"/>
        </w:rPr>
      </w:pPr>
      <w:r>
        <w:rPr>
          <w:rFonts w:ascii="Arial" w:cs="Arial" w:eastAsia="Arial" w:hAnsi="Arial"/>
          <w:sz w:val="18"/>
          <w:szCs w:val="18"/>
          <w:color w:val="222222"/>
        </w:rPr>
        <w:t>Veracyte is initiating 2023 annual total revenue gui</w:t>
      </w:r>
      <w:r>
        <w:rPr>
          <w:rFonts w:ascii="Arial" w:cs="Arial" w:eastAsia="Arial" w:hAnsi="Arial"/>
          <w:sz w:val="18"/>
          <w:szCs w:val="18"/>
          <w:color w:val="000000"/>
        </w:rPr>
        <w:t>dance of $325 million to $335 million, assuming currency rates as of February 22, 2023.</w:t>
      </w:r>
      <w:r>
        <w:rPr>
          <w:rFonts w:ascii="Arial" w:cs="Arial" w:eastAsia="Arial" w:hAnsi="Arial"/>
          <w:sz w:val="18"/>
          <w:szCs w:val="18"/>
          <w:color w:val="222222"/>
        </w:rPr>
        <w:t xml:space="preserve"> </w:t>
      </w:r>
      <w:r>
        <w:rPr>
          <w:rFonts w:ascii="Arial" w:cs="Arial" w:eastAsia="Arial" w:hAnsi="Arial"/>
          <w:sz w:val="18"/>
          <w:szCs w:val="18"/>
          <w:color w:val="000000"/>
        </w:rPr>
        <w:t>This range includes mid-teens year-over-year growth of testing and product revenue, and a decline in Biopharmaceutical and other revenue for fiscal 2023 compared to fiscal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8"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0000FF"/>
        </w:rPr>
        <w:t>https://edge.media-server.com/mmc/p/6vvggrow</w:t>
      </w:r>
      <w:r>
        <w:rPr>
          <w:rFonts w:ascii="Arial" w:cs="Arial" w:eastAsia="Arial" w:hAnsi="Arial"/>
          <w:sz w:val="17"/>
          <w:szCs w:val="17"/>
          <w:color w:val="000000"/>
        </w:rPr>
        <w:t>. The webcast should be accessed 10 minutes prior to the conference call start time. A</w:t>
      </w:r>
      <w:r>
        <w:rPr>
          <w:rFonts w:ascii="Arial" w:cs="Arial" w:eastAsia="Arial" w:hAnsi="Arial"/>
          <w:sz w:val="17"/>
          <w:szCs w:val="17"/>
          <w:color w:val="0000FF"/>
        </w:rPr>
        <w:t xml:space="preserve"> </w:t>
      </w:r>
      <w:r>
        <w:rPr>
          <w:rFonts w:ascii="Arial" w:cs="Arial" w:eastAsia="Arial" w:hAnsi="Arial"/>
          <w:sz w:val="17"/>
          <w:szCs w:val="17"/>
          <w:color w:val="000000"/>
        </w:rPr>
        <w:t>replay of the webcast will be available for one year following the conclusion of the live broadcast and will be accessible on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color w:val="0000FF"/>
        </w:rPr>
        <w:t>https://investor.veracyte.com/events-presentations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https://register.vevent.com/register/BIbe54a1af06be4083968e88a7edfb6679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222222"/>
        </w:rPr>
        <w:t>Veracyte (Nasdaq: VCYT) is a global diagnostics company whose vision is to transform cancer care for patients all over the world. We empower clinicians with the high-value insights they need to guide and assure patients at pivotal moments in the race to diagnose and treat cancer. Our high-performing tests enable clinicians to make more confident diagnostic, prognostic and treatment decisions for some of the most challenging diseases such as thyroid, prostate, breast, bladder and lung cancers, as well as interstitial lung diseases. We help patients avoid unnecessary procedures and speed time to diagnosis and appropriate treatment. In addition to making our tests available in the U.S. through our central laboratories, we also aim to deliver our tests to patients worldwide through a distributed</w:t>
      </w:r>
    </w:p>
    <w:p>
      <w:pPr>
        <w:sectPr>
          <w:pgSz w:w="11900" w:h="16838" w:orient="portrait"/>
          <w:cols w:equalWidth="0" w:num="1">
            <w:col w:w="11240"/>
          </w:cols>
          <w:pgMar w:left="320" w:top="895" w:right="339" w:bottom="1440" w:gutter="0" w:footer="0" w:header="0"/>
        </w:sectPr>
      </w:pPr>
    </w:p>
    <w:bookmarkStart w:id="5" w:name="page6"/>
    <w:bookmarkEnd w:id="5"/>
    <w:p>
      <w:pPr>
        <w:ind w:right="140"/>
        <w:spacing w:after="0" w:line="246" w:lineRule="auto"/>
        <w:rPr>
          <w:sz w:val="20"/>
          <w:szCs w:val="20"/>
          <w:color w:val="auto"/>
        </w:rPr>
      </w:pPr>
      <w:r>
        <w:rPr>
          <w:rFonts w:ascii="Arial" w:cs="Arial" w:eastAsia="Arial" w:hAnsi="Arial"/>
          <w:sz w:val="18"/>
          <w:szCs w:val="18"/>
          <w:color w:val="222222"/>
        </w:rPr>
        <w:t>model to laboratories that can perform them locally. Veracyte is based in South San Francisco, California. For more information, please visit www.veracyte.com and follow the company on Twitter (@veracyte).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This press release contains forward-looking statements, including, but not limited to, our statements related to our expected total revenue for 2023 and our plans, objectives, expectations (financial and otherwise) or intentions with respect to our tests and products. Forward-looking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statements can be identified by words such as: “appears,” "anticipate," "intend," "plan," "expect," "believe," "should," "may," "will," “positioned,” “designed” and similar references to future periods. Actual results may differ materially from those projected or suggested in any</w:t>
      </w:r>
    </w:p>
    <w:p>
      <w:pPr>
        <w:spacing w:after="0" w:line="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forward-looking statements. These statements involve risks and uncertainties, which could cause actual results to differ materially from our predictions, and include, but are not limited to: our ability to launch, commercialize and receive reimbursement for our products; to demonstrate the validity and utility of our genomic tests and biopharma offerings to continue to integrate and expand the HalioDx and Decipher businesses and execute on our business plans; to continue to scale our global operations and enhance our internal control environment; the impact of the war in Ukraine on European economies and energy supply, as well as our facilities in France; the impact of the COVID-19 pandemic and its variants on our business and general economic conditions; the impact of foreign currency fluctuations, increasing interest rates and inflation; and the performance and utility of our tests in the clinical environment. Additional factors that may impact these forward-looking statements can be found under the caption “Risk Factors” in our Quarterly Report on Form 10-Q for the three months ended September 30, 2022, filed on November 3, 2022, and our Annual Report on Form 10-K to be filed for the year ended December 31, 2022. Copies of these documents, when available, may be found in the Investors section of our website at</w:t>
      </w:r>
    </w:p>
    <w:p>
      <w:pPr>
        <w:spacing w:after="0" w:line="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www.investor.veracyte.com. These forward-looking statements speak only as of the date hereof and, except as required by law, we specifically disclaim any obligation to update these forward-looking statements or reasons why actual results might differ, whether as a result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new information, future events or otherwise.</w:t>
      </w:r>
    </w:p>
    <w:p>
      <w:pPr>
        <w:spacing w:after="0" w:line="252"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Veracyte, the Veracyte logo, Decipher, Decipher GRID, Afirma, Percepta, Envisia, Prosigna, Lymphmark, TMExplore, Brightplex, Immunosign, “Know by Design” and “More about You” are registered trademarks of Veracyte, Inc. and its subsidiaries in the U.S. and selected countries. Immunoscore IC® is a trademark of Veracyte SAS registered in France. Immunoscore is a registered trademark of Inserm used by Veracyte under license. nCounter is the registered trademark of NanoString Technologies used by Veracyte under license.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47" w:lineRule="exact"/>
        <w:rPr>
          <w:sz w:val="20"/>
          <w:szCs w:val="20"/>
          <w:color w:val="auto"/>
        </w:rPr>
      </w:pPr>
    </w:p>
    <w:p>
      <w:pPr>
        <w:spacing w:after="0" w:line="206"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w:t>
      </w:r>
    </w:p>
    <w:p>
      <w:pPr>
        <w:ind w:right="300"/>
        <w:spacing w:after="0" w:line="226" w:lineRule="auto"/>
        <w:rPr>
          <w:sz w:val="20"/>
          <w:szCs w:val="20"/>
          <w:color w:val="auto"/>
        </w:rPr>
      </w:pPr>
      <w:r>
        <w:rPr>
          <w:rFonts w:ascii="Arial" w:cs="Arial" w:eastAsia="Arial" w:hAnsi="Arial"/>
          <w:sz w:val="18"/>
          <w:szCs w:val="18"/>
          <w:color w:val="auto"/>
        </w:rPr>
        <w:t>investors with useful supplemental information about the financial performance of our business, enable comparison of financial results between periods where certain items may vary independent of business performance, and enable comparison of our financial results with</w:t>
      </w:r>
    </w:p>
    <w:p>
      <w:pPr>
        <w:spacing w:after="0" w:line="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other public companies, many of which present similar non-GAAP financial measures. However, the non-GAAP measures we present may be different from those used by other companies.</w:t>
      </w:r>
    </w:p>
    <w:p>
      <w:pPr>
        <w:spacing w:after="0" w:line="224" w:lineRule="exact"/>
        <w:rPr>
          <w:sz w:val="20"/>
          <w:szCs w:val="20"/>
          <w:color w:val="auto"/>
        </w:rPr>
      </w:pPr>
    </w:p>
    <w:p>
      <w:pPr>
        <w:ind w:right="20"/>
        <w:spacing w:after="0" w:line="205" w:lineRule="exact"/>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 and HalioDx and certain costs related to restructuring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pacing w:after="0" w:line="2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Reconciliations between our GAAP results and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presented in the tables of this release.</w:t>
      </w:r>
    </w:p>
    <w:p>
      <w:pPr>
        <w:sectPr>
          <w:pgSz w:w="11900" w:h="16838" w:orient="portrait"/>
          <w:cols w:equalWidth="0" w:num="1">
            <w:col w:w="11220"/>
          </w:cols>
          <w:pgMar w:left="320" w:top="908" w:right="359" w:bottom="1440" w:gutter="0" w:footer="0" w:header="0"/>
        </w:sectPr>
      </w:pPr>
    </w:p>
    <w:bookmarkStart w:id="6" w:name="page7"/>
    <w:bookmarkEnd w:id="6"/>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48" w:lineRule="exact"/>
        <w:rPr>
          <w:sz w:val="20"/>
          <w:szCs w:val="20"/>
          <w:color w:val="auto"/>
        </w:rPr>
      </w:pPr>
    </w:p>
    <w:tbl>
      <w:tblPr>
        <w:tblLayout w:type="fixed"/>
        <w:tblInd w:w="192"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6"/>
          </w:tcPr>
          <w:p>
            <w:pPr>
              <w:ind w:left="100"/>
              <w:spacing w:after="0"/>
              <w:rPr>
                <w:sz w:val="20"/>
                <w:szCs w:val="20"/>
                <w:color w:val="auto"/>
              </w:rPr>
            </w:pPr>
            <w:r>
              <w:rPr>
                <w:rFonts w:ascii="Arial" w:cs="Arial" w:eastAsia="Arial" w:hAnsi="Arial"/>
                <w:sz w:val="18"/>
                <w:szCs w:val="18"/>
                <w:color w:val="auto"/>
              </w:rPr>
              <w:t>Three Months Ended December</w:t>
            </w:r>
          </w:p>
        </w:tc>
        <w:tc>
          <w:tcPr>
            <w:tcW w:w="278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70,269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53,414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250,544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188,182</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19,868</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219,514</w:t>
            </w:r>
          </w:p>
        </w:tc>
        <w:tc>
          <w:tcPr>
            <w:tcW w:w="0" w:type="dxa"/>
            <w:vAlign w:val="bottom"/>
          </w:tcPr>
          <w:p>
            <w:pPr>
              <w:spacing w:after="0"/>
              <w:rPr>
                <w:sz w:val="1"/>
                <w:szCs w:val="1"/>
                <w:color w:val="auto"/>
              </w:rPr>
            </w:pPr>
          </w:p>
        </w:tc>
      </w:tr>
      <w:tr>
        <w:trPr>
          <w:trHeight w:val="466"/>
        </w:trPr>
        <w:tc>
          <w:tcPr>
            <w:tcW w:w="5200" w:type="dxa"/>
            <w:vAlign w:val="bottom"/>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58,860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29,843</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79,840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101,353</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15,981</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301,417</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(81,903)</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(81,649)</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(75,563)</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95" w:lineRule="exact"/>
              <w:rPr>
                <w:sz w:val="20"/>
                <w:szCs w:val="20"/>
                <w:color w:val="auto"/>
              </w:rPr>
            </w:pPr>
            <w:r>
              <w:rPr>
                <w:rFonts w:ascii="Arial" w:cs="Arial" w:eastAsia="Arial" w:hAnsi="Arial"/>
                <w:sz w:val="18"/>
                <w:szCs w:val="18"/>
                <w:color w:val="auto"/>
              </w:rPr>
              <w:t>Shares used to compute net loss per common share, basic and</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71,825,754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71,064,467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71,549,204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67,890,328</w:t>
            </w:r>
          </w:p>
        </w:tc>
        <w:tc>
          <w:tcPr>
            <w:tcW w:w="0" w:type="dxa"/>
            <w:vAlign w:val="bottom"/>
          </w:tcPr>
          <w:p>
            <w:pPr>
              <w:spacing w:after="0"/>
              <w:rPr>
                <w:sz w:val="1"/>
                <w:szCs w:val="1"/>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 w:right="160" w:firstLine="8"/>
        <w:spacing w:after="0" w:line="261"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47" w:lineRule="exact"/>
        <w:rPr>
          <w:sz w:val="20"/>
          <w:szCs w:val="20"/>
          <w:color w:val="auto"/>
        </w:rPr>
      </w:pPr>
    </w:p>
    <w:tbl>
      <w:tblPr>
        <w:tblLayout w:type="fixed"/>
        <w:tblInd w:w="252"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2860" w:type="dxa"/>
            <w:vAlign w:val="bottom"/>
            <w:gridSpan w:val="7"/>
          </w:tcPr>
          <w:p>
            <w:pPr>
              <w:ind w:left="100"/>
              <w:spacing w:after="0"/>
              <w:rPr>
                <w:sz w:val="20"/>
                <w:szCs w:val="20"/>
                <w:color w:val="auto"/>
              </w:rPr>
            </w:pPr>
            <w:r>
              <w:rPr>
                <w:rFonts w:ascii="Arial" w:cs="Arial" w:eastAsia="Arial" w:hAnsi="Arial"/>
                <w:sz w:val="18"/>
                <w:szCs w:val="18"/>
                <w:color w:val="auto"/>
              </w:rPr>
              <w:t>Three Months Ended December</w:t>
            </w: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Twelve Months Ended December</w:t>
            </w:r>
          </w:p>
        </w:tc>
      </w:tr>
      <w:tr>
        <w:trPr>
          <w:trHeight w:val="224"/>
        </w:trPr>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87"/>
              </w:rPr>
              <w:t>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87"/>
              </w:rPr>
              <w:t>31,</w:t>
            </w:r>
          </w:p>
        </w:tc>
        <w:tc>
          <w:tcPr>
            <w:tcW w:w="1040" w:type="dxa"/>
            <w:vAlign w:val="bottom"/>
            <w:tcBorders>
              <w:bottom w:val="single" w:sz="8" w:color="auto"/>
            </w:tcBorders>
          </w:tcPr>
          <w:p>
            <w:pPr>
              <w:spacing w:after="0"/>
              <w:rPr>
                <w:sz w:val="19"/>
                <w:szCs w:val="19"/>
                <w:color w:val="auto"/>
              </w:rPr>
            </w:pPr>
          </w:p>
        </w:tc>
      </w:tr>
      <w:tr>
        <w:trPr>
          <w:trHeight w:val="236"/>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408</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1,355</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4,747</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4,638</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7,034</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27,456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22,968</w:t>
            </w: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12"/>
          </w:cols>
          <w:pgMar w:left="328" w:top="1440"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INCOME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4"/>
          </w:tcPr>
          <w:p>
            <w:pPr>
              <w:jc w:val="right"/>
              <w:ind w:right="30"/>
              <w:spacing w:after="0"/>
              <w:rPr>
                <w:sz w:val="20"/>
                <w:szCs w:val="20"/>
                <w:color w:val="auto"/>
              </w:rPr>
            </w:pPr>
            <w:r>
              <w:rPr>
                <w:rFonts w:ascii="Arial" w:cs="Arial" w:eastAsia="Arial" w:hAnsi="Arial"/>
                <w:sz w:val="18"/>
                <w:szCs w:val="18"/>
                <w:color w:val="auto"/>
                <w:w w:val="99"/>
              </w:rPr>
              <w:t>Twelve Months Ended December</w:t>
            </w:r>
          </w:p>
        </w:tc>
      </w:tr>
      <w:tr>
        <w:trPr>
          <w:trHeight w:val="237"/>
        </w:trPr>
        <w:tc>
          <w:tcPr>
            <w:tcW w:w="5320" w:type="dxa"/>
            <w:vAlign w:val="bottom"/>
          </w:tcPr>
          <w:p>
            <w:pPr>
              <w:spacing w:after="0"/>
              <w:rPr>
                <w:sz w:val="20"/>
                <w:szCs w:val="20"/>
                <w:color w:val="auto"/>
              </w:rPr>
            </w:pPr>
          </w:p>
        </w:tc>
        <w:tc>
          <w:tcPr>
            <w:tcW w:w="3000" w:type="dxa"/>
            <w:vAlign w:val="bottom"/>
            <w:gridSpan w:val="6"/>
          </w:tcPr>
          <w:p>
            <w:pPr>
              <w:ind w:left="20"/>
              <w:spacing w:after="0"/>
              <w:rPr>
                <w:sz w:val="20"/>
                <w:szCs w:val="20"/>
                <w:color w:val="auto"/>
              </w:rPr>
            </w:pPr>
            <w:r>
              <w:rPr>
                <w:rFonts w:ascii="Arial" w:cs="Arial" w:eastAsia="Arial" w:hAnsi="Arial"/>
                <w:sz w:val="18"/>
                <w:szCs w:val="18"/>
                <w:color w:val="auto"/>
              </w:rPr>
              <w:t>Three Months Ended December 31,</w:t>
            </w:r>
          </w:p>
        </w:tc>
        <w:tc>
          <w:tcPr>
            <w:tcW w:w="120" w:type="dxa"/>
            <w:vAlign w:val="bottom"/>
          </w:tcPr>
          <w:p>
            <w:pPr>
              <w:spacing w:after="0"/>
              <w:rPr>
                <w:sz w:val="20"/>
                <w:szCs w:val="20"/>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8"/>
                <w:szCs w:val="18"/>
                <w:color w:val="auto"/>
              </w:rPr>
              <w:t>31,</w:t>
            </w:r>
          </w:p>
        </w:tc>
        <w:tc>
          <w:tcPr>
            <w:tcW w:w="1100" w:type="dxa"/>
            <w:vAlign w:val="bottom"/>
          </w:tcPr>
          <w:p>
            <w:pPr>
              <w:spacing w:after="0"/>
              <w:rPr>
                <w:sz w:val="20"/>
                <w:szCs w:val="20"/>
                <w:color w:val="auto"/>
              </w:rPr>
            </w:pPr>
          </w:p>
        </w:tc>
      </w:tr>
      <w:tr>
        <w:trPr>
          <w:trHeight w:val="230"/>
        </w:trPr>
        <w:tc>
          <w:tcPr>
            <w:tcW w:w="5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(75,563)</w:t>
            </w: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(15,083)</w:t>
            </w:r>
          </w:p>
        </w:tc>
      </w:tr>
      <w:tr>
        <w:trPr>
          <w:trHeight w:val="257"/>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income (loss)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w:t>
            </w: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94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(Unaudited)</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154,247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173,197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248,636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243,102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202,731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695,891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707,904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64,151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14,096</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91,311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1,075,200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1,096,514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1,156,422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1"/>
        <w:spacing w:after="0" w:line="22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2021 has been derived from the audited financial statements at that date included in the Company's Form 10-K filed with the Securities and Exchange Commission dated February 28, 2022.</w:t>
      </w:r>
    </w:p>
    <w:p>
      <w:pPr>
        <w:sectPr>
          <w:pgSz w:w="11900" w:h="16838" w:orient="portrait"/>
          <w:cols w:equalWidth="0" w:num="1">
            <w:col w:w="10940"/>
          </w:cols>
          <w:pgMar w:left="480" w:top="1043"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Twelve Months Ended</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(75,563)</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of intangible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tcPr>
          <w:p>
            <w:pPr>
              <w:spacing w:after="0"/>
              <w:rPr>
                <w:sz w:val="20"/>
                <w:szCs w:val="20"/>
                <w:color w:val="auto"/>
              </w:rPr>
            </w:pPr>
            <w:r>
              <w:rPr>
                <w:rFonts w:ascii="Arial" w:cs="Arial" w:eastAsia="Arial" w:hAnsi="Arial"/>
                <w:sz w:val="18"/>
                <w:szCs w:val="18"/>
                <w:color w:val="auto"/>
              </w:rPr>
              <w:t>Acquisition of Decipher Biosciences, net of cash acquired</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(574,411)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HalioDx, net of cash acquired</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(162,419)</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sale of equity securities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(739,206)</w:t>
            </w: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issuance costs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593,821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11,528</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596,320</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(174,507)</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(176,021)</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43" w:right="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37"/>
        </w:trPr>
        <w:tc>
          <w:tcPr>
            <w:tcW w:w="7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154,247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173,197</w:t>
            </w: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28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U.S. GAAP to Non-GAAP Financial Measures</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 thousands of dollars)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Identified Expenses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339"/>
              <w:spacing w:after="0" w:line="158" w:lineRule="exact"/>
              <w:rPr>
                <w:sz w:val="20"/>
                <w:szCs w:val="20"/>
                <w:color w:val="auto"/>
              </w:rPr>
            </w:pPr>
            <w:r>
              <w:rPr>
                <w:rFonts w:ascii="Arial" w:cs="Arial" w:eastAsia="Arial" w:hAnsi="Arial"/>
                <w:sz w:val="16"/>
                <w:szCs w:val="16"/>
                <w:b w:val="1"/>
                <w:bCs w:val="1"/>
                <w:color w:val="auto"/>
              </w:rPr>
              <w:t>Acquisition</w:t>
            </w:r>
          </w:p>
        </w:tc>
        <w:tc>
          <w:tcPr>
            <w:tcW w:w="14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680" w:type="dxa"/>
            <w:vAlign w:val="bottom"/>
            <w:gridSpan w:val="2"/>
          </w:tcPr>
          <w:p>
            <w:pPr>
              <w:jc w:val="center"/>
              <w:ind w:right="139"/>
              <w:spacing w:after="0" w:line="162" w:lineRule="exact"/>
              <w:rPr>
                <w:sz w:val="20"/>
                <w:szCs w:val="20"/>
                <w:color w:val="auto"/>
              </w:rPr>
            </w:pPr>
            <w:r>
              <w:rPr>
                <w:rFonts w:ascii="Arial" w:cs="Arial" w:eastAsia="Arial" w:hAnsi="Arial"/>
                <w:sz w:val="16"/>
                <w:szCs w:val="16"/>
                <w:b w:val="1"/>
                <w:bCs w:val="1"/>
                <w:color w:val="auto"/>
              </w:rPr>
              <w:t>Related Expenses</w:t>
            </w: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(1)</w:t>
            </w: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b w:val="1"/>
                <w:bCs w:val="1"/>
                <w:color w:val="auto"/>
              </w:rPr>
              <w:t>Three Months Ended December 31, 2022</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80,297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80,297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19,394</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50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19,344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2,618</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2,618</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4,819</w:t>
            </w:r>
          </w:p>
        </w:tc>
        <w:tc>
          <w:tcPr>
            <w:tcW w:w="18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64</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4,747</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4,747</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48,719</w:t>
            </w:r>
          </w:p>
        </w:tc>
        <w:tc>
          <w:tcPr>
            <w:tcW w:w="18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114</w:t>
            </w:r>
          </w:p>
        </w:tc>
        <w:tc>
          <w:tcPr>
            <w:tcW w:w="1480" w:type="dxa"/>
            <w:vAlign w:val="bottom"/>
          </w:tcPr>
          <w:p>
            <w:pPr>
              <w:jc w:val="right"/>
              <w:spacing w:after="0"/>
              <w:rPr>
                <w:sz w:val="20"/>
                <w:szCs w:val="20"/>
                <w:color w:val="auto"/>
              </w:rPr>
            </w:pPr>
            <w:r>
              <w:rPr>
                <w:rFonts w:ascii="Arial" w:cs="Arial" w:eastAsia="Arial" w:hAnsi="Arial"/>
                <w:sz w:val="16"/>
                <w:szCs w:val="16"/>
                <w:color w:val="auto"/>
              </w:rPr>
              <w:t>4,747</w:t>
            </w:r>
          </w:p>
        </w:tc>
        <w:tc>
          <w:tcPr>
            <w:tcW w:w="180" w:type="dxa"/>
            <w:vAlign w:val="bottom"/>
          </w:tcPr>
          <w:p>
            <w:pPr>
              <w:spacing w:after="0"/>
              <w:rPr>
                <w:sz w:val="17"/>
                <w:szCs w:val="17"/>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53,580</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61 %</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1174" w:right="39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32" w:lineRule="auto"/>
        <w:rPr>
          <w:sz w:val="20"/>
          <w:szCs w:val="20"/>
          <w:color w:val="auto"/>
        </w:rPr>
      </w:pPr>
      <w:r>
        <w:rPr>
          <w:rFonts w:ascii="Arial" w:cs="Arial" w:eastAsia="Arial" w:hAnsi="Arial"/>
          <w:sz w:val="16"/>
          <w:szCs w:val="16"/>
          <w:color w:val="auto"/>
        </w:rPr>
        <w:t>Total operating expenses excluding cost of revenue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Income (loss) from operations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11,287</w:t>
            </w:r>
          </w:p>
        </w:tc>
        <w:tc>
          <w:tcPr>
            <w:tcW w:w="68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11,055</w:t>
            </w:r>
          </w:p>
        </w:tc>
      </w:tr>
      <w:tr>
        <w:trPr>
          <w:trHeight w:val="216"/>
        </w:trPr>
        <w:tc>
          <w:tcPr>
            <w:tcW w:w="4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24,127</w:t>
            </w:r>
          </w:p>
        </w:tc>
        <w:tc>
          <w:tcPr>
            <w:tcW w:w="6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340" w:type="dxa"/>
            <w:vAlign w:val="bottom"/>
          </w:tcPr>
          <w:p>
            <w:pPr>
              <w:ind w:lef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23,210</w:t>
            </w:r>
          </w:p>
        </w:tc>
      </w:tr>
      <w:tr>
        <w:trPr>
          <w:trHeight w:val="216"/>
        </w:trPr>
        <w:tc>
          <w:tcPr>
            <w:tcW w:w="4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18,208</w:t>
            </w:r>
          </w:p>
        </w:tc>
        <w:tc>
          <w:tcPr>
            <w:tcW w:w="6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340" w:type="dxa"/>
            <w:vAlign w:val="bottom"/>
          </w:tcPr>
          <w:p>
            <w:pPr>
              <w:ind w:lef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16,840</w:t>
            </w:r>
          </w:p>
        </w:tc>
      </w:tr>
      <w:tr>
        <w:trPr>
          <w:trHeight w:val="219"/>
        </w:trPr>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517</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358"/>
        </w:trPr>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54,139</w:t>
            </w: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2,517</w:t>
            </w: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51,105</w:t>
            </w:r>
          </w:p>
        </w:tc>
      </w:tr>
      <w:tr>
        <w:trPr>
          <w:trHeight w:val="209"/>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(5,420)</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2,631</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2,475</w:t>
            </w:r>
          </w:p>
        </w:tc>
      </w:tr>
      <w:tr>
        <w:trPr>
          <w:trHeight w:val="24"/>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980" w:space="200"/>
            <w:col w:w="7900"/>
          </w:cols>
          <w:pgMar w:left="420" w:top="1174" w:right="39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20"/>
                <w:szCs w:val="20"/>
                <w:color w:val="auto"/>
              </w:rPr>
            </w:pPr>
            <w:r>
              <w:rPr>
                <w:rFonts w:ascii="Arial" w:cs="Arial" w:eastAsia="Arial" w:hAnsi="Arial"/>
                <w:sz w:val="16"/>
                <w:szCs w:val="16"/>
                <w:b w:val="1"/>
                <w:bCs w:val="1"/>
                <w:color w:val="auto"/>
              </w:rPr>
              <w:t>Three Months Ended December 31, 2021</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67,336</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67,336</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16,366</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16,311</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1,583</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1,583</w:t>
            </w: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40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4,933</w:t>
            </w:r>
          </w:p>
        </w:tc>
        <w:tc>
          <w:tcPr>
            <w:tcW w:w="6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4,768</w:t>
            </w: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4,936</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07"/>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40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39,518</w:t>
            </w:r>
          </w:p>
        </w:tc>
        <w:tc>
          <w:tcPr>
            <w:tcW w:w="6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4,936</w:t>
            </w:r>
          </w:p>
        </w:tc>
        <w:tc>
          <w:tcPr>
            <w:tcW w:w="46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44,674</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59 %</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473"/>
        </w:trPr>
        <w:tc>
          <w:tcPr>
            <w:tcW w:w="31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24"/>
                <w:szCs w:val="24"/>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10,252</w:t>
            </w:r>
          </w:p>
        </w:tc>
        <w:tc>
          <w:tcPr>
            <w:tcW w:w="6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6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9,585</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Selling and marketing</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22,212</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1,046</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21,166</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18,849</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3,399</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15,450</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538</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163"/>
        </w:trPr>
        <w:tc>
          <w:tcPr>
            <w:tcW w:w="3180" w:type="dxa"/>
            <w:vAlign w:val="bottom"/>
          </w:tcPr>
          <w:p>
            <w:pPr>
              <w:ind w:left="100"/>
              <w:spacing w:after="0" w:line="164" w:lineRule="exact"/>
              <w:rPr>
                <w:sz w:val="20"/>
                <w:szCs w:val="20"/>
                <w:color w:val="auto"/>
              </w:rPr>
            </w:pPr>
            <w:r>
              <w:rPr>
                <w:rFonts w:ascii="Arial" w:cs="Arial" w:eastAsia="Arial" w:hAnsi="Arial"/>
                <w:sz w:val="16"/>
                <w:szCs w:val="16"/>
                <w:color w:val="auto"/>
              </w:rPr>
              <w:t>Total operating expenses excluding cost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8"/>
        </w:trPr>
        <w:tc>
          <w:tcPr>
            <w:tcW w:w="3180" w:type="dxa"/>
            <w:vAlign w:val="bottom"/>
          </w:tcPr>
          <w:p>
            <w:pPr>
              <w:ind w:left="100"/>
              <w:spacing w:after="0"/>
              <w:rPr>
                <w:sz w:val="20"/>
                <w:szCs w:val="20"/>
                <w:color w:val="auto"/>
              </w:rPr>
            </w:pPr>
            <w:r>
              <w:rPr>
                <w:rFonts w:ascii="Arial" w:cs="Arial" w:eastAsia="Arial" w:hAnsi="Arial"/>
                <w:sz w:val="16"/>
                <w:szCs w:val="16"/>
                <w:color w:val="auto"/>
              </w:rPr>
              <w:t>of revenue (3)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51,851</w:t>
            </w: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5,112</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46,201</w:t>
            </w:r>
          </w:p>
        </w:tc>
      </w:tr>
      <w:tr>
        <w:trPr>
          <w:trHeight w:val="212"/>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(12,333)</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5,332</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(1,527)</w:t>
            </w:r>
          </w:p>
        </w:tc>
      </w:tr>
      <w:tr>
        <w:trPr>
          <w:trHeight w:val="21"/>
        </w:trPr>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right="160" w:hanging="240"/>
        <w:spacing w:after="0" w:line="225"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2021, adjustments consist primarily of transaction-related expenses associated with the acquisition of Decipher Biosciences. For 2022, adjustments consist primarily of post-combination compensation expenses associated with the acquisition of HalioDx.</w:t>
      </w:r>
    </w:p>
    <w:p>
      <w:pPr>
        <w:spacing w:after="0" w:line="22" w:lineRule="exact"/>
        <w:rPr>
          <w:rFonts w:ascii="Arial" w:cs="Arial" w:eastAsia="Arial" w:hAnsi="Arial"/>
          <w:sz w:val="16"/>
          <w:szCs w:val="16"/>
          <w:color w:val="auto"/>
        </w:rPr>
      </w:pPr>
    </w:p>
    <w:p>
      <w:pPr>
        <w:ind w:left="240" w:right="260" w:hanging="240"/>
        <w:spacing w:after="0" w:line="232"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spacing w:after="0" w:line="22" w:lineRule="exact"/>
        <w:rPr>
          <w:rFonts w:ascii="Arial" w:cs="Arial" w:eastAsia="Arial" w:hAnsi="Arial"/>
          <w:sz w:val="16"/>
          <w:szCs w:val="16"/>
          <w:color w:val="auto"/>
        </w:rPr>
      </w:pPr>
    </w:p>
    <w:p>
      <w:pPr>
        <w:ind w:left="240" w:right="160" w:hanging="240"/>
        <w:spacing w:after="0" w:line="225" w:lineRule="auto"/>
        <w:tabs>
          <w:tab w:leader="none" w:pos="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($26.8 and $22.9 million) and the amortization of intangible assets which would have been allocated to the cost of revenue ($4.7 and $4.9 million) for Q4 2022 and 2021 respectively.</w:t>
      </w:r>
    </w:p>
    <w:p>
      <w:pPr>
        <w:sectPr>
          <w:pgSz w:w="11900" w:h="16838" w:orient="portrait"/>
          <w:cols w:equalWidth="0" w:num="1">
            <w:col w:w="11080"/>
          </w:cols>
          <w:pgMar w:left="420" w:top="1174" w:right="3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U.S. GAAP to Non-GAAP Financial Measures</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 thousands of dollars)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Identified Expenses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339"/>
              <w:spacing w:after="0" w:line="158" w:lineRule="exact"/>
              <w:rPr>
                <w:sz w:val="20"/>
                <w:szCs w:val="20"/>
                <w:color w:val="auto"/>
              </w:rPr>
            </w:pPr>
            <w:r>
              <w:rPr>
                <w:rFonts w:ascii="Arial" w:cs="Arial" w:eastAsia="Arial" w:hAnsi="Arial"/>
                <w:sz w:val="16"/>
                <w:szCs w:val="16"/>
                <w:b w:val="1"/>
                <w:bCs w:val="1"/>
                <w:color w:val="auto"/>
              </w:rPr>
              <w:t>Acquisition</w:t>
            </w:r>
          </w:p>
        </w:tc>
        <w:tc>
          <w:tcPr>
            <w:tcW w:w="14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680" w:type="dxa"/>
            <w:vAlign w:val="bottom"/>
            <w:gridSpan w:val="2"/>
          </w:tcPr>
          <w:p>
            <w:pPr>
              <w:jc w:val="center"/>
              <w:ind w:right="139"/>
              <w:spacing w:after="0" w:line="162" w:lineRule="exact"/>
              <w:rPr>
                <w:sz w:val="20"/>
                <w:szCs w:val="20"/>
                <w:color w:val="auto"/>
              </w:rPr>
            </w:pPr>
            <w:r>
              <w:rPr>
                <w:rFonts w:ascii="Arial" w:cs="Arial" w:eastAsia="Arial" w:hAnsi="Arial"/>
                <w:sz w:val="16"/>
                <w:szCs w:val="16"/>
                <w:b w:val="1"/>
                <w:bCs w:val="1"/>
                <w:color w:val="auto"/>
              </w:rPr>
              <w:t>Related Expenses</w:t>
            </w: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(1)</w:t>
            </w: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b w:val="1"/>
                <w:bCs w:val="1"/>
                <w:color w:val="auto"/>
                <w:w w:val="99"/>
              </w:rPr>
              <w:t>Twelve Months Ended December 31, 2022</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296,536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296,536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75,317</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203</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75,096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7,820</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7,817</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18,445</w:t>
            </w:r>
          </w:p>
        </w:tc>
        <w:tc>
          <w:tcPr>
            <w:tcW w:w="18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325</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18,120</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19,273</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175,681</w:t>
            </w:r>
          </w:p>
        </w:tc>
        <w:tc>
          <w:tcPr>
            <w:tcW w:w="18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528</w:t>
            </w:r>
          </w:p>
        </w:tc>
        <w:tc>
          <w:tcPr>
            <w:tcW w:w="1480" w:type="dxa"/>
            <w:vAlign w:val="bottom"/>
          </w:tcPr>
          <w:p>
            <w:pPr>
              <w:jc w:val="right"/>
              <w:spacing w:after="0"/>
              <w:rPr>
                <w:sz w:val="20"/>
                <w:szCs w:val="20"/>
                <w:color w:val="auto"/>
              </w:rPr>
            </w:pPr>
            <w:r>
              <w:rPr>
                <w:rFonts w:ascii="Arial" w:cs="Arial" w:eastAsia="Arial" w:hAnsi="Arial"/>
                <w:sz w:val="16"/>
                <w:szCs w:val="16"/>
                <w:color w:val="auto"/>
              </w:rPr>
              <w:t>19,273</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780" w:type="dxa"/>
            <w:vAlign w:val="bottom"/>
          </w:tcPr>
          <w:p>
            <w:pPr>
              <w:spacing w:after="0"/>
              <w:rPr>
                <w:sz w:val="17"/>
                <w:szCs w:val="17"/>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195,503</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59 %</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931" w:right="39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32" w:lineRule="auto"/>
        <w:rPr>
          <w:sz w:val="20"/>
          <w:szCs w:val="20"/>
          <w:color w:val="auto"/>
        </w:rPr>
      </w:pPr>
      <w:r>
        <w:rPr>
          <w:rFonts w:ascii="Arial" w:cs="Arial" w:eastAsia="Arial" w:hAnsi="Arial"/>
          <w:sz w:val="16"/>
          <w:szCs w:val="16"/>
          <w:color w:val="auto"/>
        </w:rPr>
        <w:t>Total operating expenses excluding cost of revenue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40,603</w:t>
            </w:r>
          </w:p>
        </w:tc>
        <w:tc>
          <w:tcPr>
            <w:tcW w:w="6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1,418</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39,185</w:t>
            </w:r>
          </w:p>
        </w:tc>
      </w:tr>
      <w:tr>
        <w:trPr>
          <w:trHeight w:val="216"/>
        </w:trPr>
        <w:tc>
          <w:tcPr>
            <w:tcW w:w="3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97,560</w:t>
            </w:r>
          </w:p>
        </w:tc>
        <w:tc>
          <w:tcPr>
            <w:tcW w:w="6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3,914</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93,153</w:t>
            </w:r>
          </w:p>
        </w:tc>
      </w:tr>
      <w:tr>
        <w:trPr>
          <w:trHeight w:val="216"/>
        </w:trPr>
        <w:tc>
          <w:tcPr>
            <w:tcW w:w="3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76,518</w:t>
            </w:r>
          </w:p>
        </w:tc>
        <w:tc>
          <w:tcPr>
            <w:tcW w:w="6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5,245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3,318</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67,955</w:t>
            </w:r>
          </w:p>
        </w:tc>
      </w:tr>
      <w:tr>
        <w:trPr>
          <w:trHeight w:val="219"/>
        </w:trPr>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2,081</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358"/>
        </w:trPr>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216,762</w:t>
            </w: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10,577</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3,811</w:t>
            </w:r>
          </w:p>
        </w:tc>
        <w:tc>
          <w:tcPr>
            <w:tcW w:w="7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200,293</w:t>
            </w:r>
          </w:p>
        </w:tc>
      </w:tr>
      <w:tr>
        <w:trPr>
          <w:trHeight w:val="210"/>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(41,081)</w:t>
            </w:r>
          </w:p>
        </w:tc>
        <w:tc>
          <w:tcPr>
            <w:tcW w:w="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11,105</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3,832</w:t>
            </w:r>
          </w:p>
        </w:tc>
        <w:tc>
          <w:tcPr>
            <w:tcW w:w="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(4,790)</w:t>
            </w:r>
          </w:p>
        </w:tc>
      </w:tr>
      <w:tr>
        <w:trPr>
          <w:trHeight w:val="2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980" w:space="200"/>
            <w:col w:w="7900"/>
          </w:cols>
          <w:pgMar w:left="420" w:top="931" w:right="39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Twelve Months Ended December 31, 2021</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219,514</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219,514</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58,860</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58,779</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5,887</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5,887</w:t>
            </w: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9,653</w:t>
            </w:r>
          </w:p>
        </w:tc>
        <w:tc>
          <w:tcPr>
            <w:tcW w:w="5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9,436</w:t>
            </w: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14,491</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14,491</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06"/>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38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130,623</w:t>
            </w:r>
          </w:p>
        </w:tc>
        <w:tc>
          <w:tcPr>
            <w:tcW w:w="5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14,491</w:t>
            </w:r>
          </w:p>
        </w:tc>
        <w:tc>
          <w:tcPr>
            <w:tcW w:w="46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145,412</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60 %</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486"/>
        </w:trPr>
        <w:tc>
          <w:tcPr>
            <w:tcW w:w="31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4"/>
                <w:szCs w:val="24"/>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29,843</w:t>
            </w:r>
          </w:p>
        </w:tc>
        <w:tc>
          <w:tcPr>
            <w:tcW w:w="56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28,816</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Selling and marketing</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79,840</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1,755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78,085</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101,353</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49,814</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51,539</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1,490</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163"/>
        </w:trPr>
        <w:tc>
          <w:tcPr>
            <w:tcW w:w="3180" w:type="dxa"/>
            <w:vAlign w:val="bottom"/>
          </w:tcPr>
          <w:p>
            <w:pPr>
              <w:ind w:left="100"/>
              <w:spacing w:after="0" w:line="164" w:lineRule="exact"/>
              <w:rPr>
                <w:sz w:val="20"/>
                <w:szCs w:val="20"/>
                <w:color w:val="auto"/>
              </w:rPr>
            </w:pPr>
            <w:r>
              <w:rPr>
                <w:rFonts w:ascii="Arial" w:cs="Arial" w:eastAsia="Arial" w:hAnsi="Arial"/>
                <w:sz w:val="16"/>
                <w:szCs w:val="16"/>
                <w:color w:val="auto"/>
              </w:rPr>
              <w:t>Total operating expenses excluding cost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8"/>
        </w:trPr>
        <w:tc>
          <w:tcPr>
            <w:tcW w:w="3180" w:type="dxa"/>
            <w:vAlign w:val="bottom"/>
          </w:tcPr>
          <w:p>
            <w:pPr>
              <w:ind w:left="100"/>
              <w:spacing w:after="0"/>
              <w:rPr>
                <w:sz w:val="20"/>
                <w:szCs w:val="20"/>
                <w:color w:val="auto"/>
              </w:rPr>
            </w:pPr>
            <w:r>
              <w:rPr>
                <w:rFonts w:ascii="Arial" w:cs="Arial" w:eastAsia="Arial" w:hAnsi="Arial"/>
                <w:sz w:val="16"/>
                <w:szCs w:val="16"/>
                <w:color w:val="auto"/>
              </w:rPr>
              <w:t>of revenue (3)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212,526</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52,596</w:t>
            </w: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158,440</w:t>
            </w:r>
          </w:p>
        </w:tc>
      </w:tr>
      <w:tr>
        <w:trPr>
          <w:trHeight w:val="212"/>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(81,903)</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52,894</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(13,028)</w:t>
            </w:r>
          </w:p>
        </w:tc>
      </w:tr>
      <w:tr>
        <w:trPr>
          <w:trHeight w:val="21"/>
        </w:trPr>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right="160" w:hanging="240"/>
        <w:spacing w:after="0" w:line="225"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2021, adjustments consist primarily of transaction-related expenses associated with the acquisition of Decipher Biosciences. For 2022, adjustments consist primarily of post-combination compensation expenses associated with the acquisition of HalioDx.</w:t>
      </w:r>
    </w:p>
    <w:p>
      <w:pPr>
        <w:spacing w:after="0" w:line="22" w:lineRule="exact"/>
        <w:rPr>
          <w:rFonts w:ascii="Arial" w:cs="Arial" w:eastAsia="Arial" w:hAnsi="Arial"/>
          <w:sz w:val="16"/>
          <w:szCs w:val="16"/>
          <w:color w:val="auto"/>
        </w:rPr>
      </w:pPr>
    </w:p>
    <w:p>
      <w:pPr>
        <w:ind w:left="240" w:right="260" w:hanging="240"/>
        <w:spacing w:after="0" w:line="232"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spacing w:after="0" w:line="22" w:lineRule="exact"/>
        <w:rPr>
          <w:rFonts w:ascii="Arial" w:cs="Arial" w:eastAsia="Arial" w:hAnsi="Arial"/>
          <w:sz w:val="16"/>
          <w:szCs w:val="16"/>
          <w:color w:val="auto"/>
        </w:rPr>
      </w:pPr>
    </w:p>
    <w:p>
      <w:pPr>
        <w:ind w:left="240" w:right="60" w:hanging="240"/>
        <w:spacing w:after="0" w:line="225"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($101.6 and $74.4 million) and the amortization of intangible assets which would have been allocated to the cost of revenue ($19.3 and $14.5 million) for the full year 2022 and 2021 respectively</w:t>
      </w:r>
    </w:p>
    <w:p>
      <w:pPr>
        <w:spacing w:after="0" w:line="22" w:lineRule="exact"/>
        <w:rPr>
          <w:rFonts w:ascii="Arial" w:cs="Arial" w:eastAsia="Arial" w:hAnsi="Arial"/>
          <w:sz w:val="16"/>
          <w:szCs w:val="16"/>
          <w:color w:val="auto"/>
        </w:rPr>
      </w:pPr>
    </w:p>
    <w:p>
      <w:pPr>
        <w:ind w:left="240" w:right="120" w:hanging="240"/>
        <w:spacing w:after="0" w:line="232"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$3.3 million expense related to the impairment charge associated with certain developed technology intangible assets and $0.5 million related to restructuring costs</w:t>
      </w:r>
    </w:p>
    <w:p>
      <w:pPr>
        <w:sectPr>
          <w:pgSz w:w="11900" w:h="16838" w:orient="portrait"/>
          <w:cols w:equalWidth="0" w:num="1">
            <w:col w:w="11080"/>
          </w:cols>
          <w:pgMar w:left="420" w:top="931" w:right="399" w:bottom="1440" w:gutter="0" w:footer="0" w:header="0"/>
          <w:type w:val="continuous"/>
        </w:sectPr>
      </w:pPr>
    </w:p>
    <w:bookmarkStart w:id="13" w:name="page14"/>
    <w:bookmarkEnd w:id="13"/>
    <w:p>
      <w:pPr>
        <w:jc w:val="right"/>
        <w:ind w:right="42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Global Corporate Communications</w:t>
      </w: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2023-02-22T15:21:03Z</dcterms:created>
  <dcterms:modified xsi:type="dcterms:W3CDTF">2023-02-22T15:21:03Z</dcterms:modified>
</cp:coreProperties>
</file>