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883285"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883285" cy="5060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2550 Hanover Street | Palo Alto, CA 94304-1115 | tel 650.233.4500 | fax 650.233.4545</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Gabriella A. Lombardi</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tel 650.233.4670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gabriella.lombardi@pillsburylaw.com</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FOIA CONFIDENTIAL TREATMENT REQUESTED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17 C.F.R. § 200.83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October 11, 2013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Confidential Treatment Requested By Veracyte,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John Reynolds, Assistant Director</w:t>
      </w:r>
    </w:p>
    <w:p>
      <w:pPr>
        <w:spacing w:after="0" w:line="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Ruairi Regan, Staff Attorney</w:t>
      </w:r>
    </w:p>
    <w:p>
      <w:pPr>
        <w:spacing w:after="0" w:line="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Pamela Howell, Special Counsel</w:t>
      </w:r>
    </w:p>
    <w:p>
      <w:pPr>
        <w:spacing w:after="0" w:line="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Raj Ranjan, Senior Staff Accountant</w:t>
      </w:r>
    </w:p>
    <w:p>
      <w:pPr>
        <w:spacing w:after="0" w:line="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Suying Li, Staff Accountant</w:t>
      </w:r>
    </w:p>
    <w:p>
      <w:pPr>
        <w:sectPr>
          <w:pgSz w:w="11900" w:h="17038" w:orient="portrait"/>
          <w:cols w:equalWidth="0" w:num="1">
            <w:col w:w="11420"/>
          </w:cols>
          <w:pgMar w:left="240" w:top="1246" w:right="2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color w:val="auto"/>
        </w:rPr>
        <w:t>Registration Statement on Form S-1</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7"/>
          <w:szCs w:val="17"/>
          <w:color w:val="auto"/>
        </w:rPr>
        <w:t>Commission File No. 333-191282</w:t>
      </w:r>
    </w:p>
    <w:p>
      <w:pPr>
        <w:spacing w:after="0" w:line="200" w:lineRule="exact"/>
        <w:rPr>
          <w:sz w:val="24"/>
          <w:szCs w:val="24"/>
          <w:color w:val="auto"/>
        </w:rPr>
      </w:pPr>
    </w:p>
    <w:p>
      <w:pPr>
        <w:sectPr>
          <w:pgSz w:w="11900" w:h="17038" w:orient="portrait"/>
          <w:cols w:equalWidth="0" w:num="2">
            <w:col w:w="260" w:space="380"/>
            <w:col w:w="10780"/>
          </w:cols>
          <w:pgMar w:left="240" w:top="1246" w:right="239" w:bottom="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Veracyte, Inc. (the “Registrant”) is hereby providing the staff of the Division of Corporation Finance of the Securities and Exchange Commission (the “Staff”) with redacted portions of the “Capitalization” and “Dilution” sections of its Registration Statement on Form S-1 which reflect preliminary pricing information in order to assist the Staff in finalizing its review of the above-referenced Registration Statement. The aforementioned pages are attached hereto as Annex A. Please note that the information in Annex A reflects the 1-for-4 reverse split of the Registrant’s outstanding common stock that was effected on October 9, 2013. The par value per share and the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October 11,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4"/>
          <w:szCs w:val="24"/>
          <w:color w:val="auto"/>
        </w:rPr>
      </w:pPr>
    </w:p>
    <w:p>
      <w:pPr>
        <w:ind w:right="140"/>
        <w:spacing w:after="0" w:line="257" w:lineRule="auto"/>
        <w:rPr>
          <w:sz w:val="20"/>
          <w:szCs w:val="20"/>
          <w:color w:val="auto"/>
        </w:rPr>
      </w:pPr>
      <w:r>
        <w:rPr>
          <w:rFonts w:ascii="Arial" w:cs="Arial" w:eastAsia="Arial" w:hAnsi="Arial"/>
          <w:sz w:val="18"/>
          <w:szCs w:val="18"/>
          <w:color w:val="auto"/>
        </w:rPr>
        <w:t>number of shares of common stock and preferred stock were not adjusted as a result of the reverse stock split. All issued and outstanding shares of common stock, options to purchase common stock and related per share amounts have been retroactively adjusted to reflect the reverse stock split. A proportional adjustment to the conversion ratio for each series of preferred stock was also effected in connection with the reverse stock split. Accordingly, the preferred stock conversion ratio and resulting number of shares of common stock to be issued upon conversion of the preferred stock into common stock upon the completion of the offering have also been retroactively adjusted.</w:t>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In addition, please note that the descriptions of shares included and excluded from the disclosures in Annex A have been revised for clarity and consistency.</w:t>
      </w:r>
    </w:p>
    <w:p>
      <w:pPr>
        <w:spacing w:after="0" w:line="248"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Finally, attached hereto as Annex B are the Registrant’s proposed revisions to page 2 of the Registration Statement to clarify the conclusion the that Afirma GEC is sufficiently robust to reduce diagnostic surgery on patients with cytology indeterminate results by 90%. Conforming changes will be made elsewhere in the Registration Statement where applicable. In addition, the Registrant is supplementally providing to the Staff an explanation of the basis for the Registrant’s conclusion.</w:t>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Please let us know if you have any questions or need additional information. You may contact the undersigned at (650) 233-4670 or Stanton D. Wong at</w:t>
      </w:r>
    </w:p>
    <w:p>
      <w:pPr>
        <w:spacing w:after="0" w:line="46" w:lineRule="exact"/>
        <w:rPr>
          <w:sz w:val="24"/>
          <w:szCs w:val="24"/>
          <w:color w:val="auto"/>
        </w:rPr>
      </w:pPr>
    </w:p>
    <w:p>
      <w:pPr>
        <w:jc w:val="both"/>
        <w:ind w:right="10200" w:firstLine="8"/>
        <w:spacing w:after="0" w:line="554"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983-1790. Very truly yours,</w:t>
      </w:r>
    </w:p>
    <w:p>
      <w:pPr>
        <w:ind w:right="9560"/>
        <w:spacing w:after="0" w:line="549" w:lineRule="auto"/>
        <w:rPr>
          <w:rFonts w:ascii="Arial" w:cs="Arial" w:eastAsia="Arial" w:hAnsi="Arial"/>
          <w:sz w:val="16"/>
          <w:szCs w:val="16"/>
          <w:color w:val="auto"/>
        </w:rPr>
      </w:pPr>
      <w:r>
        <w:rPr>
          <w:rFonts w:ascii="Arial" w:cs="Arial" w:eastAsia="Arial" w:hAnsi="Arial"/>
          <w:sz w:val="16"/>
          <w:szCs w:val="16"/>
          <w:color w:val="auto"/>
        </w:rPr>
        <w:t xml:space="preserve">/s/ Gabriella A. Lombardi Gabriella A. Lombardi cc: </w:t>
      </w:r>
      <w:r>
        <w:rPr>
          <w:rFonts w:ascii="Arial" w:cs="Arial" w:eastAsia="Arial" w:hAnsi="Arial"/>
          <w:sz w:val="16"/>
          <w:szCs w:val="16"/>
          <w:u w:val="single" w:color="auto"/>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-654685</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7038" w:orient="portrait"/>
          <w:cols w:equalWidth="0" w:num="1">
            <w:col w:w="11420"/>
          </w:cols>
          <w:pgMar w:left="240" w:top="124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Shelly D. Guyer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Simpson Thacher &amp; Bartlett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H. Hinman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Jean Y. Park</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Pillsbury Winthrop Shaw Pittman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Stanton D. Wong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Christina F.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209550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859"/>
      </w:cols>
      <w:pgMar w:left="6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1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2019-12-07T15:15:57Z</dcterms:created>
  <dcterms:modified xsi:type="dcterms:W3CDTF">2019-12-07T15:15:57Z</dcterms:modified>
</cp:coreProperties>
</file>