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Bonnie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Executive Chairwoman</w:t>
      </w:r>
    </w:p>
    <w:p>
      <w:pPr>
        <w:spacing w:after="0" w:line="466"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7"/>
                <w:szCs w:val="17"/>
                <w:color w:val="0000FF"/>
                <w:w w:val="97"/>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18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Times New Roman" w:cs="Times New Roman" w:eastAsia="Times New Roman" w:hAnsi="Times New Roman"/>
                <w:sz w:val="17"/>
                <w:szCs w:val="17"/>
                <w:color w:val="0000FF"/>
              </w:rPr>
              <w:t>06/02/2022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2,042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18.23</w:t>
            </w:r>
          </w:p>
        </w:tc>
        <w:tc>
          <w:tcPr>
            <w:tcW w:w="1140" w:type="dxa"/>
            <w:vAlign w:val="bottom"/>
            <w:tcBorders>
              <w:bottom w:val="single" w:sz="8" w:color="2C2C2C"/>
            </w:tcBorders>
          </w:tcPr>
          <w:p>
            <w:pPr>
              <w:jc w:val="right"/>
              <w:ind w:right="254"/>
              <w:spacing w:after="0"/>
              <w:rPr>
                <w:sz w:val="20"/>
                <w:szCs w:val="20"/>
                <w:color w:val="auto"/>
              </w:rPr>
            </w:pPr>
            <w:r>
              <w:rPr>
                <w:rFonts w:ascii="Times New Roman" w:cs="Times New Roman" w:eastAsia="Times New Roman" w:hAnsi="Times New Roman"/>
                <w:sz w:val="17"/>
                <w:szCs w:val="17"/>
                <w:color w:val="0000FF"/>
              </w:rPr>
              <w:t>67,045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234,343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738, 812, and 492 shares of common stock to satisfy the reporting person's tax withholding obligations in connection with the vesting of 1,875, 2,062 and 1,250 Restricted Stock Units, respectively, granted on February 28, 2019, February 28, 2020 and February 26, 2021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Jane Alley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06/06/2022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2022-06-06T15:29:55Z</dcterms:created>
  <dcterms:modified xsi:type="dcterms:W3CDTF">2022-06-06T15:29:55Z</dcterms:modified>
</cp:coreProperties>
</file>