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May 7, 2025</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VERACYTE,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w:t>
            </w:r>
          </w:p>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(650) 243-6300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7, 2025, Veracyte, Inc. issued a press release announcing its financial results for the quarter ended March 31, 2025. The full text of the press release is furnished as Exhibit 99.1 to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3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cyt-05x07x20258xkearnings.htm">
              <w:r>
                <w:rPr>
                  <w:rStyle w:val="InternetLink"/>
                  <w:rFonts w:ascii="Times New Roman;sans-serif" w:hAnsi="Times New Roman;sans-serif"/>
                  <w:b w:val="false"/>
                  <w:color w:val="000080"/>
                  <w:sz w:val="20"/>
                  <w:u w:val="single"/>
                </w:rPr>
                <w:t xml:space="preserve">Press release issued by Veracyte, Inc. dated </w:t>
              </w:r>
            </w:hyperlink>
            <w:hyperlink w:anchor="vcyt-05x07x20258xkearnings.htm">
              <w:r>
                <w:rPr>
                  <w:rStyle w:val="InternetLink"/>
                  <w:rFonts w:ascii="Times New Roman;sans-serif" w:hAnsi="Times New Roman;sans-serif"/>
                  <w:b w:val="false"/>
                  <w:color w:val="000080"/>
                  <w:sz w:val="20"/>
                  <w:u w:val="single"/>
                </w:rPr>
                <w:t>May 7</w:t>
              </w:r>
            </w:hyperlink>
            <w:hyperlink w:anchor="vcyt-05x07x20258xkearnings.htm">
              <w:r>
                <w:rPr>
                  <w:rStyle w:val="InternetLink"/>
                  <w:rFonts w:ascii="Times New Roman;sans-serif" w:hAnsi="Times New Roman;sans-serif"/>
                  <w:b w:val="false"/>
                  <w:color w:val="000080"/>
                  <w:sz w:val="20"/>
                  <w:u w:val="single"/>
                </w:rPr>
                <w:t>, 2025</w:t>
              </w:r>
            </w:hyperlink>
            <w:hyperlink w:anchor="vcyt-05x07x20258xkearnings.htm">
              <w:r>
                <w:rPr>
                  <w:rStyle w:val="InternetLink"/>
                  <w:rFonts w:ascii="Times New Roman;sans-serif" w:hAnsi="Times New Roman;sans-serif"/>
                  <w:b w:val="false"/>
                  <w:color w:val="000080"/>
                  <w:sz w:val="20"/>
                  <w:u w:val="single"/>
                </w:rPr>
                <w:t>.</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056" w:type="dxa"/>
        <w:jc w:val="left"/>
        <w:tblInd w:w="0" w:type="dxa"/>
        <w:tblLayout w:type="fixed"/>
        <w:tblCellMar>
          <w:top w:w="28" w:type="dxa"/>
          <w:left w:w="28" w:type="dxa"/>
          <w:bottom w:w="28" w:type="dxa"/>
          <w:right w:w="28" w:type="dxa"/>
        </w:tblCellMar>
      </w:tblPr>
      <w:tblGrid>
        <w:gridCol w:w="260"/>
        <w:gridCol w:w="229"/>
        <w:gridCol w:w="231"/>
        <w:gridCol w:w="379"/>
        <w:gridCol w:w="379"/>
        <w:gridCol w:w="381"/>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4765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76500"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Veracyte Announces First Quarter 2025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Strong testing volume growth resulted in total revenue of $114.5 million, an increase of 18%</w:t>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Conference call and webcast today at 4:30 p.m. ET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SOUTH SAN FRANCISCO, Calif., May 7, 2025 --- Veracyte, Inc. (Nasdaq: VCYT), a leading cancer diagnostics company, today announced financial results for the first quarter ended March 31,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started 2025 with the eleventh consecutive quarter of 20% or more testing volume growth, driven by strong Decipher and Afirma demand,” said Marc Stapley, Veracyte’s chief executive officer. “With solid Q1 results and Decipher now available for metastatic prostate cancer patients, we are well positioned to deliver on our expectations for this year and beyond, especially given our recent successes in advancing our strategic growth drivers. As always, everything we do is in service of patients globally and I look forward to delivering on our vision of transforming cancer care.”</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Key Financial Highlights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the three-month period ended March 31, 2025, as compared to the same period in 2024:</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total revenue by 18% to $114.5 million and testing revenue by 19% to $107.3 million.</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total volume by 22% to 40,655 tests and testing volume by 23% to 38,078 tests.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Grew Decipher revenue by 33% to $66.6 million and Afirma revenue by 6% to $38.3 million.</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Grew Decipher volume by 37% to approximately 22,600 tests and Afirma volume by 10% to approximately 15,500 tests.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net income to $7.0 million, or 6.2% of revenue, and delivered adjusted EBITDA of $24.7 million, or 21.6% of revenue.</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Generated $5.4 million of cash from operations to end the quarter with $287.4 million of cash, cash equivalents and short-term investments.</w:t>
      </w:r>
    </w:p>
    <w:p>
      <w:pPr>
        <w:pStyle w:val="TextBody"/>
        <w:bidi w:val="0"/>
        <w:spacing w:lineRule="auto" w:line="268" w:before="120" w:after="283"/>
        <w:jc w:val="both"/>
        <w:rPr>
          <w:rFonts w:ascii="Arial;sans-serif" w:hAnsi="Arial;sans-serif"/>
          <w:b/>
          <w:color w:val="000000"/>
          <w:sz w:val="20"/>
        </w:rPr>
      </w:pPr>
      <w:r>
        <w:rPr>
          <w:rFonts w:ascii="Arial;sans-serif" w:hAnsi="Arial;sans-serif"/>
          <w:b/>
          <w:color w:val="000000"/>
          <w:sz w:val="20"/>
        </w:rPr>
        <w:t>Key Business Highlights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Launched limited access to Decipher for use in the metastatic population, expanding coverage across the entire risk spectrum of prostate cancer care.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Demonstrated accuracy of whole-genome sequencing-based minimal residual disease (MRD) testing platform for muscle-invasive bladder cancer at EAU25 with new data presented from the multicenter, interventional TOMBOLA clinical trial.</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Enrolled the first patient into the UMBRELLA trial for patients with pancreatic cancer, sarcoma, colorectal cancer, or NSCLC, utilizing Veracyte’s differentiated data-driven whole genome MRD approach.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Published analytical validity data for Percepta Nasal Swab in </w:t>
      </w:r>
      <w:r>
        <w:rPr>
          <w:rFonts w:ascii="Arial;sans-serif" w:hAnsi="Arial;sans-serif"/>
          <w:b w:val="false"/>
          <w:i/>
          <w:color w:val="000000"/>
          <w:sz w:val="20"/>
        </w:rPr>
        <w:t>BMC Cancer.</w:t>
      </w:r>
      <w:r>
        <w:rPr>
          <w:color w:val="000000"/>
        </w:rPr>
        <w:t xml:space="preserve">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Presented 18 abstracts focused on Decipher Prostate, Decipher GRID and Decipher Bladder Genomic Classifiers at AUA 2025, the annual meeting of the American Urological Association. </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 xml:space="preserve">A reconciliation of GAAP to non-GAAP financial measures has been provided in the tables included in this press release. An explanation of these measures is also included below under the heading "Note Regarding Use of Non-GAAP Financial Measures." </w:t>
      </w:r>
    </w:p>
    <w:p>
      <w:pPr>
        <w:pStyle w:val="TextBody"/>
        <w:bidi w:val="0"/>
        <w:spacing w:before="0" w:after="0"/>
        <w:jc w:val="left"/>
        <w:rPr/>
      </w:pPr>
      <w:r>
        <w:rPr/>
      </w:r>
    </w:p>
    <w:p>
      <w:pPr>
        <w:pStyle w:val="TextBody"/>
        <w:bidi w:val="0"/>
        <w:spacing w:lineRule="auto" w:line="276" w:before="0" w:after="60"/>
        <w:jc w:val="left"/>
        <w:rPr>
          <w:rFonts w:ascii="Arial;sans-serif" w:hAnsi="Arial;sans-serif"/>
          <w:b/>
          <w:color w:val="000000"/>
          <w:sz w:val="20"/>
        </w:rPr>
      </w:pPr>
      <w:r>
        <w:rPr>
          <w:rFonts w:ascii="Arial;sans-serif" w:hAnsi="Arial;sans-serif"/>
          <w:b/>
          <w:color w:val="000000"/>
          <w:sz w:val="20"/>
        </w:rPr>
        <w:t>First Quarter 2025 Financial Results </w:t>
      </w:r>
    </w:p>
    <w:p>
      <w:pPr>
        <w:pStyle w:val="TextBody"/>
        <w:bidi w:val="0"/>
        <w:spacing w:before="0" w:after="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revenue for the first quarter of 2025 was $114.5 million, an increase of 18% compared to $96.8 million reported in the first quarter of 2024. Testing revenue was $107.3 million, an increase of 19% compared to $90.3 million in the first quarter of 2024, driven by our Decipher Prostate and Afirma tests. Product revenue was $3.6 million, an increase of 1% compared to $3.5 million in the first quarter of 2024. Biopharmaceutical and other revenue was $3.6 million, an increase of 19% compared to $3.0 million in the first quarter of 2024. </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gross margin for the first quarter of 2025 was 69%, compared to 65% in the first quarter of 2024. Non-GAAP gross margin was 72%, compared to 68% in the first quarter of 2024.</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Operating expenses were $76.6 million for the first quarter of 2025. Non-GAAP operating expenses grew 14% to $60.5 million compared to $53.0 million in the first quarter of 2024.</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income for the first quarter of 2025 was $7.0 million, an improvement of 478% compared to the first quarter of 2024, representing 6.2% of revenue compared to (1.9%) in the same period in 2024. Diluted net earnings per common share was $0.09, an improvement of $0.11 compared to the first quarter of 2024. Non-GAAP diluted net earnings per common share was $0.31, an improvement of $0.12 compared to the first quarter of 2024. Net cash provided by operating activities in the first three months of 2025 was $5.4 million, an improvement of $14.3 million compared to the same period in 2024.</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EBITDA for the first quarter of 2025 was $24.7 million, an improvement of 72% compared to the first quarter of 2024, representing 21.6% of revenue compared to 14.9% of revenue in the same period of 2024.</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 xml:space="preserve">Update on Marseille Operations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Veracyte has been evaluating its ownership and operations of the company’s French subsidiary, Veracyte SAS, whose business is located in Marseille, France and includes Veracyte’s immune-oncology biopharma business, contract IVD development and manufacturing, and support for Veracyte’s IVD development and manufacturing. Veracyte recently notified Veracyte SAS that, as sole shareholder of Veracyte SAS, it made the decision to no longer fund the French entity. Accordingly, SAS filed a collective proceedings petition with the Marseille Commercial Court shortly thereafter. The filing was recently accepted by the court. We expect the court process to complete by the end of 2025, at which time Veracyte, Inc. would no longer own, or operate, the Marseille facility. With this process, Veracyte remains focused on maintaining customer contract manufacturing and Prosigna supply to minimize patient impact as much as possible. SAS and its financial advisors are working to identify potential buyers for portions of the business, and any sale would be handled by the commercial court as part of the bankruptcy proceedings.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Management will provide further details on this process and its potential impact on Veracyte’s 2025 financial outlook during the conference call this afternoon.</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2025 Financial Outlook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 is reiterating full-year 2025 testing revenue guidance of $470 million to $480 million, or 12% to 15% year-over-year growth. Adjusting for the impact of the paused Envisia test, the guidance implies testing revenue growth of 14% to 16%.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Given strong performance in the first quarter the company is raising guidance for adjusted EBITDA as a percentage of revenue in 2025 to 22.5% from 21.6%.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is unable to provide a quantitative reconciliation of expected adjusted EBITDA as a percentage of revenue to the most directly comparable forward-looking GAAP measure without unreasonable effort, because of the inherent difficulty in accurately forecasting the occurrence and financial impact of the various adjusting items necessary for such reconciliations that have not yet occurred, that are dependent on various factors, are out of the company’s control, or that cannot be reasonably predicted. Such adjustments include, but are not limited to, acquisition-related expenses, and other adjustments. Any associated estimate of these items and their impact on GAAP performance for the guidance period could vary materially. For more information on the non-GAAP financial measures, please refer to the section titled “Note Regarding Use of Non-GAAP Financial Measures” at the end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 Details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Arial;sans-serif" w:hAnsi="Arial;sans-serif"/>
          <w:b w:val="false"/>
          <w:color w:val="000000"/>
          <w:sz w:val="20"/>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sans-serif" w:hAnsi="Arial;sans-serif"/>
          <w:b w:val="false"/>
          <w:color w:val="0000FF"/>
          <w:sz w:val="20"/>
        </w:rPr>
        <w:t>https://edge.media-server.com/mmc/p/5r4msrbq</w:t>
      </w:r>
      <w:r>
        <w:rPr>
          <w:rFonts w:ascii="Arial;sans-serif" w:hAnsi="Arial;sans-serif"/>
          <w:b w:val="false"/>
          <w:color w:val="000000"/>
          <w:sz w:val="20"/>
        </w:rPr>
        <w:t>.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conference call dial-in can be accessed by registering at the following link</w:t>
      </w:r>
      <w:r>
        <w:rPr>
          <w:rFonts w:ascii="Arial;sans-serif" w:hAnsi="Arial;sans-serif"/>
          <w:b w:val="false"/>
          <w:color w:val="0000FF"/>
          <w:sz w:val="20"/>
        </w:rPr>
        <w:t>: https://register-conf.media-server.com/register/BIe7f8fbebc894446b9ddc405298fe44e6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Veracyte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222222"/>
          <w:sz w:val="20"/>
        </w:rPr>
        <w:t xml:space="preserve">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 powerful evidence-generation engine, which ultimately drives durable reimbursement and guideline inclusion for our tests, along with new insights to support continued innovation and pipeline development. </w:t>
      </w:r>
      <w:r>
        <w:rPr>
          <w:rFonts w:ascii="Arial;sans-serif" w:hAnsi="Arial;sans-serif"/>
          <w:b w:val="false"/>
          <w:color w:val="000000"/>
          <w:sz w:val="20"/>
          <w:shd w:fill="FFFFFF" w:val="clear"/>
        </w:rPr>
        <w:t xml:space="preserve">For more information, please visit </w:t>
      </w:r>
      <w:r>
        <w:rPr>
          <w:rFonts w:ascii="Arial;sans-serif" w:hAnsi="Arial;sans-serif"/>
          <w:b w:val="false"/>
          <w:color w:val="0563C1"/>
          <w:sz w:val="20"/>
          <w:shd w:fill="FFFFFF" w:val="clear"/>
        </w:rPr>
        <w:t xml:space="preserve">www.veracyte.com </w:t>
      </w:r>
      <w:r>
        <w:rPr>
          <w:rFonts w:ascii="Arial;sans-serif" w:hAnsi="Arial;sans-serif"/>
          <w:b w:val="false"/>
          <w:color w:val="000000"/>
          <w:sz w:val="20"/>
          <w:shd w:fill="FFFFFF" w:val="clear"/>
        </w:rPr>
        <w:t xml:space="preserve">or follow us on </w:t>
      </w:r>
      <w:r>
        <w:rPr>
          <w:rFonts w:ascii="Arial;sans-serif" w:hAnsi="Arial;sans-serif"/>
          <w:b w:val="false"/>
          <w:color w:val="0563C1"/>
          <w:sz w:val="20"/>
          <w:shd w:fill="FFFFFF" w:val="clear"/>
        </w:rPr>
        <w:t xml:space="preserve">LinkedIn </w:t>
      </w:r>
      <w:r>
        <w:rPr>
          <w:rFonts w:ascii="Arial;sans-serif" w:hAnsi="Arial;sans-serif"/>
          <w:b w:val="false"/>
          <w:color w:val="000000"/>
          <w:sz w:val="20"/>
          <w:shd w:fill="FFFFFF" w:val="clear"/>
        </w:rPr>
        <w:t xml:space="preserve">or </w:t>
      </w:r>
      <w:r>
        <w:rPr>
          <w:rFonts w:ascii="Arial;sans-serif" w:hAnsi="Arial;sans-serif"/>
          <w:b w:val="false"/>
          <w:color w:val="0563C1"/>
          <w:sz w:val="20"/>
          <w:shd w:fill="FFFFFF" w:val="clear"/>
        </w:rPr>
        <w:t>X (Twitter).</w:t>
      </w:r>
    </w:p>
    <w:p>
      <w:pPr>
        <w:pStyle w:val="TextBody"/>
        <w:bidi w:val="0"/>
        <w:spacing w:lineRule="auto" w:line="268"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Cautionary Note Regarding Forward-Looking Statements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including, but not limited to our statements related to our plans, objectives, and expectations (financial and otherwise), including with respect to our Marseille, France operations, 2025 financial and operating results; and our intentions with respect to our tests and products, for use in diagnosing and treating diseases, in and outside of the United States. Forward-looking statements can be identified by words such as: “appears,” “anticipate,” “intend,” “plan,” “expect,” “believe,” “should,” “may,” “could,” “would,” “will,” “enable,” “positioned,” “offers,” “designed,” “ultimately,” “strategic,” “outlook,” “guidance,”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 conflicts on European economies and our facilities in France; the impact of foreign currency fluctuations, volatile interest rates, inflation, the new U.S. administration and turmoil in the global banking and finance system; the ongoing conflict in the Middle East and the performance and utility of our tests in the clinical environment. Additional factors that may impact these forward-looking statements can be found under the caption “Risk Factors” in our Annual Report on Form 10-K filed on February 28, 2025,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Veracyte, the Veracyte logo, Decipher, C2i Genomics, and Afirma are registered trademarks of Veracyte, Inc., and its subsidiaries in the U.S. and selected countries.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Note Regarding Use of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financial measures prepared in accordance with generally accepted accounting principles (GAAP), this press release and the accompanying tables contain, and reference certain non‐GAAP results including non-GAAP gross margin, non-GAAP operating expenses, adjusted EBITDA, adjusted EBITDA as a percentage of revenue, non-GAAP net income, and non-GAAP earnings per share (EPS) and non-GAAP weighted average shares outstanding.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financial measures we present may be different from those used by other companies, including similarly titled measures.</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We compute these non-GAAP measures by adjusting the applicable GAAP measure to remove the impact of certain recurring and non-recurring charges and gains and to adjust for the impact of income tax items related to such adjustments to our GAAP financial statements. In particular, 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all of our non-GAAP financial measures as well as depreciation and income tax items from our adjusted EBITDA and adjusted EBITDA as a percentage of revenue. Beginning in the second quarter of 2024, we changed our non-GAAP policy to exclude all stock-based compensation to align with our peers and we have also excluded all stock-based compensation from our prior period non-GAAP financial measures. Management has 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together with its supplemental non‐GAAP information and the reconciliation between these presentations. See “Reconciliation of U.S. GAAP to Non-GAAP Financial Measures” for a reconciliation of each non-GAAP measure presented to the comparable GAAP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28"/>
        <w:gridCol w:w="1363"/>
        <w:gridCol w:w="1348"/>
        <w:gridCol w:w="806"/>
        <w:gridCol w:w="806"/>
        <w:gridCol w:w="1000"/>
        <w:gridCol w:w="129"/>
        <w:gridCol w:w="264"/>
        <w:gridCol w:w="1021"/>
        <w:gridCol w:w="129"/>
        <w:gridCol w:w="109"/>
        <w:gridCol w:w="109"/>
        <w:gridCol w:w="109"/>
        <w:gridCol w:w="246"/>
        <w:gridCol w:w="880"/>
        <w:gridCol w:w="158"/>
      </w:tblGrid>
      <w:tr>
        <w:trPr/>
        <w:tc>
          <w:tcPr>
            <w:tcW w:w="172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3154" w:type="dxa"/>
            <w:gridSpan w:val="10"/>
            <w:tcBorders/>
          </w:tcPr>
          <w:p>
            <w:pPr>
              <w:pStyle w:val="TableContents"/>
              <w:bidi w:val="0"/>
              <w:spacing w:before="0" w:after="283"/>
              <w:jc w:val="left"/>
              <w:rPr>
                <w:sz w:val="4"/>
                <w:szCs w:val="4"/>
              </w:rPr>
            </w:pPr>
            <w:r>
              <w:rPr>
                <w:sz w:val="4"/>
                <w:szCs w:val="4"/>
              </w:rPr>
            </w:r>
          </w:p>
        </w:tc>
      </w:tr>
      <w:tr>
        <w:trPr/>
        <w:tc>
          <w:tcPr>
            <w:tcW w:w="70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154" w:type="dxa"/>
            <w:gridSpan w:val="10"/>
            <w:tcBorders/>
          </w:tcPr>
          <w:p>
            <w:pPr>
              <w:pStyle w:val="TableContents"/>
              <w:bidi w:val="0"/>
              <w:spacing w:before="0" w:after="283"/>
              <w:jc w:val="left"/>
              <w:rPr>
                <w:sz w:val="4"/>
                <w:szCs w:val="4"/>
              </w:rPr>
            </w:pPr>
            <w:r>
              <w:rPr>
                <w:sz w:val="4"/>
                <w:szCs w:val="4"/>
              </w:rPr>
            </w:r>
          </w:p>
        </w:tc>
      </w:tr>
      <w:tr>
        <w:trPr/>
        <w:tc>
          <w:tcPr>
            <w:tcW w:w="70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3154" w:type="dxa"/>
            <w:gridSpan w:val="10"/>
            <w:tcBorders/>
          </w:tcPr>
          <w:p>
            <w:pPr>
              <w:pStyle w:val="TableContents"/>
              <w:bidi w:val="0"/>
              <w:spacing w:before="0" w:after="283"/>
              <w:jc w:val="left"/>
              <w:rPr>
                <w:sz w:val="4"/>
                <w:szCs w:val="4"/>
              </w:rPr>
            </w:pPr>
            <w:r>
              <w:rPr>
                <w:sz w:val="4"/>
                <w:szCs w:val="4"/>
              </w:rPr>
            </w:r>
          </w:p>
        </w:tc>
      </w:tr>
      <w:tr>
        <w:trPr/>
        <w:tc>
          <w:tcPr>
            <w:tcW w:w="70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tc>
        <w:tc>
          <w:tcPr>
            <w:tcW w:w="3154" w:type="dxa"/>
            <w:gridSpan w:val="10"/>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4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1611" w:type="dxa"/>
            <w:gridSpan w:val="6"/>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Testing 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107,309 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90,303 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Biopharmaceutical and other 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114,473 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96,844 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(1)</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testing 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25,979 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biopharmaceutical and other 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cost of 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34,965 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79,508 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(1)</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24,454 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26,210 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operating expenses</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67,124 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(4,656)</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(1,908)</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per share: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compute earnings (loss) per common share:</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78,028,254 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74,759,789 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80,056,024 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74,759,789 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Cost of revenue, research and development, sales and marketing and general and administrative expenses include the following stock-based compensation related expenses: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156" w:type="dxa"/>
        <w:jc w:val="center"/>
        <w:tblInd w:w="0" w:type="dxa"/>
        <w:tblLayout w:type="fixed"/>
        <w:tblCellMar>
          <w:top w:w="28" w:type="dxa"/>
          <w:left w:w="28" w:type="dxa"/>
          <w:bottom w:w="28" w:type="dxa"/>
          <w:right w:w="28" w:type="dxa"/>
        </w:tblCellMar>
      </w:tblPr>
      <w:tblGrid>
        <w:gridCol w:w="1359"/>
        <w:gridCol w:w="1193"/>
        <w:gridCol w:w="1198"/>
        <w:gridCol w:w="109"/>
        <w:gridCol w:w="109"/>
        <w:gridCol w:w="241"/>
        <w:gridCol w:w="241"/>
        <w:gridCol w:w="466"/>
        <w:gridCol w:w="1661"/>
        <w:gridCol w:w="241"/>
        <w:gridCol w:w="109"/>
        <w:gridCol w:w="109"/>
        <w:gridCol w:w="109"/>
        <w:gridCol w:w="211"/>
        <w:gridCol w:w="64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1338" w:type="dxa"/>
            <w:gridSpan w:val="6"/>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6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24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5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10,958 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90"/>
        <w:gridCol w:w="1178"/>
        <w:gridCol w:w="1178"/>
        <w:gridCol w:w="1178"/>
        <w:gridCol w:w="1178"/>
        <w:gridCol w:w="1372"/>
        <w:gridCol w:w="123"/>
        <w:gridCol w:w="238"/>
        <w:gridCol w:w="852"/>
        <w:gridCol w:w="123"/>
        <w:gridCol w:w="109"/>
        <w:gridCol w:w="109"/>
        <w:gridCol w:w="109"/>
        <w:gridCol w:w="211"/>
        <w:gridCol w:w="699"/>
        <w:gridCol w:w="158"/>
      </w:tblGrid>
      <w:tr>
        <w:trPr/>
        <w:tc>
          <w:tcPr>
            <w:tcW w:w="139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2731" w:type="dxa"/>
            <w:gridSpan w:val="10"/>
            <w:tcBorders/>
          </w:tcPr>
          <w:p>
            <w:pPr>
              <w:pStyle w:val="TableContents"/>
              <w:bidi w:val="0"/>
              <w:spacing w:before="0" w:after="283"/>
              <w:jc w:val="left"/>
              <w:rPr>
                <w:sz w:val="4"/>
                <w:szCs w:val="4"/>
              </w:rPr>
            </w:pPr>
            <w:r>
              <w:rPr>
                <w:sz w:val="4"/>
                <w:szCs w:val="4"/>
              </w:rPr>
            </w:r>
          </w:p>
        </w:tc>
      </w:tr>
      <w:tr>
        <w:trPr/>
        <w:tc>
          <w:tcPr>
            <w:tcW w:w="74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 OF COMPREHENSIVE INCOME (LOSS)</w:t>
            </w:r>
          </w:p>
        </w:tc>
        <w:tc>
          <w:tcPr>
            <w:tcW w:w="2731" w:type="dxa"/>
            <w:gridSpan w:val="10"/>
            <w:tcBorders/>
          </w:tcPr>
          <w:p>
            <w:pPr>
              <w:pStyle w:val="TableContents"/>
              <w:bidi w:val="0"/>
              <w:spacing w:before="0" w:after="283"/>
              <w:jc w:val="left"/>
              <w:rPr>
                <w:sz w:val="4"/>
                <w:szCs w:val="4"/>
              </w:rPr>
            </w:pPr>
            <w:r>
              <w:rPr>
                <w:sz w:val="4"/>
                <w:szCs w:val="4"/>
              </w:rPr>
            </w:r>
          </w:p>
        </w:tc>
      </w:tr>
      <w:tr>
        <w:trPr/>
        <w:tc>
          <w:tcPr>
            <w:tcW w:w="74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2731" w:type="dxa"/>
            <w:gridSpan w:val="10"/>
            <w:tcBorders/>
          </w:tcPr>
          <w:p>
            <w:pPr>
              <w:pStyle w:val="TableContents"/>
              <w:bidi w:val="0"/>
              <w:spacing w:before="0" w:after="283"/>
              <w:jc w:val="left"/>
              <w:rPr>
                <w:sz w:val="4"/>
                <w:szCs w:val="4"/>
              </w:rPr>
            </w:pPr>
            <w:r>
              <w:rPr>
                <w:sz w:val="4"/>
                <w:szCs w:val="4"/>
              </w:rPr>
            </w:r>
          </w:p>
        </w:tc>
      </w:tr>
      <w:tr>
        <w:trPr/>
        <w:tc>
          <w:tcPr>
            <w:tcW w:w="74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2731" w:type="dxa"/>
            <w:gridSpan w:val="10"/>
            <w:tcBorders/>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0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1395" w:type="dxa"/>
            <w:gridSpan w:val="6"/>
            <w:tcBorders/>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currency translation adjustments</w:t>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comprehensive income (loss)</w:t>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14,496 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(6,753)</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07"/>
        <w:gridCol w:w="1439"/>
        <w:gridCol w:w="1383"/>
        <w:gridCol w:w="351"/>
        <w:gridCol w:w="1703"/>
        <w:gridCol w:w="181"/>
        <w:gridCol w:w="181"/>
        <w:gridCol w:w="181"/>
        <w:gridCol w:w="181"/>
        <w:gridCol w:w="351"/>
        <w:gridCol w:w="1703"/>
        <w:gridCol w:w="181"/>
        <w:gridCol w:w="163"/>
      </w:tblGrid>
      <w:tr>
        <w:trPr/>
        <w:tc>
          <w:tcPr>
            <w:tcW w:w="220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Note 1)</w:t>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186,120 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239,087 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101,235 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53,781 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383,152 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372,267 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operating leases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47,624 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48,189 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99,094 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102,301 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754,272 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745,800 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1,315,411 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1,300,035 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35,928 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deferred revenue</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acquisition-related contingent consideration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other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75,125 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78,633 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contingent consideration, net of current portion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43,092 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43,237 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liabilities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120,475 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124,069 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1,194,936 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1,175,966 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1,315,411 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1,300,035 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The condensed consolidated balance sheet at December 31, 2024 has been derived from the audited financial statements at that date included in the Company's Annual Report on Form 10-K for the year ended December 31, 2024, filed with the Securities and Exchange Commission on February 28, 2025.</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91"/>
        <w:gridCol w:w="1729"/>
        <w:gridCol w:w="1734"/>
        <w:gridCol w:w="333"/>
        <w:gridCol w:w="1352"/>
        <w:gridCol w:w="171"/>
        <w:gridCol w:w="171"/>
        <w:gridCol w:w="171"/>
        <w:gridCol w:w="171"/>
        <w:gridCol w:w="333"/>
        <w:gridCol w:w="1352"/>
        <w:gridCol w:w="497"/>
      </w:tblGrid>
      <w:tr>
        <w:trPr/>
        <w:tc>
          <w:tcPr>
            <w:tcW w:w="219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5,590 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8,019 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Revaluation of acquisition-related contingent consideration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on operations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(6,459)</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(2,303)</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(2,738)</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deferred revenue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(8,993)</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(8,966)</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C2i, net of cash acquired</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5,012 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(49,999)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(2,134)</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investing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(51,818)</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2,878 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taxes on vested restricted stock units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(3,832)</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 and employee stock purchases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2,968 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(6,484)</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Decrease in cash, cash equivalents and restricted cash</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(52,940)</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(6,952)</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foreign currency on cash, cash equivalents and restricted cash</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decrease in cash, cash equivalents and restricted cash</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(52,866)</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(7,060)</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beginning of period</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240,631 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217,330 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187,765 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210,270 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947" w:type="dxa"/>
        <w:jc w:val="left"/>
        <w:tblInd w:w="0" w:type="dxa"/>
        <w:tblLayout w:type="fixed"/>
        <w:tblCellMar>
          <w:top w:w="28" w:type="dxa"/>
          <w:left w:w="28" w:type="dxa"/>
          <w:bottom w:w="28" w:type="dxa"/>
          <w:right w:w="28" w:type="dxa"/>
        </w:tblCellMar>
      </w:tblPr>
      <w:tblGrid>
        <w:gridCol w:w="1574"/>
        <w:gridCol w:w="1385"/>
        <w:gridCol w:w="1391"/>
        <w:gridCol w:w="356"/>
        <w:gridCol w:w="1445"/>
        <w:gridCol w:w="184"/>
        <w:gridCol w:w="184"/>
        <w:gridCol w:w="184"/>
        <w:gridCol w:w="184"/>
        <w:gridCol w:w="356"/>
        <w:gridCol w:w="1445"/>
        <w:gridCol w:w="259"/>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CASH, CASH EQUIVALENTS AND RESTRICTED CASH</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186,120 </w:t>
            </w:r>
          </w:p>
        </w:tc>
        <w:tc>
          <w:tcPr>
            <w:tcW w:w="1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239,087 </w:t>
            </w:r>
          </w:p>
        </w:tc>
        <w:tc>
          <w:tcPr>
            <w:tcW w:w="25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187,765 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240,631 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12"/>
        <w:gridCol w:w="1295"/>
        <w:gridCol w:w="1297"/>
        <w:gridCol w:w="412"/>
        <w:gridCol w:w="1469"/>
        <w:gridCol w:w="558"/>
        <w:gridCol w:w="212"/>
        <w:gridCol w:w="212"/>
        <w:gridCol w:w="212"/>
        <w:gridCol w:w="412"/>
        <w:gridCol w:w="1469"/>
        <w:gridCol w:w="558"/>
        <w:gridCol w:w="109"/>
        <w:gridCol w:w="109"/>
        <w:gridCol w:w="109"/>
        <w:gridCol w:w="160"/>
      </w:tblGrid>
      <w:tr>
        <w:trPr/>
        <w:tc>
          <w:tcPr>
            <w:tcW w:w="16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487" w:type="dxa"/>
            <w:gridSpan w:val="4"/>
            <w:tcBorders/>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6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Cost of Revenue:</w:t>
            </w:r>
          </w:p>
        </w:tc>
        <w:tc>
          <w:tcPr>
            <w:tcW w:w="24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testing revenue</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25,979 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testing revenue</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27,814 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25,523 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product revenue</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product revenue</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2,643 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biopharmaceutical and other revenue</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2,838 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biopharmaceutical and other revenue</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Gross Margin:</w:t>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Profit</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79,508 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62,468 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5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5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2,915 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82,613 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65,936 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8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For the three months ended March 31, 2024, adjustments consist primarily of transaction-related expenses associated with the acquisition of C2i Genomics.</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2.For the three months ended March 31, 2024, adjustments include expense related to restructuring costs associated with portfolio prioritization.</w:t>
            </w:r>
          </w:p>
        </w:tc>
        <w:tc>
          <w:tcPr>
            <w:tcW w:w="487"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79"/>
        <w:gridCol w:w="1302"/>
        <w:gridCol w:w="1305"/>
        <w:gridCol w:w="481"/>
        <w:gridCol w:w="1714"/>
        <w:gridCol w:w="248"/>
        <w:gridCol w:w="248"/>
        <w:gridCol w:w="248"/>
        <w:gridCol w:w="248"/>
        <w:gridCol w:w="481"/>
        <w:gridCol w:w="1714"/>
        <w:gridCol w:w="248"/>
        <w:gridCol w:w="109"/>
        <w:gridCol w:w="109"/>
        <w:gridCol w:w="109"/>
        <w:gridCol w:w="162"/>
      </w:tblGrid>
      <w:tr>
        <w:trPr/>
        <w:tc>
          <w:tcPr>
            <w:tcW w:w="147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489" w:type="dxa"/>
            <w:gridSpan w:val="4"/>
            <w:tcBorders/>
          </w:tcPr>
          <w:p>
            <w:pPr>
              <w:pStyle w:val="TableContents"/>
              <w:bidi w:val="0"/>
              <w:spacing w:before="0" w:after="283"/>
              <w:jc w:val="left"/>
              <w:rPr>
                <w:sz w:val="4"/>
                <w:szCs w:val="4"/>
              </w:rPr>
            </w:pPr>
            <w:r>
              <w:rPr>
                <w:sz w:val="4"/>
                <w:szCs w:val="4"/>
              </w:rPr>
            </w:r>
          </w:p>
        </w:tc>
      </w:tr>
      <w:tr>
        <w:trPr/>
        <w:tc>
          <w:tcPr>
            <w:tcW w:w="97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c>
          <w:tcPr>
            <w:tcW w:w="489" w:type="dxa"/>
            <w:gridSpan w:val="4"/>
            <w:tcBorders/>
          </w:tcPr>
          <w:p>
            <w:pPr>
              <w:pStyle w:val="TableContents"/>
              <w:bidi w:val="0"/>
              <w:spacing w:before="0" w:after="283"/>
              <w:jc w:val="left"/>
              <w:rPr>
                <w:sz w:val="4"/>
                <w:szCs w:val="4"/>
              </w:rPr>
            </w:pPr>
            <w:r>
              <w:rPr>
                <w:sz w:val="4"/>
                <w:szCs w:val="4"/>
              </w:rPr>
            </w:r>
          </w:p>
        </w:tc>
      </w:tr>
      <w:tr>
        <w:trPr/>
        <w:tc>
          <w:tcPr>
            <w:tcW w:w="97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489" w:type="dxa"/>
            <w:gridSpan w:val="4"/>
            <w:tcBorders/>
          </w:tcPr>
          <w:p>
            <w:pPr>
              <w:pStyle w:val="TableContents"/>
              <w:bidi w:val="0"/>
              <w:spacing w:before="0" w:after="283"/>
              <w:jc w:val="left"/>
              <w:rPr>
                <w:sz w:val="4"/>
                <w:szCs w:val="4"/>
              </w:rPr>
            </w:pPr>
            <w:r>
              <w:rPr>
                <w:sz w:val="4"/>
                <w:szCs w:val="4"/>
              </w:rPr>
            </w:r>
          </w:p>
        </w:tc>
      </w:tr>
      <w:tr>
        <w:trPr/>
        <w:tc>
          <w:tcPr>
            <w:tcW w:w="97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489" w:type="dxa"/>
            <w:gridSpan w:val="4"/>
            <w:tcBorders/>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7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Operating Expenses:</w:t>
            </w:r>
          </w:p>
        </w:tc>
        <w:tc>
          <w:tcPr>
            <w:tcW w:w="24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research and development</w:t>
            </w:r>
          </w:p>
        </w:tc>
        <w:tc>
          <w:tcPr>
            <w:tcW w:w="4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17,720 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research and development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15,654 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13,504 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sales and marketing</w:t>
            </w:r>
          </w:p>
        </w:tc>
        <w:tc>
          <w:tcPr>
            <w:tcW w:w="4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24,454 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sales and marketing</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22,496 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21,665 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general and administrative</w:t>
            </w:r>
          </w:p>
        </w:tc>
        <w:tc>
          <w:tcPr>
            <w:tcW w:w="4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33,808 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26,210 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(6,414)</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(4,676)</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(3,469)</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general and administrative</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22,348 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17,799 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total operating expenses</w:t>
            </w:r>
          </w:p>
        </w:tc>
        <w:tc>
          <w:tcPr>
            <w:tcW w:w="4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67,124 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(10,438)</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(7,532)</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total operating expenses</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60,498 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52,968 </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9716"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March 31, 2025, adjustments consist primarily of transaction-related expenses associated with the acquisition of C2i Genomics ($1.3 million). For the three months ended March 31, 2024, adjustments consist primarily of transaction-related expenses associated with the acquisition of C2i Genomics.</w:t>
            </w:r>
          </w:p>
        </w:tc>
        <w:tc>
          <w:tcPr>
            <w:tcW w:w="489" w:type="dxa"/>
            <w:gridSpan w:val="4"/>
            <w:tcBorders/>
          </w:tcPr>
          <w:p>
            <w:pPr>
              <w:pStyle w:val="TableContents"/>
              <w:bidi w:val="0"/>
              <w:spacing w:before="0" w:after="283"/>
              <w:jc w:val="left"/>
              <w:rPr>
                <w:sz w:val="4"/>
                <w:szCs w:val="4"/>
              </w:rPr>
            </w:pPr>
            <w:r>
              <w:rPr>
                <w:sz w:val="4"/>
                <w:szCs w:val="4"/>
              </w:rPr>
            </w:r>
          </w:p>
        </w:tc>
      </w:tr>
      <w:tr>
        <w:trPr/>
        <w:tc>
          <w:tcPr>
            <w:tcW w:w="971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2.For the three months ended March 31, 2025, adjustments primarily include expense related to Veracyte SAS investment review ($3.8 million), partially offset by adjustments related to restructuring costs ($0.1 million). For the three months ended March 31, 2024, adjustment includes $1.4 million expense related to restructuring costs associated with portfolio prioritization.</w:t>
            </w:r>
          </w:p>
        </w:tc>
        <w:tc>
          <w:tcPr>
            <w:tcW w:w="489"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72"/>
        <w:gridCol w:w="1560"/>
        <w:gridCol w:w="1563"/>
        <w:gridCol w:w="413"/>
        <w:gridCol w:w="1229"/>
        <w:gridCol w:w="467"/>
        <w:gridCol w:w="178"/>
        <w:gridCol w:w="178"/>
        <w:gridCol w:w="178"/>
        <w:gridCol w:w="413"/>
        <w:gridCol w:w="1229"/>
        <w:gridCol w:w="541"/>
        <w:gridCol w:w="109"/>
        <w:gridCol w:w="109"/>
        <w:gridCol w:w="109"/>
        <w:gridCol w:w="157"/>
      </w:tblGrid>
      <w:tr>
        <w:trPr/>
        <w:tc>
          <w:tcPr>
            <w:tcW w:w="177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484" w:type="dxa"/>
            <w:gridSpan w:val="4"/>
            <w:tcBorders/>
          </w:tcPr>
          <w:p>
            <w:pPr>
              <w:pStyle w:val="TableContents"/>
              <w:bidi w:val="0"/>
              <w:spacing w:before="0" w:after="283"/>
              <w:jc w:val="left"/>
              <w:rPr>
                <w:sz w:val="4"/>
                <w:szCs w:val="4"/>
              </w:rPr>
            </w:pPr>
            <w:r>
              <w:rPr>
                <w:sz w:val="4"/>
                <w:szCs w:val="4"/>
              </w:rPr>
            </w:r>
          </w:p>
        </w:tc>
      </w:tr>
      <w:tr>
        <w:trPr/>
        <w:tc>
          <w:tcPr>
            <w:tcW w:w="97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c>
          <w:tcPr>
            <w:tcW w:w="484" w:type="dxa"/>
            <w:gridSpan w:val="4"/>
            <w:tcBorders/>
          </w:tcPr>
          <w:p>
            <w:pPr>
              <w:pStyle w:val="TableContents"/>
              <w:bidi w:val="0"/>
              <w:spacing w:before="0" w:after="283"/>
              <w:jc w:val="left"/>
              <w:rPr>
                <w:sz w:val="4"/>
                <w:szCs w:val="4"/>
              </w:rPr>
            </w:pPr>
            <w:r>
              <w:rPr>
                <w:sz w:val="4"/>
                <w:szCs w:val="4"/>
              </w:rPr>
            </w:r>
          </w:p>
        </w:tc>
      </w:tr>
      <w:tr>
        <w:trPr/>
        <w:tc>
          <w:tcPr>
            <w:tcW w:w="97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484" w:type="dxa"/>
            <w:gridSpan w:val="4"/>
            <w:tcBorders/>
          </w:tcPr>
          <w:p>
            <w:pPr>
              <w:pStyle w:val="TableContents"/>
              <w:bidi w:val="0"/>
              <w:spacing w:before="0" w:after="283"/>
              <w:jc w:val="left"/>
              <w:rPr>
                <w:sz w:val="4"/>
                <w:szCs w:val="4"/>
              </w:rPr>
            </w:pPr>
            <w:r>
              <w:rPr>
                <w:sz w:val="4"/>
                <w:szCs w:val="4"/>
              </w:rPr>
            </w:r>
          </w:p>
        </w:tc>
      </w:tr>
      <w:tr>
        <w:trPr/>
        <w:tc>
          <w:tcPr>
            <w:tcW w:w="97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484" w:type="dxa"/>
            <w:gridSpan w:val="4"/>
            <w:tcBorders/>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5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EBITDA:</w:t>
            </w:r>
          </w:p>
        </w:tc>
        <w:tc>
          <w:tcPr>
            <w:tcW w:w="21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 as a % of Revenue</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4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3,653 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10,958 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8,019 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4,502 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 (2)</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(3,262)</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24,715 </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14,391 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as a % of Revenue</w:t>
            </w:r>
          </w:p>
        </w:tc>
        <w:tc>
          <w:tcPr>
            <w:tcW w:w="16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Net Income (Loss)</w:t>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3,653 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10,958 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8,019 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4,502 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24,476 </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14,628 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Earnings per Share</w:t>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GAAP</w:t>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Rounding and impact of dilutive shares</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non-GAAP</w:t>
            </w:r>
          </w:p>
        </w:tc>
        <w:tc>
          <w:tcPr>
            <w:tcW w:w="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used in computing diluted earnings per share</w:t>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GAAP</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80,056,024 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74,759,789 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equity awards (5)</w:t>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1,117,286 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non-GAAP</w:t>
            </w:r>
          </w:p>
        </w:tc>
        <w:tc>
          <w:tcPr>
            <w:tcW w:w="16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80,056,024 </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75,877,075 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05"/>
        <w:gridCol w:w="798"/>
        <w:gridCol w:w="798"/>
        <w:gridCol w:w="798"/>
        <w:gridCol w:w="798"/>
        <w:gridCol w:w="798"/>
        <w:gridCol w:w="798"/>
        <w:gridCol w:w="798"/>
        <w:gridCol w:w="798"/>
        <w:gridCol w:w="798"/>
        <w:gridCol w:w="798"/>
        <w:gridCol w:w="830"/>
        <w:gridCol w:w="109"/>
        <w:gridCol w:w="109"/>
        <w:gridCol w:w="109"/>
        <w:gridCol w:w="163"/>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9715"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March 31, 2025, adjustments consist primarily of transaction-related expenses associated with the acquisition of C2i Genomics ($1.3 million). For the three months ended March 31, 2024, adjustments consist primarily of transaction-related expenses associated with the acquisition of C2i Genomics.</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2.Includes interest income and income related to research tax credits.</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3.For the three months ended March 31, 2025, adjustments primarily include expense related to Veracyte SAS site investment review ($3.8 million), partially offset by adjustments related to restructuring costs ($0.1 million) and the exclusion of unrealized gains associated with foreign exchange impacts on stock-based compensation and intercompany loans ($1.1 million). For the three months ended March 31, 2024, adjustment includes $1.4 million expenses related to restructuring costs associated with portfolio prioritization.</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4.Incremental non-GAAP tax expense reflects the tax impact of the non-GAAP adjustments listed.</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5.In those periods in which GAAP net (loss) income is negative and non-GAAP net (loss) income is positive, non-GAAP diluted weighted average shares outstanding includes potentially dilutive common shares from equity awards as determined using the treasury stock method.</w:t>
            </w:r>
          </w:p>
        </w:tc>
        <w:tc>
          <w:tcPr>
            <w:tcW w:w="490"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Shayla Gorman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619-393-1545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Tracy Morris</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media@veracyte.com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650-380-4413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4438</Words>
  <Characters>25917</Characters>
  <CharactersWithSpaces>29863</CharactersWithSpaces>
  <Paragraphs>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