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80,764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58.06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awarded on February 26, 2021 vest 25% on March 2, 2022 and 1/16 per quarter thereafter subject to continuing employment of the Reporting Person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26, 2022,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2021-03-02T16:21:11Z</dcterms:created>
  <dcterms:modified xsi:type="dcterms:W3CDTF">2021-03-02T16:21:11Z</dcterms:modified>
</cp:coreProperties>
</file>