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(Amendment No. _______)*</w:t>
      </w:r>
    </w:p>
    <w:p>
      <w:pPr>
        <w:spacing w:after="0" w:line="200" w:lineRule="exact"/>
        <w:rPr>
          <w:sz w:val="24"/>
          <w:szCs w:val="24"/>
          <w:color w:val="auto"/>
        </w:rPr>
      </w:pPr>
    </w:p>
    <w:p>
      <w:pPr>
        <w:spacing w:after="0" w:line="28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November 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52" w:lineRule="exact"/>
        <w:rPr>
          <w:sz w:val="24"/>
          <w:szCs w:val="24"/>
          <w:color w:val="auto"/>
        </w:rPr>
      </w:pPr>
    </w:p>
    <w:p>
      <w:pPr>
        <w:jc w:val="both"/>
        <w:ind w:left="1300" w:right="8760" w:firstLine="5"/>
        <w:spacing w:after="0" w:line="598" w:lineRule="auto"/>
        <w:tabs>
          <w:tab w:leader="none" w:pos="1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4"/>
          <w:szCs w:val="24"/>
          <w:color w:val="auto"/>
        </w:rPr>
      </w:pPr>
    </w:p>
    <w:p>
      <w:pPr>
        <w:ind w:right="20"/>
        <w:spacing w:after="0" w:line="26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92337F107</w:t>
            </w:r>
          </w:p>
        </w:tc>
      </w:tr>
    </w:tbl>
    <w:p>
      <w:pPr>
        <w:spacing w:after="0" w:line="202" w:lineRule="exact"/>
        <w:rPr>
          <w:sz w:val="20"/>
          <w:szCs w:val="20"/>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4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Broadfin Capital, LLC</w:t>
      </w:r>
    </w:p>
    <w:p>
      <w:pPr>
        <w:spacing w:after="0" w:line="1" w:lineRule="exact"/>
        <w:rPr>
          <w:rFonts w:ascii="Arial" w:cs="Arial" w:eastAsia="Arial" w:hAnsi="Arial"/>
          <w:sz w:val="18"/>
          <w:szCs w:val="18"/>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40" w:right="796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1,916,666</w:t>
      </w:r>
    </w:p>
    <w:p>
      <w:pPr>
        <w:ind w:left="940" w:right="756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1,916,666</w:t>
      </w:r>
    </w:p>
    <w:p>
      <w:pPr>
        <w:ind w:left="940" w:right="326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1,916,666</w:t>
      </w:r>
    </w:p>
    <w:p>
      <w:pPr>
        <w:ind w:left="940" w:hanging="932"/>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40" w:right="4760" w:hanging="932"/>
        <w:spacing w:after="0" w:line="501"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5.83%</w:t>
      </w:r>
    </w:p>
    <w:p>
      <w:pPr>
        <w:ind w:left="940" w:right="5480" w:hanging="932"/>
        <w:spacing w:after="0" w:line="528"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584" w:right="8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92337F107</w:t>
            </w:r>
          </w:p>
        </w:tc>
      </w:tr>
    </w:tbl>
    <w:p>
      <w:pPr>
        <w:spacing w:after="0" w:line="202" w:lineRule="exact"/>
        <w:rPr>
          <w:sz w:val="20"/>
          <w:szCs w:val="20"/>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4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Broadfin Healthcare Master Fund, Ltd.</w:t>
      </w:r>
    </w:p>
    <w:p>
      <w:pPr>
        <w:spacing w:after="0" w:line="1" w:lineRule="exact"/>
        <w:rPr>
          <w:rFonts w:ascii="Arial" w:cs="Arial" w:eastAsia="Arial" w:hAnsi="Arial"/>
          <w:sz w:val="18"/>
          <w:szCs w:val="18"/>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hanging="932"/>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40" w:right="79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1,916,666</w:t>
      </w:r>
    </w:p>
    <w:p>
      <w:pPr>
        <w:ind w:left="940" w:right="75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1,916,666</w:t>
      </w:r>
    </w:p>
    <w:p>
      <w:pPr>
        <w:ind w:left="940" w:right="32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1,916,666</w:t>
      </w:r>
    </w:p>
    <w:p>
      <w:pPr>
        <w:ind w:left="7280" w:right="920" w:hanging="7272"/>
        <w:spacing w:after="0" w:line="277" w:lineRule="auto"/>
        <w:tabs>
          <w:tab w:leader="none" w:pos="93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[_]</w:t>
      </w:r>
    </w:p>
    <w:p>
      <w:pPr>
        <w:spacing w:after="0" w:line="170" w:lineRule="exact"/>
        <w:rPr>
          <w:rFonts w:ascii="Arial" w:cs="Arial" w:eastAsia="Arial" w:hAnsi="Arial"/>
          <w:sz w:val="18"/>
          <w:szCs w:val="18"/>
          <w:color w:val="auto"/>
        </w:rPr>
      </w:pPr>
    </w:p>
    <w:p>
      <w:pPr>
        <w:ind w:left="940" w:right="47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5.83%</w:t>
      </w:r>
    </w:p>
    <w:p>
      <w:pPr>
        <w:ind w:left="940" w:right="5480" w:hanging="932"/>
        <w:spacing w:after="0" w:line="528"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368"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92337F107</w:t>
            </w:r>
          </w:p>
        </w:tc>
      </w:tr>
    </w:tbl>
    <w:p>
      <w:pPr>
        <w:spacing w:after="0" w:line="202" w:lineRule="exact"/>
        <w:rPr>
          <w:sz w:val="20"/>
          <w:szCs w:val="20"/>
          <w:color w:val="auto"/>
        </w:rPr>
      </w:pPr>
    </w:p>
    <w:p>
      <w:pPr>
        <w:ind w:left="940" w:hanging="932"/>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4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Kevin Kotler</w:t>
      </w:r>
    </w:p>
    <w:p>
      <w:pPr>
        <w:spacing w:after="0" w:line="1" w:lineRule="exact"/>
        <w:rPr>
          <w:rFonts w:ascii="Arial" w:cs="Arial" w:eastAsia="Arial" w:hAnsi="Arial"/>
          <w:sz w:val="18"/>
          <w:szCs w:val="18"/>
          <w:color w:val="auto"/>
        </w:rPr>
      </w:pPr>
    </w:p>
    <w:p>
      <w:pPr>
        <w:ind w:left="940" w:hanging="932"/>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right="6160" w:hanging="932"/>
        <w:spacing w:after="0" w:line="528"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386" w:lineRule="exact"/>
        <w:rPr>
          <w:sz w:val="20"/>
          <w:szCs w:val="20"/>
          <w:color w:val="auto"/>
        </w:rPr>
      </w:pPr>
    </w:p>
    <w:p>
      <w:pPr>
        <w:ind w:left="940" w:right="796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VOTING POWER 1,916,666</w:t>
      </w:r>
    </w:p>
    <w:p>
      <w:pPr>
        <w:ind w:left="940" w:right="756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DISPOSITIVE POWER 1,916,666</w:t>
      </w:r>
    </w:p>
    <w:p>
      <w:pPr>
        <w:ind w:left="940" w:right="326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1,916,666</w:t>
      </w:r>
    </w:p>
    <w:p>
      <w:pPr>
        <w:ind w:left="940" w:hanging="93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40" w:right="4760" w:hanging="932"/>
        <w:spacing w:after="0" w:line="501"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 5.83%</w:t>
      </w:r>
    </w:p>
    <w:p>
      <w:pPr>
        <w:ind w:left="940" w:right="5480" w:hanging="932"/>
        <w:spacing w:after="0" w:line="528"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368" w:right="8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7"/>
        </w:trPr>
        <w:tc>
          <w:tcPr>
            <w:tcW w:w="900" w:type="dxa"/>
            <w:vAlign w:val="bottom"/>
          </w:tcPr>
          <w:p>
            <w:pPr>
              <w:spacing w:after="0"/>
              <w:rPr>
                <w:sz w:val="20"/>
                <w:szCs w:val="20"/>
                <w:color w:val="auto"/>
              </w:rPr>
            </w:pPr>
            <w:r>
              <w:rPr>
                <w:rFonts w:ascii="Arial" w:cs="Arial" w:eastAsia="Arial" w:hAnsi="Arial"/>
                <w:sz w:val="18"/>
                <w:szCs w:val="18"/>
                <w:color w:val="auto"/>
              </w:rPr>
              <w:t>CUSIP No</w:t>
            </w:r>
          </w:p>
        </w:tc>
        <w:tc>
          <w:tcPr>
            <w:tcW w:w="840" w:type="dxa"/>
            <w:vAlign w:val="bottom"/>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92337F107</w:t>
            </w:r>
          </w:p>
        </w:tc>
        <w:tc>
          <w:tcPr>
            <w:tcW w:w="5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675"/>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840" w:type="dxa"/>
            <w:vAlign w:val="bottom"/>
          </w:tcPr>
          <w:p>
            <w:pPr>
              <w:ind w:left="120"/>
              <w:spacing w:after="0"/>
              <w:rPr>
                <w:sz w:val="20"/>
                <w:szCs w:val="20"/>
                <w:color w:val="auto"/>
              </w:rPr>
            </w:pPr>
            <w:r>
              <w:rPr>
                <w:rFonts w:ascii="Arial" w:cs="Arial" w:eastAsia="Arial" w:hAnsi="Arial"/>
                <w:sz w:val="18"/>
                <w:szCs w:val="18"/>
                <w:color w:val="auto"/>
              </w:rPr>
              <w:t>(a).</w:t>
            </w:r>
          </w:p>
        </w:tc>
        <w:tc>
          <w:tcPr>
            <w:tcW w:w="848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20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Veracyte, Inc.</w:t>
            </w:r>
          </w:p>
        </w:tc>
        <w:tc>
          <w:tcPr>
            <w:tcW w:w="120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(b).</w:t>
            </w:r>
          </w:p>
        </w:tc>
        <w:tc>
          <w:tcPr>
            <w:tcW w:w="8480" w:type="dxa"/>
            <w:vAlign w:val="bottom"/>
            <w:gridSpan w:val="2"/>
          </w:tcPr>
          <w:p>
            <w:pPr>
              <w:spacing w:after="0"/>
              <w:rPr>
                <w:sz w:val="20"/>
                <w:szCs w:val="20"/>
                <w:color w:val="auto"/>
              </w:rPr>
            </w:pPr>
            <w:r>
              <w:rPr>
                <w:rFonts w:ascii="Arial" w:cs="Arial" w:eastAsia="Arial" w:hAnsi="Arial"/>
                <w:sz w:val="18"/>
                <w:szCs w:val="18"/>
                <w:color w:val="auto"/>
              </w:rPr>
              <w:t>Address of Issuer's Principal Executive Offices:</w:t>
            </w:r>
          </w:p>
        </w:tc>
        <w:tc>
          <w:tcPr>
            <w:tcW w:w="1200" w:type="dxa"/>
            <w:vAlign w:val="bottom"/>
          </w:tcPr>
          <w:p>
            <w:pPr>
              <w:spacing w:after="0"/>
              <w:rPr>
                <w:sz w:val="24"/>
                <w:szCs w:val="24"/>
                <w:color w:val="auto"/>
              </w:rPr>
            </w:pPr>
          </w:p>
        </w:tc>
      </w:tr>
      <w:tr>
        <w:trPr>
          <w:trHeight w:val="634"/>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6000 Shoreline Court, Suite 300</w:t>
            </w:r>
          </w:p>
        </w:tc>
        <w:tc>
          <w:tcPr>
            <w:tcW w:w="1200" w:type="dxa"/>
            <w:vAlign w:val="bottom"/>
          </w:tcPr>
          <w:p>
            <w:pPr>
              <w:spacing w:after="0"/>
              <w:rPr>
                <w:sz w:val="24"/>
                <w:szCs w:val="24"/>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South San Francisco, California 94080</w:t>
            </w:r>
          </w:p>
        </w:tc>
        <w:tc>
          <w:tcPr>
            <w:tcW w:w="1200" w:type="dxa"/>
            <w:vAlign w:val="bottom"/>
          </w:tcPr>
          <w:p>
            <w:pPr>
              <w:spacing w:after="0"/>
              <w:rPr>
                <w:sz w:val="20"/>
                <w:szCs w:val="20"/>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40" w:type="dxa"/>
            <w:vAlign w:val="bottom"/>
          </w:tcPr>
          <w:p>
            <w:pPr>
              <w:ind w:left="120"/>
              <w:spacing w:after="0"/>
              <w:rPr>
                <w:sz w:val="20"/>
                <w:szCs w:val="20"/>
                <w:color w:val="auto"/>
              </w:rPr>
            </w:pPr>
            <w:r>
              <w:rPr>
                <w:rFonts w:ascii="Arial" w:cs="Arial" w:eastAsia="Arial" w:hAnsi="Arial"/>
                <w:sz w:val="18"/>
                <w:szCs w:val="18"/>
                <w:color w:val="auto"/>
              </w:rPr>
              <w:t>(a).</w:t>
            </w:r>
          </w:p>
        </w:tc>
        <w:tc>
          <w:tcPr>
            <w:tcW w:w="8480" w:type="dxa"/>
            <w:vAlign w:val="bottom"/>
            <w:gridSpan w:val="2"/>
          </w:tcPr>
          <w:p>
            <w:pPr>
              <w:spacing w:after="0"/>
              <w:rPr>
                <w:sz w:val="20"/>
                <w:szCs w:val="20"/>
                <w:color w:val="auto"/>
              </w:rPr>
            </w:pPr>
            <w:r>
              <w:rPr>
                <w:rFonts w:ascii="Arial" w:cs="Arial" w:eastAsia="Arial" w:hAnsi="Arial"/>
                <w:sz w:val="18"/>
                <w:szCs w:val="18"/>
                <w:color w:val="auto"/>
              </w:rPr>
              <w:t>Name of Person Filing:</w:t>
            </w:r>
          </w:p>
        </w:tc>
        <w:tc>
          <w:tcPr>
            <w:tcW w:w="120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Capital, LLC</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Healthcare Master Fund, Ltd.</w:t>
            </w:r>
          </w:p>
        </w:tc>
        <w:tc>
          <w:tcPr>
            <w:tcW w:w="1200" w:type="dxa"/>
            <w:vAlign w:val="bottom"/>
          </w:tcPr>
          <w:p>
            <w:pPr>
              <w:spacing w:after="0"/>
              <w:rPr>
                <w:sz w:val="18"/>
                <w:szCs w:val="18"/>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Kevin Kotler</w:t>
            </w:r>
          </w:p>
        </w:tc>
        <w:tc>
          <w:tcPr>
            <w:tcW w:w="120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(b).</w:t>
            </w:r>
          </w:p>
        </w:tc>
        <w:tc>
          <w:tcPr>
            <w:tcW w:w="8480" w:type="dxa"/>
            <w:vAlign w:val="bottom"/>
            <w:gridSpan w:val="2"/>
          </w:tcPr>
          <w:p>
            <w:pPr>
              <w:spacing w:after="0"/>
              <w:rPr>
                <w:sz w:val="20"/>
                <w:szCs w:val="20"/>
                <w:color w:val="auto"/>
              </w:rPr>
            </w:pPr>
            <w:r>
              <w:rPr>
                <w:rFonts w:ascii="Arial" w:cs="Arial" w:eastAsia="Arial" w:hAnsi="Arial"/>
                <w:sz w:val="18"/>
                <w:szCs w:val="18"/>
                <w:color w:val="auto"/>
              </w:rPr>
              <w:t>Address of Principal Business Office, or if None, Residence:</w:t>
            </w:r>
          </w:p>
        </w:tc>
        <w:tc>
          <w:tcPr>
            <w:tcW w:w="1200" w:type="dxa"/>
            <w:vAlign w:val="bottom"/>
          </w:tcPr>
          <w:p>
            <w:pPr>
              <w:spacing w:after="0"/>
              <w:rPr>
                <w:sz w:val="24"/>
                <w:szCs w:val="24"/>
                <w:color w:val="auto"/>
              </w:rPr>
            </w:pPr>
          </w:p>
        </w:tc>
      </w:tr>
      <w:tr>
        <w:trPr>
          <w:trHeight w:val="40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Capital, LLC</w:t>
            </w:r>
          </w:p>
        </w:tc>
        <w:tc>
          <w:tcPr>
            <w:tcW w:w="1200" w:type="dxa"/>
            <w:vAlign w:val="bottom"/>
          </w:tcPr>
          <w:p>
            <w:pPr>
              <w:spacing w:after="0"/>
              <w:rPr>
                <w:sz w:val="24"/>
                <w:szCs w:val="24"/>
                <w:color w:val="auto"/>
              </w:rPr>
            </w:pPr>
          </w:p>
        </w:tc>
      </w:tr>
      <w:tr>
        <w:trPr>
          <w:trHeight w:val="226"/>
        </w:trPr>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80" w:type="dxa"/>
            <w:vAlign w:val="bottom"/>
            <w:gridSpan w:val="2"/>
          </w:tcPr>
          <w:p>
            <w:pPr>
              <w:spacing w:after="0" w:line="226" w:lineRule="exact"/>
              <w:rPr>
                <w:sz w:val="20"/>
                <w:szCs w:val="20"/>
                <w:color w:val="auto"/>
              </w:rPr>
            </w:pPr>
            <w:r>
              <w:rPr>
                <w:rFonts w:ascii="Arial" w:cs="Arial" w:eastAsia="Arial" w:hAnsi="Arial"/>
                <w:sz w:val="16"/>
                <w:szCs w:val="16"/>
                <w:color w:val="auto"/>
              </w:rPr>
              <w:t>300 Park Avenue,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1200" w:type="dxa"/>
            <w:vAlign w:val="bottom"/>
          </w:tcPr>
          <w:p>
            <w:pPr>
              <w:spacing w:after="0"/>
              <w:rPr>
                <w:sz w:val="19"/>
                <w:szCs w:val="19"/>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New York, New York 10022</w:t>
            </w:r>
          </w:p>
        </w:tc>
        <w:tc>
          <w:tcPr>
            <w:tcW w:w="120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1200" w:type="dxa"/>
            <w:vAlign w:val="bottom"/>
          </w:tcPr>
          <w:p>
            <w:pPr>
              <w:spacing w:after="0"/>
              <w:rPr>
                <w:sz w:val="20"/>
                <w:szCs w:val="20"/>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Healthcare Master Fund, Ltd.</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20 Genesis Close</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Ansbacher House, Second Floor</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P.O. Box 1344</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Grand Cayman KY1-1108</w:t>
            </w:r>
          </w:p>
        </w:tc>
        <w:tc>
          <w:tcPr>
            <w:tcW w:w="120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1200" w:type="dxa"/>
            <w:vAlign w:val="bottom"/>
          </w:tcPr>
          <w:p>
            <w:pPr>
              <w:spacing w:after="0"/>
              <w:rPr>
                <w:sz w:val="20"/>
                <w:szCs w:val="20"/>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Kevin Kotler</w:t>
            </w:r>
          </w:p>
        </w:tc>
        <w:tc>
          <w:tcPr>
            <w:tcW w:w="1200" w:type="dxa"/>
            <w:vAlign w:val="bottom"/>
          </w:tcPr>
          <w:p>
            <w:pPr>
              <w:spacing w:after="0"/>
              <w:rPr>
                <w:sz w:val="24"/>
                <w:szCs w:val="24"/>
                <w:color w:val="auto"/>
              </w:rPr>
            </w:pPr>
          </w:p>
        </w:tc>
      </w:tr>
      <w:tr>
        <w:trPr>
          <w:trHeight w:val="206"/>
        </w:trPr>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c/o Broadfin Capital, LLC</w:t>
            </w:r>
          </w:p>
        </w:tc>
        <w:tc>
          <w:tcPr>
            <w:tcW w:w="1200" w:type="dxa"/>
            <w:vAlign w:val="bottom"/>
          </w:tcPr>
          <w:p>
            <w:pPr>
              <w:spacing w:after="0"/>
              <w:rPr>
                <w:sz w:val="17"/>
                <w:szCs w:val="17"/>
                <w:color w:val="auto"/>
              </w:rPr>
            </w:pPr>
          </w:p>
        </w:tc>
      </w:tr>
      <w:tr>
        <w:trPr>
          <w:trHeight w:val="226"/>
        </w:trPr>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80" w:type="dxa"/>
            <w:vAlign w:val="bottom"/>
            <w:gridSpan w:val="2"/>
          </w:tcPr>
          <w:p>
            <w:pPr>
              <w:spacing w:after="0" w:line="226" w:lineRule="exact"/>
              <w:rPr>
                <w:sz w:val="20"/>
                <w:szCs w:val="20"/>
                <w:color w:val="auto"/>
              </w:rPr>
            </w:pPr>
            <w:r>
              <w:rPr>
                <w:rFonts w:ascii="Arial" w:cs="Arial" w:eastAsia="Arial" w:hAnsi="Arial"/>
                <w:sz w:val="16"/>
                <w:szCs w:val="16"/>
                <w:color w:val="auto"/>
              </w:rPr>
              <w:t>300 Park Avenue,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1200" w:type="dxa"/>
            <w:vAlign w:val="bottom"/>
          </w:tcPr>
          <w:p>
            <w:pPr>
              <w:spacing w:after="0"/>
              <w:rPr>
                <w:sz w:val="19"/>
                <w:szCs w:val="19"/>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New York, New York 10022</w:t>
            </w:r>
          </w:p>
        </w:tc>
        <w:tc>
          <w:tcPr>
            <w:tcW w:w="1200" w:type="dxa"/>
            <w:vAlign w:val="bottom"/>
          </w:tcPr>
          <w:p>
            <w:pPr>
              <w:spacing w:after="0"/>
              <w:rPr>
                <w:sz w:val="18"/>
                <w:szCs w:val="18"/>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United States of America</w:t>
            </w:r>
          </w:p>
        </w:tc>
        <w:tc>
          <w:tcPr>
            <w:tcW w:w="120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(c)</w:t>
            </w:r>
          </w:p>
        </w:tc>
        <w:tc>
          <w:tcPr>
            <w:tcW w:w="8480" w:type="dxa"/>
            <w:vAlign w:val="bottom"/>
            <w:gridSpan w:val="2"/>
          </w:tcPr>
          <w:p>
            <w:pPr>
              <w:spacing w:after="0"/>
              <w:rPr>
                <w:sz w:val="20"/>
                <w:szCs w:val="20"/>
                <w:color w:val="auto"/>
              </w:rPr>
            </w:pPr>
            <w:r>
              <w:rPr>
                <w:rFonts w:ascii="Arial" w:cs="Arial" w:eastAsia="Arial" w:hAnsi="Arial"/>
                <w:sz w:val="18"/>
                <w:szCs w:val="18"/>
                <w:color w:val="auto"/>
              </w:rPr>
              <w:t>Citizenship:</w:t>
            </w:r>
          </w:p>
        </w:tc>
        <w:tc>
          <w:tcPr>
            <w:tcW w:w="120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Capital, LLC – Delaware</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Healthcare Master Fund, Ltd. – Cayman Islands</w:t>
            </w:r>
          </w:p>
        </w:tc>
        <w:tc>
          <w:tcPr>
            <w:tcW w:w="1200" w:type="dxa"/>
            <w:vAlign w:val="bottom"/>
          </w:tcPr>
          <w:p>
            <w:pPr>
              <w:spacing w:after="0"/>
              <w:rPr>
                <w:sz w:val="18"/>
                <w:szCs w:val="18"/>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Kevin Kotler – United States of America</w:t>
            </w:r>
          </w:p>
        </w:tc>
        <w:tc>
          <w:tcPr>
            <w:tcW w:w="120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(d).</w:t>
            </w:r>
          </w:p>
        </w:tc>
        <w:tc>
          <w:tcPr>
            <w:tcW w:w="8480" w:type="dxa"/>
            <w:vAlign w:val="bottom"/>
            <w:gridSpan w:val="2"/>
          </w:tcPr>
          <w:p>
            <w:pPr>
              <w:spacing w:after="0"/>
              <w:rPr>
                <w:sz w:val="20"/>
                <w:szCs w:val="20"/>
                <w:color w:val="auto"/>
              </w:rPr>
            </w:pPr>
            <w:r>
              <w:rPr>
                <w:rFonts w:ascii="Arial" w:cs="Arial" w:eastAsia="Arial" w:hAnsi="Arial"/>
                <w:sz w:val="18"/>
                <w:szCs w:val="18"/>
                <w:color w:val="auto"/>
              </w:rPr>
              <w:t>Title of Class of Securities:</w:t>
            </w:r>
          </w:p>
        </w:tc>
        <w:tc>
          <w:tcPr>
            <w:tcW w:w="120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$0.001 par value</w:t>
            </w:r>
          </w:p>
        </w:tc>
        <w:tc>
          <w:tcPr>
            <w:tcW w:w="120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(e).</w:t>
            </w:r>
          </w:p>
        </w:tc>
        <w:tc>
          <w:tcPr>
            <w:tcW w:w="8480" w:type="dxa"/>
            <w:vAlign w:val="bottom"/>
            <w:gridSpan w:val="2"/>
          </w:tcPr>
          <w:p>
            <w:pPr>
              <w:spacing w:after="0"/>
              <w:rPr>
                <w:sz w:val="20"/>
                <w:szCs w:val="20"/>
                <w:color w:val="auto"/>
              </w:rPr>
            </w:pPr>
            <w:r>
              <w:rPr>
                <w:rFonts w:ascii="Arial" w:cs="Arial" w:eastAsia="Arial" w:hAnsi="Arial"/>
                <w:sz w:val="18"/>
                <w:szCs w:val="18"/>
                <w:color w:val="auto"/>
              </w:rPr>
              <w:t>CUSIP Number:</w:t>
            </w:r>
          </w:p>
        </w:tc>
        <w:tc>
          <w:tcPr>
            <w:tcW w:w="120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92337F107</w:t>
            </w:r>
          </w:p>
        </w:tc>
        <w:tc>
          <w:tcPr>
            <w:tcW w:w="1200" w:type="dxa"/>
            <w:vAlign w:val="bottom"/>
          </w:tcPr>
          <w:p>
            <w:pPr>
              <w:spacing w:after="0"/>
              <w:rPr>
                <w:sz w:val="24"/>
                <w:szCs w:val="24"/>
                <w:color w:val="auto"/>
              </w:rPr>
            </w:pPr>
          </w:p>
        </w:tc>
      </w:tr>
      <w:tr>
        <w:trPr>
          <w:trHeight w:val="426"/>
        </w:trPr>
        <w:tc>
          <w:tcPr>
            <w:tcW w:w="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720" w:type="dxa"/>
            <w:vAlign w:val="bottom"/>
          </w:tcPr>
          <w:p>
            <w:pPr>
              <w:spacing w:after="0"/>
              <w:rPr>
                <w:sz w:val="20"/>
                <w:szCs w:val="20"/>
                <w:color w:val="auto"/>
              </w:rPr>
            </w:pPr>
          </w:p>
        </w:tc>
        <w:tc>
          <w:tcPr>
            <w:tcW w:w="9380" w:type="dxa"/>
            <w:vAlign w:val="bottom"/>
            <w:gridSpan w:val="2"/>
          </w:tcPr>
          <w:p>
            <w:pPr>
              <w:ind w:left="260"/>
              <w:spacing w:after="0"/>
              <w:rPr>
                <w:sz w:val="20"/>
                <w:szCs w:val="20"/>
                <w:color w:val="auto"/>
              </w:rPr>
            </w:pPr>
            <w:r>
              <w:rPr>
                <w:rFonts w:ascii="Arial" w:cs="Arial" w:eastAsia="Arial" w:hAnsi="Arial"/>
                <w:sz w:val="18"/>
                <w:szCs w:val="18"/>
                <w:color w:val="auto"/>
              </w:rPr>
              <w:t>This Statement is filed pursuant to ss.240.13d-1(b) or 240.13d-2(b), or (c), check whether the person filing is a</w:t>
            </w:r>
          </w:p>
        </w:tc>
      </w:tr>
      <w:tr>
        <w:trPr>
          <w:trHeight w:val="432"/>
        </w:trPr>
        <w:tc>
          <w:tcPr>
            <w:tcW w:w="76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(a)</w:t>
            </w:r>
          </w:p>
        </w:tc>
        <w:tc>
          <w:tcPr>
            <w:tcW w:w="700" w:type="dxa"/>
            <w:vAlign w:val="bottom"/>
          </w:tcPr>
          <w:p>
            <w:pPr>
              <w:ind w:left="260"/>
              <w:spacing w:after="0"/>
              <w:rPr>
                <w:sz w:val="20"/>
                <w:szCs w:val="20"/>
                <w:color w:val="auto"/>
              </w:rPr>
            </w:pPr>
            <w:r>
              <w:rPr>
                <w:rFonts w:ascii="Arial" w:cs="Arial" w:eastAsia="Arial" w:hAnsi="Arial"/>
                <w:sz w:val="18"/>
                <w:szCs w:val="18"/>
                <w:color w:val="auto"/>
              </w:rPr>
              <w:t>[_]</w:t>
            </w:r>
          </w:p>
        </w:tc>
        <w:tc>
          <w:tcPr>
            <w:tcW w:w="8680" w:type="dxa"/>
            <w:vAlign w:val="bottom"/>
          </w:tcPr>
          <w:p>
            <w:pPr>
              <w:ind w:left="160"/>
              <w:spacing w:after="0"/>
              <w:rPr>
                <w:sz w:val="20"/>
                <w:szCs w:val="20"/>
                <w:color w:val="auto"/>
              </w:rPr>
            </w:pPr>
            <w:r>
              <w:rPr>
                <w:rFonts w:ascii="Arial" w:cs="Arial" w:eastAsia="Arial" w:hAnsi="Arial"/>
                <w:sz w:val="18"/>
                <w:szCs w:val="18"/>
                <w:color w:val="auto"/>
              </w:rPr>
              <w:t>Broker or dealer registered under Section 15 of the Exchange Act (15 U.S.C. 78c).</w:t>
            </w:r>
          </w:p>
        </w:tc>
      </w:tr>
      <w:tr>
        <w:trPr>
          <w:trHeight w:val="432"/>
        </w:trPr>
        <w:tc>
          <w:tcPr>
            <w:tcW w:w="76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(b)</w:t>
            </w:r>
          </w:p>
        </w:tc>
        <w:tc>
          <w:tcPr>
            <w:tcW w:w="700" w:type="dxa"/>
            <w:vAlign w:val="bottom"/>
          </w:tcPr>
          <w:p>
            <w:pPr>
              <w:ind w:left="260"/>
              <w:spacing w:after="0"/>
              <w:rPr>
                <w:sz w:val="20"/>
                <w:szCs w:val="20"/>
                <w:color w:val="auto"/>
              </w:rPr>
            </w:pPr>
            <w:r>
              <w:rPr>
                <w:rFonts w:ascii="Arial" w:cs="Arial" w:eastAsia="Arial" w:hAnsi="Arial"/>
                <w:sz w:val="18"/>
                <w:szCs w:val="18"/>
                <w:color w:val="auto"/>
              </w:rPr>
              <w:t>[_]</w:t>
            </w:r>
          </w:p>
        </w:tc>
        <w:tc>
          <w:tcPr>
            <w:tcW w:w="8680" w:type="dxa"/>
            <w:vAlign w:val="bottom"/>
          </w:tcPr>
          <w:p>
            <w:pPr>
              <w:ind w:left="160"/>
              <w:spacing w:after="0"/>
              <w:rPr>
                <w:sz w:val="20"/>
                <w:szCs w:val="20"/>
                <w:color w:val="auto"/>
              </w:rPr>
            </w:pPr>
            <w:r>
              <w:rPr>
                <w:rFonts w:ascii="Arial" w:cs="Arial" w:eastAsia="Arial" w:hAnsi="Arial"/>
                <w:sz w:val="18"/>
                <w:szCs w:val="18"/>
                <w:color w:val="auto"/>
              </w:rPr>
              <w:t>Bank as defined in Section 3(a)(6) of the Exchange Act (15 U.S.C. 78c).</w:t>
            </w:r>
          </w:p>
        </w:tc>
      </w:tr>
      <w:tr>
        <w:trPr>
          <w:trHeight w:val="432"/>
        </w:trPr>
        <w:tc>
          <w:tcPr>
            <w:tcW w:w="76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(c)</w:t>
            </w:r>
          </w:p>
        </w:tc>
        <w:tc>
          <w:tcPr>
            <w:tcW w:w="700" w:type="dxa"/>
            <w:vAlign w:val="bottom"/>
          </w:tcPr>
          <w:p>
            <w:pPr>
              <w:ind w:left="260"/>
              <w:spacing w:after="0"/>
              <w:rPr>
                <w:sz w:val="20"/>
                <w:szCs w:val="20"/>
                <w:color w:val="auto"/>
              </w:rPr>
            </w:pPr>
            <w:r>
              <w:rPr>
                <w:rFonts w:ascii="Arial" w:cs="Arial" w:eastAsia="Arial" w:hAnsi="Arial"/>
                <w:sz w:val="18"/>
                <w:szCs w:val="18"/>
                <w:color w:val="auto"/>
              </w:rPr>
              <w:t>[_]</w:t>
            </w:r>
          </w:p>
        </w:tc>
        <w:tc>
          <w:tcPr>
            <w:tcW w:w="8680" w:type="dxa"/>
            <w:vAlign w:val="bottom"/>
          </w:tcPr>
          <w:p>
            <w:pPr>
              <w:ind w:left="160"/>
              <w:spacing w:after="0"/>
              <w:rPr>
                <w:sz w:val="20"/>
                <w:szCs w:val="20"/>
                <w:color w:val="auto"/>
              </w:rPr>
            </w:pPr>
            <w:r>
              <w:rPr>
                <w:rFonts w:ascii="Arial" w:cs="Arial" w:eastAsia="Arial" w:hAnsi="Arial"/>
                <w:sz w:val="18"/>
                <w:szCs w:val="18"/>
                <w:color w:val="auto"/>
              </w:rPr>
              <w:t>Insurance company as defined in Section 3(a)(19) of the Exchange Act (15 U.S.C. 78c).</w:t>
            </w:r>
          </w:p>
        </w:tc>
      </w:tr>
      <w:tr>
        <w:trPr>
          <w:trHeight w:val="432"/>
        </w:trPr>
        <w:tc>
          <w:tcPr>
            <w:tcW w:w="76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(d)</w:t>
            </w:r>
          </w:p>
        </w:tc>
        <w:tc>
          <w:tcPr>
            <w:tcW w:w="700" w:type="dxa"/>
            <w:vAlign w:val="bottom"/>
          </w:tcPr>
          <w:p>
            <w:pPr>
              <w:ind w:left="260"/>
              <w:spacing w:after="0"/>
              <w:rPr>
                <w:sz w:val="20"/>
                <w:szCs w:val="20"/>
                <w:color w:val="auto"/>
              </w:rPr>
            </w:pPr>
            <w:r>
              <w:rPr>
                <w:rFonts w:ascii="Arial" w:cs="Arial" w:eastAsia="Arial" w:hAnsi="Arial"/>
                <w:sz w:val="18"/>
                <w:szCs w:val="18"/>
                <w:color w:val="auto"/>
              </w:rPr>
              <w:t>[_]</w:t>
            </w:r>
          </w:p>
        </w:tc>
        <w:tc>
          <w:tcPr>
            <w:tcW w:w="8680" w:type="dxa"/>
            <w:vAlign w:val="bottom"/>
          </w:tcPr>
          <w:p>
            <w:pPr>
              <w:ind w:left="160"/>
              <w:spacing w:after="0"/>
              <w:rPr>
                <w:sz w:val="20"/>
                <w:szCs w:val="20"/>
                <w:color w:val="auto"/>
              </w:rPr>
            </w:pPr>
            <w:r>
              <w:rPr>
                <w:rFonts w:ascii="Arial" w:cs="Arial" w:eastAsia="Arial" w:hAnsi="Arial"/>
                <w:sz w:val="18"/>
                <w:szCs w:val="18"/>
                <w:color w:val="auto"/>
                <w:w w:val="99"/>
              </w:rPr>
              <w:t>Investment company registered under Section 8 of the Investment Company Act of 1940 (15 U.S.C. 80a-8).</w:t>
            </w:r>
          </w:p>
        </w:tc>
      </w:tr>
      <w:tr>
        <w:trPr>
          <w:trHeight w:val="432"/>
        </w:trPr>
        <w:tc>
          <w:tcPr>
            <w:tcW w:w="76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(e)</w:t>
            </w:r>
          </w:p>
        </w:tc>
        <w:tc>
          <w:tcPr>
            <w:tcW w:w="700" w:type="dxa"/>
            <w:vAlign w:val="bottom"/>
          </w:tcPr>
          <w:p>
            <w:pPr>
              <w:ind w:left="260"/>
              <w:spacing w:after="0"/>
              <w:rPr>
                <w:sz w:val="20"/>
                <w:szCs w:val="20"/>
                <w:color w:val="auto"/>
              </w:rPr>
            </w:pPr>
            <w:r>
              <w:rPr>
                <w:rFonts w:ascii="Arial" w:cs="Arial" w:eastAsia="Arial" w:hAnsi="Arial"/>
                <w:sz w:val="18"/>
                <w:szCs w:val="18"/>
                <w:color w:val="auto"/>
              </w:rPr>
              <w:t>[_]</w:t>
            </w:r>
          </w:p>
        </w:tc>
        <w:tc>
          <w:tcPr>
            <w:tcW w:w="8680" w:type="dxa"/>
            <w:vAlign w:val="bottom"/>
          </w:tcPr>
          <w:p>
            <w:pPr>
              <w:ind w:left="160"/>
              <w:spacing w:after="0"/>
              <w:rPr>
                <w:sz w:val="20"/>
                <w:szCs w:val="20"/>
                <w:color w:val="auto"/>
              </w:rPr>
            </w:pPr>
            <w:r>
              <w:rPr>
                <w:rFonts w:ascii="Arial" w:cs="Arial" w:eastAsia="Arial" w:hAnsi="Arial"/>
                <w:sz w:val="18"/>
                <w:szCs w:val="18"/>
                <w:color w:val="auto"/>
              </w:rPr>
              <w:t>An investment adviser in accordance with § 240.13d-1(b)(1)(ii)(E);</w:t>
            </w:r>
          </w:p>
        </w:tc>
      </w:tr>
      <w:tr>
        <w:trPr>
          <w:trHeight w:val="432"/>
        </w:trPr>
        <w:tc>
          <w:tcPr>
            <w:tcW w:w="76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(f)</w:t>
            </w:r>
          </w:p>
        </w:tc>
        <w:tc>
          <w:tcPr>
            <w:tcW w:w="700" w:type="dxa"/>
            <w:vAlign w:val="bottom"/>
          </w:tcPr>
          <w:p>
            <w:pPr>
              <w:ind w:left="260"/>
              <w:spacing w:after="0"/>
              <w:rPr>
                <w:sz w:val="20"/>
                <w:szCs w:val="20"/>
                <w:color w:val="auto"/>
              </w:rPr>
            </w:pPr>
            <w:r>
              <w:rPr>
                <w:rFonts w:ascii="Arial" w:cs="Arial" w:eastAsia="Arial" w:hAnsi="Arial"/>
                <w:sz w:val="18"/>
                <w:szCs w:val="18"/>
                <w:color w:val="auto"/>
              </w:rPr>
              <w:t>[_]</w:t>
            </w:r>
          </w:p>
        </w:tc>
        <w:tc>
          <w:tcPr>
            <w:tcW w:w="8680" w:type="dxa"/>
            <w:vAlign w:val="bottom"/>
          </w:tcPr>
          <w:p>
            <w:pPr>
              <w:ind w:left="160"/>
              <w:spacing w:after="0"/>
              <w:rPr>
                <w:sz w:val="20"/>
                <w:szCs w:val="20"/>
                <w:color w:val="auto"/>
              </w:rPr>
            </w:pPr>
            <w:r>
              <w:rPr>
                <w:rFonts w:ascii="Arial" w:cs="Arial" w:eastAsia="Arial" w:hAnsi="Arial"/>
                <w:sz w:val="18"/>
                <w:szCs w:val="18"/>
                <w:color w:val="auto"/>
              </w:rPr>
              <w:t>An employee benefit plan or endowment fund in accordance with § 240.13d-1(b)(1)(ii)(F);</w:t>
            </w:r>
          </w:p>
        </w:tc>
      </w:tr>
      <w:tr>
        <w:trPr>
          <w:trHeight w:val="432"/>
        </w:trPr>
        <w:tc>
          <w:tcPr>
            <w:tcW w:w="76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(g)</w:t>
            </w:r>
          </w:p>
        </w:tc>
        <w:tc>
          <w:tcPr>
            <w:tcW w:w="700" w:type="dxa"/>
            <w:vAlign w:val="bottom"/>
          </w:tcPr>
          <w:p>
            <w:pPr>
              <w:ind w:left="260"/>
              <w:spacing w:after="0"/>
              <w:rPr>
                <w:sz w:val="20"/>
                <w:szCs w:val="20"/>
                <w:color w:val="auto"/>
              </w:rPr>
            </w:pPr>
            <w:r>
              <w:rPr>
                <w:rFonts w:ascii="Arial" w:cs="Arial" w:eastAsia="Arial" w:hAnsi="Arial"/>
                <w:sz w:val="18"/>
                <w:szCs w:val="18"/>
                <w:color w:val="auto"/>
              </w:rPr>
              <w:t>[_]</w:t>
            </w:r>
          </w:p>
        </w:tc>
        <w:tc>
          <w:tcPr>
            <w:tcW w:w="8680" w:type="dxa"/>
            <w:vAlign w:val="bottom"/>
          </w:tcPr>
          <w:p>
            <w:pPr>
              <w:ind w:left="16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76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(h)</w:t>
            </w:r>
          </w:p>
        </w:tc>
        <w:tc>
          <w:tcPr>
            <w:tcW w:w="700" w:type="dxa"/>
            <w:vAlign w:val="bottom"/>
          </w:tcPr>
          <w:p>
            <w:pPr>
              <w:ind w:left="260"/>
              <w:spacing w:after="0"/>
              <w:rPr>
                <w:sz w:val="20"/>
                <w:szCs w:val="20"/>
                <w:color w:val="auto"/>
              </w:rPr>
            </w:pPr>
            <w:r>
              <w:rPr>
                <w:rFonts w:ascii="Arial" w:cs="Arial" w:eastAsia="Arial" w:hAnsi="Arial"/>
                <w:sz w:val="18"/>
                <w:szCs w:val="18"/>
                <w:color w:val="auto"/>
              </w:rPr>
              <w:t>[_]</w:t>
            </w:r>
          </w:p>
        </w:tc>
        <w:tc>
          <w:tcPr>
            <w:tcW w:w="8680" w:type="dxa"/>
            <w:vAlign w:val="bottom"/>
          </w:tcPr>
          <w:p>
            <w:pPr>
              <w:ind w:left="160"/>
              <w:spacing w:after="0"/>
              <w:rPr>
                <w:sz w:val="20"/>
                <w:szCs w:val="20"/>
                <w:color w:val="auto"/>
              </w:rPr>
            </w:pPr>
            <w:r>
              <w:rPr>
                <w:rFonts w:ascii="Arial" w:cs="Arial" w:eastAsia="Arial" w:hAnsi="Arial"/>
                <w:sz w:val="18"/>
                <w:szCs w:val="18"/>
                <w:color w:val="auto"/>
              </w:rPr>
              <w:t>A savings association as defined in Section 3(b) of the Federal Deposit Insurance Act (12 U.S.C.1813);</w:t>
            </w:r>
          </w:p>
        </w:tc>
      </w:tr>
      <w:tr>
        <w:trPr>
          <w:trHeight w:val="418"/>
        </w:trPr>
        <w:tc>
          <w:tcPr>
            <w:tcW w:w="76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(i)</w:t>
            </w:r>
          </w:p>
        </w:tc>
        <w:tc>
          <w:tcPr>
            <w:tcW w:w="700" w:type="dxa"/>
            <w:vAlign w:val="bottom"/>
          </w:tcPr>
          <w:p>
            <w:pPr>
              <w:ind w:left="260"/>
              <w:spacing w:after="0"/>
              <w:rPr>
                <w:sz w:val="20"/>
                <w:szCs w:val="20"/>
                <w:color w:val="auto"/>
              </w:rPr>
            </w:pPr>
            <w:r>
              <w:rPr>
                <w:rFonts w:ascii="Arial" w:cs="Arial" w:eastAsia="Arial" w:hAnsi="Arial"/>
                <w:sz w:val="18"/>
                <w:szCs w:val="18"/>
                <w:color w:val="auto"/>
              </w:rPr>
              <w:t>[_]</w:t>
            </w:r>
          </w:p>
        </w:tc>
        <w:tc>
          <w:tcPr>
            <w:tcW w:w="8680" w:type="dxa"/>
            <w:vAlign w:val="bottom"/>
          </w:tcPr>
          <w:p>
            <w:pPr>
              <w:ind w:left="160"/>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 Investment</w:t>
            </w:r>
          </w:p>
        </w:tc>
      </w:tr>
      <w:tr>
        <w:trPr>
          <w:trHeight w:val="230"/>
        </w:trPr>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Company Act of 1940 (15 U.S.C. 80a-3);</w:t>
            </w:r>
          </w:p>
        </w:tc>
      </w:tr>
      <w:tr>
        <w:trPr>
          <w:trHeight w:val="432"/>
        </w:trPr>
        <w:tc>
          <w:tcPr>
            <w:tcW w:w="76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(j)</w:t>
            </w:r>
          </w:p>
        </w:tc>
        <w:tc>
          <w:tcPr>
            <w:tcW w:w="700" w:type="dxa"/>
            <w:vAlign w:val="bottom"/>
          </w:tcPr>
          <w:p>
            <w:pPr>
              <w:ind w:left="260"/>
              <w:spacing w:after="0"/>
              <w:rPr>
                <w:sz w:val="20"/>
                <w:szCs w:val="20"/>
                <w:color w:val="auto"/>
              </w:rPr>
            </w:pPr>
            <w:r>
              <w:rPr>
                <w:rFonts w:ascii="Arial" w:cs="Arial" w:eastAsia="Arial" w:hAnsi="Arial"/>
                <w:sz w:val="18"/>
                <w:szCs w:val="18"/>
                <w:color w:val="auto"/>
              </w:rPr>
              <w:t>[_]</w:t>
            </w:r>
          </w:p>
        </w:tc>
        <w:tc>
          <w:tcPr>
            <w:tcW w:w="8680" w:type="dxa"/>
            <w:vAlign w:val="bottom"/>
          </w:tcPr>
          <w:p>
            <w:pPr>
              <w:ind w:left="160"/>
              <w:spacing w:after="0"/>
              <w:rPr>
                <w:sz w:val="20"/>
                <w:szCs w:val="20"/>
                <w:color w:val="auto"/>
              </w:rPr>
            </w:pPr>
            <w:r>
              <w:rPr>
                <w:rFonts w:ascii="Arial" w:cs="Arial" w:eastAsia="Arial" w:hAnsi="Arial"/>
                <w:sz w:val="18"/>
                <w:szCs w:val="18"/>
                <w:color w:val="auto"/>
              </w:rPr>
              <w:t>Group, in accordance with s.240.13d-1(b)(1)(ii)(J).</w:t>
            </w:r>
          </w:p>
        </w:tc>
      </w:tr>
      <w:tr>
        <w:trPr>
          <w:trHeight w:val="459"/>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1420" w:type="dxa"/>
            <w:vAlign w:val="bottom"/>
            <w:gridSpan w:val="2"/>
          </w:tcPr>
          <w:p>
            <w:pPr>
              <w:ind w:left="420"/>
              <w:spacing w:after="0"/>
              <w:rPr>
                <w:sz w:val="20"/>
                <w:szCs w:val="20"/>
                <w:color w:val="auto"/>
              </w:rPr>
            </w:pPr>
            <w:r>
              <w:rPr>
                <w:rFonts w:ascii="Arial" w:cs="Arial" w:eastAsia="Arial" w:hAnsi="Arial"/>
                <w:sz w:val="18"/>
                <w:szCs w:val="18"/>
                <w:color w:val="auto"/>
              </w:rPr>
              <w:t>Ownership.</w:t>
            </w:r>
          </w:p>
        </w:tc>
        <w:tc>
          <w:tcPr>
            <w:tcW w:w="8680" w:type="dxa"/>
            <w:vAlign w:val="bottom"/>
          </w:tcPr>
          <w:p>
            <w:pPr>
              <w:spacing w:after="0"/>
              <w:rPr>
                <w:sz w:val="24"/>
                <w:szCs w:val="24"/>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800" w:hanging="617"/>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800"/>
        <w:spacing w:after="0"/>
        <w:rPr>
          <w:rFonts w:ascii="Arial" w:cs="Arial" w:eastAsia="Arial" w:hAnsi="Arial"/>
          <w:sz w:val="18"/>
          <w:szCs w:val="18"/>
          <w:color w:val="auto"/>
        </w:rPr>
      </w:pPr>
      <w:r>
        <w:rPr>
          <w:rFonts w:ascii="Arial" w:cs="Arial" w:eastAsia="Arial" w:hAnsi="Arial"/>
          <w:sz w:val="18"/>
          <w:szCs w:val="18"/>
          <w:color w:val="auto"/>
        </w:rPr>
        <w:t>Broadfin Capital, LLC – 1,916,666</w:t>
      </w:r>
    </w:p>
    <w:p>
      <w:pPr>
        <w:spacing w:after="0" w:line="23" w:lineRule="exact"/>
        <w:rPr>
          <w:rFonts w:ascii="Arial" w:cs="Arial" w:eastAsia="Arial" w:hAnsi="Arial"/>
          <w:sz w:val="18"/>
          <w:szCs w:val="18"/>
          <w:color w:val="auto"/>
        </w:rPr>
      </w:pPr>
    </w:p>
    <w:p>
      <w:pPr>
        <w:ind w:left="1800" w:right="576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1,916,666 Kevin Kotler – 1,916,666</w:t>
      </w:r>
    </w:p>
    <w:p>
      <w:pPr>
        <w:spacing w:after="0" w:line="210" w:lineRule="exact"/>
        <w:rPr>
          <w:rFonts w:ascii="Arial" w:cs="Arial" w:eastAsia="Arial" w:hAnsi="Arial"/>
          <w:sz w:val="18"/>
          <w:szCs w:val="18"/>
          <w:color w:val="auto"/>
        </w:rPr>
      </w:pPr>
    </w:p>
    <w:p>
      <w:pPr>
        <w:ind w:left="1800" w:hanging="617"/>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800"/>
        <w:spacing w:after="0"/>
        <w:rPr>
          <w:rFonts w:ascii="Arial" w:cs="Arial" w:eastAsia="Arial" w:hAnsi="Arial"/>
          <w:sz w:val="18"/>
          <w:szCs w:val="18"/>
          <w:color w:val="auto"/>
        </w:rPr>
      </w:pPr>
      <w:r>
        <w:rPr>
          <w:rFonts w:ascii="Arial" w:cs="Arial" w:eastAsia="Arial" w:hAnsi="Arial"/>
          <w:sz w:val="18"/>
          <w:szCs w:val="18"/>
          <w:color w:val="auto"/>
        </w:rPr>
        <w:t>Broadfin Capital, LLC – 5.83%</w:t>
      </w:r>
    </w:p>
    <w:p>
      <w:pPr>
        <w:spacing w:after="0" w:line="23" w:lineRule="exact"/>
        <w:rPr>
          <w:rFonts w:ascii="Arial" w:cs="Arial" w:eastAsia="Arial" w:hAnsi="Arial"/>
          <w:sz w:val="18"/>
          <w:szCs w:val="18"/>
          <w:color w:val="auto"/>
        </w:rPr>
      </w:pPr>
    </w:p>
    <w:p>
      <w:pPr>
        <w:ind w:left="1800" w:right="602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5.83% Kevin Kotler – 5.83%</w:t>
      </w:r>
    </w:p>
    <w:p>
      <w:pPr>
        <w:spacing w:after="0" w:line="210" w:lineRule="exact"/>
        <w:rPr>
          <w:rFonts w:ascii="Arial" w:cs="Arial" w:eastAsia="Arial" w:hAnsi="Arial"/>
          <w:sz w:val="18"/>
          <w:szCs w:val="18"/>
          <w:color w:val="auto"/>
        </w:rPr>
      </w:pPr>
    </w:p>
    <w:p>
      <w:pPr>
        <w:ind w:left="1800" w:hanging="617"/>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460" w:hanging="656"/>
        <w:spacing w:after="0"/>
        <w:tabs>
          <w:tab w:leader="none" w:pos="2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460"/>
        <w:spacing w:after="0"/>
        <w:rPr>
          <w:rFonts w:ascii="Arial" w:cs="Arial" w:eastAsia="Arial" w:hAnsi="Arial"/>
          <w:sz w:val="18"/>
          <w:szCs w:val="18"/>
          <w:color w:val="auto"/>
        </w:rPr>
      </w:pPr>
      <w:r>
        <w:rPr>
          <w:rFonts w:ascii="Arial" w:cs="Arial" w:eastAsia="Arial" w:hAnsi="Arial"/>
          <w:sz w:val="18"/>
          <w:szCs w:val="18"/>
          <w:color w:val="auto"/>
        </w:rPr>
        <w:t>Broadfin Capital, LLC – 0</w:t>
      </w:r>
    </w:p>
    <w:p>
      <w:pPr>
        <w:spacing w:after="0" w:line="23" w:lineRule="exact"/>
        <w:rPr>
          <w:rFonts w:ascii="Arial" w:cs="Arial" w:eastAsia="Arial" w:hAnsi="Arial"/>
          <w:sz w:val="18"/>
          <w:szCs w:val="18"/>
          <w:color w:val="auto"/>
        </w:rPr>
      </w:pPr>
    </w:p>
    <w:p>
      <w:pPr>
        <w:ind w:left="2460" w:right="574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0 Kevin Kotler – 0</w:t>
      </w:r>
    </w:p>
    <w:p>
      <w:pPr>
        <w:spacing w:after="0" w:line="183" w:lineRule="exact"/>
        <w:rPr>
          <w:rFonts w:ascii="Arial" w:cs="Arial" w:eastAsia="Arial" w:hAnsi="Arial"/>
          <w:sz w:val="18"/>
          <w:szCs w:val="18"/>
          <w:color w:val="auto"/>
        </w:rPr>
      </w:pPr>
    </w:p>
    <w:p>
      <w:pPr>
        <w:ind w:left="2460" w:hanging="656"/>
        <w:spacing w:after="0"/>
        <w:tabs>
          <w:tab w:leader="none" w:pos="2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460"/>
        <w:spacing w:after="0"/>
        <w:rPr>
          <w:rFonts w:ascii="Arial" w:cs="Arial" w:eastAsia="Arial" w:hAnsi="Arial"/>
          <w:sz w:val="18"/>
          <w:szCs w:val="18"/>
          <w:color w:val="auto"/>
        </w:rPr>
      </w:pPr>
      <w:r>
        <w:rPr>
          <w:rFonts w:ascii="Arial" w:cs="Arial" w:eastAsia="Arial" w:hAnsi="Arial"/>
          <w:sz w:val="18"/>
          <w:szCs w:val="18"/>
          <w:color w:val="auto"/>
        </w:rPr>
        <w:t>Broadfin Capital, LLC – 1,916,666</w:t>
      </w:r>
    </w:p>
    <w:p>
      <w:pPr>
        <w:spacing w:after="0" w:line="23" w:lineRule="exact"/>
        <w:rPr>
          <w:rFonts w:ascii="Arial" w:cs="Arial" w:eastAsia="Arial" w:hAnsi="Arial"/>
          <w:sz w:val="18"/>
          <w:szCs w:val="18"/>
          <w:color w:val="auto"/>
        </w:rPr>
      </w:pPr>
    </w:p>
    <w:p>
      <w:pPr>
        <w:ind w:left="2460" w:right="512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1,916,666 Kevin Kotler – 1,916,666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-2789555</wp:posOffset>
            </wp:positionV>
            <wp:extent cx="6106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06160" cy="1714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-1948815</wp:posOffset>
            </wp:positionV>
            <wp:extent cx="6106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06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611" w:right="379" w:bottom="1440" w:gutter="0" w:footer="0" w:header="0"/>
        </w:sectPr>
      </w:pPr>
    </w:p>
    <w:bookmarkStart w:id="6" w:name="page7"/>
    <w:bookmarkEnd w:id="6"/>
    <w:p>
      <w:pPr>
        <w:ind w:left="2420" w:hanging="656"/>
        <w:spacing w:after="0"/>
        <w:tabs>
          <w:tab w:leader="none" w:pos="2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2420"/>
        <w:spacing w:after="0"/>
        <w:rPr>
          <w:rFonts w:ascii="Arial" w:cs="Arial" w:eastAsia="Arial" w:hAnsi="Arial"/>
          <w:sz w:val="18"/>
          <w:szCs w:val="18"/>
          <w:color w:val="auto"/>
        </w:rPr>
      </w:pPr>
      <w:r>
        <w:rPr>
          <w:rFonts w:ascii="Arial" w:cs="Arial" w:eastAsia="Arial" w:hAnsi="Arial"/>
          <w:sz w:val="18"/>
          <w:szCs w:val="18"/>
          <w:color w:val="auto"/>
        </w:rPr>
        <w:t>Broadfin Capital, LLC – 0</w:t>
      </w:r>
    </w:p>
    <w:p>
      <w:pPr>
        <w:spacing w:after="0" w:line="23" w:lineRule="exact"/>
        <w:rPr>
          <w:rFonts w:ascii="Arial" w:cs="Arial" w:eastAsia="Arial" w:hAnsi="Arial"/>
          <w:sz w:val="18"/>
          <w:szCs w:val="18"/>
          <w:color w:val="auto"/>
        </w:rPr>
      </w:pPr>
    </w:p>
    <w:p>
      <w:pPr>
        <w:ind w:left="2420" w:right="592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0 Kevin Kotler – 0</w:t>
      </w:r>
    </w:p>
    <w:p>
      <w:pPr>
        <w:spacing w:after="0" w:line="183" w:lineRule="exact"/>
        <w:rPr>
          <w:rFonts w:ascii="Arial" w:cs="Arial" w:eastAsia="Arial" w:hAnsi="Arial"/>
          <w:sz w:val="18"/>
          <w:szCs w:val="18"/>
          <w:color w:val="auto"/>
        </w:rPr>
      </w:pPr>
    </w:p>
    <w:p>
      <w:pPr>
        <w:ind w:left="2420" w:hanging="656"/>
        <w:spacing w:after="0"/>
        <w:tabs>
          <w:tab w:leader="none" w:pos="2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Broadfin Capital, LLC – 1,916,666</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Broadfin Healthcare Master Fund, Ltd. – 1,916,666</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Kevin Kotler – 1,916,666</w:t>
      </w:r>
    </w:p>
    <w:p>
      <w:pPr>
        <w:spacing w:after="0" w:line="21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jc w:val="both"/>
        <w:ind w:left="118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6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118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14605</wp:posOffset>
            </wp:positionV>
            <wp:extent cx="650049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00495" cy="17145"/>
                    </a:xfrm>
                    <a:prstGeom prst="rect">
                      <a:avLst/>
                    </a:prstGeom>
                    <a:noFill/>
                  </pic:spPr>
                </pic:pic>
              </a:graphicData>
            </a:graphic>
          </wp:anchor>
        </w:drawing>
      </w:r>
    </w:p>
    <w:p>
      <w:pPr>
        <w:spacing w:after="0" w:line="259" w:lineRule="exact"/>
        <w:rPr>
          <w:sz w:val="20"/>
          <w:szCs w:val="20"/>
          <w:color w:val="auto"/>
        </w:rPr>
      </w:pPr>
    </w:p>
    <w:p>
      <w:pPr>
        <w:ind w:left="1180" w:right="520" w:hanging="1174"/>
        <w:spacing w:after="0" w:line="277" w:lineRule="auto"/>
        <w:tabs>
          <w:tab w:leader="none" w:pos="11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left="1180"/>
        <w:spacing w:after="0" w:line="312" w:lineRule="auto"/>
        <w:rPr>
          <w:sz w:val="20"/>
          <w:szCs w:val="20"/>
          <w:color w:val="auto"/>
        </w:rPr>
      </w:pPr>
      <w:r>
        <w:rPr>
          <w:rFonts w:ascii="Arial" w:cs="Arial" w:eastAsia="Arial" w:hAnsi="Arial"/>
          <w:sz w:val="16"/>
          <w:szCs w:val="16"/>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39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See Exhibit A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65176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180" w:right="100"/>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2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14605</wp:posOffset>
            </wp:positionV>
            <wp:extent cx="6491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1605"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220" w:right="240"/>
        <w:spacing w:after="0" w:line="342"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36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65176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jc w:val="both"/>
        <w:ind w:left="17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54"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November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14605</wp:posOffset>
            </wp:positionV>
            <wp:extent cx="364490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44900" cy="17145"/>
                    </a:xfrm>
                    <a:prstGeom prst="rect">
                      <a:avLst/>
                    </a:prstGeom>
                    <a:noFill/>
                  </pic:spPr>
                </pic:pic>
              </a:graphicData>
            </a:graphic>
          </wp:anchor>
        </w:drawing>
      </w:r>
    </w:p>
    <w:p>
      <w:pPr>
        <w:spacing w:after="0" w:line="16"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BROADFIN CAPITAL, LLC*</w:t>
      </w:r>
    </w:p>
    <w:p>
      <w:pPr>
        <w:spacing w:after="0" w:line="23"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5715</wp:posOffset>
            </wp:positionV>
            <wp:extent cx="364490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44900" cy="17145"/>
                    </a:xfrm>
                    <a:prstGeom prst="rect">
                      <a:avLst/>
                    </a:prstGeom>
                    <a:noFill/>
                  </pic:spPr>
                </pic:pic>
              </a:graphicData>
            </a:graphic>
          </wp:anchor>
        </w:drawing>
      </w:r>
    </w:p>
    <w:p>
      <w:pPr>
        <w:spacing w:after="0" w:line="2"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Kevin Kotler,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14605</wp:posOffset>
            </wp:positionV>
            <wp:extent cx="364490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44900" cy="17145"/>
                    </a:xfrm>
                    <a:prstGeom prst="rect">
                      <a:avLst/>
                    </a:prstGeom>
                    <a:noFill/>
                  </pic:spPr>
                </pic:pic>
              </a:graphicData>
            </a:graphic>
          </wp:anchor>
        </w:drawing>
      </w:r>
    </w:p>
    <w:p>
      <w:pPr>
        <w:spacing w:after="0" w:line="16"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jc w:val="center"/>
        <w:ind w:left="5640"/>
        <w:spacing w:after="0"/>
        <w:rPr>
          <w:sz w:val="20"/>
          <w:szCs w:val="20"/>
          <w:color w:val="auto"/>
        </w:rPr>
      </w:pPr>
      <w:r>
        <w:rPr>
          <w:rFonts w:ascii="Arial" w:cs="Arial" w:eastAsia="Arial" w:hAnsi="Arial"/>
          <w:sz w:val="18"/>
          <w:szCs w:val="18"/>
          <w:color w:val="auto"/>
        </w:rPr>
        <w:t>November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14605</wp:posOffset>
            </wp:positionV>
            <wp:extent cx="367030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70300" cy="17145"/>
                    </a:xfrm>
                    <a:prstGeom prst="rect">
                      <a:avLst/>
                    </a:prstGeom>
                    <a:noFill/>
                  </pic:spPr>
                </pic:pic>
              </a:graphicData>
            </a:graphic>
          </wp:anchor>
        </w:drawing>
      </w:r>
    </w:p>
    <w:p>
      <w:pPr>
        <w:spacing w:after="0" w:line="16" w:lineRule="exact"/>
        <w:rPr>
          <w:sz w:val="20"/>
          <w:szCs w:val="20"/>
          <w:color w:val="auto"/>
        </w:rPr>
      </w:pPr>
    </w:p>
    <w:p>
      <w:pPr>
        <w:jc w:val="center"/>
        <w:ind w:left="564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BROADFIN HEALTHCARE</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MASTER FUND, LTD.</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5715</wp:posOffset>
            </wp:positionV>
            <wp:extent cx="367030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70300" cy="17145"/>
                    </a:xfrm>
                    <a:prstGeom prst="rect">
                      <a:avLst/>
                    </a:prstGeom>
                    <a:noFill/>
                  </pic:spPr>
                </pic:pic>
              </a:graphicData>
            </a:graphic>
          </wp:anchor>
        </w:drawing>
      </w:r>
    </w:p>
    <w:p>
      <w:pPr>
        <w:spacing w:after="0" w:line="2"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640"/>
        <w:spacing w:after="0"/>
        <w:rPr>
          <w:sz w:val="20"/>
          <w:szCs w:val="20"/>
          <w:color w:val="auto"/>
        </w:rPr>
      </w:pPr>
      <w:r>
        <w:rPr>
          <w:rFonts w:ascii="Arial" w:cs="Arial" w:eastAsia="Arial" w:hAnsi="Arial"/>
          <w:sz w:val="18"/>
          <w:szCs w:val="18"/>
          <w:color w:val="auto"/>
        </w:rPr>
        <w:t>Kevin Kotler,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14605</wp:posOffset>
            </wp:positionV>
            <wp:extent cx="367030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70300" cy="17145"/>
                    </a:xfrm>
                    <a:prstGeom prst="rect">
                      <a:avLst/>
                    </a:prstGeom>
                    <a:noFill/>
                  </pic:spPr>
                </pic:pic>
              </a:graphicData>
            </a:graphic>
          </wp:anchor>
        </w:drawing>
      </w:r>
    </w:p>
    <w:p>
      <w:pPr>
        <w:spacing w:after="0" w:line="16" w:lineRule="exact"/>
        <w:rPr>
          <w:sz w:val="20"/>
          <w:szCs w:val="20"/>
          <w:color w:val="auto"/>
        </w:rPr>
      </w:pPr>
    </w:p>
    <w:p>
      <w:pPr>
        <w:jc w:val="center"/>
        <w:ind w:left="564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November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14605</wp:posOffset>
            </wp:positionV>
            <wp:extent cx="364490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44900" cy="17145"/>
                    </a:xfrm>
                    <a:prstGeom prst="rect">
                      <a:avLst/>
                    </a:prstGeom>
                    <a:noFill/>
                  </pic:spPr>
                </pic:pic>
              </a:graphicData>
            </a:graphic>
          </wp:anchor>
        </w:drawing>
      </w:r>
    </w:p>
    <w:p>
      <w:pPr>
        <w:spacing w:after="0" w:line="16"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14605</wp:posOffset>
            </wp:positionV>
            <wp:extent cx="364490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44900" cy="17145"/>
                    </a:xfrm>
                    <a:prstGeom prst="rect">
                      <a:avLst/>
                    </a:prstGeom>
                    <a:noFill/>
                  </pic:spPr>
                </pic:pic>
              </a:graphicData>
            </a:graphic>
          </wp:anchor>
        </w:drawing>
      </w:r>
    </w:p>
    <w:p>
      <w:pPr>
        <w:spacing w:after="0" w:line="16"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14605</wp:posOffset>
            </wp:positionV>
            <wp:extent cx="364490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44900" cy="17145"/>
                    </a:xfrm>
                    <a:prstGeom prst="rect">
                      <a:avLst/>
                    </a:prstGeom>
                    <a:noFill/>
                  </pic:spPr>
                </pic:pic>
              </a:graphicData>
            </a:graphic>
          </wp:anchor>
        </w:drawing>
      </w:r>
    </w:p>
    <w:p>
      <w:pPr>
        <w:spacing w:after="0" w:line="16"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disclaim beneficial ownership in the shares reported herein except to the extent of their pecuniary interest therein.</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color w:val="auto"/>
        </w:rPr>
        <w:t>AGREEMENT</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undersigned agree that this Schedule 13G dated November 4, 2016 relating to the Common Stock, $0.001 par value of Veracyte, Inc. shall be filed on behalf of the undersigned.</w:t>
      </w:r>
    </w:p>
    <w:p>
      <w:pPr>
        <w:spacing w:after="0" w:line="200" w:lineRule="exact"/>
        <w:rPr>
          <w:sz w:val="20"/>
          <w:szCs w:val="20"/>
          <w:color w:val="auto"/>
        </w:rPr>
      </w:pPr>
    </w:p>
    <w:p>
      <w:pPr>
        <w:spacing w:after="0" w:line="214"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November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14605</wp:posOffset>
            </wp:positionV>
            <wp:extent cx="364490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44900" cy="17145"/>
                    </a:xfrm>
                    <a:prstGeom prst="rect">
                      <a:avLst/>
                    </a:prstGeom>
                    <a:noFill/>
                  </pic:spPr>
                </pic:pic>
              </a:graphicData>
            </a:graphic>
          </wp:anchor>
        </w:drawing>
      </w:r>
    </w:p>
    <w:p>
      <w:pPr>
        <w:spacing w:after="0" w:line="16"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BROADFIN CAPITAL, LLC</w:t>
      </w:r>
    </w:p>
    <w:p>
      <w:pPr>
        <w:spacing w:after="0" w:line="23"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5715</wp:posOffset>
            </wp:positionV>
            <wp:extent cx="364490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44900" cy="17145"/>
                    </a:xfrm>
                    <a:prstGeom prst="rect">
                      <a:avLst/>
                    </a:prstGeom>
                    <a:noFill/>
                  </pic:spPr>
                </pic:pic>
              </a:graphicData>
            </a:graphic>
          </wp:anchor>
        </w:drawing>
      </w:r>
    </w:p>
    <w:p>
      <w:pPr>
        <w:spacing w:after="0" w:line="2"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Kevin Kotler,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14605</wp:posOffset>
            </wp:positionV>
            <wp:extent cx="364490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44900" cy="17145"/>
                    </a:xfrm>
                    <a:prstGeom prst="rect">
                      <a:avLst/>
                    </a:prstGeom>
                    <a:noFill/>
                  </pic:spPr>
                </pic:pic>
              </a:graphicData>
            </a:graphic>
          </wp:anchor>
        </w:drawing>
      </w:r>
    </w:p>
    <w:p>
      <w:pPr>
        <w:spacing w:after="0" w:line="16"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November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14605</wp:posOffset>
            </wp:positionV>
            <wp:extent cx="369633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96335" cy="1714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BROADFIN HEALTHCARE</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MASTER FUND, LTD.</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5715</wp:posOffset>
            </wp:positionV>
            <wp:extent cx="369633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96335" cy="17145"/>
                    </a:xfrm>
                    <a:prstGeom prst="rect">
                      <a:avLst/>
                    </a:prstGeom>
                    <a:noFill/>
                  </pic:spPr>
                </pic:pic>
              </a:graphicData>
            </a:graphic>
          </wp:anchor>
        </w:drawing>
      </w:r>
    </w:p>
    <w:p>
      <w:pPr>
        <w:spacing w:after="0" w:line="2"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Kevin Kotler,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14605</wp:posOffset>
            </wp:positionV>
            <wp:extent cx="369633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96335" cy="1714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November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14605</wp:posOffset>
            </wp:positionV>
            <wp:extent cx="364490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44900" cy="17145"/>
                    </a:xfrm>
                    <a:prstGeom prst="rect">
                      <a:avLst/>
                    </a:prstGeom>
                    <a:noFill/>
                  </pic:spPr>
                </pic:pic>
              </a:graphicData>
            </a:graphic>
          </wp:anchor>
        </w:drawing>
      </w:r>
    </w:p>
    <w:p>
      <w:pPr>
        <w:spacing w:after="0" w:line="16"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14605</wp:posOffset>
            </wp:positionV>
            <wp:extent cx="364490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44900" cy="17145"/>
                    </a:xfrm>
                    <a:prstGeom prst="rect">
                      <a:avLst/>
                    </a:prstGeom>
                    <a:noFill/>
                  </pic:spPr>
                </pic:pic>
              </a:graphicData>
            </a:graphic>
          </wp:anchor>
        </w:drawing>
      </w:r>
    </w:p>
    <w:p>
      <w:pPr>
        <w:spacing w:after="0" w:line="1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14605</wp:posOffset>
            </wp:positionV>
            <wp:extent cx="364490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44900" cy="17145"/>
                    </a:xfrm>
                    <a:prstGeom prst="rect">
                      <a:avLst/>
                    </a:prstGeom>
                    <a:noFill/>
                  </pic:spPr>
                </pic:pic>
              </a:graphicData>
            </a:graphic>
          </wp:anchor>
        </w:drawing>
      </w:r>
    </w:p>
    <w:p>
      <w:pPr>
        <w:spacing w:after="0" w:line="16"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Broadfin Capital, LLC is the relevant entity for which Kevin Kotler may be considered a control person.</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5"/>
    </w:lvl>
  </w:abstractNum>
  <w:abstractNum w:abstractNumId="4">
    <w:nsid w:val="12200854"/>
    <w:multiLevelType w:val="hybridMultilevel"/>
    <w:lvl w:ilvl="0">
      <w:lvlJc w:val="left"/>
      <w:lvlText w:val="%1."/>
      <w:numFmt w:val="decimal"/>
      <w:start w:val="1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3"/>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decimal"/>
      <w:start w:val="11"/>
    </w:lvl>
  </w:abstractNum>
  <w:abstractNum w:abstractNumId="12">
    <w:nsid w:val="109CF92E"/>
    <w:multiLevelType w:val="hybridMultilevel"/>
    <w:lvl w:ilvl="0">
      <w:lvlJc w:val="left"/>
      <w:lvlText w:val="(%1)"/>
      <w:numFmt w:val="lowerLetter"/>
      <w:start w:val="1"/>
    </w:lvl>
    <w:lvl w:ilvl="1">
      <w:lvlJc w:val="left"/>
      <w:lvlText w:val="(%2)"/>
      <w:numFmt w:val="lowerRoman"/>
      <w:start w:val="1"/>
    </w:lvl>
  </w:abstractNum>
  <w:abstractNum w:abstractNumId="13">
    <w:nsid w:val="DED726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2019-12-08T13:30:23Z</dcterms:created>
  <dcterms:modified xsi:type="dcterms:W3CDTF">2019-12-08T13:30:23Z</dcterms:modified>
</cp:coreProperties>
</file>