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Date of Report (Date of earliest event reported): July 13, 2021</w:t>
            </w:r>
          </w:p>
        </w:tc>
        <w:tc>
          <w:tcPr>
            <w:tcW w:w="2400" w:type="dxa"/>
            <w:vAlign w:val="bottom"/>
          </w:tcPr>
          <w:p>
            <w:pPr>
              <w:spacing w:after="0"/>
              <w:rPr>
                <w:sz w:val="20"/>
                <w:szCs w:val="20"/>
                <w:color w:val="auto"/>
              </w:rPr>
            </w:pPr>
          </w:p>
        </w:tc>
      </w:tr>
      <w:tr>
        <w:trPr>
          <w:trHeight w:val="445"/>
        </w:trPr>
        <w:tc>
          <w:tcPr>
            <w:tcW w:w="236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400" w:type="dxa"/>
            <w:vAlign w:val="bottom"/>
          </w:tcPr>
          <w:p>
            <w:pPr>
              <w:spacing w:after="0"/>
              <w:rPr>
                <w:sz w:val="24"/>
                <w:szCs w:val="24"/>
                <w:color w:val="auto"/>
              </w:rPr>
            </w:pPr>
          </w:p>
        </w:tc>
      </w:tr>
      <w:tr>
        <w:trPr>
          <w:trHeight w:val="230"/>
        </w:trPr>
        <w:tc>
          <w:tcPr>
            <w:tcW w:w="23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400" w:type="dxa"/>
            <w:vAlign w:val="bottom"/>
          </w:tcPr>
          <w:p>
            <w:pPr>
              <w:spacing w:after="0"/>
              <w:rPr>
                <w:sz w:val="20"/>
                <w:szCs w:val="20"/>
                <w:color w:val="auto"/>
              </w:rPr>
            </w:pPr>
          </w:p>
        </w:tc>
      </w:tr>
      <w:tr>
        <w:trPr>
          <w:trHeight w:val="270"/>
        </w:trPr>
        <w:tc>
          <w:tcPr>
            <w:tcW w:w="2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Delaware</w:t>
            </w: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4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60" w:type="dxa"/>
            <w:vAlign w:val="bottom"/>
          </w:tcPr>
          <w:p>
            <w:pPr>
              <w:jc w:val="center"/>
              <w:ind w:right="190"/>
              <w:spacing w:after="0"/>
              <w:rPr>
                <w:sz w:val="20"/>
                <w:szCs w:val="20"/>
                <w:color w:val="auto"/>
              </w:rPr>
            </w:pPr>
            <w:r>
              <w:rPr>
                <w:rFonts w:ascii="Arial" w:cs="Arial" w:eastAsia="Arial" w:hAnsi="Arial"/>
                <w:sz w:val="18"/>
                <w:szCs w:val="18"/>
                <w:color w:val="auto"/>
                <w:w w:val="92"/>
              </w:rPr>
              <w:t>(State or other jurisdiction of</w:t>
            </w:r>
          </w:p>
        </w:tc>
        <w:tc>
          <w:tcPr>
            <w:tcW w:w="50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400" w:type="dxa"/>
            <w:vAlign w:val="bottom"/>
          </w:tcPr>
          <w:p>
            <w:pPr>
              <w:jc w:val="center"/>
              <w:ind w:left="2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60" w:type="dxa"/>
            <w:vAlign w:val="bottom"/>
          </w:tcPr>
          <w:p>
            <w:pPr>
              <w:jc w:val="center"/>
              <w:ind w:right="190"/>
              <w:spacing w:after="0"/>
              <w:rPr>
                <w:sz w:val="20"/>
                <w:szCs w:val="20"/>
                <w:color w:val="auto"/>
              </w:rPr>
            </w:pPr>
            <w:r>
              <w:rPr>
                <w:rFonts w:ascii="Arial" w:cs="Arial" w:eastAsia="Arial" w:hAnsi="Arial"/>
                <w:sz w:val="18"/>
                <w:szCs w:val="18"/>
                <w:color w:val="auto"/>
                <w:w w:val="94"/>
              </w:rPr>
              <w:t>incorporation)</w:t>
            </w:r>
          </w:p>
        </w:tc>
        <w:tc>
          <w:tcPr>
            <w:tcW w:w="5020" w:type="dxa"/>
            <w:vAlign w:val="bottom"/>
          </w:tcPr>
          <w:p>
            <w:pPr>
              <w:spacing w:after="0"/>
              <w:rPr>
                <w:sz w:val="20"/>
                <w:szCs w:val="20"/>
                <w:color w:val="auto"/>
              </w:rPr>
            </w:pPr>
          </w:p>
        </w:tc>
        <w:tc>
          <w:tcPr>
            <w:tcW w:w="2400" w:type="dxa"/>
            <w:vAlign w:val="bottom"/>
          </w:tcPr>
          <w:p>
            <w:pPr>
              <w:jc w:val="center"/>
              <w:ind w:left="190"/>
              <w:spacing w:after="0"/>
              <w:rPr>
                <w:sz w:val="20"/>
                <w:szCs w:val="20"/>
                <w:color w:val="auto"/>
              </w:rPr>
            </w:pPr>
            <w:r>
              <w:rPr>
                <w:rFonts w:ascii="Arial" w:cs="Arial" w:eastAsia="Arial" w:hAnsi="Arial"/>
                <w:sz w:val="18"/>
                <w:szCs w:val="18"/>
                <w:color w:val="auto"/>
                <w:w w:val="93"/>
              </w:rPr>
              <w:t>No.)</w:t>
            </w:r>
          </w:p>
        </w:tc>
      </w:tr>
      <w:tr>
        <w:trPr>
          <w:trHeight w:val="365"/>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4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38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ind w:left="20" w:right="26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On July 13, 2021, Veracyte, Inc. (the “Company”) entered into a Securities Purchase and Contribution Agreement (the “SPA”) for the acquisition (the “Acquisition”) of HalioDx SAS, a French société par actions simplifiée (“HalioDx”), in the form previously described in the Company’s Current Report on Form 8-K filed on June 1, 2021, as amended (the “June 1, 2021 8-K”).</w:t>
      </w:r>
    </w:p>
    <w:p>
      <w:pPr>
        <w:spacing w:after="0" w:line="20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obligations of the Company and the securityholders of HalioDx to complete the Acquisition remain subject to customary closing conditions, including French foreign investment authorization.</w:t>
      </w:r>
    </w:p>
    <w:p>
      <w:pPr>
        <w:spacing w:after="0" w:line="197"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16"/>
          <w:szCs w:val="16"/>
          <w:color w:val="auto"/>
        </w:rPr>
        <w:t>The foregoing description of the SPA and the description of the SPA included in the June 1, 2021 8-K are qualified in their entirety by reference to the full text of the SPA, a copy of which will be filed with Veracyte’s Quarterly Report on Form 10-Q for the fiscal quarter ended June 30, 2021.</w:t>
      </w:r>
    </w:p>
    <w:p>
      <w:pPr>
        <w:spacing w:after="0" w:line="14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As disclosed in the June 1, 2021 8-K, the consideration for the Acquisition includes up to approximately €113 million in shares of Company common stock, subject to customary purchase price adjustments and the Company’s option to substitute cash in lieu of shares (the “Equity Consideration”).</w:t>
      </w:r>
    </w:p>
    <w:p>
      <w:pPr>
        <w:spacing w:after="0" w:line="150"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16"/>
          <w:szCs w:val="16"/>
          <w:color w:val="auto"/>
        </w:rPr>
        <w:t>The Equity Consideration will be deemed to be exempt from registration under the Securities Act of 1933, as amended (the “Securities Act”), in reliance upon Section 4(a)(2) of the Securities Act (or Regulation D promulgated thereunder) and/or Regulation S promulgated under the Securities Act.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This Current Report on Form 8-K contains “forward-looking” statements within the meaning of Section 27A of the Securities Act and Section 21E of the Exchange Act which involve risks and uncertainties. These forward-looking statements include, but are not limited to, the possibility that the closing conditions to the proposed transaction may not be satisfied or waived, including that a governmental entity may not grant a required regulatory approval; delay in closing the transaction or the possibility of non-consummation of the transaction; the risk of stockholder litigation in connection with contemplated transaction; the retention of HalioDx employees and Veracyte’s ability to successfully integrate the HalioDx business; and risks inherent in the achievement of anticipated synergies and the timing thereof. You can identify these statements by the use of terminology such as “believe”, “expect”, “will”, “should,” “could”, “estimate”, “anticipate” or similar forward-looking terms. You should not rely on these forward-looking statements as they involve risks and uncertainties that may cause actual results to vary materially from the forward-looking statements. For more information regarding the risks and uncertainties that could cause actual results to differ materially from those expressed or implied in these forward-looking statements, as well as risks relating to Veracyte’s business in general, Veracyte refers you to the “Risk Factors” section of Veracyte’s Securities and Exchange Commission (“SEC”) filings, including Veracyte’s most recent Form 10-K and 10-Q, which are available on the Investor Relations page of Veracyte’s website at https://investor.veracyte.com/ and on the SEC website at www.sec.gov. The risks and uncertainties may be amplified by the COVID-19 pandemic, which has caused significant economic uncertainty. The extent to which the COVID-19 pandemic impacts Veracyte’s and HalioDx’s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Veracyte undertakes no obligation to update any of these forward-looking statements for any reason after the date of this communication or to conform these statements to actual results or revised expectations,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1639570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13, 2021</w:t>
      </w:r>
    </w:p>
    <w:p>
      <w:pPr>
        <w:spacing w:after="0" w:line="27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tbl>
      <w:tblPr>
        <w:tblLayout w:type="fixed"/>
        <w:tblInd w:w="462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Marc Stapley</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60" w:type="dxa"/>
            <w:vAlign w:val="bottom"/>
          </w:tcPr>
          <w:p>
            <w:pPr>
              <w:ind w:left="80"/>
              <w:spacing w:after="0"/>
              <w:rPr>
                <w:sz w:val="20"/>
                <w:szCs w:val="20"/>
                <w:color w:val="auto"/>
              </w:rPr>
            </w:pPr>
            <w:r>
              <w:rPr>
                <w:rFonts w:ascii="Arial" w:cs="Arial" w:eastAsia="Arial" w:hAnsi="Arial"/>
                <w:sz w:val="18"/>
                <w:szCs w:val="18"/>
                <w:color w:val="auto"/>
              </w:rPr>
              <w:t>Marc Stapley</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60" w:type="dxa"/>
            <w:vAlign w:val="bottom"/>
          </w:tcPr>
          <w:p>
            <w:pPr>
              <w:ind w:left="8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1" w:lineRule="exact"/>
        <w:rPr>
          <w:sz w:val="20"/>
          <w:szCs w:val="20"/>
          <w:color w:val="auto"/>
        </w:rPr>
      </w:pPr>
    </w:p>
    <w:sectPr>
      <w:pgSz w:w="11900" w:h="16838" w:orient="portrait"/>
      <w:cols w:equalWidth="0" w:num="1">
        <w:col w:w="11200"/>
      </w:cols>
      <w:pgMar w:left="320" w:top="14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2021-07-13T15:59:32Z</dcterms:created>
  <dcterms:modified xsi:type="dcterms:W3CDTF">2021-07-13T15:59:32Z</dcterms:modified>
</cp:coreProperties>
</file>