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735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72,998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735 shares of common stock to satisfy the reporting person's tax withholding obligations in connection with the vesting of 2,125 Restricted Stock Units granted on July 19, 2021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12/06/2022</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2022-12-06T16:19:13Z</dcterms:created>
  <dcterms:modified xsi:type="dcterms:W3CDTF">2022-12-06T16:19:13Z</dcterms:modified>
</cp:coreProperties>
</file>