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July 31, 2017</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31, 2017, Veracyte, Inc. issued a press release announcing its financial results for the quarter ended June 30, 2017.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July 31, 2017.</w:t>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31, 2017</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163195</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Second Quarter 2017 Financial Results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Reports 25% Revenue Growth, to $18.4 Million, 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37% Improvement in Loss from Operations Over Prior Year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Conference Call and Webcast Today at 4:30 p.m. ET</w:t>
      </w:r>
    </w:p>
    <w:p>
      <w:pPr>
        <w:spacing w:after="0" w:line="35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SOUTH SAN FRANCISCO, Calif., July 31, 2017 -- Veracyte, Inc. (NASDAQ: VCYT) today announced financial results for the second quarter ended June 30, 2017 and provided an update on recent business progress. For the second quarter of 2017, revenue was $18.4 million, an increase of 25%, compared to $14.7 million for the second quarter of 2016.</w:t>
      </w:r>
    </w:p>
    <w:p>
      <w:pPr>
        <w:spacing w:after="0" w:line="186"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"Our strong results for the quarter underscore our ability to execute against our plans,” said Bonnie Anderson, Veracyte's chairman and chief executive officer. “We achieved key milestones during the quarter, including establishing coverage for the Afirma classifier by all major insurance plans; launching the next-generation version of the classifier, with improved performance; and significantly extending our market reach to physicians. In addition, we have laid the foundation to reach our commercialization goals for the Percepta Bronchial Genomic Classifier in lung cancer diagnosis. We are thrilled with this progress and believe that we are poised to accelerate growth in the second half of the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2017 Financial Results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second quarter of 2017, as compared to the second quarter of 2016:</w:t>
      </w:r>
    </w:p>
    <w:p>
      <w:pPr>
        <w:spacing w:after="0" w:line="2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Revenue </w:t>
      </w:r>
      <w:r>
        <w:rPr>
          <w:rFonts w:ascii="Arial" w:cs="Arial" w:eastAsia="Arial" w:hAnsi="Arial"/>
          <w:sz w:val="20"/>
          <w:szCs w:val="20"/>
          <w:color w:val="auto"/>
        </w:rPr>
        <w:t>increased 25%, to $18.4 million;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declined 1%, to $25.0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Net Loss and Comprehensive Loss </w:t>
      </w:r>
      <w:r>
        <w:rPr>
          <w:rFonts w:ascii="Arial" w:cs="Arial" w:eastAsia="Arial" w:hAnsi="Arial"/>
          <w:sz w:val="20"/>
          <w:szCs w:val="20"/>
          <w:color w:val="auto"/>
        </w:rPr>
        <w:t>improved 35% to $7.3 million;</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 xml:space="preserve">Cash Burn </w:t>
      </w:r>
      <w:r>
        <w:rPr>
          <w:rFonts w:ascii="Arial" w:cs="Arial" w:eastAsia="Arial" w:hAnsi="Arial"/>
          <w:sz w:val="18"/>
          <w:szCs w:val="18"/>
          <w:color w:val="auto"/>
        </w:rPr>
        <w:t>(which is defined as net cash used in operating activities and net capital expenditures) improved 41%, to $5.0 million; and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was $46.5 million at June 30, 2017.</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2017 and Recent Business Highlights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Achievements:</w:t>
      </w:r>
    </w:p>
    <w:p>
      <w:pPr>
        <w:spacing w:after="0" w:line="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Grew Afirma genomic classifier volume by 11% in the second quarter of 2017, compared to the second quarter of 2016;</w:t>
      </w:r>
    </w:p>
    <w:p>
      <w:pPr>
        <w:ind w:left="660" w:right="50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Initiated the transition to the next-generation Afirma Genomic Sequencing Classifier (GSC), which can save an estimated 70% of benign patients from unnecessary thyroid surgery to rule out thyroid cancer;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Initiated access to the Afirma genomic classifier through Quest/AmeriPath division’s extensive network of service providers; and</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Accepted our first commercial orders for the Percepta genomic classifier, which aids in the screening and diagnosis of lung cancer.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Reimbursement Progress:</w:t>
      </w:r>
    </w:p>
    <w:p>
      <w:pPr>
        <w:sectPr>
          <w:pgSz w:w="11900" w:h="16838" w:orient="portrait"/>
          <w:cols w:equalWidth="0" w:num="1">
            <w:col w:w="11420"/>
          </w:cols>
          <w:pgMar w:left="240" w:top="580" w:right="239" w:bottom="1440" w:gutter="0" w:footer="0" w:header="0"/>
        </w:sectPr>
      </w:pPr>
    </w:p>
    <w:bookmarkStart w:id="4" w:name="page5"/>
    <w:bookmarkEnd w:id="4"/>
    <w:p>
      <w:pPr>
        <w:ind w:left="660" w:right="540" w:hanging="328"/>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Received Anthem and additional Blues coverage for our Afirma classifier, which is now one of the few genomic assays to attain coverage by virtually all health plans in the U.S.; and</w:t>
      </w:r>
    </w:p>
    <w:p>
      <w:pPr>
        <w:spacing w:after="0" w:line="1" w:lineRule="exact"/>
        <w:rPr>
          <w:rFonts w:ascii="Arial" w:cs="Arial" w:eastAsia="Arial" w:hAnsi="Arial"/>
          <w:sz w:val="18"/>
          <w:szCs w:val="18"/>
          <w:color w:val="auto"/>
        </w:rPr>
      </w:pPr>
    </w:p>
    <w:p>
      <w:pPr>
        <w:ind w:left="660" w:right="26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Signed five new contracts through Regence Blue Cross and Blue Cross of Kansas, bringing the total contracted lives for our Afirma classifier to approximately 163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Evidence Development:</w:t>
      </w:r>
    </w:p>
    <w:p>
      <w:pPr>
        <w:spacing w:after="0" w:line="16" w:lineRule="exact"/>
        <w:rPr>
          <w:sz w:val="20"/>
          <w:szCs w:val="20"/>
          <w:color w:val="auto"/>
        </w:rPr>
      </w:pPr>
    </w:p>
    <w:p>
      <w:pPr>
        <w:ind w:left="660" w:right="360" w:hanging="328"/>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Delivered podium presentation at the World Congress on Thyroid Cancer of pivotal clinical validation data for the next-generation Afirma GSC;</w:t>
      </w:r>
    </w:p>
    <w:p>
      <w:pPr>
        <w:spacing w:after="0" w:line="1" w:lineRule="exact"/>
        <w:rPr>
          <w:rFonts w:ascii="Arial" w:cs="Arial" w:eastAsia="Arial" w:hAnsi="Arial"/>
          <w:sz w:val="18"/>
          <w:szCs w:val="18"/>
          <w:color w:val="auto"/>
        </w:rPr>
      </w:pPr>
    </w:p>
    <w:p>
      <w:pPr>
        <w:ind w:left="660" w:right="120" w:hanging="328"/>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Published a clinical utility study in the Journal of Thoracic Oncology, demonstrating that adoption of the Percepta classifier in lung cancer screening and diagnosis can meaningfully reduce invasive procedures and associated costs, and is cost-effective across a range of assumptions;</w:t>
      </w:r>
    </w:p>
    <w:p>
      <w:pPr>
        <w:spacing w:after="0" w:line="1" w:lineRule="exact"/>
        <w:rPr>
          <w:rFonts w:ascii="Arial" w:cs="Arial" w:eastAsia="Arial" w:hAnsi="Arial"/>
          <w:sz w:val="18"/>
          <w:szCs w:val="18"/>
          <w:color w:val="auto"/>
        </w:rPr>
      </w:pPr>
    </w:p>
    <w:p>
      <w:pPr>
        <w:ind w:left="660" w:right="40" w:hanging="328"/>
        <w:spacing w:after="0" w:line="24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Presented pivotal clinical validation data for the Envisia Genomic Classifier at the American Thoracic Society 2017 International Conference, demonstrating the classifier’s unique ability to identify patients likely to have idiopathic pulmonary fibrosis (IPF), using a non-invasive sample;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Initiated the CATALYST study to evaluate the clinical utility of the Envisia classifier in the diagnosis of IPF</w:t>
      </w:r>
      <w:r>
        <w:rPr>
          <w:rFonts w:ascii="Arial" w:cs="Arial" w:eastAsia="Arial" w:hAnsi="Arial"/>
          <w:sz w:val="21"/>
          <w:szCs w:val="2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Financial Outlook</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Veracyte reiterates its 2017 annual revenue guidance of $76 to $84 million and annual cash burn of $25 to $27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Veracyte will host a conference call and webcast today at 4:30 p.m. Eastern Time to discuss the company's financial results and provide a general business update. The call may be accessed as follows: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Veracyte Second Quarter 2017 Conference Call</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4:30 p.m. ET Today</w:t>
      </w:r>
    </w:p>
    <w:p>
      <w:pPr>
        <w:spacing w:after="0" w:line="38"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Website: http://investor.veracyte.com</w:t>
      </w:r>
    </w:p>
    <w:p>
      <w:pPr>
        <w:spacing w:after="0" w:line="5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Dial-in number (U.S.): (855) 541-0980</w:t>
      </w:r>
    </w:p>
    <w:p>
      <w:pPr>
        <w:spacing w:after="0" w:line="54"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International number: (970) 315-0440</w:t>
      </w:r>
    </w:p>
    <w:p>
      <w:pPr>
        <w:spacing w:after="0" w:line="54"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Conference ID: 44718214</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webcast replay will be available on the company's website approximately two hours following completion of the call.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Veracyte</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Veracyte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classifiers,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4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our ability to execute against</w:t>
      </w:r>
    </w:p>
    <w:p>
      <w:pPr>
        <w:sectPr>
          <w:pgSz w:w="11900" w:h="16838" w:orient="portrait"/>
          <w:cols w:equalWidth="0" w:num="1">
            <w:col w:w="11360"/>
          </w:cols>
          <w:pgMar w:left="240" w:top="582" w:right="29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t>our plans, our belief that we have laid the foundation to reach our commercialization goals for the Percepta classifier, our belief that we are poised to accelerate growth in the second half of 2017, our belief as to the size of our addressable markets, our expectations regarding full-year 2017 revenue and cash burn guidance, our expectations regarding reimbursement coverage and policies, and the benefits and attributes of our tests, including our next-generation Afirma GSC.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enhance the performance of our Afirma classifier; the performance and acceptance of our Percepta and Envisia classifiers; our ability to increase usage of and reimbursement for the Afirma classifier and to obtain adequate reimbursement for our Percepta and Envisia classifiers, as well as any future products we may develop or sell; our ability to continue our momentum and growth; our dependence on a few payers for a significant portion of our revenue; the complexity, time and expense associated with billing and collecting from payers for our classifiers; laws and regulations applicable to our business, including potential regulation by the Food and Drug Administration or other regulatory bodies; our ability to develop and commercialize new products and the timing and speed of commercialization;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Quarterly Report on Form 10-Q for the quarter ended March 31, 2017. These forward-looking statements speak only as of the date hereof and Veracyte specifically disclaims any obligation to update these forward-looking statements.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Veracyte, Afirma, Percepta, Envisia, the Veracyte logo, and the Afirma logo are trademarks of Veracyte, Inc.</w:t>
      </w:r>
    </w:p>
    <w:p>
      <w:pPr>
        <w:sectPr>
          <w:pgSz w:w="11900" w:h="16838" w:orient="portrait"/>
          <w:cols w:equalWidth="0" w:num="1">
            <w:col w:w="11420"/>
          </w:cols>
          <w:pgMar w:left="240" w:top="582"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VERACYTE, INC.</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of dollars, except share and per share amounts)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5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18,406</w:t>
            </w:r>
          </w:p>
        </w:tc>
        <w:tc>
          <w:tcPr>
            <w:tcW w:w="12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14,675</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34,838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28,225</w:t>
            </w: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6,960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6,301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13,257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12,580</w:t>
            </w: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7,728</w:t>
            </w: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Selling and marketing</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7,994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8,263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15,330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15,329</w:t>
            </w: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6,192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6,071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12,211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12,299</w:t>
            </w:r>
          </w:p>
        </w:tc>
      </w:tr>
      <w:tr>
        <w:trPr>
          <w:trHeight w:val="270"/>
        </w:trPr>
        <w:tc>
          <w:tcPr>
            <w:tcW w:w="5580" w:type="dxa"/>
            <w:vAlign w:val="bottom"/>
          </w:tcPr>
          <w:p>
            <w:pPr>
              <w:ind w:left="160"/>
              <w:spacing w:after="0"/>
              <w:rPr>
                <w:sz w:val="20"/>
                <w:szCs w:val="20"/>
                <w:color w:val="auto"/>
              </w:rPr>
            </w:pPr>
            <w:r>
              <w:rPr>
                <w:rFonts w:ascii="Arial" w:cs="Arial" w:eastAsia="Arial" w:hAnsi="Arial"/>
                <w:sz w:val="16"/>
                <w:szCs w:val="16"/>
                <w:color w:val="auto"/>
              </w:rPr>
              <w:t>Intangible asset amortization</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534</w:t>
            </w: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48,964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48,470</w:t>
            </w: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(20,245)</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(1,152)</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(21,318)</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6"/>
                <w:szCs w:val="16"/>
                <w:color w:val="auto"/>
              </w:rPr>
              <w:t>Net loss per common share, basic and 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(0.77)</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6"/>
                <w:szCs w:val="16"/>
                <w:color w:val="auto"/>
              </w:rPr>
              <w:t>Shares used to compute net loss per common share, basic and diluted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33,873.128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27,859.918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33,848.645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27,838.955</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80" w:top="747" w:right="239" w:bottom="1440" w:gutter="0" w:footer="0" w:header="0"/>
        </w:sectPr>
      </w:pPr>
    </w:p>
    <w:bookmarkStart w:id="7" w:name="page8"/>
    <w:bookmarkEnd w:id="7"/>
    <w:p>
      <w:pPr>
        <w:jc w:val="center"/>
        <w:ind w:right="15"/>
        <w:spacing w:after="0"/>
        <w:rPr>
          <w:sz w:val="20"/>
          <w:szCs w:val="20"/>
          <w:color w:val="auto"/>
        </w:rPr>
      </w:pPr>
      <w:r>
        <w:rPr>
          <w:rFonts w:ascii="Arial" w:cs="Arial" w:eastAsia="Arial" w:hAnsi="Arial"/>
          <w:sz w:val="16"/>
          <w:szCs w:val="16"/>
          <w:b w:val="1"/>
          <w:bCs w:val="1"/>
          <w:color w:val="auto"/>
        </w:rPr>
        <w:t>VERACYTE, INC.</w:t>
      </w:r>
    </w:p>
    <w:p>
      <w:pPr>
        <w:spacing w:after="0" w:line="73"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CONDENSED BALANCE SHEETS</w:t>
      </w:r>
    </w:p>
    <w:p>
      <w:pPr>
        <w:spacing w:after="0" w:line="73"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(In thousands of dollars)</w:t>
      </w:r>
    </w:p>
    <w:p>
      <w:pPr>
        <w:spacing w:after="0" w:line="200" w:lineRule="exact"/>
        <w:rPr>
          <w:sz w:val="20"/>
          <w:szCs w:val="20"/>
          <w:color w:val="auto"/>
        </w:rPr>
      </w:pPr>
    </w:p>
    <w:p>
      <w:pPr>
        <w:spacing w:after="0" w:line="201"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24"/>
        </w:trPr>
        <w:tc>
          <w:tcPr>
            <w:tcW w:w="8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19"/>
                <w:szCs w:val="19"/>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(See Note 1)</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46,463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59,219</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11,027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8,756</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Supplies inventory</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73,627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11,480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Finite-lived intangible assets, net</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14,133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88,347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101,034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11,534</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24,971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24,918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Capital lease liability, net of current portion</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Deferred rent, net of current portion</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41,453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47,844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59,581</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88,347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101,034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5" w:right="280" w:hanging="5"/>
        <w:spacing w:after="0" w:line="298" w:lineRule="auto"/>
        <w:tabs>
          <w:tab w:leader="none" w:pos="23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The condensed balance sheet at December 31, 2016 has been derived from the audited financial statements at that date included in the Company's Form 10-K filed with the Securities and Exchange Commission dated March 1, 2017.</w:t>
      </w:r>
    </w:p>
    <w:p>
      <w:pPr>
        <w:sectPr>
          <w:pgSz w:w="11900" w:h="16838" w:orient="portrait"/>
          <w:cols w:equalWidth="0" w:num="1">
            <w:col w:w="11385"/>
          </w:cols>
          <w:pgMar w:left="275" w:top="747" w:right="239" w:bottom="144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10"/>
        </w:trPr>
        <w:tc>
          <w:tcPr>
            <w:tcW w:w="6460" w:type="dxa"/>
            <w:vAlign w:val="bottom"/>
          </w:tcPr>
          <w:p>
            <w:pPr>
              <w:jc w:val="center"/>
              <w:ind w:left="2419"/>
              <w:spacing w:after="0"/>
              <w:rPr>
                <w:sz w:val="20"/>
                <w:szCs w:val="20"/>
                <w:color w:val="auto"/>
              </w:rPr>
            </w:pPr>
            <w:r>
              <w:rPr>
                <w:rFonts w:ascii="Arial" w:cs="Arial" w:eastAsia="Arial" w:hAnsi="Arial"/>
                <w:sz w:val="16"/>
                <w:szCs w:val="16"/>
                <w:b w:val="1"/>
                <w:bCs w:val="1"/>
                <w:color w:val="auto"/>
              </w:rPr>
              <w:t>VERACYTE, INC.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60" w:type="dxa"/>
            <w:vAlign w:val="bottom"/>
          </w:tcPr>
          <w:p>
            <w:pPr>
              <w:jc w:val="center"/>
              <w:ind w:left="2399"/>
              <w:spacing w:after="0"/>
              <w:rPr>
                <w:sz w:val="20"/>
                <w:szCs w:val="20"/>
                <w:color w:val="auto"/>
              </w:rPr>
            </w:pPr>
            <w:r>
              <w:rPr>
                <w:rFonts w:ascii="Arial" w:cs="Arial" w:eastAsia="Arial" w:hAnsi="Arial"/>
                <w:sz w:val="16"/>
                <w:szCs w:val="16"/>
                <w:b w:val="1"/>
                <w:bCs w:val="1"/>
                <w:color w:val="auto"/>
                <w:w w:val="88"/>
              </w:rPr>
              <w:t>Condensed Statements of Cash Flows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60" w:type="dxa"/>
            <w:vAlign w:val="bottom"/>
          </w:tcPr>
          <w:p>
            <w:pPr>
              <w:jc w:val="center"/>
              <w:ind w:left="2419"/>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60" w:type="dxa"/>
            <w:vAlign w:val="bottom"/>
          </w:tcPr>
          <w:p>
            <w:pPr>
              <w:jc w:val="center"/>
              <w:ind w:left="2399"/>
              <w:spacing w:after="0"/>
              <w:rPr>
                <w:sz w:val="20"/>
                <w:szCs w:val="20"/>
                <w:color w:val="auto"/>
              </w:rPr>
            </w:pPr>
            <w:r>
              <w:rPr>
                <w:rFonts w:ascii="Arial" w:cs="Arial" w:eastAsia="Arial" w:hAnsi="Arial"/>
                <w:sz w:val="16"/>
                <w:szCs w:val="16"/>
                <w:b w:val="1"/>
                <w:bCs w:val="1"/>
                <w:color w:val="auto"/>
                <w:w w:val="91"/>
              </w:rPr>
              <w:t>(In thousands of dollars)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(15,515)</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(21,318)</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Loss on disposal of property and equipment</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Genzyme co-promotion fee amortization</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Conversion of accrued interest on long-term debt</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Amortization and write-off of debt discount and issuance costs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Interest on debt balloon payment and prepayment penalty</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70"/>
        </w:trPr>
        <w:tc>
          <w:tcPr>
            <w:tcW w:w="64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Supplies inventory</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Prepaid expenses and current other assets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70"/>
        </w:trPr>
        <w:tc>
          <w:tcPr>
            <w:tcW w:w="6460" w:type="dxa"/>
            <w:vAlign w:val="bottom"/>
          </w:tcPr>
          <w:p>
            <w:pPr>
              <w:ind w:left="360"/>
              <w:spacing w:after="0"/>
              <w:rPr>
                <w:sz w:val="20"/>
                <w:szCs w:val="20"/>
                <w:color w:val="auto"/>
              </w:rPr>
            </w:pPr>
            <w:r>
              <w:rPr>
                <w:rFonts w:ascii="Arial" w:cs="Arial" w:eastAsia="Arial" w:hAnsi="Arial"/>
                <w:sz w:val="16"/>
                <w:szCs w:val="16"/>
                <w:color w:val="auto"/>
              </w:rPr>
              <w:t>Accrued liabilities and deferred rent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(16,312)</w:t>
            </w:r>
          </w:p>
        </w:tc>
        <w:tc>
          <w:tcPr>
            <w:tcW w:w="0" w:type="dxa"/>
            <w:vAlign w:val="bottom"/>
          </w:tcPr>
          <w:p>
            <w:pPr>
              <w:spacing w:after="0"/>
              <w:rPr>
                <w:sz w:val="1"/>
                <w:szCs w:val="1"/>
                <w:color w:val="auto"/>
              </w:rPr>
            </w:pPr>
          </w:p>
        </w:tc>
      </w:tr>
      <w:tr>
        <w:trPr>
          <w:trHeight w:val="33"/>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Change in restricted cash</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33"/>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Proceeds from the issuance of long-term debt, net of debt issuance costs</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24,452</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Payment of long-term debt</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Payment of end-of-term debt obligation and prepayment penalty</w:t>
            </w: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Proceeds from the issuance of common stock in a public offering, net of costs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Payment of capital lease liability</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color w:val="auto"/>
              </w:rPr>
              <w:t>Proceeds from the exercise of common stock options and employee stock purchases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19,810</w:t>
            </w:r>
          </w:p>
        </w:tc>
        <w:tc>
          <w:tcPr>
            <w:tcW w:w="0" w:type="dxa"/>
            <w:vAlign w:val="bottom"/>
          </w:tcPr>
          <w:p>
            <w:pPr>
              <w:spacing w:after="0"/>
              <w:rPr>
                <w:sz w:val="1"/>
                <w:szCs w:val="1"/>
                <w:color w:val="auto"/>
              </w:rPr>
            </w:pPr>
          </w:p>
        </w:tc>
      </w:tr>
      <w:tr>
        <w:trPr>
          <w:trHeight w:val="33"/>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59,219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39,084</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46,463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Supplementary cash flow information of 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6"/>
                <w:szCs w:val="16"/>
                <w:b w:val="1"/>
                <w:bCs w:val="1"/>
                <w:color w:val="auto"/>
                <w:w w:val="93"/>
              </w:rPr>
              <w:t>Purchases of property and equipment included in accounts payable and accrued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9020"/>
          </w:cols>
          <w:pgMar w:left="1440" w:top="747" w:right="1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tracy.Morris@Veracyte.com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Jackie Cossmon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jackie@veracyte.com</w:t>
      </w:r>
    </w:p>
    <w:sectPr>
      <w:pgSz w:w="11900" w:h="16838" w:orient="portrait"/>
      <w:cols w:equalWidth="0" w:num="1">
        <w:col w:w="10219"/>
      </w:cols>
      <w:pgMar w:left="2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2019-12-07T05:06:41Z</dcterms:created>
  <dcterms:modified xsi:type="dcterms:W3CDTF">2019-12-07T05:06:41Z</dcterms:modified>
</cp:coreProperties>
</file>