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20" w:type="dxa"/>
            <w:vAlign w:val="bottom"/>
          </w:tcPr>
          <w:p>
            <w:pPr>
              <w:ind w:left="40"/>
              <w:spacing w:after="0"/>
              <w:rPr>
                <w:sz w:val="20"/>
                <w:szCs w:val="20"/>
                <w:color w:val="auto"/>
              </w:rPr>
            </w:pPr>
            <w:r>
              <w:rPr>
                <w:rFonts w:ascii="Arial" w:cs="Arial" w:eastAsia="Arial" w:hAnsi="Arial"/>
                <w:sz w:val="22"/>
                <w:szCs w:val="22"/>
                <w:color w:val="auto"/>
              </w:rPr>
              <w:t>0001020741</w:t>
            </w:r>
          </w:p>
        </w:tc>
        <w:tc>
          <w:tcPr>
            <w:tcW w:w="29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20" w:type="dxa"/>
            <w:vAlign w:val="bottom"/>
          </w:tcPr>
          <w:p>
            <w:pPr>
              <w:ind w:left="40"/>
              <w:spacing w:after="0"/>
              <w:rPr>
                <w:sz w:val="20"/>
                <w:szCs w:val="20"/>
                <w:color w:val="auto"/>
              </w:rPr>
            </w:pPr>
            <w:r>
              <w:rPr>
                <w:rFonts w:ascii="Arial" w:cs="Arial" w:eastAsia="Arial" w:hAnsi="Arial"/>
                <w:sz w:val="22"/>
                <w:szCs w:val="22"/>
                <w:color w:val="auto"/>
              </w:rPr>
              <w:t>XXXXXXXX</w:t>
            </w:r>
          </w:p>
        </w:tc>
        <w:tc>
          <w:tcPr>
            <w:tcW w:w="2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49"/>
        </w:trPr>
        <w:tc>
          <w:tcPr>
            <w:tcW w:w="68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9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001-36156</w:t>
            </w:r>
          </w:p>
        </w:tc>
      </w:tr>
      <w:tr>
        <w:trPr>
          <w:trHeight w:val="266"/>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w w:val="88"/>
              </w:rPr>
              <w:t>6000 Shoreline Court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w w:val="90"/>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1-650-243-6300</w:t>
            </w:r>
          </w:p>
        </w:tc>
      </w:tr>
      <w:tr>
        <w:trPr>
          <w:trHeight w:val="297"/>
        </w:trPr>
        <w:tc>
          <w:tcPr>
            <w:tcW w:w="68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960" w:type="dxa"/>
            <w:vAlign w:val="bottom"/>
          </w:tcPr>
          <w:p>
            <w:pPr>
              <w:ind w:left="1100"/>
              <w:spacing w:after="0"/>
              <w:rPr>
                <w:sz w:val="20"/>
                <w:szCs w:val="20"/>
                <w:color w:val="auto"/>
              </w:rPr>
            </w:pPr>
            <w:r>
              <w:rPr>
                <w:rFonts w:ascii="Arial" w:cs="Arial" w:eastAsia="Arial" w:hAnsi="Arial"/>
                <w:sz w:val="22"/>
                <w:szCs w:val="22"/>
                <w:color w:val="auto"/>
              </w:rPr>
              <w:t>jVen Capital,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7441</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221592.98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07/18/2023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jc w:val="right"/>
              <w:ind w:right="52"/>
              <w:spacing w:after="0"/>
              <w:rPr>
                <w:sz w:val="20"/>
                <w:szCs w:val="20"/>
                <w:color w:val="auto"/>
              </w:rPr>
            </w:pPr>
            <w:r>
              <w:rPr>
                <w:rFonts w:ascii="Arial" w:cs="Arial" w:eastAsia="Arial" w:hAnsi="Arial"/>
                <w:sz w:val="22"/>
                <w:szCs w:val="22"/>
                <w:b w:val="1"/>
                <w:bCs w:val="1"/>
                <w:color w:val="auto"/>
              </w:rPr>
              <w:t>Transaction</w:t>
            </w: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2"/>
              </w:rPr>
              <w:t>Whom</w:t>
            </w:r>
          </w:p>
        </w:tc>
        <w:tc>
          <w:tcPr>
            <w:tcW w:w="27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8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276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80" w:type="dxa"/>
            <w:vAlign w:val="bottom"/>
          </w:tcPr>
          <w:p>
            <w:pPr>
              <w:ind w:left="2520"/>
              <w:spacing w:after="0"/>
              <w:rPr>
                <w:sz w:val="20"/>
                <w:szCs w:val="20"/>
                <w:color w:val="auto"/>
              </w:rPr>
            </w:pPr>
            <w:r>
              <w:rPr>
                <w:rFonts w:ascii="Arial" w:cs="Arial" w:eastAsia="Arial" w:hAnsi="Arial"/>
                <w:sz w:val="22"/>
                <w:szCs w:val="22"/>
                <w:color w:val="auto"/>
              </w:rPr>
              <w:t>Acquired from</w:t>
            </w: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w w:val="99"/>
              </w:rPr>
              <w:t>Veracyte, Inc.</w:t>
            </w:r>
          </w:p>
        </w:tc>
        <w:tc>
          <w:tcPr>
            <w:tcW w:w="2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4080" w:type="dxa"/>
            <w:vAlign w:val="bottom"/>
            <w:vMerge w:val="restart"/>
          </w:tcPr>
          <w:p>
            <w:pPr>
              <w:jc w:val="right"/>
              <w:ind w:right="72"/>
              <w:spacing w:after="0" w:line="243" w:lineRule="exact"/>
              <w:rPr>
                <w:sz w:val="20"/>
                <w:szCs w:val="20"/>
                <w:color w:val="auto"/>
              </w:rPr>
            </w:pPr>
            <w:r>
              <w:rPr>
                <w:rFonts w:ascii="Arial" w:cs="Arial" w:eastAsia="Arial" w:hAnsi="Arial"/>
                <w:sz w:val="22"/>
                <w:szCs w:val="22"/>
                <w:color w:val="auto"/>
                <w:w w:val="90"/>
              </w:rPr>
              <w:t>Common Stock 07/26/2011 issuer in private</w:t>
            </w:r>
          </w:p>
        </w:tc>
        <w:tc>
          <w:tcPr>
            <w:tcW w:w="1520" w:type="dxa"/>
            <w:vAlign w:val="bottom"/>
            <w:vMerge w:val="continue"/>
          </w:tcPr>
          <w:p>
            <w:pPr>
              <w:spacing w:after="0"/>
              <w:rPr>
                <w:sz w:val="10"/>
                <w:szCs w:val="10"/>
                <w:color w:val="auto"/>
              </w:rPr>
            </w:pPr>
          </w:p>
        </w:tc>
        <w:tc>
          <w:tcPr>
            <w:tcW w:w="2760" w:type="dxa"/>
            <w:vAlign w:val="bottom"/>
            <w:vMerge w:val="restart"/>
          </w:tcPr>
          <w:p>
            <w:pPr>
              <w:jc w:val="right"/>
              <w:ind w:right="632"/>
              <w:spacing w:after="0" w:line="243" w:lineRule="exact"/>
              <w:rPr>
                <w:sz w:val="20"/>
                <w:szCs w:val="20"/>
                <w:color w:val="auto"/>
              </w:rPr>
            </w:pPr>
            <w:r>
              <w:rPr>
                <w:rFonts w:ascii="Arial" w:cs="Arial" w:eastAsia="Arial" w:hAnsi="Arial"/>
                <w:sz w:val="22"/>
                <w:szCs w:val="22"/>
                <w:color w:val="auto"/>
              </w:rPr>
              <w:t>7441</w:t>
            </w:r>
          </w:p>
        </w:tc>
        <w:tc>
          <w:tcPr>
            <w:tcW w:w="16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w w:val="85"/>
              </w:rPr>
              <w:t>07/26/2011 Cash</w:t>
            </w: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520"/>
              <w:spacing w:after="0"/>
              <w:rPr>
                <w:sz w:val="20"/>
                <w:szCs w:val="20"/>
                <w:color w:val="auto"/>
              </w:rPr>
            </w:pPr>
            <w:r>
              <w:rPr>
                <w:rFonts w:ascii="Arial" w:cs="Arial" w:eastAsia="Arial" w:hAnsi="Arial"/>
                <w:sz w:val="22"/>
                <w:szCs w:val="22"/>
                <w:color w:val="auto"/>
              </w:rPr>
              <w:t>transaction</w:t>
            </w:r>
          </w:p>
        </w:tc>
        <w:tc>
          <w:tcPr>
            <w:tcW w:w="152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jVen Capital, LLC</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07/17/2023 23949</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720105.72</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00" w:type="dxa"/>
            <w:vAlign w:val="bottom"/>
          </w:tcPr>
          <w:p>
            <w:pPr>
              <w:spacing w:after="0"/>
              <w:rPr>
                <w:sz w:val="20"/>
                <w:szCs w:val="20"/>
                <w:color w:val="auto"/>
              </w:rPr>
            </w:pPr>
            <w:r>
              <w:rPr>
                <w:rFonts w:ascii="Arial" w:cs="Arial" w:eastAsia="Arial" w:hAnsi="Arial"/>
                <w:sz w:val="22"/>
                <w:szCs w:val="22"/>
                <w:color w:val="auto"/>
              </w:rPr>
              <w:t>Evan Jones</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line="243" w:lineRule="exact"/>
              <w:rPr>
                <w:sz w:val="20"/>
                <w:szCs w:val="20"/>
                <w:color w:val="auto"/>
              </w:rPr>
            </w:pPr>
            <w:r>
              <w:rPr>
                <w:rFonts w:ascii="Arial" w:cs="Arial" w:eastAsia="Arial" w:hAnsi="Arial"/>
                <w:sz w:val="22"/>
                <w:szCs w:val="22"/>
                <w:color w:val="auto"/>
                <w:w w:val="90"/>
              </w:rPr>
              <w:t>6000 Shoreline Court</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07/17/2023 19095</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574106.45</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243" w:lineRule="exact"/>
              <w:rPr>
                <w:sz w:val="20"/>
                <w:szCs w:val="20"/>
                <w:color w:val="auto"/>
              </w:rPr>
            </w:pPr>
            <w:r>
              <w:rPr>
                <w:rFonts w:ascii="Arial" w:cs="Arial" w:eastAsia="Arial" w:hAnsi="Arial"/>
                <w:sz w:val="22"/>
                <w:szCs w:val="22"/>
                <w:color w:val="auto"/>
              </w:rPr>
              <w:t>Suite 300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22"/>
                <w:szCs w:val="22"/>
                <w:color w:val="auto"/>
                <w:w w:val="92"/>
              </w:rPr>
              <w:t>South San Francisco</w:t>
            </w:r>
          </w:p>
        </w:tc>
        <w:tc>
          <w:tcPr>
            <w:tcW w:w="420" w:type="dxa"/>
            <w:vAlign w:val="bottom"/>
          </w:tcPr>
          <w:p>
            <w:pPr>
              <w:ind w:left="40"/>
              <w:spacing w:after="0"/>
              <w:rPr>
                <w:sz w:val="20"/>
                <w:szCs w:val="20"/>
                <w:color w:val="auto"/>
              </w:rPr>
            </w:pPr>
            <w:r>
              <w:rPr>
                <w:rFonts w:ascii="Arial" w:cs="Arial" w:eastAsia="Arial" w:hAnsi="Arial"/>
                <w:sz w:val="22"/>
                <w:szCs w:val="22"/>
                <w:color w:val="auto"/>
              </w:rPr>
              <w:t>CA</w:t>
            </w:r>
          </w:p>
        </w:tc>
        <w:tc>
          <w:tcPr>
            <w:tcW w:w="1040" w:type="dxa"/>
            <w:vAlign w:val="bottom"/>
          </w:tcPr>
          <w:p>
            <w:pPr>
              <w:jc w:val="right"/>
              <w:ind w:right="312"/>
              <w:spacing w:after="0"/>
              <w:rPr>
                <w:sz w:val="20"/>
                <w:szCs w:val="20"/>
                <w:color w:val="auto"/>
              </w:rPr>
            </w:pPr>
            <w:r>
              <w:rPr>
                <w:rFonts w:ascii="Arial" w:cs="Arial" w:eastAsia="Arial" w:hAnsi="Arial"/>
                <w:sz w:val="22"/>
                <w:szCs w:val="22"/>
                <w:color w:val="auto"/>
                <w:w w:val="98"/>
              </w:rPr>
              <w:t>94080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The sales of shares set forth herein are made in connection with a selling plan dated 12/12/2022, that is intended to comply with Rule 10b5-1(c). All shares sold by jVen Capital, LLC.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07/18/2023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12/12/2022</w:t>
      </w:r>
    </w:p>
    <w:p>
      <w:pPr>
        <w:spacing w:after="0" w:line="618" w:lineRule="exact"/>
        <w:rPr>
          <w:sz w:val="20"/>
          <w:szCs w:val="20"/>
          <w:color w:val="auto"/>
        </w:rPr>
      </w:pPr>
    </w:p>
    <w:p>
      <w:pPr>
        <w:sectPr>
          <w:pgSz w:w="11900" w:h="16838" w:orient="portrait"/>
          <w:cols w:equalWidth="0" w:num="2">
            <w:col w:w="3380" w:space="280"/>
            <w:col w:w="758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Evan Jones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2023-07-18T16:33:12Z</dcterms:created>
  <dcterms:modified xsi:type="dcterms:W3CDTF">2023-07-18T16:33:12Z</dcterms:modified>
</cp:coreProperties>
</file>