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31" w:lineRule="exact"/>
        <w:rPr>
          <w:sz w:val="24"/>
          <w:szCs w:val="24"/>
          <w:color w:val="auto"/>
        </w:rPr>
      </w:pPr>
    </w:p>
    <w:p>
      <w:pPr>
        <w:ind w:left="480"/>
        <w:spacing w:after="0" w:line="131" w:lineRule="exact"/>
        <w:rPr>
          <w:sz w:val="20"/>
          <w:szCs w:val="20"/>
          <w:color w:val="auto"/>
        </w:rPr>
      </w:pPr>
      <w:r>
        <w:rPr>
          <w:rFonts w:ascii="MS PGothic" w:cs="MS PGothic" w:eastAsia="MS PGothic" w:hAnsi="MS PGothic"/>
          <w:sz w:val="13"/>
          <w:szCs w:val="13"/>
          <w:color w:val="auto"/>
        </w:rPr>
        <w: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left="40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6"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15"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2"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325"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2020 or</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325" w:lineRule="exact"/>
        <w:rPr>
          <w:sz w:val="24"/>
          <w:szCs w:val="24"/>
          <w:color w:val="auto"/>
        </w:rPr>
      </w:pPr>
    </w:p>
    <w:p>
      <w:pPr>
        <w:ind w:left="3340"/>
        <w:spacing w:after="0"/>
        <w:tabs>
          <w:tab w:leader="none" w:pos="550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3"/>
          <w:szCs w:val="13"/>
          <w:b w:val="1"/>
          <w:bCs w:val="1"/>
          <w:color w:val="auto"/>
        </w:rPr>
        <w:t>to</w:t>
      </w:r>
    </w:p>
    <w:p>
      <w:pPr>
        <w:spacing w:after="0" w:line="150"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3"/>
          <w:szCs w:val="13"/>
          <w:b w:val="1"/>
          <w:bCs w:val="1"/>
          <w:color w:val="auto"/>
        </w:rPr>
        <w:t>Commission File Number 001-36156</w:t>
      </w:r>
    </w:p>
    <w:p>
      <w:pPr>
        <w:spacing w:after="0" w:line="213"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27"/>
          <w:szCs w:val="27"/>
          <w:b w:val="1"/>
          <w:bCs w:val="1"/>
          <w:color w:val="auto"/>
        </w:rPr>
        <w:t>VERACYTE, INC.</w:t>
      </w:r>
    </w:p>
    <w:p>
      <w:pPr>
        <w:spacing w:after="0" w:line="29"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109" w:lineRule="exact"/>
        <w:rPr>
          <w:sz w:val="24"/>
          <w:szCs w:val="24"/>
          <w:color w:val="auto"/>
        </w:rPr>
      </w:pPr>
    </w:p>
    <w:tbl>
      <w:tblPr>
        <w:tblLayout w:type="fixed"/>
        <w:tblInd w:w="1560" w:type="dxa"/>
        <w:tblCellMar>
          <w:top w:w="0" w:type="dxa"/>
          <w:left w:w="0" w:type="dxa"/>
          <w:bottom w:w="0" w:type="dxa"/>
          <w:right w:w="0" w:type="dxa"/>
        </w:tblCellMar>
      </w:tblPr>
      <w:tr>
        <w:trPr>
          <w:trHeight w:val="175"/>
        </w:trPr>
        <w:tc>
          <w:tcPr>
            <w:tcW w:w="3040" w:type="dxa"/>
            <w:vAlign w:val="bottom"/>
          </w:tcPr>
          <w:p>
            <w:pPr>
              <w:jc w:val="center"/>
              <w:ind w:right="1313"/>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2620" w:type="dxa"/>
            <w:vAlign w:val="bottom"/>
          </w:tcPr>
          <w:p>
            <w:pPr>
              <w:jc w:val="center"/>
              <w:ind w:left="1313"/>
              <w:spacing w:after="0"/>
              <w:rPr>
                <w:sz w:val="20"/>
                <w:szCs w:val="20"/>
                <w:color w:val="auto"/>
              </w:rPr>
            </w:pPr>
            <w:r>
              <w:rPr>
                <w:rFonts w:ascii="Times New Roman" w:cs="Times New Roman" w:eastAsia="Times New Roman" w:hAnsi="Times New Roman"/>
                <w:sz w:val="13"/>
                <w:szCs w:val="13"/>
                <w:b w:val="1"/>
                <w:bCs w:val="1"/>
                <w:color w:val="auto"/>
              </w:rPr>
              <w:t>20-5455398</w:t>
            </w:r>
          </w:p>
        </w:tc>
      </w:tr>
      <w:tr>
        <w:trPr>
          <w:trHeight w:val="135"/>
        </w:trPr>
        <w:tc>
          <w:tcPr>
            <w:tcW w:w="3040" w:type="dxa"/>
            <w:vAlign w:val="bottom"/>
          </w:tcPr>
          <w:p>
            <w:pPr>
              <w:jc w:val="center"/>
              <w:ind w:right="1313"/>
              <w:spacing w:after="0" w:line="135" w:lineRule="exact"/>
              <w:rPr>
                <w:sz w:val="20"/>
                <w:szCs w:val="20"/>
                <w:color w:val="auto"/>
              </w:rPr>
            </w:pPr>
            <w:r>
              <w:rPr>
                <w:rFonts w:ascii="Times New Roman" w:cs="Times New Roman" w:eastAsia="Times New Roman" w:hAnsi="Times New Roman"/>
                <w:sz w:val="13"/>
                <w:szCs w:val="13"/>
                <w:color w:val="auto"/>
              </w:rPr>
              <w:t>(State or Other Jurisdiction of</w:t>
            </w:r>
          </w:p>
        </w:tc>
        <w:tc>
          <w:tcPr>
            <w:tcW w:w="2620" w:type="dxa"/>
            <w:vAlign w:val="bottom"/>
          </w:tcPr>
          <w:p>
            <w:pPr>
              <w:jc w:val="center"/>
              <w:ind w:left="1293"/>
              <w:spacing w:after="0" w:line="135" w:lineRule="exact"/>
              <w:rPr>
                <w:sz w:val="20"/>
                <w:szCs w:val="20"/>
                <w:color w:val="auto"/>
              </w:rPr>
            </w:pPr>
            <w:r>
              <w:rPr>
                <w:rFonts w:ascii="Times New Roman" w:cs="Times New Roman" w:eastAsia="Times New Roman" w:hAnsi="Times New Roman"/>
                <w:sz w:val="13"/>
                <w:szCs w:val="13"/>
                <w:color w:val="auto"/>
              </w:rPr>
              <w:t>(I.R.S. Employer</w:t>
            </w:r>
          </w:p>
        </w:tc>
      </w:tr>
      <w:tr>
        <w:trPr>
          <w:trHeight w:val="173"/>
        </w:trPr>
        <w:tc>
          <w:tcPr>
            <w:tcW w:w="3040" w:type="dxa"/>
            <w:vAlign w:val="bottom"/>
          </w:tcPr>
          <w:p>
            <w:pPr>
              <w:jc w:val="center"/>
              <w:ind w:right="1333"/>
              <w:spacing w:after="0"/>
              <w:rPr>
                <w:sz w:val="20"/>
                <w:szCs w:val="20"/>
                <w:color w:val="auto"/>
              </w:rPr>
            </w:pPr>
            <w:r>
              <w:rPr>
                <w:rFonts w:ascii="Times New Roman" w:cs="Times New Roman" w:eastAsia="Times New Roman" w:hAnsi="Times New Roman"/>
                <w:sz w:val="13"/>
                <w:szCs w:val="13"/>
                <w:color w:val="auto"/>
              </w:rPr>
              <w:t>Incorporation or Organization)</w:t>
            </w:r>
          </w:p>
        </w:tc>
        <w:tc>
          <w:tcPr>
            <w:tcW w:w="2620" w:type="dxa"/>
            <w:vAlign w:val="bottom"/>
          </w:tcPr>
          <w:p>
            <w:pPr>
              <w:jc w:val="center"/>
              <w:ind w:left="1313"/>
              <w:spacing w:after="0"/>
              <w:rPr>
                <w:sz w:val="20"/>
                <w:szCs w:val="20"/>
                <w:color w:val="auto"/>
              </w:rPr>
            </w:pPr>
            <w:r>
              <w:rPr>
                <w:rFonts w:ascii="Times New Roman" w:cs="Times New Roman" w:eastAsia="Times New Roman" w:hAnsi="Times New Roman"/>
                <w:sz w:val="13"/>
                <w:szCs w:val="13"/>
                <w:color w:val="auto"/>
              </w:rPr>
              <w:t>Identification Number)</w:t>
            </w:r>
          </w:p>
        </w:tc>
      </w:tr>
    </w:tbl>
    <w:p>
      <w:pPr>
        <w:spacing w:after="0" w:line="280"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3"/>
          <w:szCs w:val="13"/>
          <w:b w:val="1"/>
          <w:bCs w:val="1"/>
          <w:color w:val="auto"/>
        </w:rPr>
        <w:t>6000 Shoreline Court, Suite 300</w:t>
      </w:r>
    </w:p>
    <w:p>
      <w:pPr>
        <w:spacing w:after="0" w:line="16"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3"/>
          <w:szCs w:val="13"/>
          <w:b w:val="1"/>
          <w:bCs w:val="1"/>
          <w:color w:val="auto"/>
        </w:rPr>
        <w:t>South San Francisco, California 94080</w:t>
      </w:r>
    </w:p>
    <w:p>
      <w:pPr>
        <w:jc w:val="center"/>
        <w:ind w:right="1200"/>
        <w:spacing w:after="0"/>
        <w:rPr>
          <w:sz w:val="20"/>
          <w:szCs w:val="20"/>
          <w:color w:val="auto"/>
        </w:rPr>
      </w:pPr>
      <w:r>
        <w:rPr>
          <w:rFonts w:ascii="Times New Roman" w:cs="Times New Roman" w:eastAsia="Times New Roman" w:hAnsi="Times New Roman"/>
          <w:sz w:val="13"/>
          <w:szCs w:val="13"/>
          <w:color w:val="auto"/>
        </w:rPr>
        <w:t>(Address of Principal Executive Offices, Including Zip Code)</w:t>
      </w:r>
    </w:p>
    <w:p>
      <w:pPr>
        <w:spacing w:after="0" w:line="20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3"/>
          <w:szCs w:val="13"/>
          <w:b w:val="1"/>
          <w:bCs w:val="1"/>
          <w:color w:val="auto"/>
        </w:rPr>
        <w:t>(650) 243-6300</w:t>
      </w:r>
    </w:p>
    <w:p>
      <w:pPr>
        <w:spacing w:after="0" w:line="16"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p>
      <w:pPr>
        <w:spacing w:after="0" w:line="200" w:lineRule="exact"/>
        <w:rPr>
          <w:sz w:val="24"/>
          <w:szCs w:val="24"/>
          <w:color w:val="auto"/>
        </w:rPr>
      </w:pPr>
    </w:p>
    <w:p>
      <w:pPr>
        <w:sectPr>
          <w:pgSz w:w="11900" w:h="16838" w:orient="portrait"/>
          <w:cols w:equalWidth="0" w:num="2">
            <w:col w:w="680" w:space="440"/>
            <w:col w:w="10220"/>
          </w:cols>
          <w:pgMar w:left="320" w:top="730" w:right="239" w:bottom="1440" w:gutter="0" w:footer="0" w:header="0"/>
        </w:sectPr>
      </w:pPr>
    </w:p>
    <w:p>
      <w:pPr>
        <w:spacing w:after="0" w:line="1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350" w:lineRule="exact"/>
        <w:rPr>
          <w:sz w:val="24"/>
          <w:szCs w:val="24"/>
          <w:color w:val="auto"/>
        </w:rPr>
      </w:pPr>
    </w:p>
    <w:tbl>
      <w:tblPr>
        <w:tblLayout w:type="fixed"/>
        <w:tblInd w:w="440" w:type="dxa"/>
        <w:tblCellMar>
          <w:top w:w="0" w:type="dxa"/>
          <w:left w:w="0" w:type="dxa"/>
          <w:bottom w:w="0" w:type="dxa"/>
          <w:right w:w="0" w:type="dxa"/>
        </w:tblCellMar>
      </w:tblPr>
      <w:tr>
        <w:trPr>
          <w:trHeight w:val="220"/>
        </w:trPr>
        <w:tc>
          <w:tcPr>
            <w:tcW w:w="4520" w:type="dxa"/>
            <w:vAlign w:val="bottom"/>
            <w:gridSpan w:val="2"/>
          </w:tcPr>
          <w:p>
            <w:pPr>
              <w:jc w:val="center"/>
              <w:ind w:left="225"/>
              <w:spacing w:after="0"/>
              <w:rPr>
                <w:sz w:val="20"/>
                <w:szCs w:val="20"/>
                <w:color w:val="auto"/>
              </w:rPr>
            </w:pPr>
            <w:r>
              <w:rPr>
                <w:rFonts w:ascii="Times New Roman" w:cs="Times New Roman" w:eastAsia="Times New Roman" w:hAnsi="Times New Roman"/>
                <w:sz w:val="17"/>
                <w:szCs w:val="17"/>
                <w:b w:val="1"/>
                <w:bCs w:val="1"/>
                <w:color w:val="auto"/>
                <w:w w:val="98"/>
              </w:rPr>
              <w:t>Title of each class</w:t>
            </w:r>
          </w:p>
        </w:tc>
        <w:tc>
          <w:tcPr>
            <w:tcW w:w="2200" w:type="dxa"/>
            <w:vAlign w:val="bottom"/>
            <w:gridSpan w:val="2"/>
          </w:tcPr>
          <w:p>
            <w:pPr>
              <w:ind w:left="500"/>
              <w:spacing w:after="0"/>
              <w:rPr>
                <w:sz w:val="20"/>
                <w:szCs w:val="20"/>
                <w:color w:val="auto"/>
              </w:rPr>
            </w:pPr>
            <w:r>
              <w:rPr>
                <w:rFonts w:ascii="Times New Roman" w:cs="Times New Roman" w:eastAsia="Times New Roman" w:hAnsi="Times New Roman"/>
                <w:sz w:val="17"/>
                <w:szCs w:val="17"/>
                <w:b w:val="1"/>
                <w:bCs w:val="1"/>
                <w:color w:val="auto"/>
              </w:rPr>
              <w:t>Trading Symbol(s)</w:t>
            </w:r>
          </w:p>
        </w:tc>
        <w:tc>
          <w:tcPr>
            <w:tcW w:w="4180" w:type="dxa"/>
            <w:vAlign w:val="bottom"/>
          </w:tcPr>
          <w:p>
            <w:pPr>
              <w:jc w:val="center"/>
              <w:ind w:left="582"/>
              <w:spacing w:after="0"/>
              <w:rPr>
                <w:sz w:val="20"/>
                <w:szCs w:val="20"/>
                <w:color w:val="auto"/>
              </w:rPr>
            </w:pPr>
            <w:r>
              <w:rPr>
                <w:rFonts w:ascii="Times New Roman" w:cs="Times New Roman" w:eastAsia="Times New Roman" w:hAnsi="Times New Roman"/>
                <w:sz w:val="17"/>
                <w:szCs w:val="17"/>
                <w:b w:val="1"/>
                <w:bCs w:val="1"/>
                <w:color w:val="auto"/>
                <w:w w:val="97"/>
              </w:rPr>
              <w:t>Name of each exchange on which registered</w:t>
            </w:r>
          </w:p>
        </w:tc>
      </w:tr>
      <w:tr>
        <w:trPr>
          <w:trHeight w:val="37"/>
        </w:trPr>
        <w:tc>
          <w:tcPr>
            <w:tcW w:w="43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180" w:type="dxa"/>
            <w:vAlign w:val="bottom"/>
            <w:tcBorders>
              <w:bottom w:val="single" w:sz="8" w:color="auto"/>
            </w:tcBorders>
          </w:tcPr>
          <w:p>
            <w:pPr>
              <w:spacing w:after="0"/>
              <w:rPr>
                <w:sz w:val="3"/>
                <w:szCs w:val="3"/>
                <w:color w:val="auto"/>
              </w:rPr>
            </w:pPr>
          </w:p>
        </w:tc>
      </w:tr>
      <w:tr>
        <w:trPr>
          <w:trHeight w:val="209"/>
        </w:trPr>
        <w:tc>
          <w:tcPr>
            <w:tcW w:w="4360" w:type="dxa"/>
            <w:vAlign w:val="bottom"/>
          </w:tcPr>
          <w:p>
            <w:pPr>
              <w:jc w:val="center"/>
              <w:ind w:left="405"/>
              <w:spacing w:after="0"/>
              <w:rPr>
                <w:sz w:val="20"/>
                <w:szCs w:val="20"/>
                <w:color w:val="auto"/>
              </w:rPr>
            </w:pPr>
            <w:r>
              <w:rPr>
                <w:rFonts w:ascii="Times New Roman" w:cs="Times New Roman" w:eastAsia="Times New Roman" w:hAnsi="Times New Roman"/>
                <w:sz w:val="17"/>
                <w:szCs w:val="17"/>
                <w:color w:val="auto"/>
                <w:w w:val="97"/>
              </w:rPr>
              <w:t>Common Stock, par value, $0.001 per share</w:t>
            </w:r>
          </w:p>
        </w:tc>
        <w:tc>
          <w:tcPr>
            <w:tcW w:w="160" w:type="dxa"/>
            <w:vAlign w:val="bottom"/>
          </w:tcPr>
          <w:p>
            <w:pPr>
              <w:spacing w:after="0"/>
              <w:rPr>
                <w:sz w:val="18"/>
                <w:szCs w:val="18"/>
                <w:color w:val="auto"/>
              </w:rPr>
            </w:pPr>
          </w:p>
        </w:tc>
        <w:tc>
          <w:tcPr>
            <w:tcW w:w="204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VCYT</w:t>
            </w:r>
          </w:p>
        </w:tc>
        <w:tc>
          <w:tcPr>
            <w:tcW w:w="160" w:type="dxa"/>
            <w:vAlign w:val="bottom"/>
          </w:tcPr>
          <w:p>
            <w:pPr>
              <w:spacing w:after="0"/>
              <w:rPr>
                <w:sz w:val="18"/>
                <w:szCs w:val="18"/>
                <w:color w:val="auto"/>
              </w:rPr>
            </w:pPr>
          </w:p>
        </w:tc>
        <w:tc>
          <w:tcPr>
            <w:tcW w:w="4180" w:type="dxa"/>
            <w:vAlign w:val="bottom"/>
          </w:tcPr>
          <w:p>
            <w:pPr>
              <w:jc w:val="center"/>
              <w:ind w:left="602"/>
              <w:spacing w:after="0"/>
              <w:rPr>
                <w:sz w:val="20"/>
                <w:szCs w:val="20"/>
                <w:color w:val="auto"/>
              </w:rPr>
            </w:pPr>
            <w:r>
              <w:rPr>
                <w:rFonts w:ascii="Times New Roman" w:cs="Times New Roman" w:eastAsia="Times New Roman" w:hAnsi="Times New Roman"/>
                <w:sz w:val="17"/>
                <w:szCs w:val="17"/>
                <w:color w:val="auto"/>
                <w:w w:val="97"/>
              </w:rPr>
              <w:t>The Nasdaq Stock Market LLC</w:t>
            </w:r>
          </w:p>
        </w:tc>
      </w:tr>
      <w:tr>
        <w:trPr>
          <w:trHeight w:val="498"/>
        </w:trPr>
        <w:tc>
          <w:tcPr>
            <w:tcW w:w="10900" w:type="dxa"/>
            <w:vAlign w:val="bottom"/>
            <w:gridSpan w:val="5"/>
          </w:tcPr>
          <w:p>
            <w:pPr>
              <w:ind w:left="3680"/>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tc>
      </w:tr>
      <w:tr>
        <w:trPr>
          <w:trHeight w:val="401"/>
        </w:trPr>
        <w:tc>
          <w:tcPr>
            <w:tcW w:w="6720" w:type="dxa"/>
            <w:vAlign w:val="bottom"/>
            <w:gridSpan w:val="4"/>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p>
        </w:tc>
        <w:tc>
          <w:tcPr>
            <w:tcW w:w="4180" w:type="dxa"/>
            <w:vAlign w:val="bottom"/>
          </w:tcPr>
          <w:p>
            <w:pPr>
              <w:ind w:left="4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r>
    </w:tbl>
    <w:p>
      <w:pPr>
        <w:spacing w:after="0" w:line="180" w:lineRule="exact"/>
        <w:rPr>
          <w:sz w:val="24"/>
          <w:szCs w:val="24"/>
          <w:color w:val="auto"/>
        </w:rPr>
      </w:pPr>
    </w:p>
    <w:p>
      <w:pPr>
        <w:ind w:left="440"/>
        <w:spacing w:after="0" w:line="150" w:lineRule="exact"/>
        <w:tabs>
          <w:tab w:leader="none" w:pos="6880" w:val="left"/>
        </w:tabs>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15(d) of the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246" w:lineRule="exact"/>
        <w:rPr>
          <w:sz w:val="24"/>
          <w:szCs w:val="24"/>
          <w:color w:val="auto"/>
        </w:rPr>
      </w:pPr>
    </w:p>
    <w:p>
      <w:pPr>
        <w:ind w:right="100" w:firstLine="450"/>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8" w:lineRule="exact"/>
        <w:rPr>
          <w:sz w:val="24"/>
          <w:szCs w:val="24"/>
          <w:color w:val="auto"/>
        </w:rPr>
      </w:pPr>
    </w:p>
    <w:p>
      <w:pPr>
        <w:ind w:right="100" w:firstLine="450"/>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8" w:lineRule="exact"/>
        <w:rPr>
          <w:sz w:val="24"/>
          <w:szCs w:val="24"/>
          <w:color w:val="auto"/>
        </w:rPr>
      </w:pPr>
    </w:p>
    <w:p>
      <w:pPr>
        <w:ind w:right="320" w:firstLine="450"/>
        <w:spacing w:after="0" w:line="263"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140" w:type="dxa"/>
        <w:tblCellMar>
          <w:top w:w="0" w:type="dxa"/>
          <w:left w:w="0" w:type="dxa"/>
          <w:bottom w:w="0" w:type="dxa"/>
          <w:right w:w="0" w:type="dxa"/>
        </w:tblCellMar>
      </w:tblPr>
      <w:tr>
        <w:trPr>
          <w:trHeight w:val="175"/>
        </w:trPr>
        <w:tc>
          <w:tcPr>
            <w:tcW w:w="17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880" w:type="dxa"/>
            <w:vAlign w:val="bottom"/>
          </w:tcPr>
          <w:p>
            <w:pPr>
              <w:ind w:left="580"/>
              <w:spacing w:after="0" w:line="131" w:lineRule="exact"/>
              <w:rPr>
                <w:sz w:val="20"/>
                <w:szCs w:val="20"/>
                <w:color w:val="auto"/>
              </w:rPr>
            </w:pPr>
            <w:r>
              <w:rPr>
                <w:rFonts w:ascii="MS PGothic" w:cs="MS PGothic" w:eastAsia="MS PGothic" w:hAnsi="MS PGothic"/>
                <w:sz w:val="13"/>
                <w:szCs w:val="13"/>
                <w:color w:val="auto"/>
              </w:rPr>
              <w:t>☒</w:t>
            </w:r>
          </w:p>
        </w:tc>
        <w:tc>
          <w:tcPr>
            <w:tcW w:w="4180" w:type="dxa"/>
            <w:vAlign w:val="bottom"/>
          </w:tcPr>
          <w:p>
            <w:pPr>
              <w:jc w:val="center"/>
              <w:ind w:left="1553"/>
              <w:spacing w:after="0"/>
              <w:rPr>
                <w:sz w:val="20"/>
                <w:szCs w:val="20"/>
                <w:color w:val="auto"/>
              </w:rPr>
            </w:pPr>
            <w:r>
              <w:rPr>
                <w:rFonts w:ascii="Times New Roman" w:cs="Times New Roman" w:eastAsia="Times New Roman" w:hAnsi="Times New Roman"/>
                <w:sz w:val="13"/>
                <w:szCs w:val="13"/>
                <w:color w:val="auto"/>
              </w:rPr>
              <w:t>Accelerated filer</w:t>
            </w:r>
          </w:p>
        </w:tc>
        <w:tc>
          <w:tcPr>
            <w:tcW w:w="660" w:type="dxa"/>
            <w:vAlign w:val="bottom"/>
          </w:tcPr>
          <w:p>
            <w:pPr>
              <w:ind w:left="5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5"/>
        </w:trPr>
        <w:tc>
          <w:tcPr>
            <w:tcW w:w="17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880" w:type="dxa"/>
            <w:vAlign w:val="bottom"/>
          </w:tcPr>
          <w:p>
            <w:pPr>
              <w:ind w:left="580"/>
              <w:spacing w:after="0" w:line="131" w:lineRule="exact"/>
              <w:rPr>
                <w:sz w:val="20"/>
                <w:szCs w:val="20"/>
                <w:color w:val="auto"/>
              </w:rPr>
            </w:pPr>
            <w:r>
              <w:rPr>
                <w:rFonts w:ascii="MS PGothic" w:cs="MS PGothic" w:eastAsia="MS PGothic" w:hAnsi="MS PGothic"/>
                <w:sz w:val="13"/>
                <w:szCs w:val="13"/>
                <w:color w:val="auto"/>
              </w:rPr>
              <w:t>☐</w:t>
            </w:r>
          </w:p>
        </w:tc>
        <w:tc>
          <w:tcPr>
            <w:tcW w:w="4180" w:type="dxa"/>
            <w:vAlign w:val="bottom"/>
          </w:tcPr>
          <w:p>
            <w:pPr>
              <w:jc w:val="center"/>
              <w:ind w:left="1573"/>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60" w:type="dxa"/>
            <w:vAlign w:val="bottom"/>
          </w:tcPr>
          <w:p>
            <w:pPr>
              <w:ind w:left="5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7"/>
        </w:trPr>
        <w:tc>
          <w:tcPr>
            <w:tcW w:w="1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180" w:type="dxa"/>
            <w:vAlign w:val="bottom"/>
          </w:tcPr>
          <w:p>
            <w:pPr>
              <w:jc w:val="center"/>
              <w:ind w:left="1573"/>
              <w:spacing w:after="0"/>
              <w:rPr>
                <w:sz w:val="20"/>
                <w:szCs w:val="20"/>
                <w:color w:val="auto"/>
              </w:rPr>
            </w:pPr>
            <w:r>
              <w:rPr>
                <w:rFonts w:ascii="Times New Roman" w:cs="Times New Roman" w:eastAsia="Times New Roman" w:hAnsi="Times New Roman"/>
                <w:sz w:val="13"/>
                <w:szCs w:val="13"/>
                <w:color w:val="auto"/>
              </w:rPr>
              <w:t>Emerging growth company</w:t>
            </w:r>
          </w:p>
        </w:tc>
        <w:tc>
          <w:tcPr>
            <w:tcW w:w="660" w:type="dxa"/>
            <w:vAlign w:val="bottom"/>
          </w:tcPr>
          <w:p>
            <w:pPr>
              <w:ind w:left="5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6678295</wp:posOffset>
            </wp:positionH>
            <wp:positionV relativeFrom="paragraph">
              <wp:posOffset>-320675</wp:posOffset>
            </wp:positionV>
            <wp:extent cx="64135" cy="654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135" cy="6540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-209550</wp:posOffset>
            </wp:positionV>
            <wp:extent cx="64135" cy="65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135" cy="65405"/>
                    </a:xfrm>
                    <a:prstGeom prst="rect">
                      <a:avLst/>
                    </a:prstGeom>
                    <a:noFill/>
                  </pic:spPr>
                </pic:pic>
              </a:graphicData>
            </a:graphic>
          </wp:anchor>
        </w:drawing>
        <w:drawing>
          <wp:anchor simplePos="0" relativeHeight="251657728" behindDoc="1" locked="0" layoutInCell="0" allowOverlap="1">
            <wp:simplePos x="0" y="0"/>
            <wp:positionH relativeFrom="column">
              <wp:posOffset>6678295</wp:posOffset>
            </wp:positionH>
            <wp:positionV relativeFrom="paragraph">
              <wp:posOffset>-209550</wp:posOffset>
            </wp:positionV>
            <wp:extent cx="64135" cy="654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135" cy="65405"/>
                    </a:xfrm>
                    <a:prstGeom prst="rect">
                      <a:avLst/>
                    </a:prstGeom>
                    <a:noFill/>
                  </pic:spPr>
                </pic:pic>
              </a:graphicData>
            </a:graphic>
          </wp:anchor>
        </w:drawing>
        <w:drawing>
          <wp:anchor simplePos="0" relativeHeight="251657728" behindDoc="1" locked="0" layoutInCell="0" allowOverlap="1">
            <wp:simplePos x="0" y="0"/>
            <wp:positionH relativeFrom="column">
              <wp:posOffset>6678295</wp:posOffset>
            </wp:positionH>
            <wp:positionV relativeFrom="paragraph">
              <wp:posOffset>-99060</wp:posOffset>
            </wp:positionV>
            <wp:extent cx="64135" cy="65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135" cy="65405"/>
                    </a:xfrm>
                    <a:prstGeom prst="rect">
                      <a:avLst/>
                    </a:prstGeom>
                    <a:noFill/>
                  </pic:spPr>
                </pic:pic>
              </a:graphicData>
            </a:graphic>
          </wp:anchor>
        </w:drawing>
      </w:r>
    </w:p>
    <w:p>
      <w:pPr>
        <w:spacing w:after="0" w:line="243" w:lineRule="exact"/>
        <w:rPr>
          <w:sz w:val="24"/>
          <w:szCs w:val="24"/>
          <w:color w:val="auto"/>
        </w:rPr>
      </w:pPr>
    </w:p>
    <w:p>
      <w:pPr>
        <w:ind w:right="500" w:firstLine="450"/>
        <w:spacing w:after="0" w:line="175"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88" w:lineRule="exact"/>
        <w:rPr>
          <w:sz w:val="24"/>
          <w:szCs w:val="24"/>
          <w:color w:val="auto"/>
        </w:rPr>
      </w:pPr>
    </w:p>
    <w:p>
      <w:pPr>
        <w:ind w:right="100" w:firstLine="450"/>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80" w:lineRule="exact"/>
        <w:rPr>
          <w:sz w:val="24"/>
          <w:szCs w:val="24"/>
          <w:color w:val="auto"/>
        </w:rPr>
      </w:pPr>
    </w:p>
    <w:p>
      <w:pPr>
        <w:ind w:left="440"/>
        <w:spacing w:after="0" w:line="150" w:lineRule="exact"/>
        <w:tabs>
          <w:tab w:leader="none" w:pos="698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246" w:lineRule="exact"/>
        <w:rPr>
          <w:sz w:val="24"/>
          <w:szCs w:val="24"/>
          <w:color w:val="auto"/>
        </w:rPr>
      </w:pPr>
    </w:p>
    <w:p>
      <w:pPr>
        <w:ind w:right="100" w:firstLine="450"/>
        <w:spacing w:after="0" w:line="277" w:lineRule="auto"/>
        <w:rPr>
          <w:sz w:val="20"/>
          <w:szCs w:val="20"/>
          <w:color w:val="auto"/>
        </w:rPr>
      </w:pPr>
      <w:r>
        <w:rPr>
          <w:rFonts w:ascii="Times New Roman" w:cs="Times New Roman" w:eastAsia="Times New Roman" w:hAnsi="Times New Roman"/>
          <w:sz w:val="13"/>
          <w:szCs w:val="13"/>
          <w:color w:val="auto"/>
        </w:rPr>
        <w:t>As of June 30, 2020, the aggregate market value of common stock held by non-affiliates of the registrant was approximately $1.3 billion, based on the closing price of the common stock as reported on the Nasdaq Global Market for that date.</w:t>
      </w:r>
    </w:p>
    <w:p>
      <w:pPr>
        <w:spacing w:after="0" w:line="17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3"/>
          <w:szCs w:val="13"/>
          <w:color w:val="auto"/>
        </w:rPr>
        <w:t>The number of shares of the registrant's Common Stock outstanding as of February 19, 2021 was 67,001,496.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409575</wp:posOffset>
            </wp:positionV>
            <wp:extent cx="714248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340"/>
          </w:cols>
          <w:pgMar w:left="320" w:top="730" w:right="239" w:bottom="1440" w:gutter="0" w:footer="0" w:header="0"/>
          <w:type w:val="continuous"/>
        </w:sectPr>
      </w:pPr>
    </w:p>
    <w:bookmarkStart w:id="1" w:name="page2"/>
    <w:bookmarkEnd w:id="1"/>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227" w:lineRule="exact"/>
        <w:rPr>
          <w:sz w:val="20"/>
          <w:szCs w:val="20"/>
          <w:color w:val="auto"/>
        </w:rPr>
      </w:pPr>
    </w:p>
    <w:p>
      <w:pPr>
        <w:jc w:val="both"/>
        <w:ind w:firstLine="450"/>
        <w:spacing w:after="0" w:line="259" w:lineRule="auto"/>
        <w:rPr>
          <w:sz w:val="20"/>
          <w:szCs w:val="20"/>
          <w:color w:val="auto"/>
        </w:rPr>
      </w:pPr>
      <w:r>
        <w:rPr>
          <w:rFonts w:ascii="Times New Roman" w:cs="Times New Roman" w:eastAsia="Times New Roman" w:hAnsi="Times New Roman"/>
          <w:sz w:val="13"/>
          <w:szCs w:val="13"/>
          <w:color w:val="auto"/>
        </w:rPr>
        <w:t>Portions of the registrant's proxy statement to be filed with the Securities and Exchange Commission in connection with the solicitation of proxies for the registrant's 2021 Annual Meeting of Stockholders to be held on or about June 7, 2021 are incorporated herein by reference in Part III of this Annual Report on Form 10-K to the extent stated herein. Such proxy statement will be filed with the Securities and Exchange Commission within 120 days of the registrant’s fiscal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387350</wp:posOffset>
            </wp:positionV>
            <wp:extent cx="714248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 w:name="page3"/>
    <w:bookmarkEnd w:id="2"/>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820" w:type="dxa"/>
            <w:vAlign w:val="bottom"/>
          </w:tcPr>
          <w:p>
            <w:pPr>
              <w:ind w:left="474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420" w:type="dxa"/>
            <w:vAlign w:val="bottom"/>
          </w:tcPr>
          <w:p>
            <w:pPr>
              <w:spacing w:after="0"/>
              <w:rPr>
                <w:sz w:val="19"/>
                <w:szCs w:val="19"/>
                <w:color w:val="auto"/>
              </w:rPr>
            </w:pPr>
          </w:p>
        </w:tc>
      </w:tr>
      <w:tr>
        <w:trPr>
          <w:trHeight w:val="879"/>
        </w:trPr>
        <w:tc>
          <w:tcPr>
            <w:tcW w:w="98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Item No.</w:t>
            </w:r>
          </w:p>
        </w:tc>
        <w:tc>
          <w:tcPr>
            <w:tcW w:w="14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3"/>
                <w:szCs w:val="13"/>
                <w:b w:val="1"/>
                <w:bCs w:val="1"/>
                <w:color w:val="auto"/>
              </w:rPr>
              <w:t>Page No.</w:t>
            </w:r>
          </w:p>
        </w:tc>
      </w:tr>
      <w:tr>
        <w:trPr>
          <w:trHeight w:val="208"/>
        </w:trPr>
        <w:tc>
          <w:tcPr>
            <w:tcW w:w="9820" w:type="dxa"/>
            <w:vAlign w:val="bottom"/>
          </w:tcPr>
          <w:p>
            <w:pPr>
              <w:ind w:left="20"/>
              <w:spacing w:after="0"/>
              <w:rPr>
                <w:rFonts w:ascii="Times New Roman" w:cs="Times New Roman" w:eastAsia="Times New Roman" w:hAnsi="Times New Roman"/>
                <w:sz w:val="17"/>
                <w:szCs w:val="17"/>
                <w:b w:val="1"/>
                <w:bCs w:val="1"/>
                <w:u w:val="single" w:color="auto"/>
                <w:color w:val="0000FF"/>
              </w:rPr>
            </w:pPr>
            <w:hyperlink w:anchor="page3">
              <w:r>
                <w:rPr>
                  <w:rFonts w:ascii="Times New Roman" w:cs="Times New Roman" w:eastAsia="Times New Roman" w:hAnsi="Times New Roman"/>
                  <w:sz w:val="17"/>
                  <w:szCs w:val="17"/>
                  <w:b w:val="1"/>
                  <w:bCs w:val="1"/>
                  <w:u w:val="single" w:color="auto"/>
                  <w:color w:val="0000FF"/>
                </w:rPr>
                <w:t>PART I</w:t>
              </w:r>
            </w:hyperlink>
          </w:p>
        </w:tc>
        <w:tc>
          <w:tcPr>
            <w:tcW w:w="1420" w:type="dxa"/>
            <w:vAlign w:val="bottom"/>
          </w:tcPr>
          <w:p>
            <w:pPr>
              <w:spacing w:after="0"/>
              <w:rPr>
                <w:sz w:val="18"/>
                <w:szCs w:val="18"/>
                <w:color w:val="auto"/>
              </w:rPr>
            </w:pPr>
          </w:p>
        </w:tc>
      </w:tr>
      <w:tr>
        <w:trPr>
          <w:trHeight w:val="212"/>
        </w:trPr>
        <w:tc>
          <w:tcPr>
            <w:tcW w:w="9820" w:type="dxa"/>
            <w:vAlign w:val="bottom"/>
          </w:tcPr>
          <w:p>
            <w:pPr>
              <w:ind w:left="20"/>
              <w:spacing w:after="0"/>
              <w:rPr>
                <w:rFonts w:ascii="Times New Roman" w:cs="Times New Roman" w:eastAsia="Times New Roman" w:hAnsi="Times New Roman"/>
                <w:sz w:val="17"/>
                <w:szCs w:val="17"/>
                <w:u w:val="single" w:color="auto"/>
                <w:color w:val="0000FF"/>
              </w:rPr>
            </w:pPr>
            <w:hyperlink w:anchor="page4">
              <w:r>
                <w:rPr>
                  <w:rFonts w:ascii="Times New Roman" w:cs="Times New Roman" w:eastAsia="Times New Roman" w:hAnsi="Times New Roman"/>
                  <w:sz w:val="17"/>
                  <w:szCs w:val="17"/>
                  <w:u w:val="single" w:color="auto"/>
                  <w:color w:val="0000FF"/>
                </w:rPr>
                <w:t>Item 1. Business</w:t>
              </w:r>
            </w:hyperlink>
          </w:p>
        </w:tc>
        <w:tc>
          <w:tcPr>
            <w:tcW w:w="1420" w:type="dxa"/>
            <w:vAlign w:val="bottom"/>
          </w:tcPr>
          <w:p>
            <w:pPr>
              <w:jc w:val="right"/>
              <w:spacing w:after="0"/>
              <w:rPr>
                <w:rFonts w:ascii="Times New Roman" w:cs="Times New Roman" w:eastAsia="Times New Roman" w:hAnsi="Times New Roman"/>
                <w:sz w:val="17"/>
                <w:szCs w:val="17"/>
                <w:u w:val="single" w:color="auto"/>
                <w:color w:val="0000FF"/>
              </w:rPr>
            </w:pPr>
            <w:hyperlink w:anchor="page4">
              <w:r>
                <w:rPr>
                  <w:rFonts w:ascii="Times New Roman" w:cs="Times New Roman" w:eastAsia="Times New Roman" w:hAnsi="Times New Roman"/>
                  <w:sz w:val="17"/>
                  <w:szCs w:val="17"/>
                  <w:u w:val="single" w:color="auto"/>
                  <w:color w:val="0000FF"/>
                </w:rPr>
                <w:t>1</w:t>
              </w:r>
            </w:hyperlink>
          </w:p>
        </w:tc>
      </w:tr>
      <w:tr>
        <w:trPr>
          <w:trHeight w:val="212"/>
        </w:trPr>
        <w:tc>
          <w:tcPr>
            <w:tcW w:w="9820" w:type="dxa"/>
            <w:vAlign w:val="bottom"/>
          </w:tcPr>
          <w:p>
            <w:pPr>
              <w:ind w:left="20"/>
              <w:spacing w:after="0"/>
              <w:rPr>
                <w:rFonts w:ascii="Times New Roman" w:cs="Times New Roman" w:eastAsia="Times New Roman" w:hAnsi="Times New Roman"/>
                <w:sz w:val="17"/>
                <w:szCs w:val="17"/>
                <w:u w:val="single" w:color="auto"/>
                <w:color w:val="0000FF"/>
              </w:rPr>
            </w:pPr>
            <w:hyperlink w:anchor="page31">
              <w:r>
                <w:rPr>
                  <w:rFonts w:ascii="Times New Roman" w:cs="Times New Roman" w:eastAsia="Times New Roman" w:hAnsi="Times New Roman"/>
                  <w:sz w:val="17"/>
                  <w:szCs w:val="17"/>
                  <w:u w:val="single" w:color="auto"/>
                  <w:color w:val="0000FF"/>
                </w:rPr>
                <w:t>Item 1A. Risk Factors</w:t>
              </w:r>
            </w:hyperlink>
          </w:p>
        </w:tc>
        <w:tc>
          <w:tcPr>
            <w:tcW w:w="1420" w:type="dxa"/>
            <w:vAlign w:val="bottom"/>
          </w:tcPr>
          <w:p>
            <w:pPr>
              <w:jc w:val="right"/>
              <w:spacing w:after="0"/>
              <w:rPr>
                <w:rFonts w:ascii="Times New Roman" w:cs="Times New Roman" w:eastAsia="Times New Roman" w:hAnsi="Times New Roman"/>
                <w:sz w:val="17"/>
                <w:szCs w:val="17"/>
                <w:u w:val="single" w:color="auto"/>
                <w:color w:val="0000FF"/>
              </w:rPr>
            </w:pPr>
            <w:hyperlink w:anchor="page31">
              <w:r>
                <w:rPr>
                  <w:rFonts w:ascii="Times New Roman" w:cs="Times New Roman" w:eastAsia="Times New Roman" w:hAnsi="Times New Roman"/>
                  <w:sz w:val="17"/>
                  <w:szCs w:val="17"/>
                  <w:u w:val="single" w:color="auto"/>
                  <w:color w:val="0000FF"/>
                </w:rPr>
                <w:t>29</w:t>
              </w:r>
            </w:hyperlink>
          </w:p>
        </w:tc>
      </w:tr>
      <w:tr>
        <w:trPr>
          <w:trHeight w:val="212"/>
        </w:trPr>
        <w:tc>
          <w:tcPr>
            <w:tcW w:w="9820" w:type="dxa"/>
            <w:vAlign w:val="bottom"/>
          </w:tcPr>
          <w:p>
            <w:pPr>
              <w:ind w:left="20"/>
              <w:spacing w:after="0"/>
              <w:rPr>
                <w:rFonts w:ascii="Times New Roman" w:cs="Times New Roman" w:eastAsia="Times New Roman" w:hAnsi="Times New Roman"/>
                <w:sz w:val="17"/>
                <w:szCs w:val="17"/>
                <w:u w:val="single" w:color="auto"/>
                <w:color w:val="0000FF"/>
              </w:rPr>
            </w:pPr>
            <w:hyperlink w:anchor="page64">
              <w:r>
                <w:rPr>
                  <w:rFonts w:ascii="Times New Roman" w:cs="Times New Roman" w:eastAsia="Times New Roman" w:hAnsi="Times New Roman"/>
                  <w:sz w:val="17"/>
                  <w:szCs w:val="17"/>
                  <w:u w:val="single" w:color="auto"/>
                  <w:color w:val="0000FF"/>
                </w:rPr>
                <w:t>Item 1B. Unresolved Staff Comments</w:t>
              </w:r>
            </w:hyperlink>
          </w:p>
        </w:tc>
        <w:tc>
          <w:tcPr>
            <w:tcW w:w="1420" w:type="dxa"/>
            <w:vAlign w:val="bottom"/>
          </w:tcPr>
          <w:p>
            <w:pPr>
              <w:jc w:val="right"/>
              <w:spacing w:after="0"/>
              <w:rPr>
                <w:rFonts w:ascii="Times New Roman" w:cs="Times New Roman" w:eastAsia="Times New Roman" w:hAnsi="Times New Roman"/>
                <w:sz w:val="17"/>
                <w:szCs w:val="17"/>
                <w:u w:val="single" w:color="auto"/>
                <w:color w:val="0000FF"/>
              </w:rPr>
            </w:pPr>
            <w:hyperlink w:anchor="page64">
              <w:r>
                <w:rPr>
                  <w:rFonts w:ascii="Times New Roman" w:cs="Times New Roman" w:eastAsia="Times New Roman" w:hAnsi="Times New Roman"/>
                  <w:sz w:val="17"/>
                  <w:szCs w:val="17"/>
                  <w:u w:val="single" w:color="auto"/>
                  <w:color w:val="0000FF"/>
                </w:rPr>
                <w:t>61</w:t>
              </w:r>
            </w:hyperlink>
          </w:p>
        </w:tc>
      </w:tr>
      <w:tr>
        <w:trPr>
          <w:trHeight w:val="212"/>
        </w:trPr>
        <w:tc>
          <w:tcPr>
            <w:tcW w:w="9820" w:type="dxa"/>
            <w:vAlign w:val="bottom"/>
          </w:tcPr>
          <w:p>
            <w:pPr>
              <w:ind w:left="20"/>
              <w:spacing w:after="0"/>
              <w:rPr>
                <w:rFonts w:ascii="Times New Roman" w:cs="Times New Roman" w:eastAsia="Times New Roman" w:hAnsi="Times New Roman"/>
                <w:sz w:val="17"/>
                <w:szCs w:val="17"/>
                <w:u w:val="single" w:color="auto"/>
                <w:color w:val="0000FF"/>
              </w:rPr>
            </w:pPr>
            <w:hyperlink w:anchor="page64">
              <w:r>
                <w:rPr>
                  <w:rFonts w:ascii="Times New Roman" w:cs="Times New Roman" w:eastAsia="Times New Roman" w:hAnsi="Times New Roman"/>
                  <w:sz w:val="17"/>
                  <w:szCs w:val="17"/>
                  <w:u w:val="single" w:color="auto"/>
                  <w:color w:val="0000FF"/>
                </w:rPr>
                <w:t>Item 2. Properties</w:t>
              </w:r>
            </w:hyperlink>
          </w:p>
        </w:tc>
        <w:tc>
          <w:tcPr>
            <w:tcW w:w="1420" w:type="dxa"/>
            <w:vAlign w:val="bottom"/>
          </w:tcPr>
          <w:p>
            <w:pPr>
              <w:jc w:val="right"/>
              <w:spacing w:after="0"/>
              <w:rPr>
                <w:rFonts w:ascii="Times New Roman" w:cs="Times New Roman" w:eastAsia="Times New Roman" w:hAnsi="Times New Roman"/>
                <w:sz w:val="17"/>
                <w:szCs w:val="17"/>
                <w:u w:val="single" w:color="auto"/>
                <w:color w:val="0000FF"/>
              </w:rPr>
            </w:pPr>
            <w:hyperlink w:anchor="page64">
              <w:r>
                <w:rPr>
                  <w:rFonts w:ascii="Times New Roman" w:cs="Times New Roman" w:eastAsia="Times New Roman" w:hAnsi="Times New Roman"/>
                  <w:sz w:val="17"/>
                  <w:szCs w:val="17"/>
                  <w:u w:val="single" w:color="auto"/>
                  <w:color w:val="0000FF"/>
                </w:rPr>
                <w:t>62</w:t>
              </w:r>
            </w:hyperlink>
          </w:p>
        </w:tc>
      </w:tr>
      <w:tr>
        <w:trPr>
          <w:trHeight w:val="212"/>
        </w:trPr>
        <w:tc>
          <w:tcPr>
            <w:tcW w:w="9820" w:type="dxa"/>
            <w:vAlign w:val="bottom"/>
          </w:tcPr>
          <w:p>
            <w:pPr>
              <w:ind w:left="20"/>
              <w:spacing w:after="0"/>
              <w:rPr>
                <w:rFonts w:ascii="Times New Roman" w:cs="Times New Roman" w:eastAsia="Times New Roman" w:hAnsi="Times New Roman"/>
                <w:sz w:val="17"/>
                <w:szCs w:val="17"/>
                <w:u w:val="single" w:color="auto"/>
                <w:color w:val="0000FF"/>
              </w:rPr>
            </w:pPr>
            <w:hyperlink w:anchor="page65">
              <w:r>
                <w:rPr>
                  <w:rFonts w:ascii="Times New Roman" w:cs="Times New Roman" w:eastAsia="Times New Roman" w:hAnsi="Times New Roman"/>
                  <w:sz w:val="17"/>
                  <w:szCs w:val="17"/>
                  <w:u w:val="single" w:color="auto"/>
                  <w:color w:val="0000FF"/>
                </w:rPr>
                <w:t>Item 3. Legal Proceedings</w:t>
              </w:r>
            </w:hyperlink>
          </w:p>
        </w:tc>
        <w:tc>
          <w:tcPr>
            <w:tcW w:w="1420" w:type="dxa"/>
            <w:vAlign w:val="bottom"/>
          </w:tcPr>
          <w:p>
            <w:pPr>
              <w:jc w:val="right"/>
              <w:spacing w:after="0"/>
              <w:rPr>
                <w:rFonts w:ascii="Times New Roman" w:cs="Times New Roman" w:eastAsia="Times New Roman" w:hAnsi="Times New Roman"/>
                <w:sz w:val="17"/>
                <w:szCs w:val="17"/>
                <w:u w:val="single" w:color="auto"/>
                <w:color w:val="0000FF"/>
              </w:rPr>
            </w:pPr>
            <w:hyperlink w:anchor="page65">
              <w:r>
                <w:rPr>
                  <w:rFonts w:ascii="Times New Roman" w:cs="Times New Roman" w:eastAsia="Times New Roman" w:hAnsi="Times New Roman"/>
                  <w:sz w:val="17"/>
                  <w:szCs w:val="17"/>
                  <w:u w:val="single" w:color="auto"/>
                  <w:color w:val="0000FF"/>
                </w:rPr>
                <w:t>62</w:t>
              </w:r>
            </w:hyperlink>
          </w:p>
        </w:tc>
      </w:tr>
      <w:tr>
        <w:trPr>
          <w:trHeight w:val="208"/>
        </w:trPr>
        <w:tc>
          <w:tcPr>
            <w:tcW w:w="9820" w:type="dxa"/>
            <w:vAlign w:val="bottom"/>
          </w:tcPr>
          <w:p>
            <w:pPr>
              <w:ind w:left="20"/>
              <w:spacing w:after="0"/>
              <w:rPr>
                <w:rFonts w:ascii="Times New Roman" w:cs="Times New Roman" w:eastAsia="Times New Roman" w:hAnsi="Times New Roman"/>
                <w:sz w:val="17"/>
                <w:szCs w:val="17"/>
                <w:u w:val="single" w:color="auto"/>
                <w:color w:val="0000FF"/>
              </w:rPr>
            </w:pPr>
            <w:hyperlink w:anchor="page65">
              <w:r>
                <w:rPr>
                  <w:rFonts w:ascii="Times New Roman" w:cs="Times New Roman" w:eastAsia="Times New Roman" w:hAnsi="Times New Roman"/>
                  <w:sz w:val="17"/>
                  <w:szCs w:val="17"/>
                  <w:u w:val="single" w:color="auto"/>
                  <w:color w:val="0000FF"/>
                </w:rPr>
                <w:t>Item 4. Mine Safety Disclosure</w:t>
              </w:r>
            </w:hyperlink>
          </w:p>
        </w:tc>
        <w:tc>
          <w:tcPr>
            <w:tcW w:w="1420" w:type="dxa"/>
            <w:vAlign w:val="bottom"/>
          </w:tcPr>
          <w:p>
            <w:pPr>
              <w:jc w:val="right"/>
              <w:spacing w:after="0"/>
              <w:rPr>
                <w:rFonts w:ascii="Times New Roman" w:cs="Times New Roman" w:eastAsia="Times New Roman" w:hAnsi="Times New Roman"/>
                <w:sz w:val="17"/>
                <w:szCs w:val="17"/>
                <w:u w:val="single" w:color="auto"/>
                <w:color w:val="0000FF"/>
              </w:rPr>
            </w:pPr>
            <w:hyperlink w:anchor="page65">
              <w:r>
                <w:rPr>
                  <w:rFonts w:ascii="Times New Roman" w:cs="Times New Roman" w:eastAsia="Times New Roman" w:hAnsi="Times New Roman"/>
                  <w:sz w:val="17"/>
                  <w:szCs w:val="17"/>
                  <w:u w:val="single" w:color="auto"/>
                  <w:color w:val="0000FF"/>
                </w:rPr>
                <w:t>62</w:t>
              </w:r>
            </w:hyperlink>
          </w:p>
        </w:tc>
      </w:tr>
      <w:tr>
        <w:trPr>
          <w:trHeight w:val="216"/>
        </w:trPr>
        <w:tc>
          <w:tcPr>
            <w:tcW w:w="9820" w:type="dxa"/>
            <w:vAlign w:val="bottom"/>
          </w:tcPr>
          <w:p>
            <w:pPr>
              <w:ind w:left="20"/>
              <w:spacing w:after="0"/>
              <w:rPr>
                <w:rFonts w:ascii="Times New Roman" w:cs="Times New Roman" w:eastAsia="Times New Roman" w:hAnsi="Times New Roman"/>
                <w:sz w:val="17"/>
                <w:szCs w:val="17"/>
                <w:b w:val="1"/>
                <w:bCs w:val="1"/>
                <w:u w:val="single" w:color="auto"/>
                <w:color w:val="0000FF"/>
              </w:rPr>
            </w:pPr>
            <w:hyperlink w:anchor="page65">
              <w:r>
                <w:rPr>
                  <w:rFonts w:ascii="Times New Roman" w:cs="Times New Roman" w:eastAsia="Times New Roman" w:hAnsi="Times New Roman"/>
                  <w:sz w:val="17"/>
                  <w:szCs w:val="17"/>
                  <w:b w:val="1"/>
                  <w:bCs w:val="1"/>
                  <w:u w:val="single" w:color="auto"/>
                  <w:color w:val="0000FF"/>
                </w:rPr>
                <w:t>PART II</w:t>
              </w:r>
            </w:hyperlink>
          </w:p>
        </w:tc>
        <w:tc>
          <w:tcPr>
            <w:tcW w:w="1420" w:type="dxa"/>
            <w:vAlign w:val="bottom"/>
          </w:tcPr>
          <w:p>
            <w:pPr>
              <w:spacing w:after="0"/>
              <w:rPr>
                <w:sz w:val="18"/>
                <w:szCs w:val="18"/>
                <w:color w:val="auto"/>
              </w:rPr>
            </w:pPr>
          </w:p>
        </w:tc>
      </w:tr>
      <w:tr>
        <w:trPr>
          <w:trHeight w:val="212"/>
        </w:trPr>
        <w:tc>
          <w:tcPr>
            <w:tcW w:w="9820" w:type="dxa"/>
            <w:vAlign w:val="bottom"/>
          </w:tcPr>
          <w:p>
            <w:pPr>
              <w:ind w:left="20"/>
              <w:spacing w:after="0"/>
              <w:rPr>
                <w:rFonts w:ascii="Times New Roman" w:cs="Times New Roman" w:eastAsia="Times New Roman" w:hAnsi="Times New Roman"/>
                <w:sz w:val="17"/>
                <w:szCs w:val="17"/>
                <w:u w:val="single" w:color="auto"/>
                <w:color w:val="0000FF"/>
              </w:rPr>
            </w:pPr>
            <w:hyperlink w:anchor="page65">
              <w:r>
                <w:rPr>
                  <w:rFonts w:ascii="Times New Roman" w:cs="Times New Roman" w:eastAsia="Times New Roman" w:hAnsi="Times New Roman"/>
                  <w:sz w:val="17"/>
                  <w:szCs w:val="17"/>
                  <w:u w:val="single" w:color="auto"/>
                  <w:color w:val="0000FF"/>
                </w:rPr>
                <w:t>Item 5. Market for Registrant's Common Equity, Related Stockholder Matters and Issuer Purchases of Equity Securities</w:t>
              </w:r>
            </w:hyperlink>
          </w:p>
        </w:tc>
        <w:tc>
          <w:tcPr>
            <w:tcW w:w="1420" w:type="dxa"/>
            <w:vAlign w:val="bottom"/>
          </w:tcPr>
          <w:p>
            <w:pPr>
              <w:jc w:val="right"/>
              <w:spacing w:after="0"/>
              <w:rPr>
                <w:rFonts w:ascii="Times New Roman" w:cs="Times New Roman" w:eastAsia="Times New Roman" w:hAnsi="Times New Roman"/>
                <w:sz w:val="17"/>
                <w:szCs w:val="17"/>
                <w:u w:val="single" w:color="auto"/>
                <w:color w:val="0000FF"/>
              </w:rPr>
            </w:pPr>
            <w:hyperlink w:anchor="page65">
              <w:r>
                <w:rPr>
                  <w:rFonts w:ascii="Times New Roman" w:cs="Times New Roman" w:eastAsia="Times New Roman" w:hAnsi="Times New Roman"/>
                  <w:sz w:val="17"/>
                  <w:szCs w:val="17"/>
                  <w:u w:val="single" w:color="auto"/>
                  <w:color w:val="0000FF"/>
                </w:rPr>
                <w:t>62</w:t>
              </w:r>
            </w:hyperlink>
          </w:p>
        </w:tc>
      </w:tr>
      <w:tr>
        <w:trPr>
          <w:trHeight w:val="212"/>
        </w:trPr>
        <w:tc>
          <w:tcPr>
            <w:tcW w:w="9820" w:type="dxa"/>
            <w:vAlign w:val="bottom"/>
          </w:tcPr>
          <w:p>
            <w:pPr>
              <w:ind w:left="20"/>
              <w:spacing w:after="0"/>
              <w:rPr>
                <w:rFonts w:ascii="Times New Roman" w:cs="Times New Roman" w:eastAsia="Times New Roman" w:hAnsi="Times New Roman"/>
                <w:sz w:val="17"/>
                <w:szCs w:val="17"/>
                <w:u w:val="single" w:color="auto"/>
                <w:color w:val="0000FF"/>
              </w:rPr>
            </w:pPr>
            <w:hyperlink w:anchor="page66">
              <w:r>
                <w:rPr>
                  <w:rFonts w:ascii="Times New Roman" w:cs="Times New Roman" w:eastAsia="Times New Roman" w:hAnsi="Times New Roman"/>
                  <w:sz w:val="17"/>
                  <w:szCs w:val="17"/>
                  <w:u w:val="single" w:color="auto"/>
                  <w:color w:val="0000FF"/>
                </w:rPr>
                <w:t>Item 6. Selected Financial Data</w:t>
              </w:r>
            </w:hyperlink>
          </w:p>
        </w:tc>
        <w:tc>
          <w:tcPr>
            <w:tcW w:w="1420" w:type="dxa"/>
            <w:vAlign w:val="bottom"/>
          </w:tcPr>
          <w:p>
            <w:pPr>
              <w:jc w:val="right"/>
              <w:spacing w:after="0"/>
              <w:rPr>
                <w:rFonts w:ascii="Times New Roman" w:cs="Times New Roman" w:eastAsia="Times New Roman" w:hAnsi="Times New Roman"/>
                <w:sz w:val="17"/>
                <w:szCs w:val="17"/>
                <w:u w:val="single" w:color="auto"/>
                <w:color w:val="0000FF"/>
              </w:rPr>
            </w:pPr>
            <w:hyperlink w:anchor="page66">
              <w:r>
                <w:rPr>
                  <w:rFonts w:ascii="Times New Roman" w:cs="Times New Roman" w:eastAsia="Times New Roman" w:hAnsi="Times New Roman"/>
                  <w:sz w:val="17"/>
                  <w:szCs w:val="17"/>
                  <w:u w:val="single" w:color="auto"/>
                  <w:color w:val="0000FF"/>
                </w:rPr>
                <w:t>63</w:t>
              </w:r>
            </w:hyperlink>
          </w:p>
        </w:tc>
      </w:tr>
      <w:tr>
        <w:trPr>
          <w:trHeight w:val="212"/>
        </w:trPr>
        <w:tc>
          <w:tcPr>
            <w:tcW w:w="9820" w:type="dxa"/>
            <w:vAlign w:val="bottom"/>
          </w:tcPr>
          <w:p>
            <w:pPr>
              <w:ind w:left="20"/>
              <w:spacing w:after="0"/>
              <w:rPr>
                <w:rFonts w:ascii="Times New Roman" w:cs="Times New Roman" w:eastAsia="Times New Roman" w:hAnsi="Times New Roman"/>
                <w:sz w:val="17"/>
                <w:szCs w:val="17"/>
                <w:u w:val="single" w:color="auto"/>
                <w:color w:val="0000FF"/>
              </w:rPr>
            </w:pPr>
            <w:hyperlink w:anchor="page68">
              <w:r>
                <w:rPr>
                  <w:rFonts w:ascii="Times New Roman" w:cs="Times New Roman" w:eastAsia="Times New Roman" w:hAnsi="Times New Roman"/>
                  <w:sz w:val="17"/>
                  <w:szCs w:val="17"/>
                  <w:u w:val="single" w:color="auto"/>
                  <w:color w:val="0000FF"/>
                </w:rPr>
                <w:t>Item 7. Management's Discussion and Analysis of Financial Condition and Results of Operations</w:t>
              </w:r>
            </w:hyperlink>
          </w:p>
        </w:tc>
        <w:tc>
          <w:tcPr>
            <w:tcW w:w="1420" w:type="dxa"/>
            <w:vAlign w:val="bottom"/>
          </w:tcPr>
          <w:p>
            <w:pPr>
              <w:jc w:val="right"/>
              <w:spacing w:after="0"/>
              <w:rPr>
                <w:rFonts w:ascii="Times New Roman" w:cs="Times New Roman" w:eastAsia="Times New Roman" w:hAnsi="Times New Roman"/>
                <w:sz w:val="17"/>
                <w:szCs w:val="17"/>
                <w:u w:val="single" w:color="auto"/>
                <w:color w:val="0000FF"/>
              </w:rPr>
            </w:pPr>
            <w:hyperlink w:anchor="page68">
              <w:r>
                <w:rPr>
                  <w:rFonts w:ascii="Times New Roman" w:cs="Times New Roman" w:eastAsia="Times New Roman" w:hAnsi="Times New Roman"/>
                  <w:sz w:val="17"/>
                  <w:szCs w:val="17"/>
                  <w:u w:val="single" w:color="auto"/>
                  <w:color w:val="0000FF"/>
                </w:rPr>
                <w:t>66</w:t>
              </w:r>
            </w:hyperlink>
          </w:p>
        </w:tc>
      </w:tr>
      <w:tr>
        <w:trPr>
          <w:trHeight w:val="212"/>
        </w:trPr>
        <w:tc>
          <w:tcPr>
            <w:tcW w:w="9820" w:type="dxa"/>
            <w:vAlign w:val="bottom"/>
          </w:tcPr>
          <w:p>
            <w:pPr>
              <w:ind w:left="20"/>
              <w:spacing w:after="0"/>
              <w:rPr>
                <w:rFonts w:ascii="Times New Roman" w:cs="Times New Roman" w:eastAsia="Times New Roman" w:hAnsi="Times New Roman"/>
                <w:sz w:val="17"/>
                <w:szCs w:val="17"/>
                <w:u w:val="single" w:color="auto"/>
                <w:color w:val="0000FF"/>
              </w:rPr>
            </w:pPr>
            <w:hyperlink w:anchor="page88">
              <w:r>
                <w:rPr>
                  <w:rFonts w:ascii="Times New Roman" w:cs="Times New Roman" w:eastAsia="Times New Roman" w:hAnsi="Times New Roman"/>
                  <w:sz w:val="17"/>
                  <w:szCs w:val="17"/>
                  <w:u w:val="single" w:color="auto"/>
                  <w:color w:val="0000FF"/>
                </w:rPr>
                <w:t>Item 7A. Quantitative and Qualitative Disclosures About Market Risk</w:t>
              </w:r>
            </w:hyperlink>
          </w:p>
        </w:tc>
        <w:tc>
          <w:tcPr>
            <w:tcW w:w="1420" w:type="dxa"/>
            <w:vAlign w:val="bottom"/>
          </w:tcPr>
          <w:p>
            <w:pPr>
              <w:jc w:val="right"/>
              <w:spacing w:after="0"/>
              <w:rPr>
                <w:rFonts w:ascii="Times New Roman" w:cs="Times New Roman" w:eastAsia="Times New Roman" w:hAnsi="Times New Roman"/>
                <w:sz w:val="17"/>
                <w:szCs w:val="17"/>
                <w:u w:val="single" w:color="auto"/>
                <w:color w:val="0000FF"/>
              </w:rPr>
            </w:pPr>
            <w:hyperlink w:anchor="page88">
              <w:r>
                <w:rPr>
                  <w:rFonts w:ascii="Times New Roman" w:cs="Times New Roman" w:eastAsia="Times New Roman" w:hAnsi="Times New Roman"/>
                  <w:sz w:val="17"/>
                  <w:szCs w:val="17"/>
                  <w:u w:val="single" w:color="auto"/>
                  <w:color w:val="0000FF"/>
                </w:rPr>
                <w:t>86</w:t>
              </w:r>
            </w:hyperlink>
          </w:p>
        </w:tc>
      </w:tr>
      <w:tr>
        <w:trPr>
          <w:trHeight w:val="212"/>
        </w:trPr>
        <w:tc>
          <w:tcPr>
            <w:tcW w:w="9820" w:type="dxa"/>
            <w:vAlign w:val="bottom"/>
          </w:tcPr>
          <w:p>
            <w:pPr>
              <w:ind w:left="20"/>
              <w:spacing w:after="0"/>
              <w:rPr>
                <w:rFonts w:ascii="Times New Roman" w:cs="Times New Roman" w:eastAsia="Times New Roman" w:hAnsi="Times New Roman"/>
                <w:sz w:val="17"/>
                <w:szCs w:val="17"/>
                <w:u w:val="single" w:color="auto"/>
                <w:color w:val="0000FF"/>
              </w:rPr>
            </w:pPr>
            <w:hyperlink w:anchor="page89">
              <w:r>
                <w:rPr>
                  <w:rFonts w:ascii="Times New Roman" w:cs="Times New Roman" w:eastAsia="Times New Roman" w:hAnsi="Times New Roman"/>
                  <w:sz w:val="17"/>
                  <w:szCs w:val="17"/>
                  <w:u w:val="single" w:color="auto"/>
                  <w:color w:val="0000FF"/>
                </w:rPr>
                <w:t>Item 8. Financial Statements and Supplementary Data</w:t>
              </w:r>
            </w:hyperlink>
          </w:p>
        </w:tc>
        <w:tc>
          <w:tcPr>
            <w:tcW w:w="1420" w:type="dxa"/>
            <w:vAlign w:val="bottom"/>
          </w:tcPr>
          <w:p>
            <w:pPr>
              <w:jc w:val="right"/>
              <w:spacing w:after="0"/>
              <w:rPr>
                <w:rFonts w:ascii="Times New Roman" w:cs="Times New Roman" w:eastAsia="Times New Roman" w:hAnsi="Times New Roman"/>
                <w:sz w:val="17"/>
                <w:szCs w:val="17"/>
                <w:u w:val="single" w:color="auto"/>
                <w:color w:val="0000FF"/>
              </w:rPr>
            </w:pPr>
            <w:hyperlink w:anchor="page89">
              <w:r>
                <w:rPr>
                  <w:rFonts w:ascii="Times New Roman" w:cs="Times New Roman" w:eastAsia="Times New Roman" w:hAnsi="Times New Roman"/>
                  <w:sz w:val="17"/>
                  <w:szCs w:val="17"/>
                  <w:u w:val="single" w:color="auto"/>
                  <w:color w:val="0000FF"/>
                </w:rPr>
                <w:t>87</w:t>
              </w:r>
            </w:hyperlink>
          </w:p>
        </w:tc>
      </w:tr>
      <w:tr>
        <w:trPr>
          <w:trHeight w:val="212"/>
        </w:trPr>
        <w:tc>
          <w:tcPr>
            <w:tcW w:w="9820" w:type="dxa"/>
            <w:vAlign w:val="bottom"/>
          </w:tcPr>
          <w:p>
            <w:pPr>
              <w:ind w:left="20"/>
              <w:spacing w:after="0"/>
              <w:rPr>
                <w:rFonts w:ascii="Times New Roman" w:cs="Times New Roman" w:eastAsia="Times New Roman" w:hAnsi="Times New Roman"/>
                <w:sz w:val="17"/>
                <w:szCs w:val="17"/>
                <w:u w:val="single" w:color="auto"/>
                <w:color w:val="0000FF"/>
              </w:rPr>
            </w:pPr>
            <w:hyperlink w:anchor="page123">
              <w:r>
                <w:rPr>
                  <w:rFonts w:ascii="Times New Roman" w:cs="Times New Roman" w:eastAsia="Times New Roman" w:hAnsi="Times New Roman"/>
                  <w:sz w:val="17"/>
                  <w:szCs w:val="17"/>
                  <w:u w:val="single" w:color="auto"/>
                  <w:color w:val="0000FF"/>
                </w:rPr>
                <w:t>Item 9. Changes in and Disagreements with Accountants on Accounting and Financial Disclosure</w:t>
              </w:r>
            </w:hyperlink>
          </w:p>
        </w:tc>
        <w:tc>
          <w:tcPr>
            <w:tcW w:w="1420" w:type="dxa"/>
            <w:vAlign w:val="bottom"/>
          </w:tcPr>
          <w:p>
            <w:pPr>
              <w:jc w:val="right"/>
              <w:spacing w:after="0"/>
              <w:rPr>
                <w:rFonts w:ascii="Times New Roman" w:cs="Times New Roman" w:eastAsia="Times New Roman" w:hAnsi="Times New Roman"/>
                <w:sz w:val="17"/>
                <w:szCs w:val="17"/>
                <w:u w:val="single" w:color="auto"/>
                <w:color w:val="0000FF"/>
              </w:rPr>
            </w:pPr>
            <w:hyperlink w:anchor="page123">
              <w:r>
                <w:rPr>
                  <w:rFonts w:ascii="Times New Roman" w:cs="Times New Roman" w:eastAsia="Times New Roman" w:hAnsi="Times New Roman"/>
                  <w:sz w:val="17"/>
                  <w:szCs w:val="17"/>
                  <w:u w:val="single" w:color="auto"/>
                  <w:color w:val="0000FF"/>
                </w:rPr>
                <w:t>121</w:t>
              </w:r>
            </w:hyperlink>
          </w:p>
        </w:tc>
      </w:tr>
      <w:tr>
        <w:trPr>
          <w:trHeight w:val="212"/>
        </w:trPr>
        <w:tc>
          <w:tcPr>
            <w:tcW w:w="9820" w:type="dxa"/>
            <w:vAlign w:val="bottom"/>
          </w:tcPr>
          <w:p>
            <w:pPr>
              <w:ind w:left="20"/>
              <w:spacing w:after="0"/>
              <w:rPr>
                <w:rFonts w:ascii="Times New Roman" w:cs="Times New Roman" w:eastAsia="Times New Roman" w:hAnsi="Times New Roman"/>
                <w:sz w:val="17"/>
                <w:szCs w:val="17"/>
                <w:u w:val="single" w:color="auto"/>
                <w:color w:val="0000FF"/>
              </w:rPr>
            </w:pPr>
            <w:hyperlink w:anchor="page124">
              <w:r>
                <w:rPr>
                  <w:rFonts w:ascii="Times New Roman" w:cs="Times New Roman" w:eastAsia="Times New Roman" w:hAnsi="Times New Roman"/>
                  <w:sz w:val="17"/>
                  <w:szCs w:val="17"/>
                  <w:u w:val="single" w:color="auto"/>
                  <w:color w:val="0000FF"/>
                </w:rPr>
                <w:t>Item 9A. Controls and Procedures</w:t>
              </w:r>
            </w:hyperlink>
          </w:p>
        </w:tc>
        <w:tc>
          <w:tcPr>
            <w:tcW w:w="1420" w:type="dxa"/>
            <w:vAlign w:val="bottom"/>
          </w:tcPr>
          <w:p>
            <w:pPr>
              <w:jc w:val="right"/>
              <w:spacing w:after="0"/>
              <w:rPr>
                <w:rFonts w:ascii="Times New Roman" w:cs="Times New Roman" w:eastAsia="Times New Roman" w:hAnsi="Times New Roman"/>
                <w:sz w:val="17"/>
                <w:szCs w:val="17"/>
                <w:u w:val="single" w:color="auto"/>
                <w:color w:val="0000FF"/>
              </w:rPr>
            </w:pPr>
            <w:hyperlink w:anchor="page124">
              <w:r>
                <w:rPr>
                  <w:rFonts w:ascii="Times New Roman" w:cs="Times New Roman" w:eastAsia="Times New Roman" w:hAnsi="Times New Roman"/>
                  <w:sz w:val="17"/>
                  <w:szCs w:val="17"/>
                  <w:u w:val="single" w:color="auto"/>
                  <w:color w:val="0000FF"/>
                </w:rPr>
                <w:t>121</w:t>
              </w:r>
            </w:hyperlink>
          </w:p>
        </w:tc>
      </w:tr>
      <w:tr>
        <w:trPr>
          <w:trHeight w:val="208"/>
        </w:trPr>
        <w:tc>
          <w:tcPr>
            <w:tcW w:w="9820" w:type="dxa"/>
            <w:vAlign w:val="bottom"/>
          </w:tcPr>
          <w:p>
            <w:pPr>
              <w:ind w:left="20"/>
              <w:spacing w:after="0"/>
              <w:rPr>
                <w:rFonts w:ascii="Times New Roman" w:cs="Times New Roman" w:eastAsia="Times New Roman" w:hAnsi="Times New Roman"/>
                <w:sz w:val="17"/>
                <w:szCs w:val="17"/>
                <w:u w:val="single" w:color="auto"/>
                <w:color w:val="0000FF"/>
              </w:rPr>
            </w:pPr>
            <w:hyperlink w:anchor="page125">
              <w:r>
                <w:rPr>
                  <w:rFonts w:ascii="Times New Roman" w:cs="Times New Roman" w:eastAsia="Times New Roman" w:hAnsi="Times New Roman"/>
                  <w:sz w:val="17"/>
                  <w:szCs w:val="17"/>
                  <w:u w:val="single" w:color="auto"/>
                  <w:color w:val="0000FF"/>
                </w:rPr>
                <w:t>Item 9B. Other Information</w:t>
              </w:r>
            </w:hyperlink>
          </w:p>
        </w:tc>
        <w:tc>
          <w:tcPr>
            <w:tcW w:w="1420" w:type="dxa"/>
            <w:vAlign w:val="bottom"/>
          </w:tcPr>
          <w:p>
            <w:pPr>
              <w:jc w:val="right"/>
              <w:spacing w:after="0"/>
              <w:rPr>
                <w:rFonts w:ascii="Times New Roman" w:cs="Times New Roman" w:eastAsia="Times New Roman" w:hAnsi="Times New Roman"/>
                <w:sz w:val="17"/>
                <w:szCs w:val="17"/>
                <w:u w:val="single" w:color="auto"/>
                <w:color w:val="0000FF"/>
              </w:rPr>
            </w:pPr>
            <w:hyperlink w:anchor="page125">
              <w:r>
                <w:rPr>
                  <w:rFonts w:ascii="Times New Roman" w:cs="Times New Roman" w:eastAsia="Times New Roman" w:hAnsi="Times New Roman"/>
                  <w:sz w:val="17"/>
                  <w:szCs w:val="17"/>
                  <w:u w:val="single" w:color="auto"/>
                  <w:color w:val="0000FF"/>
                </w:rPr>
                <w:t>123</w:t>
              </w:r>
            </w:hyperlink>
          </w:p>
        </w:tc>
      </w:tr>
      <w:tr>
        <w:trPr>
          <w:trHeight w:val="216"/>
        </w:trPr>
        <w:tc>
          <w:tcPr>
            <w:tcW w:w="9820" w:type="dxa"/>
            <w:vAlign w:val="bottom"/>
          </w:tcPr>
          <w:p>
            <w:pPr>
              <w:ind w:left="20"/>
              <w:spacing w:after="0"/>
              <w:rPr>
                <w:rFonts w:ascii="Times New Roman" w:cs="Times New Roman" w:eastAsia="Times New Roman" w:hAnsi="Times New Roman"/>
                <w:sz w:val="17"/>
                <w:szCs w:val="17"/>
                <w:b w:val="1"/>
                <w:bCs w:val="1"/>
                <w:u w:val="single" w:color="auto"/>
                <w:color w:val="0000FF"/>
              </w:rPr>
            </w:pPr>
            <w:hyperlink w:anchor="page126">
              <w:r>
                <w:rPr>
                  <w:rFonts w:ascii="Times New Roman" w:cs="Times New Roman" w:eastAsia="Times New Roman" w:hAnsi="Times New Roman"/>
                  <w:sz w:val="17"/>
                  <w:szCs w:val="17"/>
                  <w:b w:val="1"/>
                  <w:bCs w:val="1"/>
                  <w:u w:val="single" w:color="auto"/>
                  <w:color w:val="0000FF"/>
                </w:rPr>
                <w:t>PART III</w:t>
              </w:r>
            </w:hyperlink>
          </w:p>
        </w:tc>
        <w:tc>
          <w:tcPr>
            <w:tcW w:w="1420" w:type="dxa"/>
            <w:vAlign w:val="bottom"/>
          </w:tcPr>
          <w:p>
            <w:pPr>
              <w:spacing w:after="0"/>
              <w:rPr>
                <w:sz w:val="18"/>
                <w:szCs w:val="18"/>
                <w:color w:val="auto"/>
              </w:rPr>
            </w:pPr>
          </w:p>
        </w:tc>
      </w:tr>
      <w:tr>
        <w:trPr>
          <w:trHeight w:val="212"/>
        </w:trPr>
        <w:tc>
          <w:tcPr>
            <w:tcW w:w="9820" w:type="dxa"/>
            <w:vAlign w:val="bottom"/>
          </w:tcPr>
          <w:p>
            <w:pPr>
              <w:ind w:left="20"/>
              <w:spacing w:after="0"/>
              <w:rPr>
                <w:rFonts w:ascii="Times New Roman" w:cs="Times New Roman" w:eastAsia="Times New Roman" w:hAnsi="Times New Roman"/>
                <w:sz w:val="17"/>
                <w:szCs w:val="17"/>
                <w:u w:val="single" w:color="auto"/>
                <w:color w:val="0000FF"/>
              </w:rPr>
            </w:pPr>
            <w:hyperlink w:anchor="page126">
              <w:r>
                <w:rPr>
                  <w:rFonts w:ascii="Times New Roman" w:cs="Times New Roman" w:eastAsia="Times New Roman" w:hAnsi="Times New Roman"/>
                  <w:sz w:val="17"/>
                  <w:szCs w:val="17"/>
                  <w:u w:val="single" w:color="auto"/>
                  <w:color w:val="0000FF"/>
                </w:rPr>
                <w:t>Item 10. Directors, Executive Officers and Corporate Governance</w:t>
              </w:r>
            </w:hyperlink>
          </w:p>
        </w:tc>
        <w:tc>
          <w:tcPr>
            <w:tcW w:w="1420" w:type="dxa"/>
            <w:vAlign w:val="bottom"/>
          </w:tcPr>
          <w:p>
            <w:pPr>
              <w:jc w:val="right"/>
              <w:spacing w:after="0"/>
              <w:rPr>
                <w:rFonts w:ascii="Times New Roman" w:cs="Times New Roman" w:eastAsia="Times New Roman" w:hAnsi="Times New Roman"/>
                <w:sz w:val="17"/>
                <w:szCs w:val="17"/>
                <w:u w:val="single" w:color="auto"/>
                <w:color w:val="0000FF"/>
              </w:rPr>
            </w:pPr>
            <w:hyperlink w:anchor="page126">
              <w:r>
                <w:rPr>
                  <w:rFonts w:ascii="Times New Roman" w:cs="Times New Roman" w:eastAsia="Times New Roman" w:hAnsi="Times New Roman"/>
                  <w:sz w:val="17"/>
                  <w:szCs w:val="17"/>
                  <w:u w:val="single" w:color="auto"/>
                  <w:color w:val="0000FF"/>
                </w:rPr>
                <w:t>123</w:t>
              </w:r>
            </w:hyperlink>
          </w:p>
        </w:tc>
      </w:tr>
      <w:tr>
        <w:trPr>
          <w:trHeight w:val="212"/>
        </w:trPr>
        <w:tc>
          <w:tcPr>
            <w:tcW w:w="9820" w:type="dxa"/>
            <w:vAlign w:val="bottom"/>
          </w:tcPr>
          <w:p>
            <w:pPr>
              <w:ind w:left="20"/>
              <w:spacing w:after="0"/>
              <w:rPr>
                <w:rFonts w:ascii="Times New Roman" w:cs="Times New Roman" w:eastAsia="Times New Roman" w:hAnsi="Times New Roman"/>
                <w:sz w:val="17"/>
                <w:szCs w:val="17"/>
                <w:u w:val="single" w:color="auto"/>
                <w:color w:val="0000FF"/>
              </w:rPr>
            </w:pPr>
            <w:hyperlink w:anchor="page126">
              <w:r>
                <w:rPr>
                  <w:rFonts w:ascii="Times New Roman" w:cs="Times New Roman" w:eastAsia="Times New Roman" w:hAnsi="Times New Roman"/>
                  <w:sz w:val="17"/>
                  <w:szCs w:val="17"/>
                  <w:u w:val="single" w:color="auto"/>
                  <w:color w:val="0000FF"/>
                </w:rPr>
                <w:t>Item 11. Executive Compensation</w:t>
              </w:r>
            </w:hyperlink>
          </w:p>
        </w:tc>
        <w:tc>
          <w:tcPr>
            <w:tcW w:w="1420" w:type="dxa"/>
            <w:vAlign w:val="bottom"/>
          </w:tcPr>
          <w:p>
            <w:pPr>
              <w:jc w:val="right"/>
              <w:spacing w:after="0"/>
              <w:rPr>
                <w:rFonts w:ascii="Times New Roman" w:cs="Times New Roman" w:eastAsia="Times New Roman" w:hAnsi="Times New Roman"/>
                <w:sz w:val="17"/>
                <w:szCs w:val="17"/>
                <w:u w:val="single" w:color="auto"/>
                <w:color w:val="0000FF"/>
              </w:rPr>
            </w:pPr>
            <w:hyperlink w:anchor="page126">
              <w:r>
                <w:rPr>
                  <w:rFonts w:ascii="Times New Roman" w:cs="Times New Roman" w:eastAsia="Times New Roman" w:hAnsi="Times New Roman"/>
                  <w:sz w:val="17"/>
                  <w:szCs w:val="17"/>
                  <w:u w:val="single" w:color="auto"/>
                  <w:color w:val="0000FF"/>
                </w:rPr>
                <w:t>123</w:t>
              </w:r>
            </w:hyperlink>
          </w:p>
        </w:tc>
      </w:tr>
      <w:tr>
        <w:trPr>
          <w:trHeight w:val="212"/>
        </w:trPr>
        <w:tc>
          <w:tcPr>
            <w:tcW w:w="9820" w:type="dxa"/>
            <w:vAlign w:val="bottom"/>
          </w:tcPr>
          <w:p>
            <w:pPr>
              <w:ind w:left="20"/>
              <w:spacing w:after="0"/>
              <w:rPr>
                <w:rFonts w:ascii="Times New Roman" w:cs="Times New Roman" w:eastAsia="Times New Roman" w:hAnsi="Times New Roman"/>
                <w:sz w:val="17"/>
                <w:szCs w:val="17"/>
                <w:u w:val="single" w:color="auto"/>
                <w:color w:val="0000FF"/>
              </w:rPr>
            </w:pPr>
            <w:hyperlink w:anchor="page126">
              <w:r>
                <w:rPr>
                  <w:rFonts w:ascii="Times New Roman" w:cs="Times New Roman" w:eastAsia="Times New Roman" w:hAnsi="Times New Roman"/>
                  <w:sz w:val="17"/>
                  <w:szCs w:val="17"/>
                  <w:u w:val="single" w:color="auto"/>
                  <w:color w:val="0000FF"/>
                </w:rPr>
                <w:t>Item 12. Security Ownership of Certain Beneficial Owners and Management and Related Stockholder Matters</w:t>
              </w:r>
            </w:hyperlink>
          </w:p>
        </w:tc>
        <w:tc>
          <w:tcPr>
            <w:tcW w:w="1420" w:type="dxa"/>
            <w:vAlign w:val="bottom"/>
          </w:tcPr>
          <w:p>
            <w:pPr>
              <w:jc w:val="right"/>
              <w:spacing w:after="0"/>
              <w:rPr>
                <w:rFonts w:ascii="Times New Roman" w:cs="Times New Roman" w:eastAsia="Times New Roman" w:hAnsi="Times New Roman"/>
                <w:sz w:val="17"/>
                <w:szCs w:val="17"/>
                <w:u w:val="single" w:color="auto"/>
                <w:color w:val="0000FF"/>
              </w:rPr>
            </w:pPr>
            <w:hyperlink w:anchor="page126">
              <w:r>
                <w:rPr>
                  <w:rFonts w:ascii="Times New Roman" w:cs="Times New Roman" w:eastAsia="Times New Roman" w:hAnsi="Times New Roman"/>
                  <w:sz w:val="17"/>
                  <w:szCs w:val="17"/>
                  <w:u w:val="single" w:color="auto"/>
                  <w:color w:val="0000FF"/>
                </w:rPr>
                <w:t>123</w:t>
              </w:r>
            </w:hyperlink>
          </w:p>
        </w:tc>
      </w:tr>
      <w:tr>
        <w:trPr>
          <w:trHeight w:val="212"/>
        </w:trPr>
        <w:tc>
          <w:tcPr>
            <w:tcW w:w="9820" w:type="dxa"/>
            <w:vAlign w:val="bottom"/>
          </w:tcPr>
          <w:p>
            <w:pPr>
              <w:ind w:left="20"/>
              <w:spacing w:after="0"/>
              <w:rPr>
                <w:rFonts w:ascii="Times New Roman" w:cs="Times New Roman" w:eastAsia="Times New Roman" w:hAnsi="Times New Roman"/>
                <w:sz w:val="17"/>
                <w:szCs w:val="17"/>
                <w:u w:val="single" w:color="auto"/>
                <w:color w:val="0000FF"/>
              </w:rPr>
            </w:pPr>
            <w:hyperlink w:anchor="page126">
              <w:r>
                <w:rPr>
                  <w:rFonts w:ascii="Times New Roman" w:cs="Times New Roman" w:eastAsia="Times New Roman" w:hAnsi="Times New Roman"/>
                  <w:sz w:val="17"/>
                  <w:szCs w:val="17"/>
                  <w:u w:val="single" w:color="auto"/>
                  <w:color w:val="0000FF"/>
                </w:rPr>
                <w:t>Item 13. Certain Relationships and Related Transactions, and Director Independence</w:t>
              </w:r>
            </w:hyperlink>
          </w:p>
        </w:tc>
        <w:tc>
          <w:tcPr>
            <w:tcW w:w="1420" w:type="dxa"/>
            <w:vAlign w:val="bottom"/>
          </w:tcPr>
          <w:p>
            <w:pPr>
              <w:jc w:val="right"/>
              <w:spacing w:after="0"/>
              <w:rPr>
                <w:rFonts w:ascii="Times New Roman" w:cs="Times New Roman" w:eastAsia="Times New Roman" w:hAnsi="Times New Roman"/>
                <w:sz w:val="17"/>
                <w:szCs w:val="17"/>
                <w:u w:val="single" w:color="auto"/>
                <w:color w:val="0000FF"/>
              </w:rPr>
            </w:pPr>
            <w:hyperlink w:anchor="page126">
              <w:r>
                <w:rPr>
                  <w:rFonts w:ascii="Times New Roman" w:cs="Times New Roman" w:eastAsia="Times New Roman" w:hAnsi="Times New Roman"/>
                  <w:sz w:val="17"/>
                  <w:szCs w:val="17"/>
                  <w:u w:val="single" w:color="auto"/>
                  <w:color w:val="0000FF"/>
                </w:rPr>
                <w:t>123</w:t>
              </w:r>
            </w:hyperlink>
          </w:p>
        </w:tc>
      </w:tr>
      <w:tr>
        <w:trPr>
          <w:trHeight w:val="208"/>
        </w:trPr>
        <w:tc>
          <w:tcPr>
            <w:tcW w:w="9820" w:type="dxa"/>
            <w:vAlign w:val="bottom"/>
          </w:tcPr>
          <w:p>
            <w:pPr>
              <w:ind w:left="20"/>
              <w:spacing w:after="0"/>
              <w:rPr>
                <w:rFonts w:ascii="Times New Roman" w:cs="Times New Roman" w:eastAsia="Times New Roman" w:hAnsi="Times New Roman"/>
                <w:sz w:val="17"/>
                <w:szCs w:val="17"/>
                <w:u w:val="single" w:color="auto"/>
                <w:color w:val="0000FF"/>
              </w:rPr>
            </w:pPr>
            <w:hyperlink w:anchor="page126">
              <w:r>
                <w:rPr>
                  <w:rFonts w:ascii="Times New Roman" w:cs="Times New Roman" w:eastAsia="Times New Roman" w:hAnsi="Times New Roman"/>
                  <w:sz w:val="17"/>
                  <w:szCs w:val="17"/>
                  <w:u w:val="single" w:color="auto"/>
                  <w:color w:val="0000FF"/>
                </w:rPr>
                <w:t>Item 14. Principal Accountant Fees and Services</w:t>
              </w:r>
            </w:hyperlink>
          </w:p>
        </w:tc>
        <w:tc>
          <w:tcPr>
            <w:tcW w:w="1420" w:type="dxa"/>
            <w:vAlign w:val="bottom"/>
          </w:tcPr>
          <w:p>
            <w:pPr>
              <w:jc w:val="right"/>
              <w:spacing w:after="0"/>
              <w:rPr>
                <w:rFonts w:ascii="Times New Roman" w:cs="Times New Roman" w:eastAsia="Times New Roman" w:hAnsi="Times New Roman"/>
                <w:sz w:val="17"/>
                <w:szCs w:val="17"/>
                <w:u w:val="single" w:color="auto"/>
                <w:color w:val="0000FF"/>
              </w:rPr>
            </w:pPr>
            <w:hyperlink w:anchor="page126">
              <w:r>
                <w:rPr>
                  <w:rFonts w:ascii="Times New Roman" w:cs="Times New Roman" w:eastAsia="Times New Roman" w:hAnsi="Times New Roman"/>
                  <w:sz w:val="17"/>
                  <w:szCs w:val="17"/>
                  <w:u w:val="single" w:color="auto"/>
                  <w:color w:val="0000FF"/>
                </w:rPr>
                <w:t>123</w:t>
              </w:r>
            </w:hyperlink>
          </w:p>
        </w:tc>
      </w:tr>
      <w:tr>
        <w:trPr>
          <w:trHeight w:val="216"/>
        </w:trPr>
        <w:tc>
          <w:tcPr>
            <w:tcW w:w="9820" w:type="dxa"/>
            <w:vAlign w:val="bottom"/>
          </w:tcPr>
          <w:p>
            <w:pPr>
              <w:ind w:left="20"/>
              <w:spacing w:after="0"/>
              <w:rPr>
                <w:rFonts w:ascii="Times New Roman" w:cs="Times New Roman" w:eastAsia="Times New Roman" w:hAnsi="Times New Roman"/>
                <w:sz w:val="17"/>
                <w:szCs w:val="17"/>
                <w:b w:val="1"/>
                <w:bCs w:val="1"/>
                <w:u w:val="single" w:color="auto"/>
                <w:color w:val="0000FF"/>
              </w:rPr>
            </w:pPr>
            <w:hyperlink w:anchor="page126">
              <w:r>
                <w:rPr>
                  <w:rFonts w:ascii="Times New Roman" w:cs="Times New Roman" w:eastAsia="Times New Roman" w:hAnsi="Times New Roman"/>
                  <w:sz w:val="17"/>
                  <w:szCs w:val="17"/>
                  <w:b w:val="1"/>
                  <w:bCs w:val="1"/>
                  <w:u w:val="single" w:color="auto"/>
                  <w:color w:val="0000FF"/>
                </w:rPr>
                <w:t>PART IV</w:t>
              </w:r>
            </w:hyperlink>
          </w:p>
        </w:tc>
        <w:tc>
          <w:tcPr>
            <w:tcW w:w="1420" w:type="dxa"/>
            <w:vAlign w:val="bottom"/>
          </w:tcPr>
          <w:p>
            <w:pPr>
              <w:spacing w:after="0"/>
              <w:rPr>
                <w:sz w:val="18"/>
                <w:szCs w:val="18"/>
                <w:color w:val="auto"/>
              </w:rPr>
            </w:pPr>
          </w:p>
        </w:tc>
      </w:tr>
      <w:tr>
        <w:trPr>
          <w:trHeight w:val="212"/>
        </w:trPr>
        <w:tc>
          <w:tcPr>
            <w:tcW w:w="9820" w:type="dxa"/>
            <w:vAlign w:val="bottom"/>
          </w:tcPr>
          <w:p>
            <w:pPr>
              <w:ind w:left="20"/>
              <w:spacing w:after="0"/>
              <w:rPr>
                <w:rFonts w:ascii="Times New Roman" w:cs="Times New Roman" w:eastAsia="Times New Roman" w:hAnsi="Times New Roman"/>
                <w:sz w:val="17"/>
                <w:szCs w:val="17"/>
                <w:u w:val="single" w:color="auto"/>
                <w:color w:val="0000FF"/>
              </w:rPr>
            </w:pPr>
            <w:hyperlink w:anchor="page127">
              <w:r>
                <w:rPr>
                  <w:rFonts w:ascii="Times New Roman" w:cs="Times New Roman" w:eastAsia="Times New Roman" w:hAnsi="Times New Roman"/>
                  <w:sz w:val="17"/>
                  <w:szCs w:val="17"/>
                  <w:u w:val="single" w:color="auto"/>
                  <w:color w:val="0000FF"/>
                </w:rPr>
                <w:t>Item 15. Exhibits, Financial Statement Schedules</w:t>
              </w:r>
            </w:hyperlink>
          </w:p>
        </w:tc>
        <w:tc>
          <w:tcPr>
            <w:tcW w:w="1420" w:type="dxa"/>
            <w:vAlign w:val="bottom"/>
          </w:tcPr>
          <w:p>
            <w:pPr>
              <w:jc w:val="right"/>
              <w:spacing w:after="0"/>
              <w:rPr>
                <w:rFonts w:ascii="Times New Roman" w:cs="Times New Roman" w:eastAsia="Times New Roman" w:hAnsi="Times New Roman"/>
                <w:sz w:val="17"/>
                <w:szCs w:val="17"/>
                <w:u w:val="single" w:color="auto"/>
                <w:color w:val="0000FF"/>
              </w:rPr>
            </w:pPr>
            <w:hyperlink w:anchor="page127">
              <w:r>
                <w:rPr>
                  <w:rFonts w:ascii="Times New Roman" w:cs="Times New Roman" w:eastAsia="Times New Roman" w:hAnsi="Times New Roman"/>
                  <w:sz w:val="17"/>
                  <w:szCs w:val="17"/>
                  <w:u w:val="single" w:color="auto"/>
                  <w:color w:val="0000FF"/>
                </w:rPr>
                <w:t>124</w:t>
              </w:r>
            </w:hyperlink>
          </w:p>
        </w:tc>
      </w:tr>
      <w:tr>
        <w:trPr>
          <w:trHeight w:val="208"/>
        </w:trPr>
        <w:tc>
          <w:tcPr>
            <w:tcW w:w="9820" w:type="dxa"/>
            <w:vAlign w:val="bottom"/>
          </w:tcPr>
          <w:p>
            <w:pPr>
              <w:ind w:left="20"/>
              <w:spacing w:after="0"/>
              <w:rPr>
                <w:rFonts w:ascii="Times New Roman" w:cs="Times New Roman" w:eastAsia="Times New Roman" w:hAnsi="Times New Roman"/>
                <w:sz w:val="17"/>
                <w:szCs w:val="17"/>
                <w:u w:val="single" w:color="auto"/>
                <w:color w:val="0000FF"/>
              </w:rPr>
            </w:pPr>
            <w:hyperlink w:anchor="page130">
              <w:r>
                <w:rPr>
                  <w:rFonts w:ascii="Times New Roman" w:cs="Times New Roman" w:eastAsia="Times New Roman" w:hAnsi="Times New Roman"/>
                  <w:sz w:val="17"/>
                  <w:szCs w:val="17"/>
                  <w:u w:val="single" w:color="auto"/>
                  <w:color w:val="0000FF"/>
                </w:rPr>
                <w:t>Item 16. Form 10-K Summary</w:t>
              </w:r>
            </w:hyperlink>
          </w:p>
        </w:tc>
        <w:tc>
          <w:tcPr>
            <w:tcW w:w="1420" w:type="dxa"/>
            <w:vAlign w:val="bottom"/>
          </w:tcPr>
          <w:p>
            <w:pPr>
              <w:jc w:val="right"/>
              <w:spacing w:after="0"/>
              <w:rPr>
                <w:rFonts w:ascii="Times New Roman" w:cs="Times New Roman" w:eastAsia="Times New Roman" w:hAnsi="Times New Roman"/>
                <w:sz w:val="17"/>
                <w:szCs w:val="17"/>
                <w:u w:val="single" w:color="auto"/>
                <w:color w:val="0000FF"/>
              </w:rPr>
            </w:pPr>
            <w:hyperlink w:anchor="page130">
              <w:r>
                <w:rPr>
                  <w:rFonts w:ascii="Times New Roman" w:cs="Times New Roman" w:eastAsia="Times New Roman" w:hAnsi="Times New Roman"/>
                  <w:sz w:val="17"/>
                  <w:szCs w:val="17"/>
                  <w:u w:val="single" w:color="auto"/>
                  <w:color w:val="0000FF"/>
                </w:rPr>
                <w:t>128</w:t>
              </w:r>
            </w:hyperlink>
          </w:p>
        </w:tc>
      </w:tr>
      <w:tr>
        <w:trPr>
          <w:trHeight w:val="220"/>
        </w:trPr>
        <w:tc>
          <w:tcPr>
            <w:tcW w:w="9820" w:type="dxa"/>
            <w:vAlign w:val="bottom"/>
          </w:tcPr>
          <w:p>
            <w:pPr>
              <w:ind w:left="20"/>
              <w:spacing w:after="0"/>
              <w:rPr>
                <w:rFonts w:ascii="Times New Roman" w:cs="Times New Roman" w:eastAsia="Times New Roman" w:hAnsi="Times New Roman"/>
                <w:sz w:val="17"/>
                <w:szCs w:val="17"/>
                <w:b w:val="1"/>
                <w:bCs w:val="1"/>
                <w:u w:val="single" w:color="auto"/>
                <w:color w:val="0000FF"/>
              </w:rPr>
            </w:pPr>
            <w:hyperlink w:anchor="page131">
              <w:r>
                <w:rPr>
                  <w:rFonts w:ascii="Times New Roman" w:cs="Times New Roman" w:eastAsia="Times New Roman" w:hAnsi="Times New Roman"/>
                  <w:sz w:val="17"/>
                  <w:szCs w:val="17"/>
                  <w:b w:val="1"/>
                  <w:bCs w:val="1"/>
                  <w:u w:val="single" w:color="auto"/>
                  <w:color w:val="0000FF"/>
                </w:rPr>
                <w:t>SIGNATURES</w:t>
              </w:r>
            </w:hyperlink>
          </w:p>
        </w:tc>
        <w:tc>
          <w:tcPr>
            <w:tcW w:w="1420" w:type="dxa"/>
            <w:vAlign w:val="bottom"/>
          </w:tcPr>
          <w:p>
            <w:pPr>
              <w:jc w:val="right"/>
              <w:spacing w:after="0"/>
              <w:rPr>
                <w:rFonts w:ascii="Times New Roman" w:cs="Times New Roman" w:eastAsia="Times New Roman" w:hAnsi="Times New Roman"/>
                <w:sz w:val="17"/>
                <w:szCs w:val="17"/>
                <w:u w:val="single" w:color="auto"/>
                <w:color w:val="0000FF"/>
              </w:rPr>
            </w:pPr>
            <w:hyperlink w:anchor="page131">
              <w:r>
                <w:rPr>
                  <w:rFonts w:ascii="Times New Roman" w:cs="Times New Roman" w:eastAsia="Times New Roman" w:hAnsi="Times New Roman"/>
                  <w:sz w:val="17"/>
                  <w:szCs w:val="17"/>
                  <w:u w:val="single" w:color="auto"/>
                  <w:color w:val="0000FF"/>
                </w:rPr>
                <w:t>128</w:t>
              </w:r>
            </w:hyperlink>
          </w:p>
        </w:tc>
      </w:tr>
      <w:tr>
        <w:trPr>
          <w:trHeight w:val="1540"/>
        </w:trPr>
        <w:tc>
          <w:tcPr>
            <w:tcW w:w="98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7134860</wp:posOffset>
            </wp:positionH>
            <wp:positionV relativeFrom="paragraph">
              <wp:posOffset>-6985</wp:posOffset>
            </wp:positionV>
            <wp:extent cx="762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762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2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 w:name="page4"/>
    <w:bookmarkEnd w:id="3"/>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00" w:lineRule="exact"/>
        <w:rPr>
          <w:sz w:val="20"/>
          <w:szCs w:val="20"/>
          <w:color w:val="auto"/>
        </w:rPr>
      </w:pPr>
    </w:p>
    <w:p>
      <w:pPr>
        <w:spacing w:after="0" w:line="25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233" w:lineRule="exact"/>
        <w:rPr>
          <w:sz w:val="20"/>
          <w:szCs w:val="20"/>
          <w:color w:val="auto"/>
        </w:rPr>
      </w:pPr>
    </w:p>
    <w:p>
      <w:pPr>
        <w:jc w:val="both"/>
        <w:ind w:firstLine="375"/>
        <w:spacing w:after="0" w:line="231" w:lineRule="auto"/>
        <w:rPr>
          <w:sz w:val="20"/>
          <w:szCs w:val="20"/>
          <w:color w:val="auto"/>
        </w:rPr>
      </w:pPr>
      <w:r>
        <w:rPr>
          <w:rFonts w:ascii="Times New Roman" w:cs="Times New Roman" w:eastAsia="Times New Roman" w:hAnsi="Times New Roman"/>
          <w:sz w:val="17"/>
          <w:szCs w:val="17"/>
          <w:color w:val="auto"/>
        </w:rPr>
        <w:t>This report contains forward-looking statements within the meaning of the Private Securities Litigation Reform Act of 1995. When used in this report,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revenue; our expectations with respect to our future research and development, general and administrative and selling and marketing expenses and our anticipated uses of our funds; our beliefs with respect to the optimization of our processes for the analysis of ribonucleic acid, or RNA, samples; our ability to manage the ongoing COVID-19 pandemic and its related economic effects; our integration of the assets acquired from NanoString Technologies, Inc.; our ability to adapt select tests to be performed on the nCounter Analysis System for international distribution of our tests; our collaboration with Johnson &amp; Johnson Services, Inc., or Johnson &amp; Johnson; our ability to successfully execute and integrate additional products, technologies and personnel through acquisitions and collaborations in the future; our estimates of target U.S. and international market size for our pipeline products; our ability to commercially introduce four products in 2021; our belief in the importance of maintaining libraries of clinical evidence; our expectations regarding capital expenditures; our anticipated cash needs and our estimates regarding our capital requirements; the timing and success of our transition to a single platform for all of our classifiers and tests; our ability to obtain Medicare coverage for our tests; our need for additional financing; potential future sources of cash; our business strategy and our ability to execute our strategy; our ability to achieve and maintain reimbursement from third-party payers at acceptable levels and our expectations regarding the timing of reimbursement; the estimated size of the global markets for our tests; the estimated number of patients who receive uncertain diagnoses who are candidates for our test; the attributes and potential benefits of our tests and any future tests we may develop to patients, physicians and payers; the factors we believe drive demand for and reimbursement of our tests; our ability to sustain or increase demand for our tests; our intent to expand into other clinical areas; our ability to develop new tests, and the timeframes for development or commercialization; our ability to get our data and clinical studies accepted in peer-reviewed publications; our dependence on and the terms of our strategic relationships, and the success of those relationships; our beliefs regarding our laboratory capacity; the applicability of clinical results to actual outcomes; our expectations regarding our international expansion; the occurrence, timing, outcome or success of clinical trials or studies; the ability of our tests to impact treatment decisions; our beliefs regarding our competitive position; our compliance with federal, state and international regulations; the potential impact of regulation of our tests by the Food and Drug Administration, or FDA, or other regulatory bodies; the impact of new or changing policies, regulation or legislation, or of judicial decisions, on our business; the impact of seasonal fluctuations and economic conditions on our business; our belief that we have taken reasonable steps to protect our intellectual property; our belief that our intellectual property will develop and maintain our competitive position; the impact of accounting pronouncements and our critical accounting policies, judgments, estimates, models and assumptions on our financial results; and anticipated trends and challenges in our business and the markets in which we operate. We caution you that the foregoing list does not contain all of the forward-looking statements made in this report.</w:t>
      </w:r>
    </w:p>
    <w:p>
      <w:pPr>
        <w:spacing w:after="0" w:line="202"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Forward-looking statements are based on our current plans and expectations and involve risks and uncertainties which could cause actual results to differ materially. These risks and uncertainties include, but are not limited to, those risks discussed in Part I, Item 1A of this report. These forward-looking statements speak only as of the date hereof. We expressly disclaim any obligation or undertaking to update any forward-looking statements contained herein to reflect any change in our expectations with regard thereto or any change in events, conditions or circumstances on which any such statement is based.</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When used in this report, all references to "Veracyte," the "company," "we," "our" and "us" refer to Veracyte, Inc.</w:t>
      </w:r>
    </w:p>
    <w:p>
      <w:pPr>
        <w:spacing w:after="0" w:line="229"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Veracyte, Afirma, Percepta, Envisia, Prosigna, "Know by Design" and the Veracyte, Afirma, Percepta, Envisia and Prosigna logos are registered trademarks in the U.S. and selected countries. We have common law rights and pending trademark applications for LymphMark and “More About You.” We also refer to trademarks of other corporations or organizations in this report.</w:t>
      </w:r>
    </w:p>
    <w:p>
      <w:pPr>
        <w:spacing w:after="0" w:line="196"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This annual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annual report is also based on our internal estimates. Although we have not independently verified the third-party data, we are responsible for its inclusion in the annual report and believe it to be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 w:name="page5"/>
    <w:bookmarkEnd w:id="4"/>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33" w:lineRule="exact"/>
        <w:rPr>
          <w:sz w:val="20"/>
          <w:szCs w:val="20"/>
          <w:color w:val="auto"/>
        </w:rPr>
      </w:pPr>
    </w:p>
    <w:p>
      <w:pPr>
        <w:jc w:val="both"/>
        <w:ind w:firstLine="375"/>
        <w:spacing w:after="0"/>
        <w:rPr>
          <w:sz w:val="20"/>
          <w:szCs w:val="20"/>
          <w:color w:val="auto"/>
        </w:rPr>
      </w:pPr>
      <w:r>
        <w:rPr>
          <w:rFonts w:ascii="Times New Roman" w:cs="Times New Roman" w:eastAsia="Times New Roman" w:hAnsi="Times New Roman"/>
          <w:sz w:val="17"/>
          <w:szCs w:val="17"/>
          <w:color w:val="auto"/>
        </w:rPr>
        <w:t>We are a global genomic diagnostics company that improves patient care by answering important clinical questions to inform diagnosis and treatment decisions throughout the patient journey in cancer and other diseases. Our growing menu of tests leverages advances in genomic science and machine learning technology to change care for patients, enabling them to avoid risky, costly procedures and reduce time to appropriate treatment. In addition to making our genomic tests available in the United States through our central laboratory, our exclusive license to the nCounter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Analysis System, which we believe to be a best-in-class diagnostics platform, positions us to deliver our tests to patients worldwide through laboratories and hospitals that can perform the tests locally. We estimate that our current and near-term pipeline products address an estimated $10 billion global market and that our longer-term pipeline products will enable us to address an estimated $50 billion global market.</w:t>
      </w:r>
    </w:p>
    <w:p>
      <w:pPr>
        <w:spacing w:after="0" w:line="209"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We design our tests to answer critical questions in the diagnosis, prognosis and treatment of cancer and other diseases and improve patient outcomes. We deliver clinical and economic utility to patients, physicians and payers, thereby helping to eliminate unnecessary costs burdening the healthcare system. We position our tests to integrate seamlessly into the way physicians currently evaluate patients in order to facilitate adoption.</w:t>
      </w:r>
    </w:p>
    <w:p>
      <w:pPr>
        <w:spacing w:after="0" w:line="196" w:lineRule="exact"/>
        <w:rPr>
          <w:sz w:val="20"/>
          <w:szCs w:val="20"/>
          <w:color w:val="auto"/>
        </w:rPr>
      </w:pPr>
    </w:p>
    <w:p>
      <w:pPr>
        <w:jc w:val="both"/>
        <w:ind w:firstLine="375"/>
        <w:spacing w:after="0" w:line="281" w:lineRule="auto"/>
        <w:rPr>
          <w:sz w:val="20"/>
          <w:szCs w:val="20"/>
          <w:color w:val="auto"/>
        </w:rPr>
      </w:pPr>
      <w:r>
        <w:rPr>
          <w:rFonts w:ascii="Times New Roman" w:cs="Times New Roman" w:eastAsia="Times New Roman" w:hAnsi="Times New Roman"/>
          <w:sz w:val="16"/>
          <w:szCs w:val="16"/>
          <w:color w:val="auto"/>
        </w:rPr>
        <w:t>We develop our genomic tests using advanced scientific methods, such as RNA whole-transcriptome sequencing and machine learning, and then optimize the assays and classifiers for the platform on which the test will be performed. Historically, we have utilized RNA sequencing methods performed in our CLIA laboratory in South San Francisco, California. Beginning in 2021, we expect to adapt select tests to be performed on the nCounter Analysis System for their international distribution.</w:t>
      </w:r>
    </w:p>
    <w:p>
      <w:pPr>
        <w:spacing w:after="0" w:line="178"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We believe our powerful scientific platform provides multiple vectors to create value for patients, providers and payers, as well as stockholders, and to help advance precision medicine:</w:t>
      </w:r>
    </w:p>
    <w:p>
      <w:pPr>
        <w:spacing w:after="0" w:line="184" w:lineRule="exact"/>
        <w:rPr>
          <w:sz w:val="20"/>
          <w:szCs w:val="20"/>
          <w:color w:val="auto"/>
        </w:rPr>
      </w:pPr>
    </w:p>
    <w:p>
      <w:pPr>
        <w:jc w:val="both"/>
        <w:ind w:left="680" w:hanging="306"/>
        <w:spacing w:after="0" w:line="251" w:lineRule="auto"/>
        <w:tabs>
          <w:tab w:leader="none" w:pos="67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Unique Biorepositories - When we develop new tests, we build extensive, robust biorepositories of patient-consented samples and well-curated clinical, radiological, outcome and other information from Institutional Review Board-approved clinical trials to inform our discovery and validation efforts. Our biorepositories are designed to encompass the broad spectrum of disease that our tests may encounter when used in clinical practice, as well as the wide range of conditions associated with patients who are suspected of having a particular disease. We extract extensive genomic information from these patient samples using our RNA whole-transcriptome sequencing platform.</w:t>
      </w:r>
    </w:p>
    <w:p>
      <w:pPr>
        <w:spacing w:after="0" w:line="201" w:lineRule="exact"/>
        <w:rPr>
          <w:rFonts w:ascii="Times New Roman" w:cs="Times New Roman" w:eastAsia="Times New Roman" w:hAnsi="Times New Roman"/>
          <w:sz w:val="17"/>
          <w:szCs w:val="17"/>
          <w:color w:val="auto"/>
        </w:rPr>
      </w:pPr>
    </w:p>
    <w:p>
      <w:pPr>
        <w:jc w:val="both"/>
        <w:ind w:left="680" w:hanging="306"/>
        <w:spacing w:after="0" w:line="253" w:lineRule="auto"/>
        <w:tabs>
          <w:tab w:leader="none" w:pos="67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Proprietary Technology and Bioinformatics - For biomarker discovery and product development, we utilize machine learning to select the genomic, clinical or other features from our biorepository that best distinguish the condition we are trying to identify. This enables us to develop high-performing genomic classifiers that can answer specific clinical questions. In addition, our bioinformatics pipelines are built to extract genomic variant content from the same assay to inform therapeutic selection.</w:t>
      </w:r>
    </w:p>
    <w:p>
      <w:pPr>
        <w:spacing w:after="0" w:line="199" w:lineRule="exact"/>
        <w:rPr>
          <w:rFonts w:ascii="Times New Roman" w:cs="Times New Roman" w:eastAsia="Times New Roman" w:hAnsi="Times New Roman"/>
          <w:sz w:val="17"/>
          <w:szCs w:val="17"/>
          <w:color w:val="auto"/>
        </w:rPr>
      </w:pPr>
    </w:p>
    <w:p>
      <w:pPr>
        <w:jc w:val="both"/>
        <w:ind w:left="680" w:hanging="306"/>
        <w:spacing w:after="0" w:line="250" w:lineRule="auto"/>
        <w:tabs>
          <w:tab w:leader="none" w:pos="67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High-Performing Commercial Genomic Tests - With the exception of Prosigna, which competes with a first-to-market test in a highly competitive environment, our genomic tests generally serve large, untapped markets where they are changing the diagnostic and treatment paradigm for patients. The majority of our genomic testing business stems from our Clinical Laboratory Improvement Amendments of 1988, or CLIA, certified laboratory serving the United States market. We believe the nCounter Analysis System affords us the opportunity to adapt our test menu for multiple markets globally, providing flexibility for a global distributed testing model and increased efficiency in our United States-based CLIA lab. Our RNA sequencing platform enables us to offer testing from our CLIA lab for a broad range of gene alterations, which can inform treatment decisions at the time of diagnosis.</w:t>
      </w:r>
    </w:p>
    <w:p>
      <w:pPr>
        <w:spacing w:after="0" w:line="201" w:lineRule="exact"/>
        <w:rPr>
          <w:sz w:val="20"/>
          <w:szCs w:val="20"/>
          <w:color w:val="auto"/>
        </w:rPr>
      </w:pPr>
    </w:p>
    <w:p>
      <w:pPr>
        <w:jc w:val="both"/>
        <w:ind w:firstLine="375"/>
        <w:spacing w:after="0" w:line="230" w:lineRule="auto"/>
        <w:rPr>
          <w:sz w:val="20"/>
          <w:szCs w:val="20"/>
          <w:color w:val="auto"/>
        </w:rPr>
      </w:pPr>
      <w:r>
        <w:rPr>
          <w:rFonts w:ascii="Times New Roman" w:cs="Times New Roman" w:eastAsia="Times New Roman" w:hAnsi="Times New Roman"/>
          <w:sz w:val="17"/>
          <w:szCs w:val="17"/>
          <w:color w:val="auto"/>
        </w:rPr>
        <w:t>We currently offer commercialized genomic tests in four clinical indications that we believe are changing disease diagnosis and patient care. All of our commercial tests are available in the United States and one is available internationally. These include the Afirma® Genomic Sequencing Classifier, or GSC, and the Afirma Xpression Atlas, or XA, designed to improve diagnosis of and inform treatment decisions, respectively, for thyroid cancer; the Percepta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GSC for lung cancer; the Envisia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Genomic Classifier for interstitial lung disease, or ILD, including idiopathic pulmonary fibrosis, or IPF; and the Prosigna Breast Cancer Assay for assessing risk of breast cancer distant recurrence. The Prosigna test is available for use on the nCounter Analysis System internationally and in the United States. Our investigational LymphMark lymphoma subtyping is also intended for use on the nCounter Analysis System and is expected to launch in 2021.</w:t>
      </w:r>
    </w:p>
    <w:p>
      <w:pPr>
        <w:spacing w:after="0" w:line="211"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We expect to continue expanding our offerings in thyroid cancer, lung cancer, ILD/IPF, breast cancer and lymphoma, as well as other indications that we believe will benefit from our technology and approach. Our product development pipelines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 w:name="page6"/>
    <w:bookmarkEnd w:id="5"/>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address what we believe to be an over $50 billion annual market opportunity in early detection, diagnosis, staging/prognosis, therapy selection/surgery and disease monitoring across the aforementioned indications. We plan to commercially introduce four products in 2021: Our nasal swab test for early lung cancer detection and our Percepta Genomic Atlas, which, together with the Percepta GSC, form a comprehensive lung cancer portfolio that we believe may improve lung cancer diagnosis and treatment decisions; our Envisia classifier on the nCounter Analysis System for expansion into global markets; and our LymphMark lymphoma subtyping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127000</wp:posOffset>
            </wp:positionV>
            <wp:extent cx="5232400" cy="256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32400" cy="256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We believe our ability to leverage RNA whole-transcriptome sequencing data in large biorepositories of patient-consented samples in oncology and other indications, our strong commercial position in major clinical indications and our global reach, present partnership opportunities for biopharmaceutical companies to enhance their research and development capabilities and for other genomic diagnostics companies to introduce their non-competitive tests to global markets on the nCounter Analysis System.</w:t>
      </w:r>
    </w:p>
    <w:p>
      <w:pPr>
        <w:spacing w:after="0" w:line="199"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We have formed several biopharmaceutical partnerships, each focused on our current indications to derive value out of our current business or advance future business. Our collaboration with the Lung Cancer Initiative at Johnson &amp; Johnson, which began in December 2018, has helped advance our pipeline, including the launch in 2019 of our Percepta GSC on our RNA whole-transcriptome sequencing platform and development of the first non-invasive nasal swab test designed for early lung cancer detection. We have recently expanded our program with Johnson &amp; Johnson to potentially develop future tests designed to detect lung disease before cancer develops. We also collaborate with Acerta Pharma, the hematology research and development arm of AstraZeneca, to provide genomic information that will support its development of oncology therapeutics in lymphoma, for which we are developing our LymphMark test. We have also announced programs in thyroid cancer – with Loxo Oncology (now a wholly-owned subsidiary of Eli Lilly and Company) as well as with Bayer AG, or Bayer – that center on our Afirma XA to advance precision medicine based on the test’s comprehensive genomic profiling capabilities.</w:t>
      </w:r>
    </w:p>
    <w:p>
      <w:pPr>
        <w:spacing w:after="0" w:line="207"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During 2020, we also entered into our first two diagnostic company partnerships with CareDx in transplantation and MAVIDx in COVID-19 and other infectious diseases. These collaborations may lead to revenue sources in the future.</w:t>
      </w:r>
    </w:p>
    <w:p>
      <w:pPr>
        <w:spacing w:after="0" w:line="184"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 xml:space="preserve">The published evidence supporting our tests demonstrates the robustness of our science and clinical studies, which we believe is key to driving adoption and reimbursement. Patients and physicians can access a more comprehensive list of publications on our website. Over 50 clinical studies covering our products have been published, including three landmark clinical validation papers published in </w:t>
      </w:r>
      <w:r>
        <w:rPr>
          <w:rFonts w:ascii="Times New Roman" w:cs="Times New Roman" w:eastAsia="Times New Roman" w:hAnsi="Times New Roman"/>
          <w:sz w:val="17"/>
          <w:szCs w:val="17"/>
          <w:i w:val="1"/>
          <w:iCs w:val="1"/>
          <w:color w:val="auto"/>
        </w:rPr>
        <w:t>The New England Journal of Medicine</w:t>
      </w:r>
      <w:r>
        <w:rPr>
          <w:rFonts w:ascii="Times New Roman" w:cs="Times New Roman" w:eastAsia="Times New Roman" w:hAnsi="Times New Roman"/>
          <w:sz w:val="17"/>
          <w:szCs w:val="17"/>
          <w:color w:val="auto"/>
        </w:rPr>
        <w:t xml:space="preserve"> for the Afirma and Percepta classifiers, respectively, and in </w:t>
      </w:r>
      <w:r>
        <w:rPr>
          <w:rFonts w:ascii="Times New Roman" w:cs="Times New Roman" w:eastAsia="Times New Roman" w:hAnsi="Times New Roman"/>
          <w:sz w:val="17"/>
          <w:szCs w:val="17"/>
          <w:i w:val="1"/>
          <w:iCs w:val="1"/>
          <w:color w:val="auto"/>
        </w:rPr>
        <w:t>The Lancet Respiratory Medicine</w:t>
      </w:r>
      <w:r>
        <w:rPr>
          <w:rFonts w:ascii="Times New Roman" w:cs="Times New Roman" w:eastAsia="Times New Roman" w:hAnsi="Times New Roman"/>
          <w:sz w:val="17"/>
          <w:szCs w:val="17"/>
          <w:color w:val="auto"/>
        </w:rPr>
        <w:t xml:space="preserve"> for the Envisia classifier. We continue to build upon our extensive library of clinical evidence.</w:t>
      </w:r>
    </w:p>
    <w:p>
      <w:pPr>
        <w:spacing w:after="0" w:line="199"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We believe our focus on developing clinically useful tests that change patient care is enabling us to set new standards in genomic test reimbursement. Our genomic classifiers in thyroid cancer, lung cancer and ILD/IPF, as well as the Prosigna breast</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 w:name="page7"/>
    <w:bookmarkEnd w:id="6"/>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cancer assay, are covered by Medicare. Our Afirma classifier, for use in thyroid cancer diagnosis, is now covered by every major health plan in the United States, which collectively insure more than 275 million people. We are contracted as an in-network service provider to health plans representing over 225 million people in the United States. We believe that our in-network status with private payers will help facilitate private insurer reimbursement for our Percepta and Envisia classifiers. The Prosigna test is covered by leading private payers in the United States and is widely reimbursed by government and private payers in the countries where it is available.</w:t>
      </w:r>
    </w:p>
    <w:p>
      <w:pPr>
        <w:spacing w:after="0" w:line="184"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Patients access our tests through their physician. Our Afirma, Percepta and Envisia tests are used as part of the diagnostic process and genomic testing services are performed in our CLIA laboratory located in San Francisco, California, and marketed as laboratory developed tests. We perform slide preparation and staining for cytopathology on fine needle aspiration samples, for use with Afirma testing, in our reference laboratory in Austin, Texas. The Prosigna test is a FDA-cleared in vitro diagnostic test that is performed on the nCounter Analysis System in laboratories worldwide, as well as in the United States.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Acquisition of Decipher</w:t>
      </w:r>
    </w:p>
    <w:p>
      <w:pPr>
        <w:spacing w:after="0" w:line="231" w:lineRule="exact"/>
        <w:rPr>
          <w:sz w:val="20"/>
          <w:szCs w:val="20"/>
          <w:color w:val="auto"/>
        </w:rPr>
      </w:pPr>
    </w:p>
    <w:p>
      <w:pPr>
        <w:jc w:val="both"/>
        <w:ind w:firstLine="412"/>
        <w:spacing w:after="0" w:line="253" w:lineRule="auto"/>
        <w:rPr>
          <w:sz w:val="20"/>
          <w:szCs w:val="20"/>
          <w:color w:val="auto"/>
        </w:rPr>
      </w:pPr>
      <w:r>
        <w:rPr>
          <w:rFonts w:ascii="Times New Roman" w:cs="Times New Roman" w:eastAsia="Times New Roman" w:hAnsi="Times New Roman"/>
          <w:sz w:val="17"/>
          <w:szCs w:val="17"/>
          <w:color w:val="auto"/>
        </w:rPr>
        <w:t>On February 2, 2021, we entered into an Agreement and Plan of Merger, or the Merger Agreement, with Decipher Biosciences, Inc., or Decipher. Decipher is a commercial-stage precision oncology company, with a focus in urologic oncology specific to prostate and bladder cancers, and has a kidney cancer test in development. Through the planned acquisition, we expect to expand our presence into seven of the ten most common cancers in the United States, accelerating our expected revenue growth.</w:t>
      </w:r>
    </w:p>
    <w:p>
      <w:pPr>
        <w:spacing w:after="0" w:line="199" w:lineRule="exact"/>
        <w:rPr>
          <w:sz w:val="20"/>
          <w:szCs w:val="20"/>
          <w:color w:val="auto"/>
        </w:rPr>
      </w:pPr>
    </w:p>
    <w:p>
      <w:pPr>
        <w:jc w:val="both"/>
        <w:ind w:firstLine="412"/>
        <w:spacing w:after="0" w:line="257" w:lineRule="auto"/>
        <w:rPr>
          <w:sz w:val="20"/>
          <w:szCs w:val="20"/>
          <w:color w:val="auto"/>
        </w:rPr>
      </w:pPr>
      <w:r>
        <w:rPr>
          <w:rFonts w:ascii="Times New Roman" w:cs="Times New Roman" w:eastAsia="Times New Roman" w:hAnsi="Times New Roman"/>
          <w:sz w:val="17"/>
          <w:szCs w:val="17"/>
          <w:color w:val="auto"/>
        </w:rPr>
        <w:t>Under terms of the Merger Agreement, Decipher will become our wholly owned subsidiary. At the effective time of the Merger, or the Closing, we will pay $600 million in cash to Decipher security holders, subject to customary purchase price adjustments for cash, unpaid indebtedness, unpaid transaction expenses and the aggregate exercise prices of all Decipher options.</w:t>
      </w:r>
    </w:p>
    <w:p>
      <w:pPr>
        <w:spacing w:after="0" w:line="196" w:lineRule="exact"/>
        <w:rPr>
          <w:sz w:val="20"/>
          <w:szCs w:val="20"/>
          <w:color w:val="auto"/>
        </w:rPr>
      </w:pPr>
    </w:p>
    <w:p>
      <w:pPr>
        <w:jc w:val="both"/>
        <w:ind w:firstLine="412"/>
        <w:spacing w:after="0" w:line="253" w:lineRule="auto"/>
        <w:rPr>
          <w:sz w:val="20"/>
          <w:szCs w:val="20"/>
          <w:color w:val="auto"/>
        </w:rPr>
      </w:pPr>
      <w:r>
        <w:rPr>
          <w:rFonts w:ascii="Times New Roman" w:cs="Times New Roman" w:eastAsia="Times New Roman" w:hAnsi="Times New Roman"/>
          <w:sz w:val="17"/>
          <w:szCs w:val="17"/>
          <w:color w:val="auto"/>
        </w:rPr>
        <w:t>The Merger Agreement contains customary representations, warranties, covenants and agreements of Decipher and us. The Closing is anticipated to occur by April 2021 and is subject to customary closing conditions, including approval by the Decipher stockholders and the expiration or termination of the applicable waiting period under the Hart-Scott-Rodino Antitrust Improvements Act of 1976, as amended. The Merger Agreement also provides customary termination rights to each of the parties.</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Public Offering of Common Stock</w:t>
      </w:r>
    </w:p>
    <w:p>
      <w:pPr>
        <w:spacing w:after="0" w:line="231"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On February 9, 2021, we issued and sold 8,547,297 shares of common stock in a registered public offering, including 1,114,864 shares issued and sold upon the underwriters' exercise in full of their option to purchase additional shares, at a price to the public of $74.00 per share. Our net proceeds from the offering were $593.8 million, after deducting underwriting commissions and offering expenses of $38.7 million.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Background</w:t>
      </w:r>
    </w:p>
    <w:p>
      <w:pPr>
        <w:spacing w:after="0" w:line="233"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We were incorporated in Delaware as Calderome, Inc. in August 2006. Calderome operated as an incubator until early 2008. We changed our name to Veracyte, Inc. in March 2008. Our principal executive offices are located at 6000 Shoreline Court, Suite 300, South San Francisco, California 94080 and our telephone number is (650) 243-6300. Our website address is www.veracyte.com. Our website and the information contained therein or connected thereto are not intended to be incorporated into this Annual Report on Form 10-K.</w:t>
      </w:r>
    </w:p>
    <w:p>
      <w:pPr>
        <w:spacing w:after="0" w:line="199"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We make available free of charge on our website our annual report on Form 10-K, quarterly reports on Form 10-Q, current reports on Form 8-K and amendments to those reports as soon as reasonably practicable after we electronically file or furnish such materials to the Securities and Exchange Commission, or SEC. The reports are also available at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 w:name="page8"/>
    <w:bookmarkEnd w:id="7"/>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Fourth Quarter and Full-Year 2020 Financial Results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three months ended December 31, 2020, compared to the prior year:</w:t>
      </w:r>
    </w:p>
    <w:p>
      <w:pPr>
        <w:spacing w:after="0" w:line="202" w:lineRule="exact"/>
        <w:rPr>
          <w:sz w:val="20"/>
          <w:szCs w:val="20"/>
          <w:color w:val="auto"/>
        </w:rPr>
      </w:pPr>
    </w:p>
    <w:p>
      <w:pPr>
        <w:ind w:left="600" w:hanging="301"/>
        <w:spacing w:after="0"/>
        <w:tabs>
          <w:tab w:leader="none" w:pos="6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Total Revenue </w:t>
      </w:r>
      <w:r>
        <w:rPr>
          <w:rFonts w:ascii="Times New Roman" w:cs="Times New Roman" w:eastAsia="Times New Roman" w:hAnsi="Times New Roman"/>
          <w:sz w:val="17"/>
          <w:szCs w:val="17"/>
          <w:color w:val="auto"/>
        </w:rPr>
        <w:t>was $34.5 million, an increase of 16%;</w:t>
      </w:r>
    </w:p>
    <w:p>
      <w:pPr>
        <w:spacing w:after="0" w:line="22"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Gross Margin </w:t>
      </w:r>
      <w:r>
        <w:rPr>
          <w:rFonts w:ascii="Times New Roman" w:cs="Times New Roman" w:eastAsia="Times New Roman" w:hAnsi="Times New Roman"/>
          <w:sz w:val="17"/>
          <w:szCs w:val="17"/>
          <w:color w:val="auto"/>
        </w:rPr>
        <w:t>was 68%, an increase of 2 percentage points;</w:t>
      </w:r>
    </w:p>
    <w:p>
      <w:pPr>
        <w:spacing w:after="0" w:line="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Operating Expenses, Excluding Cost of Revenue, </w:t>
      </w:r>
      <w:r>
        <w:rPr>
          <w:rFonts w:ascii="Times New Roman" w:cs="Times New Roman" w:eastAsia="Times New Roman" w:hAnsi="Times New Roman"/>
          <w:sz w:val="17"/>
          <w:szCs w:val="17"/>
          <w:color w:val="auto"/>
        </w:rPr>
        <w:t>were $31.4 million, an increase of 13%;</w:t>
      </w:r>
    </w:p>
    <w:p>
      <w:pPr>
        <w:spacing w:after="0" w:line="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Net Loss and Comprehensive Loss </w:t>
      </w:r>
      <w:r>
        <w:rPr>
          <w:rFonts w:ascii="Times New Roman" w:cs="Times New Roman" w:eastAsia="Times New Roman" w:hAnsi="Times New Roman"/>
          <w:sz w:val="17"/>
          <w:szCs w:val="17"/>
          <w:color w:val="auto"/>
        </w:rPr>
        <w:t>was $8.0 million, compared to $7.5 million;</w:t>
      </w:r>
    </w:p>
    <w:p>
      <w:pPr>
        <w:spacing w:after="0" w:line="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Basic and Diluted Net Loss Per Common Share </w:t>
      </w:r>
      <w:r>
        <w:rPr>
          <w:rFonts w:ascii="Times New Roman" w:cs="Times New Roman" w:eastAsia="Times New Roman" w:hAnsi="Times New Roman"/>
          <w:sz w:val="17"/>
          <w:szCs w:val="17"/>
          <w:color w:val="auto"/>
        </w:rPr>
        <w:t>was $0.14, versus $0.15;</w:t>
      </w:r>
    </w:p>
    <w:p>
      <w:pPr>
        <w:spacing w:after="0" w:line="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Net Cash Provided by Operating Activities </w:t>
      </w:r>
      <w:r>
        <w:rPr>
          <w:rFonts w:ascii="Times New Roman" w:cs="Times New Roman" w:eastAsia="Times New Roman" w:hAnsi="Times New Roman"/>
          <w:sz w:val="17"/>
          <w:szCs w:val="17"/>
          <w:color w:val="auto"/>
        </w:rPr>
        <w:t>was $2.3 million, compared to $1.8 million; and</w:t>
      </w:r>
    </w:p>
    <w:p>
      <w:pPr>
        <w:spacing w:after="0" w:line="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Cash and Cash Equivalents </w:t>
      </w:r>
      <w:r>
        <w:rPr>
          <w:rFonts w:ascii="Times New Roman" w:cs="Times New Roman" w:eastAsia="Times New Roman" w:hAnsi="Times New Roman"/>
          <w:sz w:val="17"/>
          <w:szCs w:val="17"/>
          <w:color w:val="auto"/>
        </w:rPr>
        <w:t>were $349.4 million at December 31, 2020.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year ended December 31, 2020, compared to the prior year:</w:t>
      </w:r>
    </w:p>
    <w:p>
      <w:pPr>
        <w:spacing w:after="0" w:line="202" w:lineRule="exact"/>
        <w:rPr>
          <w:sz w:val="20"/>
          <w:szCs w:val="20"/>
          <w:color w:val="auto"/>
        </w:rPr>
      </w:pPr>
    </w:p>
    <w:p>
      <w:pPr>
        <w:ind w:left="600" w:hanging="301"/>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Total Revenue </w:t>
      </w:r>
      <w:r>
        <w:rPr>
          <w:rFonts w:ascii="Times New Roman" w:cs="Times New Roman" w:eastAsia="Times New Roman" w:hAnsi="Times New Roman"/>
          <w:sz w:val="17"/>
          <w:szCs w:val="17"/>
          <w:color w:val="auto"/>
        </w:rPr>
        <w:t>was $117.5 million, a decrease of 2%;</w:t>
      </w:r>
    </w:p>
    <w:p>
      <w:pPr>
        <w:spacing w:after="0" w:line="22"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Gross Margin </w:t>
      </w:r>
      <w:r>
        <w:rPr>
          <w:rFonts w:ascii="Times New Roman" w:cs="Times New Roman" w:eastAsia="Times New Roman" w:hAnsi="Times New Roman"/>
          <w:sz w:val="17"/>
          <w:szCs w:val="17"/>
          <w:color w:val="auto"/>
        </w:rPr>
        <w:t>was 65%, a decrease of 5 percentage points;</w:t>
      </w:r>
    </w:p>
    <w:p>
      <w:pPr>
        <w:spacing w:after="0" w:line="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Operating Expenses, Excluding Cost of Revenue, </w:t>
      </w:r>
      <w:r>
        <w:rPr>
          <w:rFonts w:ascii="Times New Roman" w:cs="Times New Roman" w:eastAsia="Times New Roman" w:hAnsi="Times New Roman"/>
          <w:sz w:val="17"/>
          <w:szCs w:val="17"/>
          <w:color w:val="auto"/>
        </w:rPr>
        <w:t>were $111.4 million, an increase of 13%;</w:t>
      </w:r>
    </w:p>
    <w:p>
      <w:pPr>
        <w:spacing w:after="0" w:line="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Net Loss and Comprehensive Loss </w:t>
      </w:r>
      <w:r>
        <w:rPr>
          <w:rFonts w:ascii="Times New Roman" w:cs="Times New Roman" w:eastAsia="Times New Roman" w:hAnsi="Times New Roman"/>
          <w:sz w:val="17"/>
          <w:szCs w:val="17"/>
          <w:color w:val="auto"/>
        </w:rPr>
        <w:t>was $34.9 million, compared to $12.6 million;</w:t>
      </w:r>
    </w:p>
    <w:p>
      <w:pPr>
        <w:spacing w:after="0" w:line="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Basic and Diluted Net Loss Per Common Share </w:t>
      </w:r>
      <w:r>
        <w:rPr>
          <w:rFonts w:ascii="Times New Roman" w:cs="Times New Roman" w:eastAsia="Times New Roman" w:hAnsi="Times New Roman"/>
          <w:sz w:val="17"/>
          <w:szCs w:val="17"/>
          <w:color w:val="auto"/>
        </w:rPr>
        <w:t>was $0.66, versus $0.27; and</w:t>
      </w:r>
    </w:p>
    <w:p>
      <w:pPr>
        <w:spacing w:after="0" w:line="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Net Cash Used in Operating Activities </w:t>
      </w:r>
      <w:r>
        <w:rPr>
          <w:rFonts w:ascii="Times New Roman" w:cs="Times New Roman" w:eastAsia="Times New Roman" w:hAnsi="Times New Roman"/>
          <w:sz w:val="17"/>
          <w:szCs w:val="17"/>
          <w:color w:val="auto"/>
        </w:rPr>
        <w:t>was $9.7 million, compared to $3.2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2020 Full-Year and Recent Business Highlights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Commercial Growth</w:t>
      </w:r>
    </w:p>
    <w:p>
      <w:pPr>
        <w:spacing w:after="0" w:line="231" w:lineRule="exact"/>
        <w:rPr>
          <w:sz w:val="20"/>
          <w:szCs w:val="20"/>
          <w:color w:val="auto"/>
        </w:rPr>
      </w:pPr>
    </w:p>
    <w:p>
      <w:pPr>
        <w:ind w:left="600" w:hanging="301"/>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22222"/>
        </w:rPr>
        <w:t>Grew revenue to $</w:t>
      </w:r>
      <w:r>
        <w:rPr>
          <w:rFonts w:ascii="Times New Roman" w:cs="Times New Roman" w:eastAsia="Times New Roman" w:hAnsi="Times New Roman"/>
          <w:sz w:val="17"/>
          <w:szCs w:val="17"/>
          <w:color w:val="000000"/>
        </w:rPr>
        <w:t>34.5 million in the fourth quarter, an increase of 16% compared to the same period in 2019.</w:t>
      </w:r>
    </w:p>
    <w:p>
      <w:pPr>
        <w:spacing w:after="0" w:line="9" w:lineRule="exact"/>
        <w:rPr>
          <w:rFonts w:ascii="Times New Roman" w:cs="Times New Roman" w:eastAsia="Times New Roman" w:hAnsi="Times New Roman"/>
          <w:sz w:val="17"/>
          <w:szCs w:val="17"/>
          <w:color w:val="auto"/>
        </w:rPr>
      </w:pPr>
    </w:p>
    <w:p>
      <w:pPr>
        <w:ind w:left="600" w:hanging="301"/>
        <w:spacing w:after="0" w:line="229" w:lineRule="auto"/>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revenue grew to $9.8 million for 2020.</w:t>
      </w:r>
    </w:p>
    <w:p>
      <w:pPr>
        <w:ind w:left="600" w:hanging="301"/>
        <w:spacing w:after="0" w:line="229" w:lineRule="auto"/>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Achieved genomic testing and product volume of 13,130 tests in the fourth quarter, a 14% increase compared to the fourth quarter of 2019.</w:t>
      </w:r>
    </w:p>
    <w:p>
      <w:pPr>
        <w:ind w:left="600" w:hanging="301"/>
        <w:spacing w:after="0" w:line="229" w:lineRule="auto"/>
        <w:tabs>
          <w:tab w:leader="none" w:pos="5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Received new Medicare reimbursement rate of $5,500 for the Envisia Genomic Classifier, which went into effect on October 1, 2020, following the test’s designation by the Centers for Medicare &amp; Medicaid Services as an </w:t>
      </w:r>
      <w:r>
        <w:rPr>
          <w:rFonts w:ascii="Times New Roman" w:cs="Times New Roman" w:eastAsia="Times New Roman" w:hAnsi="Times New Roman"/>
          <w:sz w:val="17"/>
          <w:szCs w:val="17"/>
          <w:color w:val="222222"/>
        </w:rPr>
        <w:t>Advanced Diagnostic Laboratory Test, or ADLT.</w:t>
      </w:r>
    </w:p>
    <w:p>
      <w:pPr>
        <w:spacing w:after="0" w:line="1" w:lineRule="exact"/>
        <w:rPr>
          <w:rFonts w:ascii="Times New Roman" w:cs="Times New Roman" w:eastAsia="Times New Roman" w:hAnsi="Times New Roman"/>
          <w:sz w:val="17"/>
          <w:szCs w:val="17"/>
          <w:color w:val="auto"/>
        </w:rPr>
      </w:pPr>
    </w:p>
    <w:p>
      <w:pPr>
        <w:ind w:left="600" w:hanging="301"/>
        <w:spacing w:after="0" w:line="236" w:lineRule="auto"/>
        <w:tabs>
          <w:tab w:leader="none" w:pos="5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22222"/>
        </w:rPr>
        <w:t xml:space="preserve">Received reimbursement approval from the German government for the </w:t>
      </w:r>
      <w:r>
        <w:rPr>
          <w:rFonts w:ascii="Times New Roman" w:cs="Times New Roman" w:eastAsia="Times New Roman" w:hAnsi="Times New Roman"/>
          <w:sz w:val="17"/>
          <w:szCs w:val="17"/>
          <w:color w:val="000000"/>
        </w:rPr>
        <w:t>Prosigna® Breast Cancer Gene Signature Assay, making the test accessible for all</w:t>
      </w:r>
      <w:r>
        <w:rPr>
          <w:rFonts w:ascii="Times New Roman" w:cs="Times New Roman" w:eastAsia="Times New Roman" w:hAnsi="Times New Roman"/>
          <w:sz w:val="17"/>
          <w:szCs w:val="17"/>
          <w:color w:val="222222"/>
        </w:rPr>
        <w:t xml:space="preserve"> </w:t>
      </w:r>
      <w:r>
        <w:rPr>
          <w:rFonts w:ascii="Times New Roman" w:cs="Times New Roman" w:eastAsia="Times New Roman" w:hAnsi="Times New Roman"/>
          <w:sz w:val="17"/>
          <w:szCs w:val="17"/>
          <w:color w:val="000000"/>
        </w:rPr>
        <w:t>breast cancer patients in Germany with HR+/HER2- early-stage breast cancer.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Evidence Development</w:t>
      </w:r>
    </w:p>
    <w:p>
      <w:pPr>
        <w:spacing w:after="0" w:line="218" w:lineRule="exact"/>
        <w:rPr>
          <w:sz w:val="20"/>
          <w:szCs w:val="20"/>
          <w:color w:val="auto"/>
        </w:rPr>
      </w:pPr>
    </w:p>
    <w:p>
      <w:pPr>
        <w:ind w:left="600" w:hanging="301"/>
        <w:spacing w:after="0"/>
        <w:tabs>
          <w:tab w:leader="none" w:pos="59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Published ten studies in leading peer-reviewed journals supporting our genomic tests in four disease areas (lung cancer, breast cancer, thyroid cancer and interstitial lung diseases, including idiopathic pulmonary fibrosis).</w:t>
      </w:r>
    </w:p>
    <w:p>
      <w:pPr>
        <w:spacing w:after="0" w:line="1" w:lineRule="exact"/>
        <w:rPr>
          <w:rFonts w:ascii="Times New Roman" w:cs="Times New Roman" w:eastAsia="Times New Roman" w:hAnsi="Times New Roman"/>
          <w:sz w:val="17"/>
          <w:szCs w:val="17"/>
          <w:color w:val="auto"/>
        </w:rPr>
      </w:pPr>
    </w:p>
    <w:p>
      <w:pPr>
        <w:ind w:left="600" w:hanging="301"/>
        <w:spacing w:after="0" w:line="236" w:lineRule="auto"/>
        <w:tabs>
          <w:tab w:leader="none" w:pos="59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Launched the PROCURE study, led by an independent scientific committee of breast cancer experts and including input from 180 clinicians throughout Europe, to help achieve consensus on the evidence supporting the most frequently used breast cancer genomic tests, including Prosigna.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22222"/>
        </w:rPr>
        <w:t>Pipeline Advancement/Collaborations</w:t>
      </w:r>
    </w:p>
    <w:p>
      <w:pPr>
        <w:spacing w:after="0" w:line="218" w:lineRule="exact"/>
        <w:rPr>
          <w:sz w:val="20"/>
          <w:szCs w:val="20"/>
          <w:color w:val="auto"/>
        </w:rPr>
      </w:pPr>
    </w:p>
    <w:p>
      <w:pPr>
        <w:ind w:left="600" w:hanging="301"/>
        <w:spacing w:after="0"/>
        <w:tabs>
          <w:tab w:leader="none" w:pos="59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Unveiled new preliminary performance data at an R&amp;D Day event for our noninvasive nasal swab test for early lung cancer detection and our Percepta Genomic Atlas for informing treatment decisions at the time of lung cancer diagnosis.</w:t>
      </w:r>
    </w:p>
    <w:p>
      <w:pPr>
        <w:spacing w:after="0" w:line="1" w:lineRule="exact"/>
        <w:rPr>
          <w:rFonts w:ascii="Times New Roman" w:cs="Times New Roman" w:eastAsia="Times New Roman" w:hAnsi="Times New Roman"/>
          <w:sz w:val="17"/>
          <w:szCs w:val="17"/>
          <w:color w:val="auto"/>
        </w:rPr>
      </w:pPr>
    </w:p>
    <w:p>
      <w:pPr>
        <w:jc w:val="both"/>
        <w:ind w:left="600" w:hanging="301"/>
        <w:spacing w:after="0" w:line="234" w:lineRule="auto"/>
        <w:tabs>
          <w:tab w:leader="none" w:pos="59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22222"/>
        </w:rPr>
        <w:t>Expanded our strategic collaboration with the Lung Cancer Initiative at Johnson &amp; Johnson to include a focus on the NOBLE trial. The 9,000-patient, prospective, multicenter clinical study is designed to distinguish genomic and other differences in lung cancer development, which may fuel Veracyte’s development of future tests.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22222"/>
        </w:rPr>
        <w:t>Decipher Acquisition</w:t>
      </w:r>
    </w:p>
    <w:p>
      <w:pPr>
        <w:spacing w:after="0" w:line="218" w:lineRule="exact"/>
        <w:rPr>
          <w:sz w:val="20"/>
          <w:szCs w:val="20"/>
          <w:color w:val="auto"/>
        </w:rPr>
      </w:pPr>
    </w:p>
    <w:p>
      <w:pPr>
        <w:ind w:left="600" w:hanging="301"/>
        <w:spacing w:after="0" w:line="255" w:lineRule="auto"/>
        <w:tabs>
          <w:tab w:leader="none" w:pos="59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22222"/>
        </w:rPr>
        <w:t>Announced we have entered into an agreement to acquire Decipher Biosciences, a commercial-stage precision oncology company focused on urologic cancers, further solidifying Veracyte’s global leadership in the genomic cancer diagnostics market while accelerating revenue growth.</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 w:name="page9"/>
    <w:bookmarkEnd w:id="8"/>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0" w:hanging="301"/>
        <w:spacing w:after="0"/>
        <w:tabs>
          <w:tab w:leader="none" w:pos="59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22222"/>
        </w:rPr>
        <w:t>Under terms of the acquisition agreement and following Veracyte’s exercise of an option to substitute cash for the entire stock portion of the consideration, the company will pay Decipher security holders $600 million in cash, subject to customary purchase price adjustments.</w:t>
      </w:r>
    </w:p>
    <w:p>
      <w:pPr>
        <w:spacing w:after="0" w:line="1"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22222"/>
        </w:rPr>
        <w:t xml:space="preserve">The acquisition is expected to close </w:t>
      </w:r>
      <w:r>
        <w:rPr>
          <w:rFonts w:ascii="Times New Roman" w:cs="Times New Roman" w:eastAsia="Times New Roman" w:hAnsi="Times New Roman"/>
          <w:sz w:val="17"/>
          <w:szCs w:val="17"/>
          <w:color w:val="000000"/>
        </w:rPr>
        <w:t>on or before April 1,</w:t>
      </w:r>
      <w:r>
        <w:rPr>
          <w:rFonts w:ascii="Times New Roman" w:cs="Times New Roman" w:eastAsia="Times New Roman" w:hAnsi="Times New Roman"/>
          <w:sz w:val="17"/>
          <w:szCs w:val="17"/>
          <w:color w:val="222222"/>
        </w:rPr>
        <w:t xml:space="preserve"> 2021, subject to regulatory approval and the satisfaction of other customary conditions.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22222"/>
        </w:rPr>
        <w:t>Financing</w:t>
      </w:r>
    </w:p>
    <w:p>
      <w:pPr>
        <w:spacing w:after="0" w:line="218" w:lineRule="exact"/>
        <w:rPr>
          <w:sz w:val="20"/>
          <w:szCs w:val="20"/>
          <w:color w:val="auto"/>
        </w:rPr>
      </w:pPr>
    </w:p>
    <w:p>
      <w:pPr>
        <w:ind w:left="600" w:hanging="301"/>
        <w:spacing w:after="0"/>
        <w:tabs>
          <w:tab w:leader="none" w:pos="596" w:val="left"/>
        </w:tabs>
        <w:numPr>
          <w:ilvl w:val="0"/>
          <w:numId w:val="9"/>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Issued and sold 8,547,297 shares of common stock, including 1,114,864 shares sold upon full exercise of the underwriters’ option to purchase additional shares, at a price to the public of $74.00 per share. The net proceeds to Veracyte from the offering were approximately $593.8 million.</w:t>
      </w:r>
    </w:p>
    <w:p>
      <w:pPr>
        <w:spacing w:after="0" w:line="1" w:lineRule="exact"/>
        <w:rPr>
          <w:rFonts w:ascii="Times New Roman" w:cs="Times New Roman" w:eastAsia="Times New Roman" w:hAnsi="Times New Roman"/>
          <w:sz w:val="17"/>
          <w:szCs w:val="17"/>
          <w:color w:val="222222"/>
        </w:rPr>
      </w:pPr>
    </w:p>
    <w:p>
      <w:pPr>
        <w:jc w:val="both"/>
        <w:ind w:left="600" w:hanging="301"/>
        <w:spacing w:after="0" w:line="234" w:lineRule="auto"/>
        <w:tabs>
          <w:tab w:leader="none" w:pos="596" w:val="left"/>
        </w:tabs>
        <w:numPr>
          <w:ilvl w:val="0"/>
          <w:numId w:val="9"/>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Veracyte intends to use a portion of the net proceeds from the offering, together with its existing cash and cash equivalents, to finance its acquisition of Decipher and intends to use the remaining net proceeds of the offering for working capital and other general corporate purposes, including to acquire or invest in complementary businesses, technologies or other assets.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Impact of COVID-19</w:t>
      </w:r>
    </w:p>
    <w:p>
      <w:pPr>
        <w:spacing w:after="0" w:line="233" w:lineRule="exact"/>
        <w:rPr>
          <w:sz w:val="20"/>
          <w:szCs w:val="20"/>
          <w:color w:val="auto"/>
        </w:rPr>
      </w:pPr>
    </w:p>
    <w:p>
      <w:pPr>
        <w:jc w:val="both"/>
        <w:ind w:firstLine="375"/>
        <w:spacing w:after="0" w:line="264" w:lineRule="auto"/>
        <w:rPr>
          <w:sz w:val="20"/>
          <w:szCs w:val="20"/>
          <w:color w:val="auto"/>
        </w:rPr>
      </w:pPr>
      <w:r>
        <w:rPr>
          <w:rFonts w:ascii="Times New Roman" w:cs="Times New Roman" w:eastAsia="Times New Roman" w:hAnsi="Times New Roman"/>
          <w:sz w:val="16"/>
          <w:szCs w:val="16"/>
          <w:color w:val="auto"/>
        </w:rPr>
        <w:t>In December 2019, a strain of coronavirus was reported in Wuhan, China, and began to spread globally, including to the United States and Europe, in the following months. The World Health Organization has declared COVID-19 to be a pandemic and a public health emergency of international concern. The full impact of the COVID-19 outbreak is inherently uncertain at the time of this report. The COVID-19 outbreak has resulted in travel restrictions and in some cases, prohibitions of non-essential activities, disruption and shutdown of businesses and greater uncertainty in global financial markets. As COVID-19 has spread, it has significantly impacted the health and economic environment around the world and many governments have closed most public establishments, including restaurants, workplaces and schools. Our customers, third-party contract manufacturers, suppliers and collaboration partners have been affected by the closure of hospitals, doctors' offices, manufacturing sites, or country borders, among other measures being put in place around the world. In April 2020, we announced certain cost-cutting measures in response to the pandemic, including cuts to executive and board of directors compensation, and employee furloughs. Although certain of these measures were later reversed, certain of our employees continue to work remotely. Similar measures taken by other companies in the medical industry and otherwise during the shutdown are having, and will continue to have, negative impact on the demand for medical care and diagnostic tests, which affects the frequency with which tests are prescribed, and the ability of doctors and hospitals to administer such tests. Further the inability to travel and conduct face-to-face meetings can also make it more difficult to expand utilization of our products into new geographies and to drive awareness of our products. These circumstances had a significant negative impact on our financial results during 2020.</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Products</w:t>
      </w:r>
    </w:p>
    <w:p>
      <w:pPr>
        <w:spacing w:after="0" w:line="233"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We believe our focus on answering clinical questions that produce actionable results; our comprehensive scientific approach to product development, including our use of RNA whole-transcriptome sequencing; and our development of rigorous clinical evidence to establish our tests’ performance and facilitate their reimbursement play critical roles in our ability to develop diagnostic tests that change clinical care. We currently offer genomic tests in thyroid cancer, lung cancer, IPF and breast cancer:</w:t>
      </w:r>
    </w:p>
    <w:p>
      <w:pPr>
        <w:spacing w:after="0" w:line="195" w:lineRule="exact"/>
        <w:rPr>
          <w:sz w:val="20"/>
          <w:szCs w:val="20"/>
          <w:color w:val="auto"/>
        </w:rPr>
      </w:pPr>
    </w:p>
    <w:p>
      <w:pPr>
        <w:jc w:val="both"/>
        <w:ind w:left="380" w:hanging="193"/>
        <w:spacing w:after="0" w:line="252" w:lineRule="auto"/>
        <w:tabs>
          <w:tab w:leader="none" w:pos="37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Afirma Genomic Sequencing Classifier and Xpression Atlas. </w:t>
      </w:r>
      <w:r>
        <w:rPr>
          <w:rFonts w:ascii="Times New Roman" w:cs="Times New Roman" w:eastAsia="Times New Roman" w:hAnsi="Times New Roman"/>
          <w:sz w:val="17"/>
          <w:szCs w:val="17"/>
          <w:color w:val="auto"/>
        </w:rPr>
        <w:t>Our Afirma offerings include the Afirma GSC and Xpression Atlas. Our offerings are intended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provide physicians with clinically actionable results from a single fine needle aspiration, or FNA, biopsy. The Afirma GSC was developed with RNA whole-transcriptome sequencing and machine learning, and is used to identify patients with benign thyroid nodules among those with indeterminate cytopathology results in order to rule out unnecessary thyroid surgery. The Afirma product is the first of its kind to market, and we believe the market leader. Since Afirma testing became available in 2011, we estimate that we have helped more than 95,000 patients avoid having all or part of their thyroids removed.</w:t>
      </w:r>
    </w:p>
    <w:p>
      <w:pPr>
        <w:spacing w:after="0" w:line="201" w:lineRule="exact"/>
        <w:rPr>
          <w:rFonts w:ascii="Times New Roman" w:cs="Times New Roman" w:eastAsia="Times New Roman" w:hAnsi="Times New Roman"/>
          <w:sz w:val="17"/>
          <w:szCs w:val="17"/>
          <w:color w:val="auto"/>
        </w:rPr>
      </w:pPr>
    </w:p>
    <w:p>
      <w:pPr>
        <w:jc w:val="both"/>
        <w:ind w:left="380"/>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Afirma Xpression Atlas provides physicians with gene alteration content from the same FNA samples that are used in Afirma GSC testing and may help physicians decide with greater confidence on the surgical or therapeutic pathway for their patients. We commercially launched the Afirma XA in 2018 and in April 2020 introduced an expanded test that includes 905 DNA variants and 235 RNA fusion partners in 593 genes that are associated with thyroid cancer.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 w:name="page10"/>
    <w:bookmarkEnd w:id="9"/>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380" w:hanging="193"/>
        <w:spacing w:after="0" w:line="268" w:lineRule="auto"/>
        <w:tabs>
          <w:tab w:leader="none" w:pos="376"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Percepta Genomic Sequencing Classifier. </w:t>
      </w:r>
      <w:r>
        <w:rPr>
          <w:rFonts w:ascii="Times New Roman" w:cs="Times New Roman" w:eastAsia="Times New Roman" w:hAnsi="Times New Roman"/>
          <w:sz w:val="16"/>
          <w:szCs w:val="16"/>
          <w:color w:val="auto"/>
        </w:rPr>
        <w:t>The Percepta classifier improves lung cancer diagnosis following an inconclusive bronchoscopy by identifying patients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with lung nodules who are at low risk of cancer and may avoid further, invasive procedures and those with a high risk of lung cancer, so they may obtain faster diagnosis and treatment. The test is built upon foundational "field of injury" science - through which genomic changes associated with lung cancer in current and former smokers can be identified with a simple brushing of a person's airway - without the need to sample the often hard-to-reach nodule directly. We commercially introduced the Percepta classifier in 2015, with clinical validation data subsequently published in the </w:t>
      </w:r>
      <w:r>
        <w:rPr>
          <w:rFonts w:ascii="Times New Roman" w:cs="Times New Roman" w:eastAsia="Times New Roman" w:hAnsi="Times New Roman"/>
          <w:sz w:val="16"/>
          <w:szCs w:val="16"/>
          <w:i w:val="1"/>
          <w:iCs w:val="1"/>
          <w:color w:val="auto"/>
        </w:rPr>
        <w:t>New England Journal of Medicine</w:t>
      </w:r>
      <w:r>
        <w:rPr>
          <w:rFonts w:ascii="Times New Roman" w:cs="Times New Roman" w:eastAsia="Times New Roman" w:hAnsi="Times New Roman"/>
          <w:sz w:val="16"/>
          <w:szCs w:val="16"/>
          <w:color w:val="auto"/>
        </w:rPr>
        <w:t>. In June 2019, we launched the next-generation Percepta test, providing expanded lung cancer risk information to further inform treatment decisions. The Percepta classifier is the first product of its kind to be available commercially and the first to obtain Medicare coverage for improved lung cancer diagnosis.</w:t>
      </w:r>
    </w:p>
    <w:p>
      <w:pPr>
        <w:spacing w:after="0" w:line="184" w:lineRule="exact"/>
        <w:rPr>
          <w:rFonts w:ascii="Times New Roman" w:cs="Times New Roman" w:eastAsia="Times New Roman" w:hAnsi="Times New Roman"/>
          <w:sz w:val="16"/>
          <w:szCs w:val="16"/>
          <w:color w:val="auto"/>
        </w:rPr>
      </w:pPr>
    </w:p>
    <w:p>
      <w:pPr>
        <w:jc w:val="both"/>
        <w:ind w:left="300" w:hanging="150"/>
        <w:spacing w:after="0" w:line="249" w:lineRule="auto"/>
        <w:tabs>
          <w:tab w:leader="none" w:pos="29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Envisia Genomic Classifier. </w:t>
      </w:r>
      <w:r>
        <w:rPr>
          <w:rFonts w:ascii="Times New Roman" w:cs="Times New Roman" w:eastAsia="Times New Roman" w:hAnsi="Times New Roman"/>
          <w:sz w:val="17"/>
          <w:szCs w:val="17"/>
          <w:color w:val="auto"/>
        </w:rPr>
        <w:t>The Envisia classifier improves diagnosis and prognosis of interstitial lung diseases, including IPF, by helping physicians identify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genomic pattern of usual interstitial pneumonia, or UIP, without the need for diagnostic surgery. UIP is a hallmark of IPF and of poor prognosis across ILDs and is often difficult to distinguish even with the most advanced imaging technologies. Diagnostic surgery is risky, expensive and may not be viable for some patients. The Envisia test identifies UIP with high accuracy on patient samples that are obtained through transbronchial biopsy, a nonsurgical procedure that is commonly used in lung evaluation. Obtaining an accurate, timely IPF diagnosis is important given the availability of drugs that can slow the progression of this debilitating disease, as well as the need to avoid inappropriate and potentially harmful treatment. Additionally, prognostic information may help physicians determine treatment plans for patients with ILDs, including IPF. The Envisia classifier is the first product of its kind to market. We announced a final Medicare coverage policy for the Envisia classifier in March 2019, which was followed by the online publication of positive clinical validation and clinical utility data in </w:t>
      </w:r>
      <w:r>
        <w:rPr>
          <w:rFonts w:ascii="Times New Roman" w:cs="Times New Roman" w:eastAsia="Times New Roman" w:hAnsi="Times New Roman"/>
          <w:sz w:val="17"/>
          <w:szCs w:val="17"/>
          <w:i w:val="1"/>
          <w:iCs w:val="1"/>
          <w:color w:val="auto"/>
        </w:rPr>
        <w:t>The Lancet Respiratory Medicine</w:t>
      </w:r>
      <w:r>
        <w:rPr>
          <w:rFonts w:ascii="Times New Roman" w:cs="Times New Roman" w:eastAsia="Times New Roman" w:hAnsi="Times New Roman"/>
          <w:sz w:val="17"/>
          <w:szCs w:val="17"/>
          <w:color w:val="auto"/>
        </w:rPr>
        <w:t xml:space="preserve"> in May 2019. Following these milestones, we initiated nationwide expansion for the test.</w:t>
      </w:r>
    </w:p>
    <w:p>
      <w:pPr>
        <w:spacing w:after="0" w:line="197" w:lineRule="exact"/>
        <w:rPr>
          <w:rFonts w:ascii="Times New Roman" w:cs="Times New Roman" w:eastAsia="Times New Roman" w:hAnsi="Times New Roman"/>
          <w:sz w:val="17"/>
          <w:szCs w:val="17"/>
          <w:color w:val="auto"/>
        </w:rPr>
      </w:pPr>
    </w:p>
    <w:p>
      <w:pPr>
        <w:jc w:val="both"/>
        <w:ind w:left="300" w:hanging="150"/>
        <w:spacing w:after="0" w:line="255" w:lineRule="auto"/>
        <w:tabs>
          <w:tab w:leader="none" w:pos="29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Prosigna Breast Cancer Prognostic Gene Signature Assay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Prosigna test uses advanced genomic technology to inform next steps for patients with early-stage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breast cancer, based on the genomic make-up of their disease. The test leverages a collection of 50 genes known as the PAM50 gene signature, and can provide a breast cancer patient and physician with a prognostic score indicating the probability of cancer recurrence during the next ten years. Outside of the United States, it is also utilized to provide cancer subtype classification information.</w:t>
      </w:r>
    </w:p>
    <w:p>
      <w:pPr>
        <w:spacing w:after="0" w:line="196" w:lineRule="exact"/>
        <w:rPr>
          <w:rFonts w:ascii="Times New Roman" w:cs="Times New Roman" w:eastAsia="Times New Roman" w:hAnsi="Times New Roman"/>
          <w:sz w:val="17"/>
          <w:szCs w:val="17"/>
          <w:color w:val="auto"/>
        </w:rPr>
      </w:pPr>
    </w:p>
    <w:p>
      <w:pPr>
        <w:jc w:val="both"/>
        <w:ind w:left="300"/>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Physicians can use Prosigna to help guide therapeutic decisions so that patients receive therapeutic interventions, such as chemotherapy, only if clinically warranted. The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diagnostic test is indicated in female breast cancer patients who have undergone surgery in conjunction with locoregional treatment consistent with standard of care, either as:</w:t>
      </w:r>
    </w:p>
    <w:p>
      <w:pPr>
        <w:spacing w:after="0" w:line="169" w:lineRule="exact"/>
        <w:rPr>
          <w:rFonts w:ascii="Times New Roman" w:cs="Times New Roman" w:eastAsia="Times New Roman" w:hAnsi="Times New Roman"/>
          <w:sz w:val="17"/>
          <w:szCs w:val="17"/>
          <w:color w:val="auto"/>
        </w:rPr>
      </w:pPr>
    </w:p>
    <w:p>
      <w:pPr>
        <w:ind w:left="600" w:hanging="301"/>
        <w:spacing w:after="0" w:line="221" w:lineRule="exact"/>
        <w:tabs>
          <w:tab w:leader="none" w:pos="600" w:val="left"/>
        </w:tabs>
        <w:numPr>
          <w:ilvl w:val="2"/>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prognostic indicator for distant recurrence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free survival at ten years in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menopausal women with Hormone Receptor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Positive (HR+), lymph node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negative, Stage I or II breast cancer to be treated with adjuvant endocrine therapy alone, when used in conjunction with other clinicopathological factors; or</w:t>
      </w:r>
    </w:p>
    <w:p>
      <w:pPr>
        <w:spacing w:after="0" w:line="57" w:lineRule="exact"/>
        <w:rPr>
          <w:rFonts w:ascii="Times New Roman" w:cs="Times New Roman" w:eastAsia="Times New Roman" w:hAnsi="Times New Roman"/>
          <w:sz w:val="17"/>
          <w:szCs w:val="17"/>
          <w:color w:val="auto"/>
        </w:rPr>
      </w:pPr>
    </w:p>
    <w:p>
      <w:pPr>
        <w:jc w:val="both"/>
        <w:ind w:left="600" w:hanging="301"/>
        <w:spacing w:after="0" w:line="214" w:lineRule="exact"/>
        <w:tabs>
          <w:tab w:leader="none" w:pos="600" w:val="left"/>
        </w:tabs>
        <w:numPr>
          <w:ilvl w:val="2"/>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prognostic indicator for distant recurrence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free survival at ten years in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menopausal women with Hormone Receptor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Positive (HR+), lymph node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positive (1</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3 positive nodes), Stage II breast cancer to be treated with adjuvant endocrine therapy alone, when used in conjunction with other clinicopathological factors. The device is not intended for patients with 4 or more positive nodes.</w:t>
      </w:r>
    </w:p>
    <w:p>
      <w:pPr>
        <w:spacing w:after="0" w:line="210" w:lineRule="exact"/>
        <w:rPr>
          <w:sz w:val="20"/>
          <w:szCs w:val="20"/>
          <w:color w:val="auto"/>
        </w:rPr>
      </w:pPr>
    </w:p>
    <w:p>
      <w:pPr>
        <w:jc w:val="both"/>
        <w:ind w:left="300"/>
        <w:spacing w:after="0" w:line="251" w:lineRule="auto"/>
        <w:rPr>
          <w:sz w:val="20"/>
          <w:szCs w:val="20"/>
          <w:color w:val="auto"/>
        </w:rPr>
      </w:pPr>
      <w:r>
        <w:rPr>
          <w:rFonts w:ascii="Times New Roman" w:cs="Times New Roman" w:eastAsia="Times New Roman" w:hAnsi="Times New Roman"/>
          <w:sz w:val="17"/>
          <w:szCs w:val="17"/>
          <w:color w:val="auto"/>
        </w:rPr>
        <w:t>The Prosigna test is cleared by the FDA for marketing in the United States for use on the nCounter Analysis System and is available for use when ordered by a physician. The test is performed on formalin-fixed and paraffin-embedded, or FFPE, tissue. The Prosigna test has been CE-marked, and is available for use by healthcare professionals in the European Union and other countries that recognize the CE mark, as well as in Canada, Israel, Australia, New Zealand and Hong Kong. The test is covered by Medicare and leading private payers in the United States and is widely covered by government and private payers in the countries where it is available.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Pipeline</w:t>
      </w:r>
    </w:p>
    <w:p>
      <w:pPr>
        <w:spacing w:after="0" w:line="233"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Our product pipeline reflects our strategy of answering clinical questions in our indications across the clinical care continuum. We develop new products using our RNA whole-transcriptome sequencing and machine learning platform and also strategically acquire complementary products through collaborations and acquisitions. In December 2019, we acquired the exclusive global rights to the nCounter Analysis System, positioning us to make our genomic tests available to physicians and patients in global markets through a distributed platform in which customers perform the tests in their local laboratories. This transaction also expands our existing genomic test offerings into new oncology indications of breast cancer and lymphoma. We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 w:name="page11"/>
    <w:bookmarkEnd w:id="10"/>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believe the global market opportunity for our current and future pipeline products is over $50 billion annually. We expect to launch four new products in 2021:</w:t>
      </w:r>
    </w:p>
    <w:p>
      <w:pPr>
        <w:spacing w:after="0" w:line="225" w:lineRule="exact"/>
        <w:rPr>
          <w:sz w:val="20"/>
          <w:szCs w:val="20"/>
          <w:color w:val="auto"/>
        </w:rPr>
      </w:pPr>
    </w:p>
    <w:p>
      <w:pPr>
        <w:jc w:val="both"/>
        <w:ind w:left="300" w:hanging="300"/>
        <w:spacing w:after="0" w:line="250" w:lineRule="auto"/>
        <w:tabs>
          <w:tab w:leader="none" w:pos="29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Nasal Swab Test for Early Lung Cancer Detection </w:t>
      </w:r>
      <w:r>
        <w:rPr>
          <w:rFonts w:ascii="Times New Roman" w:cs="Times New Roman" w:eastAsia="Times New Roman" w:hAnsi="Times New Roman"/>
          <w:sz w:val="17"/>
          <w:szCs w:val="17"/>
          <w:color w:val="auto"/>
        </w:rPr>
        <w:t>- In December 2020, we announced preliminary, cross-validation performance data showing that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noninvasive nasal swab test - the first of its kind - may enable early lung cancer detection and diagnosis. The preliminary findings specifically show that our novel genomic test has the potential to accurately classify lung cancer risk in patients with lung nodules so that these patients may obtain the prompt diagnosis and potential treatment they need or may be monitored noninvasively. These findings support those of a feasibility study whose results were shared at the CHEST Annual Meeting in October 2019. The in-development test uses “field of injury” technology to determine the likelihood that a lung nodule is cancerous by measuring gene expression patterns in cells collected from the nose. We plan to introduce the nasal swab test commercially in the United States in the second half of 2021 and complete the development of the test on the nCounter Analysis System for regulatory submission internationally by the end of 2022.</w:t>
      </w:r>
    </w:p>
    <w:p>
      <w:pPr>
        <w:spacing w:after="0" w:line="197" w:lineRule="exact"/>
        <w:rPr>
          <w:rFonts w:ascii="Times New Roman" w:cs="Times New Roman" w:eastAsia="Times New Roman" w:hAnsi="Times New Roman"/>
          <w:sz w:val="17"/>
          <w:szCs w:val="17"/>
          <w:color w:val="auto"/>
        </w:rPr>
      </w:pPr>
    </w:p>
    <w:p>
      <w:pPr>
        <w:jc w:val="both"/>
        <w:ind w:left="300" w:hanging="300"/>
        <w:spacing w:after="0" w:line="252" w:lineRule="auto"/>
        <w:tabs>
          <w:tab w:leader="none" w:pos="29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Percepta Genomic Atlas </w:t>
      </w:r>
      <w:r>
        <w:rPr>
          <w:rFonts w:ascii="Times New Roman" w:cs="Times New Roman" w:eastAsia="Times New Roman" w:hAnsi="Times New Roman"/>
          <w:sz w:val="17"/>
          <w:szCs w:val="17"/>
          <w:color w:val="auto"/>
        </w:rPr>
        <w:t>– The Percepta Genomic Atlas will enable more patients with lung cancer to receive more-appropriate treatment sooner. The test will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provide comprehensive genomic profiling information on small samples of the tumor biopsy used for diagnosis to inform treatment decision-making at the time of diagnosis. Data presented in December 2020 showed that the in-development test accurately detected known gene variants in lung cancer using bronchoscopy samples, including stage I, II and III cancers, with over 95% concordance to a reference next-generation sequencing assay. We plan to introduce the Percepta Genomic Atlas in the second half of 2021.</w:t>
      </w:r>
    </w:p>
    <w:p>
      <w:pPr>
        <w:spacing w:after="0" w:line="197" w:lineRule="exact"/>
        <w:rPr>
          <w:rFonts w:ascii="Times New Roman" w:cs="Times New Roman" w:eastAsia="Times New Roman" w:hAnsi="Times New Roman"/>
          <w:sz w:val="17"/>
          <w:szCs w:val="17"/>
          <w:color w:val="auto"/>
        </w:rPr>
      </w:pPr>
    </w:p>
    <w:p>
      <w:pPr>
        <w:jc w:val="both"/>
        <w:ind w:left="300" w:hanging="300"/>
        <w:spacing w:after="0" w:line="260" w:lineRule="auto"/>
        <w:tabs>
          <w:tab w:leader="none" w:pos="29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Envisia Classifier the nCounter Analysis System </w:t>
      </w:r>
      <w:r>
        <w:rPr>
          <w:rFonts w:ascii="Times New Roman" w:cs="Times New Roman" w:eastAsia="Times New Roman" w:hAnsi="Times New Roman"/>
          <w:sz w:val="17"/>
          <w:szCs w:val="17"/>
          <w:color w:val="auto"/>
        </w:rPr>
        <w:t>– We are adapting our Envisia classifier for use on the nCounter Analysis System so that the test may be offered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physicians and patients in international markets by hospitals and laboratories that will perform the test locally. We expect to introduce the test before the end of 2021.</w:t>
      </w:r>
    </w:p>
    <w:p>
      <w:pPr>
        <w:spacing w:after="0" w:line="188" w:lineRule="exact"/>
        <w:rPr>
          <w:rFonts w:ascii="Times New Roman" w:cs="Times New Roman" w:eastAsia="Times New Roman" w:hAnsi="Times New Roman"/>
          <w:sz w:val="17"/>
          <w:szCs w:val="17"/>
          <w:color w:val="auto"/>
        </w:rPr>
      </w:pPr>
    </w:p>
    <w:p>
      <w:pPr>
        <w:jc w:val="both"/>
        <w:ind w:left="300" w:hanging="300"/>
        <w:spacing w:after="0" w:line="252" w:lineRule="auto"/>
        <w:tabs>
          <w:tab w:leader="none" w:pos="29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LymphMark Lymphoma Subtyping Test </w:t>
      </w:r>
      <w:r>
        <w:rPr>
          <w:rFonts w:ascii="Times New Roman" w:cs="Times New Roman" w:eastAsia="Times New Roman" w:hAnsi="Times New Roman"/>
          <w:sz w:val="17"/>
          <w:szCs w:val="17"/>
          <w:color w:val="auto"/>
        </w:rPr>
        <w:t>- The LymphMark test is in development for use on the nCounter Analysis System as an aid in disease characterization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prognosis to support disease management for patients newly diagnosed with diffuse large B-cell lymphoma, or DLBCL. The LymphMark test utilizes gene-expression profiling of RNA extracted from formalin-fixed paraffin-embedded tissue to classify the “cell of origin” subtype of DLBCL tumors. The World Health Organization recommends gene-expression profiling for patients with DLBCL, given that certain subtypes are associated with poorer clinical outcomes, which may potentially be mitigated by more-specific treatments that are under development.</w:t>
      </w:r>
    </w:p>
    <w:p>
      <w:pPr>
        <w:spacing w:after="0" w:line="197" w:lineRule="exact"/>
        <w:rPr>
          <w:rFonts w:ascii="Times New Roman" w:cs="Times New Roman" w:eastAsia="Times New Roman" w:hAnsi="Times New Roman"/>
          <w:sz w:val="17"/>
          <w:szCs w:val="17"/>
          <w:color w:val="auto"/>
        </w:rPr>
      </w:pPr>
    </w:p>
    <w:p>
      <w:pPr>
        <w:jc w:val="both"/>
        <w:ind w:left="300" w:hanging="300"/>
        <w:spacing w:after="0" w:line="255" w:lineRule="auto"/>
        <w:tabs>
          <w:tab w:leader="none" w:pos="29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Product Extensions </w:t>
      </w:r>
      <w:r>
        <w:rPr>
          <w:rFonts w:ascii="Times New Roman" w:cs="Times New Roman" w:eastAsia="Times New Roman" w:hAnsi="Times New Roman"/>
          <w:sz w:val="17"/>
          <w:szCs w:val="17"/>
          <w:color w:val="auto"/>
        </w:rPr>
        <w:t>- We expect to expand our portfolio of tests across all of our indications – including IPF, breast cancer and lymphoma – to inform treatment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decisions at the time of diagnosis, similar to what we have done with the Afirma Xpression Atlas in thyroid cancer and plan with the Percepta Genomic Atlas in lung cancer. Because our diagnostic and prognostic tests are positioned early in the clinical care continuum, we have a unique opportunity to inform downstream decisions without the patient having to undergo further procedures to obtain additional tissue samples.</w:t>
      </w:r>
    </w:p>
    <w:p>
      <w:pPr>
        <w:spacing w:after="0" w:line="196" w:lineRule="exact"/>
        <w:rPr>
          <w:rFonts w:ascii="Times New Roman" w:cs="Times New Roman" w:eastAsia="Times New Roman" w:hAnsi="Times New Roman"/>
          <w:sz w:val="17"/>
          <w:szCs w:val="17"/>
          <w:color w:val="auto"/>
        </w:rPr>
      </w:pPr>
    </w:p>
    <w:p>
      <w:pPr>
        <w:jc w:val="both"/>
        <w:ind w:left="300"/>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Additionally, we plan to develop tests further “upstream” in lung cancer to identify patients with precancerous changes that can potentially be treated with preventative therapies. In December 2020, we expanded our collaboration with the Lung Cancer Initiative at Johnson &amp; Johnson to include a large-scale, prospective clinical trial that will inform on feasibility of such future tests.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Platform for Global Expansion</w:t>
      </w:r>
    </w:p>
    <w:p>
      <w:pPr>
        <w:spacing w:after="0" w:line="231" w:lineRule="exact"/>
        <w:rPr>
          <w:sz w:val="20"/>
          <w:szCs w:val="20"/>
          <w:color w:val="auto"/>
        </w:rPr>
      </w:pPr>
    </w:p>
    <w:p>
      <w:pPr>
        <w:jc w:val="both"/>
        <w:ind w:firstLine="375"/>
        <w:spacing w:after="0" w:line="252" w:lineRule="auto"/>
        <w:rPr>
          <w:sz w:val="20"/>
          <w:szCs w:val="20"/>
          <w:color w:val="auto"/>
        </w:rPr>
      </w:pPr>
      <w:r>
        <w:rPr>
          <w:rFonts w:ascii="Times New Roman" w:cs="Times New Roman" w:eastAsia="Times New Roman" w:hAnsi="Times New Roman"/>
          <w:sz w:val="17"/>
          <w:szCs w:val="17"/>
          <w:color w:val="auto"/>
        </w:rPr>
        <w:t xml:space="preserve">In December 2019, we acquired an exclusive worldwide license to the nCounter Analysis System for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diagnostic use and for the development and commercialization of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diagnostic tests. We expect this instrument platform to enable a broad range of testing through its ability to simultaneously conduct multiplex testing of up to 800 RNA, DNA and protein targets. The nCounter Analysis System is simple to use and requires less than two hours of hands-on time, which is an up to 80 percent reduction compared to sequencing technology, making advanced genomic testing more accessible to patients through laboratories that previously may not have had the resources or expertise to perform such complex testing.</w:t>
      </w:r>
    </w:p>
    <w:p>
      <w:pPr>
        <w:spacing w:after="0" w:line="199"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We believe the nCounter Analysis System is a key catalyst that is enabling our transformation into a leading global diagnostics company poised for long-term growth and our planned acquisition of Decipher Biosciences is expected to further position us for further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 w:name="page12"/>
    <w:bookmarkEnd w:id="11"/>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440690</wp:posOffset>
            </wp:positionV>
            <wp:extent cx="5422265" cy="27825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22265" cy="2782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Biopharmaceutical Collaborations</w:t>
      </w:r>
    </w:p>
    <w:p>
      <w:pPr>
        <w:spacing w:after="0" w:line="233" w:lineRule="exact"/>
        <w:rPr>
          <w:sz w:val="20"/>
          <w:szCs w:val="20"/>
          <w:color w:val="auto"/>
        </w:rPr>
      </w:pPr>
    </w:p>
    <w:p>
      <w:pPr>
        <w:jc w:val="both"/>
        <w:ind w:firstLine="375"/>
        <w:spacing w:after="0" w:line="271" w:lineRule="auto"/>
        <w:rPr>
          <w:sz w:val="20"/>
          <w:szCs w:val="20"/>
          <w:color w:val="auto"/>
        </w:rPr>
      </w:pPr>
      <w:r>
        <w:rPr>
          <w:rFonts w:ascii="Times New Roman" w:cs="Times New Roman" w:eastAsia="Times New Roman" w:hAnsi="Times New Roman"/>
          <w:sz w:val="16"/>
          <w:szCs w:val="16"/>
          <w:color w:val="auto"/>
        </w:rPr>
        <w:t>We believe the powerful clinical and scientific platform we use in the discovery and development of new products also provides multiple opportunities to monetize our assets through collaborations with biopharmaceutical companies. In developing our products, we have built or gained access to unique biorepositories that include extensive clinical cohorts and whole genome RNA sequencing data, which we believe are important to the development of new targeted therapies, determining clinical trial eligibility and guiding treatment selection. Further, we believe our expanded global footprint and move into new clinical areas in oncology, enabled by the nCounter Analysis System, will prove highly attractive to biopharmaceutical companies, which need access to patients worldwide for their targeted therapies.</w:t>
      </w:r>
    </w:p>
    <w:p>
      <w:pPr>
        <w:spacing w:after="0" w:line="185"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As of December 31, 2020, we had established biopharmaceutical collaborations with Johnson &amp; Johnson; Acerta Pharma, the hematology research and development arm of AstraZeneca plc; and Loxo Oncology, Inc., or Loxo, a wholly-owned subsidiary of Eli Lilly and Company; and Bayer.</w:t>
      </w:r>
    </w:p>
    <w:p>
      <w:pPr>
        <w:spacing w:after="0" w:line="184"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We also collaborate with the Lung Cancer Initiative at Johnson &amp; Johnson to advance the development and commercialization of novel diagnostic tests to detect lung cancer at its earliest stages, when the disease is most treatable. The collaboration with Johnson &amp; Johnson, begun in December 2018, was formed to accelerate two key lung cancer programs for us: the commercialization of our Percepta GSC on our RNA whole-transcriptome sequencing platform, which was achieved in June 2019, and the development of the first noninvasive nasal swab test for early lung cancer detection. We announced preliminary cross-validation data for the in-development nasal swab test in December 2020 and plan to commercially introduce the test in the second half of 2021. Under terms of the agreement, we and Johnson &amp; Johnson have combined clinical study cohorts involving more than 5,000 patients with multiple years of clinical outcome data.</w:t>
      </w:r>
    </w:p>
    <w:p>
      <w:pPr>
        <w:spacing w:after="0" w:line="201"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In December 2020 we began an expanded collaboration with the Lung Cancer Initiative at Johnson &amp; Johnson, which will include a focus on the NOBLE trial, a 9,000-patient, prospective, multicenter clinical study. The NOBLE study was launched in July 2020 to identify genomic and other differences in lung cancer development and progression among patients with lung nodules detected by CT imaging. We believe the new study will position us to develop future tests that may benefit broader patient populations, including nonsmokers and those with pre-cancerous changes who are likely to develop lung cancer. Through our expanded collaboration, the Lung Cancer Initiative at Johnson &amp; Johnson is helping to fund the NOBLE trial and will have access to resulting data and the rights to any therapy developed as a results, while we retain all diagnostic rights.</w:t>
      </w:r>
    </w:p>
    <w:p>
      <w:pPr>
        <w:spacing w:after="0" w:line="201"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Through our collaboration with Acerta Pharma, which we began in December 2019, we provide genomic information to support the biopharmaceutical company’s development of oncology therapeutics in lymphoma.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2" w:name="page13"/>
    <w:bookmarkEnd w:id="12"/>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In April 2018, we entered into a research collaboration with Loxo, which gave the biopharmaceutical company access to data derived from our Afirma XA platform for use in its development of highly selective medicines for patients with genetically defined cancers, including thyroid cancer. This collaboration, which supported Loxo’s precision medicine therapy development, concluded in February 2021, following FDA approval of the biopharmaceutical company’s RET-focused drug, Retevmo (selpercatinib). In December 2020, we began a program with Bayer to identify specific subsets of thyroid cancer patients who may benefit from biomarker-driven therapies.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Diagnostic Company Collaborations</w:t>
      </w:r>
    </w:p>
    <w:p>
      <w:pPr>
        <w:spacing w:after="0" w:line="233"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We believe the nCounter Analysis System creates opportunities for us to enter into collaborations with other diagnostics companies who seek to make their non-competitive advanced genomic tests accessible to physicians and patients in international markets. We believe that expanding the menu of genomic tests available on the nCounter Analysis System will increase adoption of our tests on the platform. In addition, we expect to generate revenue through such partnerships by providing the reagents and kits for any diagnostic tests performed on the nCounter Analysis System. Longer term, we believe that having a comprehensive genomic testing menu on the nCounter Analysis System will position us to place more instruments into hospitals and reference laboratories worldwide.</w:t>
      </w:r>
    </w:p>
    <w:p>
      <w:pPr>
        <w:spacing w:after="0" w:line="201"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In May 2020, we entered into a collaboration with CareDx through which CareDx will have exclusive worldwide commercialization rights for solid organ transplant-rejection tests on the nCounter Analysis System. In July 2020, we entered into an agreement for MAVIDx to develop ultra-high throughput genomic testing for SARS-CoV-2, the virus that causes COVID-19, as well as other infectious diseases, including influenza, on the nCounter Analysis System.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Opportunity</w:t>
      </w:r>
    </w:p>
    <w:p>
      <w:pPr>
        <w:spacing w:after="0" w:line="233"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The majority of our current business is focused on developing and commercializing genomic classifiers that help resolve diagnostic uncertainty. We believe this is a critical healthcare issue that leads to hundreds of thousands of unnecessary surgeries, delayed or potentially harmful treatments and billions of wasted healthcare dollars each year. We also offer genomic tests designed to answer important questions at other points along the care continuum - often from the same patient samples used in diagnosis - to further help improve patient outcomes and the use of healthcare resources. We believe the total addressable market for our current tests - in thyroid cancer, lung cancer, IPF and breast cancer - is over $3 billion in the United States and Europe. We believe the global market opportunity for our current and pipeline products is over $50 billion annually.</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Thyroid Market Opportunity for Our Afirma Solution</w:t>
      </w:r>
    </w:p>
    <w:p>
      <w:pPr>
        <w:spacing w:after="0" w:line="231"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Each year in the United States, we estimate that more than 565,000 FNA biopsies are performed to assess patients with potentially cancerous thyroid nodules. Cytopathology is performed on each biopsy and we estimate that up to 30 percent of the results are indeterminate (not clearly benign or malignant). Physicians have traditionally recommended thyroid surgery to obtain a more definitive diagnosis. Following surgery, however, 70% to 80% of patients' nodules are diagnosed as benign, meaning the surgery was unnecessary. Such surgery is invasive, costly and often leads to the need for lifelong daily thyroid hormone replacement drugs. The Afirma classifier is included in most leading medical guidelines.</w:t>
      </w:r>
    </w:p>
    <w:p>
      <w:pPr>
        <w:spacing w:after="0" w:line="201"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We believe the addressable market opportunity for our Afirma solution is $720 million in the United States and approximately $100 million in the European Union. We currently do not have meaningful operations or sales outside the United States.</w:t>
      </w:r>
    </w:p>
    <w:p>
      <w:pPr>
        <w:spacing w:after="0" w:line="184"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In January 2012, we obtained Medicare coverage for our Afirma classifier. The test is covered by every major health plan in the United States, which collectively insure more than 275 million people. We are contracted as an in-network service provider to health plans representing over 225 million people in the United States. We estimate that approximately 20% of patients evaluated for thyroid cancer in the United States are covered by Medicare and the remaining 80% are covered by commercial plans or Medicaid or they are self-insured.</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Lung Cancer Market Opportunity for Our Percepta Classifier</w:t>
      </w:r>
    </w:p>
    <w:p>
      <w:pPr>
        <w:spacing w:after="0" w:line="231"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Lung cancer is often difficult to diagnose without invasive, risky and costly surgeries. Nearly 230,000 people are diagnosed with lung cancer each year in the United States and more than 140,000 people die annually from the disease. We estimate that approximately 1.8 million to 2.0 million lung nodules are identified in patients in the United States each year and that doctors perform approximately 545,000 bronchoscopies on these patients in order to obtain a diagnosis. A bronchoscopy is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3" w:name="page14"/>
    <w:bookmarkEnd w:id="13"/>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 non-surgical procedure that is often used to evaluate patients with potentially cancerous lung nodules, but produces inconclusive results in up to 70% of cases. We estimate that the number of bronchoscopies performed would potentially increase - in lieu of more invasive procedures - if physicians had more confidence in the bronchoscopy procedure’s ability to provide clear results. Currently, we estimate that approximately 230,000 patients undergoing bronchoscopy have inconclusive results and could potentially benefit from our test.</w:t>
      </w:r>
    </w:p>
    <w:p>
      <w:pPr>
        <w:spacing w:after="0" w:line="199"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We believe the addressable market opportunity for our Percepta product is approximately $490 million in the United States and over $200 million in Europe. We anticipate the market will expand significantly over the coming years as lung cancer screening programs are implemented in the United States and physicians embrace bronchoscopy as a standard, less-invasive diagnostic modality for evaluating lung nodules and lesions.</w:t>
      </w:r>
    </w:p>
    <w:p>
      <w:pPr>
        <w:spacing w:after="0" w:line="196"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In May 2017, we obtained Medicare coverage for Percepta, making it the first genomic test to be covered for use in lung cancer screening and diagnosis. The test is available to nearly 60 million Medicare enrollees. We estimate that half of the patients evaluated for lung cancer in the United States are covered by Medicare.</w:t>
      </w:r>
    </w:p>
    <w:p>
      <w:pPr>
        <w:spacing w:after="0" w:line="184"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We estimate that the total addressable global market for our in-development nasal swab test for earlier lung cancer detection is approximately $5.5 billion. In the United States alone, we estimate that about 750,000 patients with lung nodules found on CT scans – either through screening or incidentally – are referred to a pulmonologist for evaluation. Currently out of the approximately 10 million people in the United States who are eligible for annual lung cancer screening with low-dose CT, only about 1.2 million people are getting screened. We believe the total number of people screened will increase should the United States Preventative Services Task Force’s recommendation to expand eligibility for annual screening be adopted. Additionally, we believe that by informing decision-making around which patients with lung nodules to work up and which to monitor, our nasal swab test may increase referrals to CT screening.</w:t>
      </w:r>
    </w:p>
    <w:p>
      <w:pPr>
        <w:spacing w:after="0" w:line="201" w:lineRule="exact"/>
        <w:rPr>
          <w:sz w:val="20"/>
          <w:szCs w:val="20"/>
          <w:color w:val="auto"/>
        </w:rPr>
      </w:pPr>
    </w:p>
    <w:p>
      <w:pPr>
        <w:jc w:val="both"/>
        <w:ind w:firstLine="375"/>
        <w:spacing w:after="0" w:line="281" w:lineRule="auto"/>
        <w:rPr>
          <w:sz w:val="20"/>
          <w:szCs w:val="20"/>
          <w:color w:val="auto"/>
        </w:rPr>
      </w:pPr>
      <w:r>
        <w:rPr>
          <w:rFonts w:ascii="Times New Roman" w:cs="Times New Roman" w:eastAsia="Times New Roman" w:hAnsi="Times New Roman"/>
          <w:sz w:val="16"/>
          <w:szCs w:val="16"/>
          <w:color w:val="auto"/>
        </w:rPr>
        <w:t>Further, we estimate that the total addressable global market for a genomic test that can identify patients with precancerous changes is approximately $36 billion. This is based on the global rates of smoking and patients at risk for lung cancer who may be eligible for the nasal swab test to identify pre-cancerous changes. We believe this market will continue to grow in the coming years as populations with a history of smoking age into at-risk eligibility for assessment of lung cancer risk.</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IPF Market Opportunity for Our Envisia Classifier</w:t>
      </w:r>
    </w:p>
    <w:p>
      <w:pPr>
        <w:spacing w:after="0" w:line="231"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Each year in the United States and Europe, up to 220,000 patients are suspected of having an ILD, including IPF, which is among the most common and deadly of these lung-scarring diseases. IPF is notoriously difficult to diagnose, often leading to treatment delays, repeated misdiagnoses, patient distress and added healthcare expense. Physicians routinely use high-resolution computed tomography imaging to identify UIP, the pattern whose presence is essential to IPF diagnosis. This approach, however, frequently provides inconclusive results, leading many patients to require surgery to secure a more definitive diagnosis using surgical histopathology. These surgeries are risky and expensive, and many patients are too frail to undergo the procedure. Of the approximate 250,000 patients evaluated for ILD annually, we estimate that approximately 60%, or 151,000 patients receive an uncertain diagnosis and are candidates for our Envisia test.</w:t>
      </w:r>
    </w:p>
    <w:p>
      <w:pPr>
        <w:spacing w:after="0" w:line="2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We believe the addressable market opportunity for our Envisia product is approximately $435 million in the United States and up to $300 million in Europe.</w:t>
      </w:r>
    </w:p>
    <w:p>
      <w:pPr>
        <w:spacing w:after="0" w:line="229"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In March 2019, we obtained final Medicare coverage for the Envisia classifier through the MolDX program, administered by Palmetto GBA. The Envisia classifier is the first genomic test to be covered by Medicare for use in IPF diagnosis, with the test available to the government health program’s nearly 60 million Medicare enrollees. We estimate that half of the patients evaluated for ILDs/IPF in the United States are covered by Medicare.</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Breast Cancer Market Opportunity for Our Prosigna Test</w:t>
      </w:r>
    </w:p>
    <w:p>
      <w:pPr>
        <w:spacing w:after="0" w:line="231"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Breast cancer is the most common cancer and the leading cause of cancer-related death in women worldwide. It impacts 2.1 million women and causes 627,000 deaths each year. Following diagnosis, physicians have traditionally used clinical factors - tumor size, grade and nodal status - to help determine the risk of cancer recurrence and thus to help inform whether adjuvant chemotherapy should be added to endocrine treatment. We believe that historically this subjective approach led to women unnecessarily being exposed to toxic chemotherapy or to being undertreated.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4" w:name="page15"/>
    <w:bookmarkEnd w:id="14"/>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The Prosigna assay measures RNA expression levels of 50 genes that provide a breast cancer patient and physician with a prognostic score indicating the probability of cancer recurrence over ten years, as well as information on the patient’s breast cancer genetic subtypes which can further inform treatment.</w:t>
      </w:r>
    </w:p>
    <w:p>
      <w:pPr>
        <w:spacing w:after="0" w:line="184" w:lineRule="exact"/>
        <w:rPr>
          <w:sz w:val="20"/>
          <w:szCs w:val="20"/>
          <w:color w:val="auto"/>
        </w:rPr>
      </w:pPr>
    </w:p>
    <w:p>
      <w:pPr>
        <w:jc w:val="both"/>
        <w:ind w:firstLine="375"/>
        <w:spacing w:after="0" w:line="249" w:lineRule="auto"/>
        <w:rPr>
          <w:sz w:val="20"/>
          <w:szCs w:val="20"/>
          <w:color w:val="auto"/>
        </w:rPr>
      </w:pPr>
      <w:r>
        <w:rPr>
          <w:rFonts w:ascii="Times New Roman" w:cs="Times New Roman" w:eastAsia="Times New Roman" w:hAnsi="Times New Roman"/>
          <w:sz w:val="17"/>
          <w:szCs w:val="17"/>
          <w:color w:val="auto"/>
        </w:rPr>
        <w:t xml:space="preserve">We estimate that the global early stage breast cancer recurrence market is significant, with approximately 375,000 patients potentially eligible for Prosigna annually. This is comprised of approximately 111,000 patients in the United States and 250,000 in the rest of the world. The Prosigna test is clinically validated in studies published in </w:t>
      </w:r>
      <w:r>
        <w:rPr>
          <w:rFonts w:ascii="Times New Roman" w:cs="Times New Roman" w:eastAsia="Times New Roman" w:hAnsi="Times New Roman"/>
          <w:sz w:val="17"/>
          <w:szCs w:val="17"/>
          <w:i w:val="1"/>
          <w:iCs w:val="1"/>
          <w:color w:val="auto"/>
        </w:rPr>
        <w:t>Annals of Oncology</w:t>
      </w:r>
      <w:r>
        <w:rPr>
          <w:rFonts w:ascii="Times New Roman" w:cs="Times New Roman" w:eastAsia="Times New Roman" w:hAnsi="Times New Roman"/>
          <w:sz w:val="17"/>
          <w:szCs w:val="17"/>
          <w:color w:val="auto"/>
        </w:rPr>
        <w:t xml:space="preserve"> and the </w:t>
      </w:r>
      <w:r>
        <w:rPr>
          <w:rFonts w:ascii="Times New Roman" w:cs="Times New Roman" w:eastAsia="Times New Roman" w:hAnsi="Times New Roman"/>
          <w:sz w:val="17"/>
          <w:szCs w:val="17"/>
          <w:i w:val="1"/>
          <w:iCs w:val="1"/>
          <w:color w:val="auto"/>
        </w:rPr>
        <w:t>Journal of Clinical Oncology.</w:t>
      </w:r>
      <w:r>
        <w:rPr>
          <w:rFonts w:ascii="Times New Roman" w:cs="Times New Roman" w:eastAsia="Times New Roman" w:hAnsi="Times New Roman"/>
          <w:sz w:val="17"/>
          <w:szCs w:val="17"/>
          <w:color w:val="auto"/>
        </w:rPr>
        <w:t xml:space="preserve"> The test is recommended in guidelines from the National Comprehensive Cancer Network and the American Society of Clinical Oncology in the United States. Medicare coverage for Prosigna has been in effect since October 2015. Outside of the United States, the test is included in leading medical guidelines, including from the National Institute for Health and Care Excellence in the United Kingdom, which in 2019 recommended use of the test. We estimate that the addressable market for Prosigna is approximately $275 million in the United States and $650 million in global markets.</w:t>
      </w:r>
    </w:p>
    <w:p>
      <w:pPr>
        <w:spacing w:after="0" w:line="2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LymphMark Lymphoma Subtyping Test</w:t>
      </w:r>
    </w:p>
    <w:p>
      <w:pPr>
        <w:spacing w:after="0" w:line="231"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DLBCL is a heterogeneous group of cancers that represents the most common and one of the most aggressive forms of Non-Hodgkin Lymphoma. We estimate that there are approximately 95,000 patients diagnosed with DLBCL each year globally, including approximately 25,000 patients in the United States, who would be potential candidates for our test. We estimate that the total addressable market for LymphMark is approximately $350 million globally.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Scientific Background</w:t>
      </w:r>
    </w:p>
    <w:p>
      <w:pPr>
        <w:spacing w:after="0" w:line="233"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In the past, clinicians made diagnoses from biopsy samples by looking at them under a microscope. Technology has advanced far beyond this, and scientists now have the ability to decipher genomic patterns that reside in the DNA and RNA of such biopsies. We search for patterns that tell us whether or not the biopsy contains the disease in question. We do this by using a whole-genome approach. This means we look at all of the human genes, including their expression patterns and their variants and mutations, rather than just looking at a few selected genes that we think may be important. This comprehensive measurement of the human genome allows us to detect signals from genes we may not have previously suspected to be involved in disease.</w:t>
      </w:r>
    </w:p>
    <w:p>
      <w:pPr>
        <w:spacing w:after="0" w:line="201"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We use machine learning-based algorithms to match genomic patterns with clinical truth, or the true diagnosis. For example, when we train an algorithm on RNA sequencing data, we teach it to associate a set of expression patterns with disease and a different set of patterns with lack of disease. When algorithms are trained on enough examples with clinical truth, they learn to find that pattern in samples they have never encountered, thus allowing the algorithm to predict disease in a clinical setting.</w:t>
      </w:r>
    </w:p>
    <w:p>
      <w:pPr>
        <w:spacing w:after="0" w:line="199"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Our core products are built around algorithms that help either rule in or rule out disease. Due to the complex, sometimes rare, subtypes of various diseases like cancer, we develop and train our machine learning algorithms using a diverse set of patient samples so that they are equipped to recognize patterns across the whole spectrum of conditions that may be encountered in the clinic.</w:t>
      </w:r>
    </w:p>
    <w:p>
      <w:pPr>
        <w:spacing w:after="0" w:line="196"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Our process uses commercially available reagents and instruments with our own proprietary process and protocols, which results in RNA extraction from the range of small, minimally invasive biopsies used in our clinical development studies and our commercial laboratory tests.</w:t>
      </w:r>
    </w:p>
    <w:p>
      <w:pPr>
        <w:spacing w:after="0" w:line="184"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Our Prosigna breast cancer prognostic test, acquired in December 2019, similarly utilizes machine learning-based algorithms to provide prognostic information for certain early-stage breast cancer patients. The RNA-based test uses a “PAM50” signature, comprised of 50 genes, to compare the gene expression profile of a patient’s tumor - from a surgically removed sample - with each of four intrinsic tumor subtypes to determine the degree of similarity. The results, in combination with a proliferation score and tumor size, produce an individualized Prosigna risk-of-recurrence score. The Prosigna test was adapted to be performed using the nCounter Analysis System so that it can be performed in local laboratories.</w:t>
      </w:r>
    </w:p>
    <w:p>
      <w:pPr>
        <w:spacing w:after="0" w:line="201"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In addition to our primary tests in each of our clinical indications, our RNA sequencing platform also enables us to identify gene alterations such as variants and fusions, copy number and other information - from samples utilized in initial testing - that may inform next steps in patient care. We currently offer this capability in our thyroid cancer offerings as the Afirma Xpression Atlas, which is used to help inform surgical strategy and treatment options for patients whose thyroid nodules are confirmed or suspicious for cancer. We believe this capability may be especially useful in oncology and other diseases that are increasingly treated using therapies that target specific gene alterations.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5" w:name="page16"/>
    <w:bookmarkEnd w:id="15"/>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Technology</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Genomic Testing</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technology approach for our genomic tests is comprised of a number of key attributes:</w:t>
      </w:r>
    </w:p>
    <w:p>
      <w:pPr>
        <w:spacing w:after="0" w:line="225" w:lineRule="exact"/>
        <w:rPr>
          <w:sz w:val="20"/>
          <w:szCs w:val="20"/>
          <w:color w:val="auto"/>
        </w:rPr>
      </w:pPr>
    </w:p>
    <w:p>
      <w:pPr>
        <w:jc w:val="both"/>
        <w:ind w:left="380" w:hanging="193"/>
        <w:spacing w:after="0" w:line="270" w:lineRule="auto"/>
        <w:tabs>
          <w:tab w:leader="none" w:pos="376"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Core Expertise in Broad-based Genomic Analysis</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team of bioinformatics and computational scientists possess extensive knowledge of both existing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computational methods as well as the capacity to develop proprietary methods as needed for algorithm design. We demonstrated our ability to utilize large amounts of genomic data with machine learning algorithms in the development of the original Afirma GEC on microarrays and substantially extended this capability in the development of the Afirma GSC by accessing genomic features through deep RNA sequencing. Our expertise allows us to use a combination of expression analysis as well as mutations and variants to build our sophisticated machine learning algorithms, all on the same platform. Additionally, we believe our technological capabilities enable us to adapt our genomic tests to other platforms, including the nCounter Analysis System for distribution to global markets.</w:t>
      </w:r>
    </w:p>
    <w:p>
      <w:pPr>
        <w:spacing w:after="0" w:line="183" w:lineRule="exact"/>
        <w:rPr>
          <w:rFonts w:ascii="Times New Roman" w:cs="Times New Roman" w:eastAsia="Times New Roman" w:hAnsi="Times New Roman"/>
          <w:sz w:val="16"/>
          <w:szCs w:val="16"/>
          <w:color w:val="auto"/>
        </w:rPr>
      </w:pPr>
    </w:p>
    <w:p>
      <w:pPr>
        <w:jc w:val="both"/>
        <w:ind w:left="380" w:hanging="193"/>
        <w:spacing w:after="0" w:line="250" w:lineRule="auto"/>
        <w:tabs>
          <w:tab w:leader="none" w:pos="37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Platform-Agnostic Approach. </w:t>
      </w:r>
      <w:r>
        <w:rPr>
          <w:rFonts w:ascii="Times New Roman" w:cs="Times New Roman" w:eastAsia="Times New Roman" w:hAnsi="Times New Roman"/>
          <w:sz w:val="17"/>
          <w:szCs w:val="17"/>
          <w:color w:val="auto"/>
        </w:rPr>
        <w:t>We are not reliant on any one technology platform to measure genomic signals; in fact, we may take advantage of a multitude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genomic methodologies to develop future tests. When we developed the Afirma GEC in 2008, microarray technologies were a cost-effective discovery technology compared to other approaches that were nascent at the time. More recently, the rapid cost reductions achieved in next generation sequencing platforms have allowed us to pursue our whole genome approach to biomarker discovery using a range of genomic features obtained through both DNA and RNA sequencing. From this vast array of sequence data, our algorithms select those genomic signals that inform on the disease in question, in the relevant biopsy sample. We continue to evaluate potential opportunities to use new genomic discoveries and technologies to further improve patient care.</w:t>
      </w:r>
    </w:p>
    <w:p>
      <w:pPr>
        <w:spacing w:after="0" w:line="199" w:lineRule="exact"/>
        <w:rPr>
          <w:rFonts w:ascii="Times New Roman" w:cs="Times New Roman" w:eastAsia="Times New Roman" w:hAnsi="Times New Roman"/>
          <w:sz w:val="17"/>
          <w:szCs w:val="17"/>
          <w:color w:val="auto"/>
        </w:rPr>
      </w:pPr>
    </w:p>
    <w:p>
      <w:pPr>
        <w:jc w:val="both"/>
        <w:ind w:left="380" w:hanging="193"/>
        <w:spacing w:after="0" w:line="252" w:lineRule="auto"/>
        <w:tabs>
          <w:tab w:leader="none" w:pos="37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Proprietary Capabilities in Analyzing Small, Heterogeneous Cytology Samples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have developed proprietary technology, intellectual property and know-how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optimized methods for extraction and analysis of nanogram quantities of RNA from small biopsy samples. Our focus is on redefining clinical truth, using patient samples obtained through less-invasive techniques, thereby increasing access to our technology by a larger patient population. While others can extract RNA from these small biopsies, we believe our process is optimized and scaled for high-throughput clinical testing and large-scale clinical development studies, such as those involving high-density microarrays and next-generation sequencing.</w:t>
      </w:r>
    </w:p>
    <w:p>
      <w:pPr>
        <w:spacing w:after="0" w:line="199" w:lineRule="exact"/>
        <w:rPr>
          <w:rFonts w:ascii="Times New Roman" w:cs="Times New Roman" w:eastAsia="Times New Roman" w:hAnsi="Times New Roman"/>
          <w:sz w:val="17"/>
          <w:szCs w:val="17"/>
          <w:color w:val="auto"/>
        </w:rPr>
      </w:pPr>
    </w:p>
    <w:p>
      <w:pPr>
        <w:jc w:val="both"/>
        <w:ind w:left="380" w:hanging="193"/>
        <w:spacing w:after="0" w:line="259" w:lineRule="auto"/>
        <w:tabs>
          <w:tab w:leader="none" w:pos="37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Precision and Reproducibility. </w:t>
      </w:r>
      <w:r>
        <w:rPr>
          <w:rFonts w:ascii="Times New Roman" w:cs="Times New Roman" w:eastAsia="Times New Roman" w:hAnsi="Times New Roman"/>
          <w:sz w:val="17"/>
          <w:szCs w:val="17"/>
          <w:color w:val="auto"/>
        </w:rPr>
        <w:t>We have in place standard operating procedures governing reagents, materials, instruments and controls and extensive experience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numerous verification studies performed for our tests. We apply the same high-quality control methods that were developed for our reagents and processes, along with our proprietary software for automation, sample tracking, data quality control and statistical analysis, to our development process.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nCounter Analysis System</w:t>
      </w:r>
    </w:p>
    <w:p>
      <w:pPr>
        <w:spacing w:after="0" w:line="229" w:lineRule="exact"/>
        <w:rPr>
          <w:sz w:val="20"/>
          <w:szCs w:val="20"/>
          <w:color w:val="auto"/>
        </w:rPr>
      </w:pPr>
    </w:p>
    <w:p>
      <w:pPr>
        <w:jc w:val="both"/>
        <w:ind w:firstLine="375"/>
        <w:spacing w:after="0" w:line="273" w:lineRule="auto"/>
        <w:rPr>
          <w:sz w:val="20"/>
          <w:szCs w:val="20"/>
          <w:color w:val="auto"/>
        </w:rPr>
      </w:pPr>
      <w:r>
        <w:rPr>
          <w:rFonts w:ascii="Times New Roman" w:cs="Times New Roman" w:eastAsia="Times New Roman" w:hAnsi="Times New Roman"/>
          <w:sz w:val="17"/>
          <w:szCs w:val="17"/>
          <w:color w:val="auto"/>
        </w:rPr>
        <w:t xml:space="preserve">In December 2019, we acquired an exclusive worldwide license to the nCounter Analysis System for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diagnostic use and for the development and commercialization of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diagnostic tests. Currently, the Prosigna breast cancer assay is the only commercially-available test on the platform.</w:t>
      </w:r>
    </w:p>
    <w:p>
      <w:pPr>
        <w:spacing w:after="0" w:line="181"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The nCounter Analysis System can simultaneously analyze RNA, DNA or protein targets, as well as gene mutations, fusions and copy number variations, in up to 800 genes. The system utilizes proprietary chemistry that allows the measurement of subtle changes in the activity of multiple genes from minute amounts of a biological sample, with high sensitivity and precision. This chemistry also obviates the need for amplification or other steps that can be cumbersome and time-consuming or may introduce the possibility of measurement errors. As a result, the nCounter Analysis System enables easy-to-use genomic testing with simple workflow that requires less than two hours of hands-on time - an up to 80 percent reduction compared to sequencing technology - making advanced genomic testing more accessible to patients through laboratories that previously may not have had the resources or expertise to perform such complex testing.</w:t>
      </w:r>
    </w:p>
    <w:p>
      <w:pPr>
        <w:spacing w:after="0" w:line="201"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We believe the nCounter Analysis System’s sensitivity and multiplexing capabilities will provide a robust platform for our genomic classifiers, enabling us to offer them in a kit format that can be performed locally in laboratories worldwide where the instrument is installed. Additionally, we believe that we can perform our genomic classifiers on the nCounter Analysis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6" w:name="page17"/>
    <w:bookmarkEnd w:id="16"/>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System in our own CLIA lab, enabling other, smaller-volume labs in the United States to offer our tests without the need to invest in an nCounter Analysis System instrument, while also enabling us to enhance our margins.</w:t>
      </w:r>
    </w:p>
    <w:p>
      <w:pPr>
        <w:spacing w:after="0" w:line="184"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We expect to begin offering the Envisia classifier, for use in the diagnosis of ILDs including IPF, to international customers by the end of 2021 as a kit-based test that runs on the nCounter Analysis System. We expect our in-development nasal swab classifier, for use in lung cancer diagnosis, to follow on the nCounter Analysis System in 2022, after the test becomes available in our CLIA lab in the United States in the second half of 2021. The nCounter Analysis System can also run additional tests developed by us, as well as by potential diagnostics or biopharmaceutical partners seeking access to global markets.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Studies Validating Test Performance and Clinical Utility</w:t>
      </w:r>
    </w:p>
    <w:p>
      <w:pPr>
        <w:spacing w:after="0" w:line="233"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In 2010, the Centers for Disease Control and Prevention published the “ACCE” model as a paradigm for establishing evidence to confirm the safety and effectiveness of molecular diagnostic tests. ACCE derives its name from the main criteria for evaluating such tests, including analytic validity, clinical validity and clinical utility. This model has been adopted by most technology assessment groups, professional societies and payers. We fully embrace this paradigm of evidence development and we strive to provide the highest level of scientific evidence to support our test claims.</w:t>
      </w:r>
    </w:p>
    <w:p>
      <w:pPr>
        <w:spacing w:after="0" w:line="199"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We believe that developing an extensive library of rigorous clinical evidence to support our tests is critical to driving inclusion in clinical guidelines, securing reimbursement and gaining physician adoption. We make our published research, abstracts from medical conferences and other product information available on our website at www.veracyte.com. Our website and the information contained therein or connected thereto are not intended to be incorporated into this Annual Report on Form 10-K.</w:t>
      </w:r>
    </w:p>
    <w:p>
      <w:pPr>
        <w:spacing w:after="0" w:line="199"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 xml:space="preserve">Our Afirma classifiers are supported by more than 30 published scientific studies. These include a prospective, multicenter clinical validation study published in </w:t>
      </w:r>
      <w:r>
        <w:rPr>
          <w:rFonts w:ascii="Times New Roman" w:cs="Times New Roman" w:eastAsia="Times New Roman" w:hAnsi="Times New Roman"/>
          <w:sz w:val="17"/>
          <w:szCs w:val="17"/>
          <w:i w:val="1"/>
          <w:iCs w:val="1"/>
          <w:color w:val="auto"/>
        </w:rPr>
        <w:t>The New England Journal of Medicine</w:t>
      </w:r>
      <w:r>
        <w:rPr>
          <w:rFonts w:ascii="Times New Roman" w:cs="Times New Roman" w:eastAsia="Times New Roman" w:hAnsi="Times New Roman"/>
          <w:sz w:val="17"/>
          <w:szCs w:val="17"/>
          <w:color w:val="auto"/>
        </w:rPr>
        <w:t>, which suggested that the test can significantly reduce the number of unnecessary surgeries, compared to traditional diagnostic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approaches. They also include a clinical validation study with patients from this same cohort, which was published in </w:t>
      </w:r>
      <w:r>
        <w:rPr>
          <w:rFonts w:ascii="Times New Roman" w:cs="Times New Roman" w:eastAsia="Times New Roman" w:hAnsi="Times New Roman"/>
          <w:sz w:val="17"/>
          <w:szCs w:val="17"/>
          <w:i w:val="1"/>
          <w:iCs w:val="1"/>
          <w:color w:val="auto"/>
        </w:rPr>
        <w:t>JAMA Surgery</w:t>
      </w:r>
      <w:r>
        <w:rPr>
          <w:rFonts w:ascii="Times New Roman" w:cs="Times New Roman" w:eastAsia="Times New Roman" w:hAnsi="Times New Roman"/>
          <w:sz w:val="17"/>
          <w:szCs w:val="17"/>
          <w:color w:val="auto"/>
        </w:rPr>
        <w:t xml:space="preserve"> and show that the next-generation Afirma GSC can identify 30 percent more patients who may potentially avoid unnecessary surgery.</w:t>
      </w:r>
    </w:p>
    <w:p>
      <w:pPr>
        <w:spacing w:after="0" w:line="197" w:lineRule="exact"/>
        <w:rPr>
          <w:sz w:val="20"/>
          <w:szCs w:val="20"/>
          <w:color w:val="auto"/>
        </w:rPr>
      </w:pPr>
    </w:p>
    <w:p>
      <w:pPr>
        <w:jc w:val="both"/>
        <w:ind w:firstLine="375"/>
        <w:spacing w:after="0" w:line="254" w:lineRule="auto"/>
        <w:rPr>
          <w:sz w:val="20"/>
          <w:szCs w:val="20"/>
          <w:color w:val="auto"/>
        </w:rPr>
      </w:pPr>
      <w:r>
        <w:rPr>
          <w:rFonts w:ascii="Times New Roman" w:cs="Times New Roman" w:eastAsia="Times New Roman" w:hAnsi="Times New Roman"/>
          <w:sz w:val="17"/>
          <w:szCs w:val="17"/>
          <w:color w:val="auto"/>
        </w:rPr>
        <w:t xml:space="preserve">Our Percepta test is supported by seven published scientific studies, including data published in </w:t>
      </w:r>
      <w:r>
        <w:rPr>
          <w:rFonts w:ascii="Times New Roman" w:cs="Times New Roman" w:eastAsia="Times New Roman" w:hAnsi="Times New Roman"/>
          <w:sz w:val="17"/>
          <w:szCs w:val="17"/>
          <w:i w:val="1"/>
          <w:iCs w:val="1"/>
          <w:color w:val="auto"/>
        </w:rPr>
        <w:t>The New England Journal of Medicine</w:t>
      </w:r>
      <w:r>
        <w:rPr>
          <w:rFonts w:ascii="Times New Roman" w:cs="Times New Roman" w:eastAsia="Times New Roman" w:hAnsi="Times New Roman"/>
          <w:sz w:val="17"/>
          <w:szCs w:val="17"/>
          <w:color w:val="auto"/>
        </w:rPr>
        <w:t xml:space="preserve">, which demonstrate the test’s accuracy in identifying patients who are at low risk of cancer following inconclusive results from bronchoscopy. These patients may then be monitored with CT scans in lieu of undergoing surgery - a frequent next step at this juncture of the clinical pathway. A clinical utility study published in the </w:t>
      </w:r>
      <w:r>
        <w:rPr>
          <w:rFonts w:ascii="Times New Roman" w:cs="Times New Roman" w:eastAsia="Times New Roman" w:hAnsi="Times New Roman"/>
          <w:sz w:val="17"/>
          <w:szCs w:val="17"/>
          <w:i w:val="1"/>
          <w:iCs w:val="1"/>
          <w:color w:val="auto"/>
        </w:rPr>
        <w:t>CHEST</w:t>
      </w:r>
      <w:r>
        <w:rPr>
          <w:rFonts w:ascii="Times New Roman" w:cs="Times New Roman" w:eastAsia="Times New Roman" w:hAnsi="Times New Roman"/>
          <w:sz w:val="17"/>
          <w:szCs w:val="17"/>
          <w:color w:val="auto"/>
        </w:rPr>
        <w:t xml:space="preserve"> journal showed that use of the test reduced unnecessary surgeries in the target patient population, compared to physicians’ plans prior to Percepta testing.</w:t>
      </w:r>
    </w:p>
    <w:p>
      <w:pPr>
        <w:spacing w:after="0" w:line="198"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 xml:space="preserve">Our Envisia classifier is supported by clinical data published in seven peer-reviewed journals. These include a prospective clinical validation study published in </w:t>
      </w:r>
      <w:r>
        <w:rPr>
          <w:rFonts w:ascii="Times New Roman" w:cs="Times New Roman" w:eastAsia="Times New Roman" w:hAnsi="Times New Roman"/>
          <w:sz w:val="17"/>
          <w:szCs w:val="17"/>
          <w:i w:val="1"/>
          <w:iCs w:val="1"/>
          <w:color w:val="auto"/>
        </w:rPr>
        <w:t>The Lancet Respiratory Medicine</w:t>
      </w:r>
      <w:r>
        <w:rPr>
          <w:rFonts w:ascii="Times New Roman" w:cs="Times New Roman" w:eastAsia="Times New Roman" w:hAnsi="Times New Roman"/>
          <w:sz w:val="17"/>
          <w:szCs w:val="17"/>
          <w:color w:val="auto"/>
        </w:rPr>
        <w:t>, which showed that the Envisia test achieved high specificity, meaning it would be expected to identify more than two-thirds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patients with usual interstitial pneumonia, or UIP, the hallmark of IPF, while minimizing the number of false positive results. In comparison, data show that high-resolution CT (HRCT) imaging, which is typically used in IPF diagnosis, has a sensitivity of just 43 percent for UIP.</w:t>
      </w:r>
    </w:p>
    <w:p>
      <w:pPr>
        <w:spacing w:after="0" w:line="199"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 xml:space="preserve">The Prosigna breast cancer prognostic test is supported by multiple clinical studies involving thousands of female patients with early-stage breast cancer. These include a large clinical validation study published in </w:t>
      </w:r>
      <w:r>
        <w:rPr>
          <w:rFonts w:ascii="Times New Roman" w:cs="Times New Roman" w:eastAsia="Times New Roman" w:hAnsi="Times New Roman"/>
          <w:sz w:val="17"/>
          <w:szCs w:val="17"/>
          <w:i w:val="1"/>
          <w:iCs w:val="1"/>
          <w:color w:val="auto"/>
        </w:rPr>
        <w:t>Annals of Oncology</w:t>
      </w:r>
      <w:r>
        <w:rPr>
          <w:rFonts w:ascii="Times New Roman" w:cs="Times New Roman" w:eastAsia="Times New Roman" w:hAnsi="Times New Roman"/>
          <w:sz w:val="17"/>
          <w:szCs w:val="17"/>
          <w:color w:val="auto"/>
        </w:rPr>
        <w:t xml:space="preserve">. In this study of 1,478 patients, researchers found that the Prosigna risk of recurrence score added a “highly significant further increase in prognostic information” compared to a clinical linear predictor alone. Data demonstrating the test’s clinical performance, clinical utility, cost-effectiveness and analytical validation have been published in over a dozen peer-reviewed journals including </w:t>
      </w:r>
      <w:r>
        <w:rPr>
          <w:rFonts w:ascii="Times New Roman" w:cs="Times New Roman" w:eastAsia="Times New Roman" w:hAnsi="Times New Roman"/>
          <w:sz w:val="17"/>
          <w:szCs w:val="17"/>
          <w:i w:val="1"/>
          <w:iCs w:val="1"/>
          <w:color w:val="auto"/>
        </w:rPr>
        <w:t>the Journal of Clinical Oncology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Journal of the National Cancer Institute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JAMA Oncology </w:t>
      </w:r>
      <w:r>
        <w:rPr>
          <w:rFonts w:ascii="Times New Roman" w:cs="Times New Roman" w:eastAsia="Times New Roman" w:hAnsi="Times New Roman"/>
          <w:sz w:val="17"/>
          <w:szCs w:val="17"/>
          <w:color w:val="auto"/>
        </w:rPr>
        <w:t>among others.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Commercial Operations</w:t>
      </w:r>
    </w:p>
    <w:p>
      <w:pPr>
        <w:spacing w:after="0" w:line="220"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In January 2021, we formalized a new General Manager-based structure to advance our growing global business, which includes two business approaches and products in multiple clinical indications. Under this structure, we appointed a General Manager, Endocrinology, Breast Cancer and Lymphoma; and a General Manager, Pulmonology. Each role has full global responsibility and accountability for specific indications, including pipeline development, strategy, marketing and sales, reimbursement and field-based medical affairs.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7" w:name="page18"/>
    <w:bookmarkEnd w:id="17"/>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Our sales force consists of approximately 50 sales team members under each General Manager in the United States (thyroid cancer and pulmonology).</w:t>
      </w:r>
    </w:p>
    <w:p>
      <w:pPr>
        <w:spacing w:after="0" w:line="229"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We have approximately 15 sales team members, including Country Managers, who promote the Prosigna test globally through laboratory and channel partnerships, in addition to a marketing team in Europe.</w:t>
      </w:r>
    </w:p>
    <w:p>
      <w:pPr>
        <w:spacing w:after="0" w:line="184"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To date, nearly all of our revenue has been derived from customers we serve in the United States. Through December 31, 2020, we derived most of our revenue from our Afirma solution, including cytopathology services and the Afirma assays.</w:t>
      </w:r>
    </w:p>
    <w:p>
      <w:pPr>
        <w:spacing w:after="0" w:line="184"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In addition to direct sales, industry trade shows or events typically provide us with an opportunity to share important product and research updates and to interact with key opinion leaders who impact our business. With customers less accessible in 2020 due to the COVID-19 pandemic, we seized new opportunities to engage with them digitally. We increased our use of digital technology, which included virtual speaker programs and webinars among customers nationwide, conducting email campaigns, product websites, search engine optimization and other online tactics that brought timely, relevant information to our customers in a more-personalized format. We envision increasingly utilizing digital strategies beyond the pandemic to further strengthen our customer relationships and deepen physician understanding of our tests and their value in the evolving precision medicine landscape.</w:t>
      </w:r>
    </w:p>
    <w:p>
      <w:pPr>
        <w:spacing w:after="0" w:line="201"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We also anticipate continuing to have a presence at a number of select industry conferences, which may include the American Society of Clinical Oncology, or ASCO, Annual Meeting; the Annual Scientific and Clinical Congress of the American Association of Clinical Endocrinologists, or AACE, the Annual Meeting of the American Thyroid Association, or ATA, and the Endocrine Society’s Annual Meeting, or ENDO; key pulmonology conferences such as the American Thoracic Society’s International Conference, or ATS, and the American College of Chest Physician’s CHEST Annual Meeting; and, in breast cancer, the annual San Antonio Breast Cancer Symposium.</w:t>
      </w:r>
    </w:p>
    <w:p>
      <w:pPr>
        <w:spacing w:after="0" w:line="201"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Prosigna is currently our only product generating revenue in global markets. Commercialization efforts for Prosigna involve securing reimbursement, selling test kits to institutions and medical centers that already own or lease nCounter Analysis Systems, and driving physician demand for the test.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Laboratory Operations</w:t>
      </w:r>
    </w:p>
    <w:p>
      <w:pPr>
        <w:spacing w:after="0" w:line="233"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We currently perform all genomic testing in thyroid cancer, lung cancer and IPF in South San Francisco, California. For Afirma testing, we perform slide preparation and staining for cytopathology on FNA samples in Austin, Texas.</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We receive samples for testing directly from the following sources:</w:t>
      </w:r>
    </w:p>
    <w:p>
      <w:pPr>
        <w:spacing w:after="0" w:line="225" w:lineRule="exact"/>
        <w:rPr>
          <w:sz w:val="20"/>
          <w:szCs w:val="20"/>
          <w:color w:val="auto"/>
        </w:rPr>
      </w:pPr>
    </w:p>
    <w:p>
      <w:pPr>
        <w:jc w:val="both"/>
        <w:ind w:left="380" w:hanging="193"/>
        <w:spacing w:after="0" w:line="260" w:lineRule="auto"/>
        <w:tabs>
          <w:tab w:leader="none" w:pos="37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FNAs for Afirma Genomic Testing Only. </w:t>
      </w:r>
      <w:r>
        <w:rPr>
          <w:rFonts w:ascii="Times New Roman" w:cs="Times New Roman" w:eastAsia="Times New Roman" w:hAnsi="Times New Roman"/>
          <w:sz w:val="17"/>
          <w:szCs w:val="17"/>
          <w:color w:val="auto"/>
        </w:rPr>
        <w:t>Institutions and other clients, such as laboratories, that perform their own cytopathology may send us FNA samples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from indeterminate results to perform Afirma genomic testing. We receive over 70% of our Afirma test volume from this source and it is the fastest-growing segment of our business.</w:t>
      </w:r>
    </w:p>
    <w:p>
      <w:pPr>
        <w:spacing w:after="0" w:line="188" w:lineRule="exact"/>
        <w:rPr>
          <w:rFonts w:ascii="Times New Roman" w:cs="Times New Roman" w:eastAsia="Times New Roman" w:hAnsi="Times New Roman"/>
          <w:sz w:val="17"/>
          <w:szCs w:val="17"/>
          <w:color w:val="auto"/>
        </w:rPr>
      </w:pPr>
    </w:p>
    <w:p>
      <w:pPr>
        <w:ind w:left="380" w:hanging="193"/>
        <w:spacing w:after="0" w:line="307" w:lineRule="auto"/>
        <w:tabs>
          <w:tab w:leader="none" w:pos="37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FNAs for Cytopathology and Reflexed Afirma Genomic Testing. </w:t>
      </w:r>
      <w:r>
        <w:rPr>
          <w:rFonts w:ascii="Times New Roman" w:cs="Times New Roman" w:eastAsia="Times New Roman" w:hAnsi="Times New Roman"/>
          <w:sz w:val="16"/>
          <w:szCs w:val="16"/>
          <w:color w:val="auto"/>
        </w:rPr>
        <w:t>We receive FNA samples from ordering physicians for cytopathology assessment and if results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are indeterminate, Afirma genomic testing is to be performed. We partner with Thyroid Cytopathology Partners, or TCP, to perform the cytopathology review.</w:t>
      </w:r>
    </w:p>
    <w:p>
      <w:pPr>
        <w:spacing w:after="0" w:line="153" w:lineRule="exact"/>
        <w:rPr>
          <w:rFonts w:ascii="Times New Roman" w:cs="Times New Roman" w:eastAsia="Times New Roman" w:hAnsi="Times New Roman"/>
          <w:sz w:val="16"/>
          <w:szCs w:val="16"/>
          <w:color w:val="auto"/>
        </w:rPr>
      </w:pPr>
    </w:p>
    <w:p>
      <w:pPr>
        <w:jc w:val="both"/>
        <w:ind w:left="380" w:hanging="193"/>
        <w:spacing w:after="0" w:line="260" w:lineRule="auto"/>
        <w:tabs>
          <w:tab w:leader="none" w:pos="37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Bronchoscopy Samples for Percepta Classifier. </w:t>
      </w:r>
      <w:r>
        <w:rPr>
          <w:rFonts w:ascii="Times New Roman" w:cs="Times New Roman" w:eastAsia="Times New Roman" w:hAnsi="Times New Roman"/>
          <w:sz w:val="17"/>
          <w:szCs w:val="17"/>
          <w:color w:val="auto"/>
        </w:rPr>
        <w:t>Institutions send us samples collected during the bronchoscopy procedure and order genomic testing with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Percepta classifier when bronchoscopy results are inconclusive. These samples are collected using a bronchial airway brushing during a bronchoscopy procedure for lung cancer diagnosis.</w:t>
      </w:r>
    </w:p>
    <w:p>
      <w:pPr>
        <w:spacing w:after="0" w:line="188" w:lineRule="exact"/>
        <w:rPr>
          <w:rFonts w:ascii="Times New Roman" w:cs="Times New Roman" w:eastAsia="Times New Roman" w:hAnsi="Times New Roman"/>
          <w:sz w:val="17"/>
          <w:szCs w:val="17"/>
          <w:color w:val="auto"/>
        </w:rPr>
      </w:pPr>
    </w:p>
    <w:p>
      <w:pPr>
        <w:ind w:left="380" w:hanging="193"/>
        <w:spacing w:after="0" w:line="275" w:lineRule="auto"/>
        <w:tabs>
          <w:tab w:leader="none" w:pos="37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Bronchoscopy Samples for Envisia Classifier. </w:t>
      </w:r>
      <w:r>
        <w:rPr>
          <w:rFonts w:ascii="Times New Roman" w:cs="Times New Roman" w:eastAsia="Times New Roman" w:hAnsi="Times New Roman"/>
          <w:sz w:val="17"/>
          <w:szCs w:val="17"/>
          <w:color w:val="auto"/>
        </w:rPr>
        <w:t>Institutions send us samples to help better differentiate IPFs from other ILDs without the need for surgery. These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samples are collected using transbronchial biopsy during a bronchoscopy procedure.</w:t>
      </w:r>
    </w:p>
    <w:p>
      <w:pPr>
        <w:spacing w:after="0" w:line="180"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We rely on TCP to provide professional cytopathology diagnoses on thyroid FNA samples pursuant to a pathology services agreement. Our agreement with TCP is effective until October 31, 2022 and thereafter automatically renews every year unless either party provides notice of intent not to renew at least twelve months prior to the end of the then-current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8" w:name="page19"/>
    <w:bookmarkEnd w:id="18"/>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Our Prosigna breast cancer test is performed on the nCounter Analysis System in laboratories internationally and in the United States. We believe that our state-of-the-art laboratory space in South San Francisco, California, has sufficient laboratory capacity to accommodate volume growth for our existing and pipeline products, as well as for Prosigna testing on the nCounter Analysis System.</w:t>
      </w:r>
    </w:p>
    <w:p>
      <w:pPr>
        <w:spacing w:after="0" w:line="196"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Our Quality Assurance team provides oversight on quality, licensing and regulatory compliance and maintenance for both of our laboratories to ensure data integrity and consistent, validated processes. The team also oversees the quality systems used in research and development, client services, billing operations and sales and marketing.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Reimbursement Strategy</w:t>
      </w:r>
    </w:p>
    <w:p>
      <w:pPr>
        <w:spacing w:after="0" w:line="2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We employ a multi-pronged strategy designed to achieve broad coverage and reimbursement for our tests in the United States and internationally:</w:t>
      </w:r>
    </w:p>
    <w:p>
      <w:pPr>
        <w:spacing w:after="0" w:line="225" w:lineRule="exact"/>
        <w:rPr>
          <w:sz w:val="20"/>
          <w:szCs w:val="20"/>
          <w:color w:val="auto"/>
        </w:rPr>
      </w:pPr>
    </w:p>
    <w:p>
      <w:pPr>
        <w:jc w:val="both"/>
        <w:ind w:left="680" w:hanging="306"/>
        <w:spacing w:after="0" w:line="260" w:lineRule="auto"/>
        <w:tabs>
          <w:tab w:leader="none" w:pos="67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Compile a Growing Library of Peer-reviewed Studies that Demonstrate the Test Is Effective. </w:t>
      </w:r>
      <w:r>
        <w:rPr>
          <w:rFonts w:ascii="Times New Roman" w:cs="Times New Roman" w:eastAsia="Times New Roman" w:hAnsi="Times New Roman"/>
          <w:sz w:val="17"/>
          <w:szCs w:val="17"/>
          <w:color w:val="auto"/>
        </w:rPr>
        <w:t>To date, several peer-reviewed articles and review papers have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been published and have helped support our efforts aimed at widespread adoption and reimbursement of our genomic tests. In each disease area we pursue, we intend to conduct studies in order to develop robust library of evidence.</w:t>
      </w:r>
    </w:p>
    <w:p>
      <w:pPr>
        <w:spacing w:after="0" w:line="188" w:lineRule="exact"/>
        <w:rPr>
          <w:rFonts w:ascii="Times New Roman" w:cs="Times New Roman" w:eastAsia="Times New Roman" w:hAnsi="Times New Roman"/>
          <w:sz w:val="17"/>
          <w:szCs w:val="17"/>
          <w:color w:val="auto"/>
        </w:rPr>
      </w:pPr>
    </w:p>
    <w:p>
      <w:pPr>
        <w:jc w:val="both"/>
        <w:ind w:left="680" w:hanging="306"/>
        <w:spacing w:after="0" w:line="260" w:lineRule="auto"/>
        <w:tabs>
          <w:tab w:leader="none" w:pos="67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Meet the Evidence Standards Necessary to Be Consistent with Leading Clinical Guidelines. </w:t>
      </w:r>
      <w:r>
        <w:rPr>
          <w:rFonts w:ascii="Times New Roman" w:cs="Times New Roman" w:eastAsia="Times New Roman" w:hAnsi="Times New Roman"/>
          <w:sz w:val="17"/>
          <w:szCs w:val="17"/>
          <w:color w:val="auto"/>
        </w:rPr>
        <w:t>We believe inclusion in leading clinical practice guidelines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plays an important role in payers' coverage decisions. For example, the data published on Afirma to date is consistent with the recommendations of the widely-recognized American Thyroid Association and National Comprehensive Cancer Network clinical practice guidelines.</w:t>
      </w:r>
    </w:p>
    <w:p>
      <w:pPr>
        <w:spacing w:after="0" w:line="188" w:lineRule="exact"/>
        <w:rPr>
          <w:rFonts w:ascii="Times New Roman" w:cs="Times New Roman" w:eastAsia="Times New Roman" w:hAnsi="Times New Roman"/>
          <w:sz w:val="17"/>
          <w:szCs w:val="17"/>
          <w:color w:val="auto"/>
        </w:rPr>
      </w:pPr>
    </w:p>
    <w:p>
      <w:pPr>
        <w:jc w:val="both"/>
        <w:ind w:left="680" w:hanging="306"/>
        <w:spacing w:after="0" w:line="260" w:lineRule="auto"/>
        <w:tabs>
          <w:tab w:leader="none" w:pos="67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Execute an Internal Managed Care and Claims Adjudication Function as Part of Our Core Business Operations. </w:t>
      </w:r>
      <w:r>
        <w:rPr>
          <w:rFonts w:ascii="Times New Roman" w:cs="Times New Roman" w:eastAsia="Times New Roman" w:hAnsi="Times New Roman"/>
          <w:sz w:val="17"/>
          <w:szCs w:val="17"/>
          <w:color w:val="auto"/>
        </w:rPr>
        <w:t>We believe that obtaining adequate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widespread reimbursement is a critical factor in our long-term success. We employ a team of in-house claims processing and reimbursement specialists who work with payers, physician practices and patients to obtain maximum reimbursement.</w:t>
      </w:r>
    </w:p>
    <w:p>
      <w:pPr>
        <w:spacing w:after="0" w:line="188" w:lineRule="exact"/>
        <w:rPr>
          <w:rFonts w:ascii="Times New Roman" w:cs="Times New Roman" w:eastAsia="Times New Roman" w:hAnsi="Times New Roman"/>
          <w:sz w:val="17"/>
          <w:szCs w:val="17"/>
          <w:color w:val="auto"/>
        </w:rPr>
      </w:pPr>
    </w:p>
    <w:p>
      <w:pPr>
        <w:jc w:val="both"/>
        <w:ind w:left="680" w:hanging="306"/>
        <w:spacing w:after="0" w:line="255" w:lineRule="auto"/>
        <w:tabs>
          <w:tab w:leader="none" w:pos="67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Collaborate with Network of Key Opinion Leaders. </w:t>
      </w:r>
      <w:r>
        <w:rPr>
          <w:rFonts w:ascii="Times New Roman" w:cs="Times New Roman" w:eastAsia="Times New Roman" w:hAnsi="Times New Roman"/>
          <w:sz w:val="17"/>
          <w:szCs w:val="17"/>
          <w:color w:val="auto"/>
        </w:rPr>
        <w:t>Key opinion leaders are able to impact clinical practice by publishing research and determining whether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new tests should be integrated into practice guidelines. We collaborate with key opinion leaders early in the development process to ensure our clinical studies are designed and executed in a way that clearly demonstrates the benefits of our tests to patients, physicians and payers. Ongoing studies to support real world experience with our tests are also a key component of our efforts to collaborate with physician thought leaders.</w:t>
      </w:r>
    </w:p>
    <w:p>
      <w:pPr>
        <w:spacing w:after="0" w:line="192" w:lineRule="exact"/>
        <w:rPr>
          <w:rFonts w:ascii="Times New Roman" w:cs="Times New Roman" w:eastAsia="Times New Roman" w:hAnsi="Times New Roman"/>
          <w:sz w:val="17"/>
          <w:szCs w:val="17"/>
          <w:color w:val="auto"/>
        </w:rPr>
      </w:pPr>
    </w:p>
    <w:p>
      <w:pPr>
        <w:ind w:left="680" w:hanging="306"/>
        <w:spacing w:after="0" w:line="275" w:lineRule="auto"/>
        <w:tabs>
          <w:tab w:leader="none" w:pos="67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Established Payer Relationships and In-network Contracts. </w:t>
      </w:r>
      <w:r>
        <w:rPr>
          <w:rFonts w:ascii="Times New Roman" w:cs="Times New Roman" w:eastAsia="Times New Roman" w:hAnsi="Times New Roman"/>
          <w:sz w:val="17"/>
          <w:szCs w:val="17"/>
          <w:color w:val="auto"/>
        </w:rPr>
        <w:t>We believe that positive engagement with payers leads to coverage decisions and facilitates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efforts on coverage and contract decisions for subsequent tests.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Coverage, Coding and Reimbursement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United States</w:t>
      </w:r>
    </w:p>
    <w:p>
      <w:pPr>
        <w:spacing w:after="0" w:line="231"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Revenue from our tests comes from several sources, including commercial third-party payers, such as insurance companies and health maintenance organizations, government payers, such as Medicare and Medicaid, and patients. The Centers for Medicare &amp; Medicaid Services, or CMS, administers the Medicare and Medicaid programs, which provide health care to almost one in every three Americans. For any particular geographic region, Medicare claims are processed at the local level by Medicare Administrative Contractors, or MACs.</w:t>
      </w:r>
    </w:p>
    <w:p>
      <w:pPr>
        <w:spacing w:after="0" w:line="199"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Medicare generally covers molecular diagnostic tests through the MolDX program, administered by the MAC, Palmetto GBA. Medicare has covered our Afirma classifier testing since 2012 and Percepta classifier testing since 2017. We received Medicare coverage for our Envisia classifier testing in 2019. The Prosigna test achieved Medicare coverage in 2015. We estimate that Medicare covers approximately 20% of patients evaluated for thyroid cancer, approximately 50% of patients evaluated for lung cancer and breast cancer, and approximately 70% of patients evaluated for ILD, including IPF.</w:t>
      </w:r>
    </w:p>
    <w:p>
      <w:pPr>
        <w:spacing w:after="0" w:line="199"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Since 1984, Medicare has paid for clinical diagnostic laboratory tests, or CDLTs, on the Clinical Laboratory Fee Schedule, or CLFS under section 1833(h) of the Social Security Act, or the SSA. Section 216(a) of the Protecting Access to</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9" w:name="page20"/>
    <w:bookmarkEnd w:id="19"/>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Medicare Act of 2014, or PAMA, added section 1834A to the SSA. The statute required extensive revisions to the Medicare CLFS coding, rate setting processes, and laboratory payment reporting for CDLTs, and creates a new subcategory of CDLTs called ADLTs with separate reporting and payment requirements.</w:t>
      </w:r>
    </w:p>
    <w:p>
      <w:pPr>
        <w:spacing w:after="0" w:line="184"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In 2016, CMS issued the final rule to implement the requirements of PAMA, which significantly revised the Medicare payment system for clinical diagnostic laboratory tests. The final rule was implemented on January 1, 2018 for the private payer rate-based fee schedule required by PAMA. Under the final rule, for CDLTs furnished on or after January 1, 2018, the amount Medicare pays is equal to the weighted median of private payer rates for the CDLT.</w:t>
      </w:r>
    </w:p>
    <w:p>
      <w:pPr>
        <w:spacing w:after="0" w:line="196"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Prior to the implementation on January 1, 2018, the allowable Medicare rate for our Afirma GSC was $3,200. From January 1, 2018 through December 31, 2020, the allowable Medicare rate for our Afirma test under PAMA increased to $3,600.</w:t>
      </w:r>
    </w:p>
    <w:p>
      <w:pPr>
        <w:spacing w:after="0" w:line="184"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In December 2019, through the Further Consolidated Appropriations Act of 2020, Congress delayed the next data reporting period under PAMA from 2020 to 2021 for final payments made between January 1 and June 30, 2019, extending the applicability of the payment rates based on 2017 reporting by one year through December 31, 2021. Afirma will continue to be paid at $3,600 through that date. The 2020 Medicare payment rate for Prosigna based on the volume-weighted median of private payer rates under PAMA will be $2,510.21. In 2021, Prosigna’s rate will decrease by 15% to approximately $2,134. The volume-weighted median of these private payer rates for final payments made from January through June 2019 (and now reported January through March 2021) will now set the Medicare payment rate for the Afirma classifier and for Prosigna from January 1, 2022 through December 31, 2024.</w:t>
      </w:r>
    </w:p>
    <w:p>
      <w:pPr>
        <w:spacing w:after="0" w:line="201" w:lineRule="exact"/>
        <w:rPr>
          <w:sz w:val="20"/>
          <w:szCs w:val="20"/>
          <w:color w:val="auto"/>
        </w:rPr>
      </w:pPr>
    </w:p>
    <w:p>
      <w:pPr>
        <w:jc w:val="both"/>
        <w:ind w:firstLine="375"/>
        <w:spacing w:after="0" w:line="249" w:lineRule="auto"/>
        <w:rPr>
          <w:sz w:val="20"/>
          <w:szCs w:val="20"/>
          <w:color w:val="auto"/>
        </w:rPr>
      </w:pPr>
      <w:r>
        <w:rPr>
          <w:rFonts w:ascii="Times New Roman" w:cs="Times New Roman" w:eastAsia="Times New Roman" w:hAnsi="Times New Roman"/>
          <w:sz w:val="17"/>
          <w:szCs w:val="17"/>
          <w:color w:val="auto"/>
        </w:rPr>
        <w:t>We submit claims to payers directly for the Afirma GSC, using a unique American Medical Association Current Procedural Terminology, or CPT, code. Effective January 1, 2021, we were issued a new Category I CPT code number (81546) for the Afirma GSC test, which is priced at the same rate as the prior Afirma GEC CPT code (81545). FNA samples are also received for cytopathology, for which we bill both the technical and professional component using established CPT codes. Effective January 1, 2021, we also obtained a Proprietary Laboratory Analysis, or PLA, code for the Afirma Xpression Atlas that was priced by CMS at $2,920, and a PLA code for the Afirma Medullary Thyroid Cancer test, which will be gap-fill priced in 2021 and we expect to have a rate on the Clinical Lab Fee Schedule, or CLFS January 1, 2022. Obtaining a CPT code is not a guarantee that a service will be considered medically necessary and be reimbursed by Medicare or a private payer, but we view obtaining these codes as a step toward further establishing reimbursement for these services.</w:t>
      </w:r>
    </w:p>
    <w:p>
      <w:pPr>
        <w:spacing w:after="0" w:line="203"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We bill payers directly for the Percepta classifier using an “unlisted” CPT code until we obtain a specific code for the test. In September 2020, CMS, approved new ADLT status for the Envisia classifier and established a Medicare reimbursement rate of $5,500 for the test. For the six-month period beginning October 1, 2020 and ending March 31, 2021, Veracyte will collect private-payer payment rate data for the test, the median of which will be used by CMS to determine the Medicare pricing, beginning July 1, 2021. During the nine-month period prior to the new pricing, the Envisia classifier will be reimbursed at the $5,500 rate for all Medicare patients. The Envisia classifier has been a covered benefit for Medicare patients since 2019.</w:t>
      </w:r>
    </w:p>
    <w:p>
      <w:pPr>
        <w:spacing w:after="0" w:line="201" w:lineRule="exact"/>
        <w:rPr>
          <w:sz w:val="20"/>
          <w:szCs w:val="20"/>
          <w:color w:val="auto"/>
        </w:rPr>
      </w:pPr>
    </w:p>
    <w:p>
      <w:pPr>
        <w:jc w:val="both"/>
        <w:ind w:firstLine="375"/>
        <w:spacing w:after="0" w:line="302" w:lineRule="auto"/>
        <w:rPr>
          <w:sz w:val="20"/>
          <w:szCs w:val="20"/>
          <w:color w:val="auto"/>
        </w:rPr>
      </w:pPr>
      <w:r>
        <w:rPr>
          <w:rFonts w:ascii="Times New Roman" w:cs="Times New Roman" w:eastAsia="Times New Roman" w:hAnsi="Times New Roman"/>
          <w:sz w:val="16"/>
          <w:szCs w:val="16"/>
          <w:color w:val="auto"/>
        </w:rPr>
        <w:t>Currently, labs in the United States that perform Prosigna testing on their own nCounter Analysis Systems bill payers directly using the CPT code that is specific to the Prosigna test, 81520. We expect that, when we perform Prosigna testing in our own CLIA certified lab that we will bill payers directly for Prosigna testing.</w:t>
      </w:r>
    </w:p>
    <w:p>
      <w:pPr>
        <w:spacing w:after="0" w:line="161"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State Medicaid programs typically make their own decisions with respect to coverage for our tests, as do private payers. We rely on a small number of third-party payers for a significant portion of our revenue, the loss of one or more of which would have a negative effect on our business. For the years ended December 31, 2020, 2019, and 2018, respectively, revenue was represented by the indicated percent for each payer:</w:t>
      </w:r>
    </w:p>
    <w:p>
      <w:pPr>
        <w:spacing w:after="0" w:line="196" w:lineRule="exact"/>
        <w:rPr>
          <w:sz w:val="20"/>
          <w:szCs w:val="20"/>
          <w:color w:val="auto"/>
        </w:rPr>
      </w:pPr>
    </w:p>
    <w:p>
      <w:pPr>
        <w:ind w:left="660" w:hanging="286"/>
        <w:spacing w:after="0"/>
        <w:tabs>
          <w:tab w:leader="none" w:pos="6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Medicare accounted for 24%, 26% and 29% of our revenue; and</w:t>
      </w:r>
    </w:p>
    <w:p>
      <w:pPr>
        <w:spacing w:after="0" w:line="20" w:lineRule="exact"/>
        <w:rPr>
          <w:rFonts w:ascii="Times New Roman" w:cs="Times New Roman" w:eastAsia="Times New Roman" w:hAnsi="Times New Roman"/>
          <w:sz w:val="17"/>
          <w:szCs w:val="17"/>
          <w:color w:val="auto"/>
        </w:rPr>
      </w:pPr>
    </w:p>
    <w:p>
      <w:pPr>
        <w:ind w:left="660" w:hanging="286"/>
        <w:spacing w:after="0"/>
        <w:tabs>
          <w:tab w:leader="none" w:pos="6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UnitedHealthcare, our largest private payer, accounted for 11%, 11% and 12% of our revenue.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Outside the United States</w:t>
      </w:r>
    </w:p>
    <w:p>
      <w:pPr>
        <w:spacing w:after="0" w:line="231"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Outside of the United States, we bill hospital and laboratory customers directly for test kits they order, which currently consist of Prosigna test kits. Our customers subsequently bill third-party payers for reimbursement. Prosigna test marketing has initially targeted private and cash-pay markets in Europe. We will continue to drive reimbursement efforts in Europe and other global markets through the development of clinical and other evidence to support Prosigna’s inclusion in guidelines and coverage programs.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0" w:name="page21"/>
    <w:bookmarkEnd w:id="20"/>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We believe the principal competitive factors in the markets we target with our advanced genomic tests include:</w:t>
      </w:r>
    </w:p>
    <w:p>
      <w:pPr>
        <w:spacing w:after="0" w:line="229" w:lineRule="exact"/>
        <w:rPr>
          <w:sz w:val="20"/>
          <w:szCs w:val="20"/>
          <w:color w:val="auto"/>
        </w:rPr>
      </w:pPr>
    </w:p>
    <w:p>
      <w:pPr>
        <w:ind w:left="660" w:hanging="286"/>
        <w:spacing w:after="0"/>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the test to answer the appropriate clinical question at the right point in the clinical pathway;</w:t>
      </w:r>
    </w:p>
    <w:p>
      <w:pPr>
        <w:spacing w:after="0" w:line="20" w:lineRule="exact"/>
        <w:rPr>
          <w:rFonts w:ascii="Times New Roman" w:cs="Times New Roman" w:eastAsia="Times New Roman" w:hAnsi="Times New Roman"/>
          <w:sz w:val="17"/>
          <w:szCs w:val="17"/>
          <w:color w:val="auto"/>
        </w:rPr>
      </w:pPr>
    </w:p>
    <w:p>
      <w:pPr>
        <w:ind w:left="660" w:hanging="286"/>
        <w:spacing w:after="0"/>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quality and strength of clinical validation and utility data;</w:t>
      </w:r>
    </w:p>
    <w:p>
      <w:pPr>
        <w:spacing w:after="0" w:line="4" w:lineRule="exact"/>
        <w:rPr>
          <w:rFonts w:ascii="Times New Roman" w:cs="Times New Roman" w:eastAsia="Times New Roman" w:hAnsi="Times New Roman"/>
          <w:sz w:val="17"/>
          <w:szCs w:val="17"/>
          <w:color w:val="auto"/>
        </w:rPr>
      </w:pPr>
    </w:p>
    <w:p>
      <w:pPr>
        <w:ind w:left="660" w:hanging="286"/>
        <w:spacing w:after="0"/>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confidence in diagnostic results backed by analytical verification data;</w:t>
      </w:r>
    </w:p>
    <w:p>
      <w:pPr>
        <w:spacing w:after="0" w:line="4" w:lineRule="exact"/>
        <w:rPr>
          <w:rFonts w:ascii="Times New Roman" w:cs="Times New Roman" w:eastAsia="Times New Roman" w:hAnsi="Times New Roman"/>
          <w:sz w:val="17"/>
          <w:szCs w:val="17"/>
          <w:color w:val="auto"/>
        </w:rPr>
      </w:pPr>
    </w:p>
    <w:p>
      <w:pPr>
        <w:ind w:left="660" w:hanging="286"/>
        <w:spacing w:after="0"/>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of reimbursement and in-network payer contracts;</w:t>
      </w:r>
    </w:p>
    <w:p>
      <w:pPr>
        <w:spacing w:after="0" w:line="4" w:lineRule="exact"/>
        <w:rPr>
          <w:rFonts w:ascii="Times New Roman" w:cs="Times New Roman" w:eastAsia="Times New Roman" w:hAnsi="Times New Roman"/>
          <w:sz w:val="17"/>
          <w:szCs w:val="17"/>
          <w:color w:val="auto"/>
        </w:rPr>
      </w:pPr>
    </w:p>
    <w:p>
      <w:pPr>
        <w:ind w:left="660" w:hanging="286"/>
        <w:spacing w:after="0"/>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inclusion in practice guidelines;</w:t>
      </w:r>
    </w:p>
    <w:p>
      <w:pPr>
        <w:spacing w:after="0" w:line="4" w:lineRule="exact"/>
        <w:rPr>
          <w:rFonts w:ascii="Times New Roman" w:cs="Times New Roman" w:eastAsia="Times New Roman" w:hAnsi="Times New Roman"/>
          <w:sz w:val="17"/>
          <w:szCs w:val="17"/>
          <w:color w:val="auto"/>
        </w:rPr>
      </w:pPr>
    </w:p>
    <w:p>
      <w:pPr>
        <w:ind w:left="660" w:hanging="286"/>
        <w:spacing w:after="0"/>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cost-effectiveness; and</w:t>
      </w:r>
    </w:p>
    <w:p>
      <w:pPr>
        <w:spacing w:after="0" w:line="4" w:lineRule="exact"/>
        <w:rPr>
          <w:rFonts w:ascii="Times New Roman" w:cs="Times New Roman" w:eastAsia="Times New Roman" w:hAnsi="Times New Roman"/>
          <w:sz w:val="17"/>
          <w:szCs w:val="17"/>
          <w:color w:val="auto"/>
        </w:rPr>
      </w:pPr>
    </w:p>
    <w:p>
      <w:pPr>
        <w:ind w:left="660" w:hanging="286"/>
        <w:spacing w:after="0"/>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local testing near the patient and ease of use.</w:t>
      </w:r>
    </w:p>
    <w:p>
      <w:pPr>
        <w:spacing w:after="0" w:line="212"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We believe we compete favorably on the factors described above with our Afirma solution and are positioning ourselves to compete effectively on these factors with our first-to-market Percepta and Envisia classifiers. Another competitive factor that we believe will become increasingly important for advanced genomic tests offered within and outside of the United States is that they be available as distributed kits on an instrument platform with broad functionality to justify the capital expense. We believe our plans to adapt our genomic tests to the nCounter Analysis System, which already can run the Prosigna test, will further enhance our tests’ attractiveness to hospitals and laboratories globally.</w:t>
      </w:r>
    </w:p>
    <w:p>
      <w:pPr>
        <w:spacing w:after="0" w:line="201"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Our principal competition for the Afirma solution comes from traditional methods used by physicians to diagnose thyroid cancer. Physicians in the United States have historically recommended that patients with indeterminate diagnoses from cytopathology results be considered for surgery to remove all or part of the thyroid to rule out cancer. This practice has been the standard of care in the United States, as well as in many international markets, for many years, and we continue to educate physicians about the benefits of our test in order to change clinical practice.</w:t>
      </w:r>
    </w:p>
    <w:p>
      <w:pPr>
        <w:spacing w:after="0" w:line="199"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We also face competition from companies and academic institutions that use next generation sequencing technology or other methods to measure mutational markers such as BRAF and KRAS, along with numerous other mutations. These organizations include Interpace Diagnostics Group, Inc., CBLPath, Inc./University of Pittsburgh Medical Center, and others who are developing new products or technologies that may compete with our tests. In the future, we may also face competition from companies developing new products or technologies.</w:t>
      </w:r>
    </w:p>
    <w:p>
      <w:pPr>
        <w:spacing w:after="0" w:line="199"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With the Percepta and Envisia tests, we believe our primary competition will similarly come from traditional methods used by physicians to diagnose the related diseases. For the Percepta test, we expect competition from companies focused on lung cancer such as Biodesix, Inc. and Oncocyte Corporation. We also anticipate facing potential competition from companies offering or developing approaches for assessing malignancy risk in patients with lung nodules using alternative samples such as blood, urine or sputum, including Biodesix, Inc. and Guardant Health, Inc. However, such "liquid biopsies" are currently predominantly used later in the diagnostic paradigm; for example, to inform treatment decisions for cancer or to gauge risk of recurrence or response to treatment.</w:t>
      </w:r>
    </w:p>
    <w:p>
      <w:pPr>
        <w:spacing w:after="0" w:line="201"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In the breast cancer diagnostics market, the Prosigna test competes with Exact Sciences Corporation’s Oncotype Dx, a service for gene expression analysis performed in a central laboratory in Redwood City, California. We also face competition from companies such as Agendia, Inc. and bioTheranostics, Inc., which is expected to be acquired by Hologic, Inc., which also offer centralized laboratories that profile gene or protein expression in breast cancer. Outside the United States, we also face regional competition from Myriad Genetics, Inc., and its product EndoPredict test for breast cancer recurrence.</w:t>
      </w:r>
    </w:p>
    <w:p>
      <w:pPr>
        <w:spacing w:after="0" w:line="199"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In general, we also face competition from commercial laboratories, such as Laboratory Corporation of America Holdings,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w:t>
      </w:r>
    </w:p>
    <w:p>
      <w:pPr>
        <w:spacing w:after="0" w:line="199"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Competitors may develop their own versions of our solution in countries in which we do not have patents or where our intellectual property rights are not recognized and compete with us in those countries, including encouraging the use of their solution by physicians in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1" w:name="page22"/>
    <w:bookmarkEnd w:id="21"/>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firstLine="375"/>
        <w:spacing w:after="0" w:line="249" w:lineRule="auto"/>
        <w:rPr>
          <w:sz w:val="20"/>
          <w:szCs w:val="20"/>
          <w:color w:val="auto"/>
        </w:rPr>
      </w:pPr>
      <w:r>
        <w:rPr>
          <w:rFonts w:ascii="Times New Roman" w:cs="Times New Roman" w:eastAsia="Times New Roman" w:hAnsi="Times New Roman"/>
          <w:sz w:val="17"/>
          <w:szCs w:val="17"/>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which could be viewed by physicians and payers as functionally equivalent to our solution,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Clinical Laboratory Improvement Amendments of 1988, or CLIA</w:t>
      </w:r>
    </w:p>
    <w:p>
      <w:pPr>
        <w:spacing w:after="0" w:line="231"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As a clinical reference laboratory, we are required to hold certain federal, state and local licenses, certifications and permits to conduct our business. We are subject to CLIA, a federal law that regulates clinical laboratories that test specimens derived from humans for the purpose of providing information for the diagnosis, prevention or treatment of disease. Under CLIA, which is administered by CMS, we are required to hold a certificate applicable to the type of laboratory examinations we perform and to comply with standards covering personnel qualifications, facilities administration, quality systems, inspections, and proficiency testing. We must maintain CLIA compliance and certification to sell our tests and be eligible to bill for diagnostic services provided to Medicare beneficiaries.</w:t>
      </w:r>
    </w:p>
    <w:p>
      <w:pPr>
        <w:spacing w:after="0" w:line="201"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Moreover, if one of our clinical reference laboratories is out of compliance with CLIA requirements, we may be subject to sanctions such as suspension, limitation or revocation of our CLIA certificate, as well as directed plan of correction, state on-site monitoring, civil money penalties, civil injunctive suit or criminal penalties. If we were to be found out of compliance with CLIA requirements and subjected to sanctions, our business could be harmed.</w:t>
      </w:r>
    </w:p>
    <w:p>
      <w:pPr>
        <w:spacing w:after="0" w:line="196"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We have historically held CLIA certifications to perform testing at our South San Francisco and Austin, Texas laboratory locations. To renew our CLIA certificates, we are subject to survey and inspection every two years to assess compliance with program standards. Moreover, CLIA inspectors may make random inspections of our clinical reference laboratories. If we in the future fail to maintain CLIA certificates in our South San Francisco or Austin, Texas laboratory locations we would be unable to bill for services provided by state and federal healthcare programs, as well as many private third-party payers, which may have an adverse effect on our business, financial condition and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State Laboratory Licensing</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California Laboratory Licensing</w:t>
      </w:r>
    </w:p>
    <w:p>
      <w:pPr>
        <w:spacing w:after="0" w:line="233"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In addition to federal certification requirements of laboratories under CLIA, licensure is required and maintained for our South San Francisco clinical reference laboratory under California law. Such laws establish standards for the day-to-day operation of a clinical reference laboratory, including the training and skills required of personnel and quality control. In addition, California laws mandate proficiency testing, which involves testing of specimens that have been specifically prepared for the laboratory.</w:t>
      </w:r>
    </w:p>
    <w:p>
      <w:pPr>
        <w:spacing w:after="0" w:line="199"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If our clinical reference laboratory is out of compliance with California standards, the California Department of Public Health, or CDPH, may suspend, restrict or revoke our license to operate our clinical reference laboratory, assess substantial civil money penalties, or impose specific corrective action plans. Any such actions could materially affect our business. We maintain a current license in good standing with CDPH. However, we cannot provide assurance that CDPH will at all times in the future find us to be in compliance with all such laws.</w:t>
      </w:r>
    </w:p>
    <w:p>
      <w:pPr>
        <w:spacing w:after="0" w:line="1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New York Laboratory Licensing</w:t>
      </w:r>
    </w:p>
    <w:p>
      <w:pPr>
        <w:spacing w:after="0" w:line="233"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Our clinical reference laboratories are required to be licensed by New York, under New York laws and regulations before we receive specimens from New York State. The license establishes standards for:</w:t>
      </w:r>
    </w:p>
    <w:p>
      <w:pPr>
        <w:spacing w:after="0" w:line="184" w:lineRule="exact"/>
        <w:rPr>
          <w:sz w:val="20"/>
          <w:szCs w:val="20"/>
          <w:color w:val="auto"/>
        </w:rPr>
      </w:pPr>
    </w:p>
    <w:p>
      <w:pPr>
        <w:ind w:left="1200" w:hanging="226"/>
        <w:spacing w:after="0"/>
        <w:tabs>
          <w:tab w:leader="none" w:pos="12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quality management systems;</w:t>
      </w:r>
    </w:p>
    <w:p>
      <w:pPr>
        <w:spacing w:after="0" w:line="20" w:lineRule="exact"/>
        <w:rPr>
          <w:rFonts w:ascii="Times New Roman" w:cs="Times New Roman" w:eastAsia="Times New Roman" w:hAnsi="Times New Roman"/>
          <w:sz w:val="17"/>
          <w:szCs w:val="17"/>
          <w:color w:val="auto"/>
        </w:rPr>
      </w:pPr>
    </w:p>
    <w:p>
      <w:pPr>
        <w:ind w:left="1200" w:hanging="226"/>
        <w:spacing w:after="0"/>
        <w:tabs>
          <w:tab w:leader="none" w:pos="12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qualifications, responsibilities, and training;</w:t>
      </w:r>
    </w:p>
    <w:p>
      <w:pPr>
        <w:spacing w:after="0" w:line="4" w:lineRule="exact"/>
        <w:rPr>
          <w:rFonts w:ascii="Times New Roman" w:cs="Times New Roman" w:eastAsia="Times New Roman" w:hAnsi="Times New Roman"/>
          <w:sz w:val="17"/>
          <w:szCs w:val="17"/>
          <w:color w:val="auto"/>
        </w:rPr>
      </w:pPr>
    </w:p>
    <w:p>
      <w:pPr>
        <w:ind w:left="1200" w:hanging="226"/>
        <w:spacing w:after="0"/>
        <w:tabs>
          <w:tab w:leader="none" w:pos="12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facility design and resource management;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2" w:name="page23"/>
    <w:bookmarkEnd w:id="22"/>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00" w:hanging="226"/>
        <w:spacing w:after="0"/>
        <w:tabs>
          <w:tab w:leader="none" w:pos="12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pre-analytic, analytic (including validation and quality control), and post-analytic systems; and</w:t>
      </w:r>
    </w:p>
    <w:p>
      <w:pPr>
        <w:spacing w:after="0" w:line="20" w:lineRule="exact"/>
        <w:rPr>
          <w:rFonts w:ascii="Times New Roman" w:cs="Times New Roman" w:eastAsia="Times New Roman" w:hAnsi="Times New Roman"/>
          <w:sz w:val="17"/>
          <w:szCs w:val="17"/>
          <w:color w:val="auto"/>
        </w:rPr>
      </w:pPr>
    </w:p>
    <w:p>
      <w:pPr>
        <w:ind w:left="1200" w:hanging="226"/>
        <w:spacing w:after="0"/>
        <w:tabs>
          <w:tab w:leader="none" w:pos="12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quality assessments and improvements.</w:t>
      </w:r>
    </w:p>
    <w:p>
      <w:pPr>
        <w:spacing w:after="0" w:line="212" w:lineRule="exact"/>
        <w:rPr>
          <w:sz w:val="20"/>
          <w:szCs w:val="20"/>
          <w:color w:val="auto"/>
        </w:rPr>
      </w:pPr>
    </w:p>
    <w:p>
      <w:pPr>
        <w:jc w:val="both"/>
        <w:ind w:firstLine="375"/>
        <w:spacing w:after="0" w:line="267" w:lineRule="auto"/>
        <w:rPr>
          <w:sz w:val="20"/>
          <w:szCs w:val="20"/>
          <w:color w:val="auto"/>
        </w:rPr>
      </w:pPr>
      <w:r>
        <w:rPr>
          <w:rFonts w:ascii="Times New Roman" w:cs="Times New Roman" w:eastAsia="Times New Roman" w:hAnsi="Times New Roman"/>
          <w:sz w:val="16"/>
          <w:szCs w:val="16"/>
          <w:color w:val="auto"/>
        </w:rPr>
        <w:t>New York law also mandates proficiency testing for laboratories licensed under New York state law, regardless of whether such laboratories are located in New York. If a laboratory is out of compliance with New York statutory or regulatory standards, the New York State Department of Health, or NYSDOH, may suspend, limit, revoke or annul the laboratory's New York license, censure the holder of the license or assess civil money penalties. Statutory or regulatory noncompliance may result in a laboratory's operator being found guilty of a misdemeanor under New York law. NYSDOH also must approve the laboratory developed tests before the test is offered in New York; approval has been received for the Afirma GEC and the Percepta classifier. Should we be found out of compliance with New York laboratory standards of practice, we could be subject to such sanctions, which could harm our business. We maintain a current license in good standing with NYSDOH for our South San Francisco and Austin laboratories. We cannot provide assurance that the NYSDOH will at all times find us to be in compliance with applicable laws.</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Other States' Laboratory Licensing</w:t>
      </w:r>
    </w:p>
    <w:p>
      <w:pPr>
        <w:spacing w:after="0" w:line="233"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In addition to New York and California, other states require licensing of out-of-state laboratories under certain circumstances. Pennsylvania, Maryland and Rhode Island require licenses to test specimens from patients in those states and Florida requires a license to receive specimens from a clinical laboratory in that state. We have obtained licenses from states where we believe we are required to be licensed, and believe we are in compliance with applicable licensing laws.</w:t>
      </w:r>
    </w:p>
    <w:p>
      <w:pPr>
        <w:spacing w:after="0" w:line="196"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From time to time, we may become aware of other states that require out-of-state laboratories to obtain licensure in order to accept specimens from the state, and it is possible that other states do have such requirements or will have such requirements in the future. If we identify any other state with such requirements or if we are contacted by any other state advising us of such requirements, we intend to comply with such requirements.</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United States Regulation of Laboratory Testing</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Food and Drug Administration: Diagnostic Kits</w:t>
      </w:r>
    </w:p>
    <w:p>
      <w:pPr>
        <w:spacing w:after="0" w:line="233"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Diagnostic kits, including collection systems that are sold and distributed in the United States are regulated as medical devices by the FDA. Devices subject to FDA regulation must undergo premarket review prior to commercialization unless the device is of a type exempted from such review. In addition, manufacturers of medical devices must comply with various regulatory requirements under the Federal Food, Drug, and Cosmetic Act, or FDC Act, and implementing regulations promulgated under that Act. Entities that fail to comply with FDA requirements may be subject to issuance of inspectional observations on Form FDA-483, untitled or warning letters, recalls, import detentions, seizures, or injunctions, including orders to cease manufacturing and can be liable for civil money penalties or criminal prosecution.</w:t>
      </w:r>
    </w:p>
    <w:p>
      <w:pPr>
        <w:spacing w:after="0" w:line="201"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The FDC Act sets forth the classifications of medical devices into one of three categories based on the risks associated with the device and prescribes the levels of controls appropriate for each of the three classes to help ensure reasonable assurance of safety and effectiveness. Class I devices are considered to be low risk and are exempt from FDA premarket notification requirements. Class I devices are subject to general regulatory controls. When general controls are considered insufficient to provide reasonable assurance of safety and effectiveness, but there is sufficient information to establish special controls to provide such assurance, FDA will classify the device as a Class II device. For most Class II devices, the FDC Act requires the submission to FDA of a premarket notification, referred to as a “510(k),” which must provide data and information showing that the device is substantially equivalent to a legally marketed device, referred to as a predictive device, with respect to the indications for use and the product’s technological characteristics. If the data and information are sufficient to show that the device is as safe and effective as the predicate device, FDA issues a Substantially Equivalent letter clearing the device for marketing.</w:t>
      </w:r>
    </w:p>
    <w:p>
      <w:pPr>
        <w:spacing w:after="0" w:line="207"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If there is insufficient information to support classifying a device into Class I or Class II and the device is life-sustaining or life-supporting or is substantially important in preventing illness or injury or presents a potential unreasonable risk of illness or injury, FDA places the device into Class III. Class III devices are considered the highest risk devices and generally require significant data and information, including testing data and data from nonclinical and clinical studies, to provide reasonable assurance of the device's safety and effectiveness. Class III devices require the submission and FDA approval of a premarket application, or PMA, before they can be marketed.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3" w:name="page24"/>
    <w:bookmarkEnd w:id="23"/>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firstLine="375"/>
        <w:spacing w:after="0" w:line="249" w:lineRule="auto"/>
        <w:rPr>
          <w:sz w:val="20"/>
          <w:szCs w:val="20"/>
          <w:color w:val="auto"/>
        </w:rPr>
      </w:pPr>
      <w:r>
        <w:rPr>
          <w:rFonts w:ascii="Times New Roman" w:cs="Times New Roman" w:eastAsia="Times New Roman" w:hAnsi="Times New Roman"/>
          <w:sz w:val="17"/>
          <w:szCs w:val="17"/>
          <w:color w:val="auto"/>
        </w:rPr>
        <w:t xml:space="preserve">Certain devices are classified as Class III devices automatically, by operation of law, when the device does not have a predicate device or is found not to be substantially equivalent to a predicate device. If there is sufficient evidence to show that the device is a lower risk device, a manufacturer may ask FDA to reclassify the device into Class II or Class I by submitting a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classification request. When FDA reclassifies a device through the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process, other manufacturers of the same device type do not necessarily have to submit a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request or a PMA in order to legally market the device. Instead, manufacturers can submit a 510(k), unless the device has been classified as 510(k) exempt, to legally market their device, because the device that was the subject of the original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request can serve as a predicate device for a substantial equivalence determination. If FDA does not issue an order granting the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request for reclassification, the device will remain a Class III device and be subject to PMA requirements to obtain marketing authorization.</w:t>
      </w:r>
    </w:p>
    <w:p>
      <w:pPr>
        <w:spacing w:after="0" w:line="203"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Establishments that manufacture or distribute FDA-related medical devices, including manufacturers, repackagers and relabelers, specification developers, and initial importers, are required to register and list their device products with the FDA.</w:t>
      </w:r>
    </w:p>
    <w:p>
      <w:pPr>
        <w:spacing w:after="0" w:line="184"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Devices that may be legally marketed are subject to numerous regulatory requirements. These include: good manufacturing practice for medical devices as set out in the Quality System Regulation, or QSR, labeling regulations, restrictions on promotion and advertising, the Medical Device Reporting, or MDR (which requires manufacturers to report to the FDA), and the Reports of Corrections and Removals regulation (which requires manufacturers to report certain recalls and field actions to the FDA). Certain corrections and market removals may also be subject to FDA’s recall regulation and procedures.</w:t>
      </w:r>
    </w:p>
    <w:p>
      <w:pPr>
        <w:spacing w:after="0" w:line="199"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The FDA has issued a regulation outlining specific requirements for "specimen transport and storage containers." "Specimen transport and storage containers" are medical devices "intended to contain biological specimens, body waste, or body exudate during storage and transport" so that the specimen can be destroyed or used effectively for diagnostic examination. A specimen transport and storage container that is not labeled or otherwise represented as sterile is classified as a Class I exempt device, which means that the device is exempt from the 510(k) premarket notification requirement and the QSR, except for recordkeeping and complaint handling requirements. These 510(k) exempt devices are still subject to MDR requirements, the reporting of corrections and removals, and establishment registration and product listing.</w:t>
      </w:r>
    </w:p>
    <w:p>
      <w:pPr>
        <w:spacing w:after="0" w:line="201"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In our FDA registration, we have listed the containers we provide for collection and transport of Afirma GEC or GSC and Percepta samples from a physician to our clinical reference laboratory as Class I devices in accordance with the classification of regulation for the specimen transport and storage container. We also plan to list our sample collection containers for Envisia samples with the FDA as Class I devices. If the FDA were to determine that our sample collection containers are not Class I devices, we would be required to file 510(k) applications and obtain FDA clearance to manufacture and market the containers, which could be time consuming and expensive.</w:t>
      </w:r>
    </w:p>
    <w:p>
      <w:pPr>
        <w:spacing w:after="0" w:line="201"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The FDA enforces the requirements described above by various means, including inspection and market surveillance. If the FDA finds a violation, it can institute a wide variety of enforcement actions, ranging from an Untitled Letter or Warning Letter to more severe sanctions such as:</w:t>
      </w:r>
    </w:p>
    <w:p>
      <w:pPr>
        <w:spacing w:after="0" w:line="184" w:lineRule="exact"/>
        <w:rPr>
          <w:sz w:val="20"/>
          <w:szCs w:val="20"/>
          <w:color w:val="auto"/>
        </w:rPr>
      </w:pPr>
    </w:p>
    <w:p>
      <w:pPr>
        <w:ind w:left="1200" w:hanging="226"/>
        <w:spacing w:after="0"/>
        <w:tabs>
          <w:tab w:leader="none" w:pos="12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fines, injunctions, and civil money penalties;</w:t>
      </w:r>
    </w:p>
    <w:p>
      <w:pPr>
        <w:spacing w:after="0" w:line="20" w:lineRule="exact"/>
        <w:rPr>
          <w:rFonts w:ascii="Times New Roman" w:cs="Times New Roman" w:eastAsia="Times New Roman" w:hAnsi="Times New Roman"/>
          <w:sz w:val="17"/>
          <w:szCs w:val="17"/>
          <w:color w:val="auto"/>
        </w:rPr>
      </w:pPr>
    </w:p>
    <w:p>
      <w:pPr>
        <w:ind w:left="1200" w:hanging="226"/>
        <w:spacing w:after="0"/>
        <w:tabs>
          <w:tab w:leader="none" w:pos="12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recall or seizure of products;</w:t>
      </w:r>
    </w:p>
    <w:p>
      <w:pPr>
        <w:spacing w:after="0" w:line="4" w:lineRule="exact"/>
        <w:rPr>
          <w:rFonts w:ascii="Times New Roman" w:cs="Times New Roman" w:eastAsia="Times New Roman" w:hAnsi="Times New Roman"/>
          <w:sz w:val="17"/>
          <w:szCs w:val="17"/>
          <w:color w:val="auto"/>
        </w:rPr>
      </w:pPr>
    </w:p>
    <w:p>
      <w:pPr>
        <w:ind w:left="1200" w:hanging="226"/>
        <w:spacing w:after="0"/>
        <w:tabs>
          <w:tab w:leader="none" w:pos="12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restrictions, partial suspension or total shutdown of production; and</w:t>
      </w:r>
    </w:p>
    <w:p>
      <w:pPr>
        <w:spacing w:after="0" w:line="4" w:lineRule="exact"/>
        <w:rPr>
          <w:rFonts w:ascii="Times New Roman" w:cs="Times New Roman" w:eastAsia="Times New Roman" w:hAnsi="Times New Roman"/>
          <w:sz w:val="17"/>
          <w:szCs w:val="17"/>
          <w:color w:val="auto"/>
        </w:rPr>
      </w:pPr>
    </w:p>
    <w:p>
      <w:pPr>
        <w:ind w:left="1200" w:hanging="226"/>
        <w:spacing w:after="0"/>
        <w:tabs>
          <w:tab w:leader="none" w:pos="12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criminal prosecution.</w:t>
      </w:r>
    </w:p>
    <w:p>
      <w:pPr>
        <w:spacing w:after="0" w:line="2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Federal Oversight of Laboratory Developed Tests and Research Use Only Products</w:t>
      </w:r>
    </w:p>
    <w:p>
      <w:pPr>
        <w:spacing w:after="0" w:line="233"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Clinical laboratory tests like our proprietary genomic tests are regulated under CLIA, as administered by CMS, as well as by applicable state laws. Clinical laboratory tests that are developed and validated by a laboratory are referred to as laboratory developed tests, or LDTs, by the FDA. Currently, FDA believes these tests meet the definition of a device under the FDC Act; however, the FDA is currently exercising enforcement discretion for LDTs, meaning that FDA is not enforcing the device regulations that FDA has stated apply to clinical laboratories performing a LDT , although FDA may continue to enforce device regulations with respect to reagents, instruments, software or components provided by third parties and used to perform LDTs. We believe that the Afirma, Percepta and Envisia classifiers are LDTs for which FDA is currently exercising its enforcement discretion. In October 2014, the FDA published a draft guidance document proposing a framework for the regulation of LDTs. In November 2016, the FDA announced that it would not finalize guidance and would instead work with the new Administration, Congress and stakeholders on an updated framework. In January 2017, the FDA issued a discussion paper on LDTs in which it synthesized stakeholder feedback and outlined a substantially revised "possible approach" to the oversight of</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4" w:name="page25"/>
    <w:bookmarkEnd w:id="24"/>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LDTs, which did not represent a formal position of the FDA, and is not enforceable. In a December 2018 statement, FDA said that there is a need for “a unified approach to the regulation of in vitro clinical tests to protect patient safety, support innovation, and keep pace with the rapidly evolving technology that’s helping us find new treatments for disease,” and listed key principles of an approach it would support. In August 2020, the Department of Health and Human Services, or HHS, announced a new policy purporting to rescind prior FDA guidance documents and other informal issuances regarding premarket review of LDT and determining that FDA must engage in notice-and-comment rulemaking in order to require premarket review of LDTs. It is unclear whether the HHS policy will remain in effect with the change in Administration following the U.S. general election in November 2020; whether this HHS measure will compel the FDA to formalize earlier enforcement discretionary policies and informal guidance documents through notice-and-comment rulemaking and/or impose further restrictions on LDTs; or whether Congress will enact legislation changing the regulation of LDTs.</w:t>
      </w:r>
    </w:p>
    <w:p>
      <w:pPr>
        <w:spacing w:after="0" w:line="207" w:lineRule="exact"/>
        <w:rPr>
          <w:sz w:val="20"/>
          <w:szCs w:val="20"/>
          <w:color w:val="auto"/>
        </w:rPr>
      </w:pPr>
    </w:p>
    <w:p>
      <w:pPr>
        <w:jc w:val="both"/>
        <w:ind w:firstLine="375"/>
        <w:spacing w:after="0" w:line="247" w:lineRule="auto"/>
        <w:rPr>
          <w:sz w:val="20"/>
          <w:szCs w:val="20"/>
          <w:color w:val="auto"/>
        </w:rPr>
      </w:pPr>
      <w:r>
        <w:rPr>
          <w:rFonts w:ascii="Times New Roman" w:cs="Times New Roman" w:eastAsia="Times New Roman" w:hAnsi="Times New Roman"/>
          <w:sz w:val="17"/>
          <w:szCs w:val="17"/>
          <w:color w:val="auto"/>
        </w:rPr>
        <w:t>Some of the materials we use for our tests and that we may use for future tests are in vitro diagnostic products intended and labeled for research use only, or RUO, or investigational use only, or IUO. An RUO product cannot be used for any human clinical purpose and must be labeled "For Research Use Only. Not for use in diagnostic procedures." RUOs are a separate regulatory category and include in vitro diagnostic devices that are in the laboratory research phase of development. They are therefore not subject to most FDA regulatory requirements so long as they are properly labeled and used in accordance with such labeling. RUOs cannot be marketed with any claims that the device is safe, effective, or has diagnostic utility, or is intended for human clinical diagnostic or prognostic use. In November 2013, the FDA issued final guidance titled “Distribution of In-Vitro Diagnostic Products Labeled for Research Use Only or Investigational Use Only” regarding the distribution, use, and labeling of in vitro diagnostic products labeled RUO or IUO. The FDA has advised that if evidence demonstrates that a product is inappropriately labeled for research or investigational use only, the device would be considered misbranded and adulterated within the meaning of the FDC Act. In the guidance, FDA stated that the manufacturer’s objective intent for an RUO or IUO product’s intended use will be determined by examining the totality of circumstances, including advertising, instructions for clinical interpretation, presentations that describe clinical use, and specialized technical support, surrounding the distribution of the product in question.</w:t>
      </w:r>
    </w:p>
    <w:p>
      <w:pPr>
        <w:spacing w:after="0" w:line="209" w:lineRule="exact"/>
        <w:rPr>
          <w:sz w:val="20"/>
          <w:szCs w:val="20"/>
          <w:color w:val="auto"/>
        </w:rPr>
      </w:pPr>
    </w:p>
    <w:p>
      <w:pPr>
        <w:jc w:val="both"/>
        <w:ind w:firstLine="375"/>
        <w:spacing w:after="0" w:line="271" w:lineRule="auto"/>
        <w:rPr>
          <w:sz w:val="20"/>
          <w:szCs w:val="20"/>
          <w:color w:val="auto"/>
        </w:rPr>
      </w:pPr>
      <w:r>
        <w:rPr>
          <w:rFonts w:ascii="Times New Roman" w:cs="Times New Roman" w:eastAsia="Times New Roman" w:hAnsi="Times New Roman"/>
          <w:sz w:val="16"/>
          <w:szCs w:val="16"/>
          <w:color w:val="auto"/>
        </w:rPr>
        <w:t>We cannot predict the ultimate form or impact of any such RUO/IUO, LDT or other guidance and the potential effect on our solutions or materials used to perform our diagnostic services. While we qualify all materials used in our diagnostic services according to CLIA regulations, we cannot be certain that the FDA might not promulgate rules or issue guidance documents that could affect our ability to purchase materials necessary for the performance of our diagnostic services. Should any of the reagents obtained by us from vendors and used in conducting our diagnostic services be affected by future regulatory actions, our business could be adversely affected by those actions, including increasing the cost of service or delaying, limiting or prohibiting the purchase of reagents necessary to perform the service.</w:t>
      </w:r>
    </w:p>
    <w:p>
      <w:pPr>
        <w:spacing w:after="0" w:line="185"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We cannot provide any assurance that FDA premarket review or other requirements will not be imposed in the future for our diagnostic services, whether through additional guidance or regulations issued by the FDA, new enforcement policies adopted by the FDA or new legislation enacted by Congress. Legislative proposals addressing oversight of LDTs were introduced in recent years, most recently the Verifying Accurate Leading-edge IVCT Development (VALID) Act of 2018 in December 2018, and we expect that new legislative proposals will be introduced from time to time. It is possible that legislation could be enacted into law or regulations or guidance could be issued by the FDA which may result in new or increased regulatory requirements for us to continue to offer our tests or to develop and introduce new tests.</w:t>
      </w:r>
    </w:p>
    <w:p>
      <w:pPr>
        <w:spacing w:after="0" w:line="201" w:lineRule="exact"/>
        <w:rPr>
          <w:sz w:val="20"/>
          <w:szCs w:val="20"/>
          <w:color w:val="auto"/>
        </w:rPr>
      </w:pPr>
    </w:p>
    <w:p>
      <w:pPr>
        <w:jc w:val="both"/>
        <w:ind w:firstLine="375"/>
        <w:spacing w:after="0" w:line="247" w:lineRule="auto"/>
        <w:rPr>
          <w:sz w:val="20"/>
          <w:szCs w:val="20"/>
          <w:color w:val="auto"/>
        </w:rPr>
      </w:pPr>
      <w:r>
        <w:rPr>
          <w:rFonts w:ascii="Times New Roman" w:cs="Times New Roman" w:eastAsia="Times New Roman" w:hAnsi="Times New Roman"/>
          <w:sz w:val="17"/>
          <w:szCs w:val="17"/>
          <w:color w:val="auto"/>
        </w:rPr>
        <w:t xml:space="preserve">If premarket review, clearance, or approval, is required for the tests that we market as LDTs, our business could be negatively affected until such review is completed and clearance or approval to market is obtained, and the FDA could require that we stop selling our tests pending premarket clearance or approval. If our tests are allowed to remain on the market but there is uncertainty about the legal status of our services, if we are required by the FDA to label them investigational, or if FDA limits the use and corresponding labeling claims, order levels may decline and reimbursement may be adversely affected. The regulatory process may involve, among other things, successfully completing additional clinical studies and submitting to FDA a premarket notification to obtain clearance or submitting a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classification request or PMA to obtain approval to market the device. If clearance or approval is required by the FDA, there can be no assurance that our tests will be cleared or approved on a timely basis, if at all, nor can there be any assurance that approved labeling claims or labeling claims subject to cleared indications for use will be consistent with our current claims or adequate to support continued adoption of and reimbursement for our solutions. Ongoing compliance with FDA regulations would increase the cost of conducting our business, and subject us to heightened requirements of the FDA and penalties for failure to comply with these requirements. We may also decide voluntarily to pursue FDA premarket review of our tests to obtain marketing clearance or approval if we determine that doing so would be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5" w:name="page26"/>
    <w:bookmarkEnd w:id="25"/>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Privacy and Fraud and Abuse Compliance</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Health Insurance Portability and Accountability Act</w:t>
      </w:r>
    </w:p>
    <w:p>
      <w:pPr>
        <w:spacing w:after="0" w:line="233"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Under the federal Health Insurance Portability and Accountability Act of 1996, or HIPAA, HHS has issued regulations to protect the privacy and security of protected health information used or disclosed by health care providers, such as us. HIPAA also regulates standardization of data content, codes and formats used in health care transactions and standardization of identifiers for health plans and providers. In 2009, Congress amended HIPAA through the Health Information Technology for Economic and Clinical Health Act, or HITECH. The implementing regulations of HIPAA, as amended by HITECH, were last modified in 2013 and resulted in significant changes to the privacy, security, breach notification, and enforcement requirements with which we must comply. Among these changes, covered entities are now vicariously liable for violations of HIPAA resulting from acts or omissions of their business associates where the business associate is an agent of the covered entity and was acting within the scope of its agency, regardless of whether the covered entity and business associate entered into a business associate agreement in compliance with HIPAA. Penalties for violations of HIPAA regulations include civil and criminal penalties.</w:t>
      </w:r>
    </w:p>
    <w:p>
      <w:pPr>
        <w:spacing w:after="0" w:line="207"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We have developed and implemented policies and procedures designed to comply with HIPAA’s privacy, security, and breach notification requirements. We may not use or disclose protected health information in any form, including electronic, written, or oral, in a manner that is not permitted under HIPAA, and we are required to implement security measures to ensure the confidentiality, integrity, and availability of the electronic protected health information that we create, receive, maintain, or transmit. While we have some flexibility in determining which security safeguards are reasonable and appropriate to implement for our operations, it nonetheless requires significant effort and expense to ensure continuing compliance with the HIPAA security rule. We are also required to comply with the administrative simplification standards under HIPAA when we conduct the electronic transactions regulated by HIPAA, including by using standard code sets and formats and standardized identifiers for health plans and providers. The requirements under HIPAA and its implementing regulations may change periodically and could have an effect on our business operations if compliance becomes substantially costlier than under current requirements.</w:t>
      </w:r>
    </w:p>
    <w:p>
      <w:pPr>
        <w:spacing w:after="0" w:line="207"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In addition to federal privacy regulations, there are a number of state laws governing confidentiality of health information that are applicable to our business. In particular, we are subject to the California Consumer Privacy Act, or CCPA, which was enacted in California in 2018 and components of which went into effect on January 1, 2020. The CCPA, among other things, requires covered companies to provide disclosures to California consumers concerning the collection and sale of personal information, and gives such consumers the right to opt-out of certain sales of personal information. Amendments to the CCPA have been made since its enactment, and it remains unclear what, if any, further amendments will be made to this legislation or how it will be interpreted.</w:t>
      </w:r>
    </w:p>
    <w:p>
      <w:pPr>
        <w:spacing w:after="0" w:line="201"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Recent developments in Europe have created compliance uncertainty regarding the processing of personal data from Europe. For example, the General Data Protection Regulation, or GDPR, which became effective in the European Union on May 25, 2018, applies to our activities conducted from an establishment in the EU or related to products and services that we offer to European Union users. The GDPR creates new compliance obligations applicable to our business, which could cause us to change our business practices, and increases financial penalties for noncompliance (including possible fines of up to 4% of global annual turnover for the preceding financial year or €20 million (whichever is higher) for the most serious infringements).</w:t>
      </w:r>
    </w:p>
    <w:p>
      <w:pPr>
        <w:spacing w:after="0" w:line="201"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New laws governing privacy may be adopted in the future from time to time. We have taken steps to comply with health information privacy requirements to which we are aware that we are subject. However, we can provide no assurance that we are or will remain in compliance with diverse privacy requirements in all of the jurisdictions in which we do business. Failure to comply with privacy requirements could result in civil or criminal penalties, which could have a materially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6" w:name="page27"/>
    <w:bookmarkEnd w:id="26"/>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Corporate Practice of Medicine</w:t>
      </w:r>
    </w:p>
    <w:p>
      <w:pPr>
        <w:spacing w:after="0" w:line="233" w:lineRule="exact"/>
        <w:rPr>
          <w:sz w:val="20"/>
          <w:szCs w:val="20"/>
          <w:color w:val="auto"/>
        </w:rPr>
      </w:pPr>
    </w:p>
    <w:p>
      <w:pPr>
        <w:jc w:val="both"/>
        <w:ind w:firstLine="375"/>
        <w:spacing w:after="0" w:line="268" w:lineRule="auto"/>
        <w:rPr>
          <w:sz w:val="20"/>
          <w:szCs w:val="20"/>
          <w:color w:val="auto"/>
        </w:rPr>
      </w:pPr>
      <w:r>
        <w:rPr>
          <w:rFonts w:ascii="Times New Roman" w:cs="Times New Roman" w:eastAsia="Times New Roman" w:hAnsi="Times New Roman"/>
          <w:sz w:val="16"/>
          <w:szCs w:val="16"/>
          <w:color w:val="auto"/>
        </w:rPr>
        <w:t>Numerous states, including California and Texas, have enacted laws prohibiting corporations such as us from practicing medicine and employing or engaging physicians to practice medicine. These laws are designed to prevent interference in the medical decision-making process by anyone who is not a licensed physician. This prohibition is generally referred to as the prohibition against the corporate practice of medicine. Violation of this prohibition may result in civil or criminal fines, as well as sanctions imposed against us or the professional through licensing proceedings. The pathologists who review and classify thyroid FNA cytopathology results for Afirma are employed by TCP, a Texas professional association, pursuant to services agreement between us and TCP. Pursuant to the agreement, we pay TCP a monthly fee on a per FNA basis, and TCP manages and supervises the pathologists who perform the cytopathology services as a component of the Afirma solution.</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Federal and State Physician Self-Referral Prohibitions</w:t>
      </w:r>
    </w:p>
    <w:p>
      <w:pPr>
        <w:spacing w:after="0" w:line="233"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We are subject to the federal physician self-referral prohibitions, commonly known as the Stark Law, and to similar restrictions under the self-referral prohibitions of certain states in which we operate, including California's Physician Ownership and Referral Act, or PORA. Together these restrictions generally prohibit us from billing a patient or any governmental or private payer for any diagnostic services when the physician ordering the service, or any member of such physician's immediate family, has an investment interest in or compensation arrangement with us, unless the arrangement meets an exception to the prohibition.</w:t>
      </w:r>
    </w:p>
    <w:p>
      <w:pPr>
        <w:spacing w:after="0" w:line="199"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Both the Stark Law and PORA contain an exception for compensation paid to a physician for personal services rendered by the physician meeting certain contractual requirements. We have compensation arrangements with a number of physicians for personal services, such as speaking engagements and consulting activities. We have structured these arrangements with terms intended to comply with the requirements of the personal services exception to Stark and PORA.</w:t>
      </w:r>
    </w:p>
    <w:p>
      <w:pPr>
        <w:spacing w:after="0" w:line="196"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However, we cannot be certain that regulators would find these arrangements to be in compliance with Stark, PORA or similar state laws. We would be required to refund any payments we receive pursuant to a referral prohibited by these laws to the patient, the payer or the Medicare program, as applicable.</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Sanctions for a violation of the Stark Law include the following:</w:t>
      </w:r>
    </w:p>
    <w:p>
      <w:pPr>
        <w:spacing w:after="0" w:line="229" w:lineRule="exact"/>
        <w:rPr>
          <w:sz w:val="20"/>
          <w:szCs w:val="20"/>
          <w:color w:val="auto"/>
        </w:rPr>
      </w:pPr>
    </w:p>
    <w:p>
      <w:pPr>
        <w:ind w:left="600" w:hanging="226"/>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denial of payment for the services provided in violation of the prohibition;</w:t>
      </w:r>
    </w:p>
    <w:p>
      <w:pPr>
        <w:spacing w:after="0" w:line="20" w:lineRule="exact"/>
        <w:rPr>
          <w:rFonts w:ascii="Times New Roman" w:cs="Times New Roman" w:eastAsia="Times New Roman" w:hAnsi="Times New Roman"/>
          <w:sz w:val="17"/>
          <w:szCs w:val="17"/>
          <w:color w:val="auto"/>
        </w:rPr>
      </w:pPr>
    </w:p>
    <w:p>
      <w:pPr>
        <w:ind w:left="600" w:hanging="226"/>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refunds of amounts collected by an entity in violation of the Stark Law;</w:t>
      </w:r>
    </w:p>
    <w:p>
      <w:pPr>
        <w:spacing w:after="0" w:line="4" w:lineRule="exact"/>
        <w:rPr>
          <w:rFonts w:ascii="Times New Roman" w:cs="Times New Roman" w:eastAsia="Times New Roman" w:hAnsi="Times New Roman"/>
          <w:sz w:val="17"/>
          <w:szCs w:val="17"/>
          <w:color w:val="auto"/>
        </w:rPr>
      </w:pPr>
    </w:p>
    <w:p>
      <w:pPr>
        <w:ind w:left="600" w:hanging="226"/>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civil penalty of up to $15,000 for each service arising out of the prohibited referral;</w:t>
      </w:r>
    </w:p>
    <w:p>
      <w:pPr>
        <w:spacing w:after="0" w:line="4" w:lineRule="exact"/>
        <w:rPr>
          <w:rFonts w:ascii="Times New Roman" w:cs="Times New Roman" w:eastAsia="Times New Roman" w:hAnsi="Times New Roman"/>
          <w:sz w:val="17"/>
          <w:szCs w:val="17"/>
          <w:color w:val="auto"/>
        </w:rPr>
      </w:pPr>
    </w:p>
    <w:p>
      <w:pPr>
        <w:ind w:left="600" w:hanging="226"/>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possible exclusion from federal healthcare programs, including Medicare and Medicaid; and</w:t>
      </w:r>
    </w:p>
    <w:p>
      <w:pPr>
        <w:spacing w:after="0" w:line="4" w:lineRule="exact"/>
        <w:rPr>
          <w:rFonts w:ascii="Times New Roman" w:cs="Times New Roman" w:eastAsia="Times New Roman" w:hAnsi="Times New Roman"/>
          <w:sz w:val="17"/>
          <w:szCs w:val="17"/>
          <w:color w:val="auto"/>
        </w:rPr>
      </w:pPr>
    </w:p>
    <w:p>
      <w:pPr>
        <w:ind w:left="600" w:hanging="226"/>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civil penalty of up to $100,000 against parties that enter into a scheme to circumvent the Stark Law's prohibition.</w:t>
      </w:r>
    </w:p>
    <w:p>
      <w:pPr>
        <w:spacing w:after="0" w:line="212"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These prohibitions apply regardless of the reasons for the financial relationship and the referral. No finding of intent to violate the Stark Law is required for a violation. In addition, knowing violations of the Stark Law may also serve as the basis for liability under the Federal False Claims Act which prohibits knowingly presenting, or causing to be presented, a false, fictitious, or fraudulent claim for payment to the U.S. Government.</w:t>
      </w:r>
    </w:p>
    <w:p>
      <w:pPr>
        <w:spacing w:after="0" w:line="196"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Further, a violation of PORA is a misdemeanor and could result in civil penalties and criminal fines. Finally, other states have self-referral restrictions with which we have to comply that differ from those imposed by federal and California law. While we have attempted to comply with the Stark Law, PORA and similar laws of other states, it is possible that some of our financial arrangements with physicians could be subject to regulatory scrutiny at some point in the future, and we cannot provide assurance that we will be found to be in compliance with these laws following any such regulatory review.</w:t>
      </w:r>
    </w:p>
    <w:p>
      <w:pPr>
        <w:spacing w:after="0" w:line="1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Federal and State Anti-Kickback Laws</w:t>
      </w:r>
    </w:p>
    <w:p>
      <w:pPr>
        <w:spacing w:after="0" w:line="233"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The federal Anti-kickback Law makes it a felony for a person or entity, including a laboratory, to knowingly and willfully offer, pay, solicit or receive remuneration, directly or indirectly, in order to induce business that is reimbursable under any federal health care program. A violation of the Anti-kickback Law may result in imprisonment for up to five years and fines of up to $250,000 in the case of individuals and $500,000 in the case of organizations. Convictions under the Anti-kickback Law result in mandatory exclusion from federal health care programs for a minimum of five years. In addition, HHS has the authority to impose civil assessments and fines and to exclude health care providers and others engaged in prohibited activities from Medicare, Medicaid and other federal health care programs. Actions which violate the Anti-kickback Law also incur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7" w:name="page28"/>
    <w:bookmarkEnd w:id="27"/>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liability under the Federal False Claims Act, which prohibits knowingly presenting, or causing to be presented, a false, fictitious, or fraudulent claim for payment to the U.S. Government.</w:t>
      </w:r>
    </w:p>
    <w:p>
      <w:pPr>
        <w:spacing w:after="0" w:line="184"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Although the Anti-kickback Law applies only to federal health care programs, a number of states, including California, have passed statutes substantially similar to the Anti-kickback Law pursuant to which similar types of prohibitions are made applicable to all other health plans and third- party payers. California's fee-splitting and Anti-kickback statute, Business and Professions Code Section 650, and its Medi-Cal Anti-kickback statute, Welfare and Institutions Code Section 14107.2, have been interpreted by the California Attorney General and California courts in substantially the same way as HHS and the courts have interpreted the Anti-kickback Law. A violation of Section 650 is punishable by imprisonment and fines of up to $50,000. A violation of Section 14107.2 is punishable by imprisonment and fines of up to $10,000.</w:t>
      </w:r>
    </w:p>
    <w:p>
      <w:pPr>
        <w:spacing w:after="0" w:line="201"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The law enforcement authorities, the courts and Congress have also demonstrated a willingness to look behind the formalities of a transaction to determine the underlying purpose of payments between health care providers and actual or potential referral sources. Generally, courts have taken a broad interpretation of the scope of the Anti-kickback Law, holding that the statute may be violated if merely one purpose of a payment arrangement is to induce referrals or purchases.</w:t>
      </w:r>
    </w:p>
    <w:p>
      <w:pPr>
        <w:spacing w:after="0" w:line="201"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The federal Anti-kickback Law includes statutory exceptions and provides for a number of safe harbors. If an arrangement meets the provisions of a safe harbor, it is deemed not to violate the Anti-kickback Law. An arrangement must fully comply with each element of an applicable safe harbor in order to qualify for protection. Many state anti-kickback statutes have analogous exceptions or safe harbors to those of the federal Anti-kickback Law. These state anti-kickback statutes have generally been interpreted consistently with the Anti-kickback Law.</w:t>
      </w:r>
    </w:p>
    <w:p>
      <w:pPr>
        <w:spacing w:after="0" w:line="199"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Among the safe harbors that may be relevant to us is the discount safe harbor. The discount safe harbor potentially applies to discounts provided by providers and suppliers, including laboratories, to physicians or institutions. If the terms of the discount safe harbor are met, the discounts will not be considered prohibited remuneration under the Anti-kickback Law. California does not have a discount safe harbor. However, as noted above, Section 650 has generally been interpreted consistent with the Anti-kickback Law.</w:t>
      </w:r>
    </w:p>
    <w:p>
      <w:pPr>
        <w:spacing w:after="0" w:line="199"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The personal services safe harbor to the Anti-kickback Law provides that remuneration paid to a referral source for personal services will not violate the Anti-kickback Law provided all of the elements of that safe harbor are met. One element is that if the agreement is intended to provide for the services of the physician on a periodic, sporadic or part-time basis, rather than on a full-time basis for the term of the agreement, the agreement specifies exactly the schedule of such intervals, their precise length, and the exact charge for such intervals. Our personal services arrangements with some physicians may not meet the specific requirement of this safe harbor that the agreement specify exactly the schedule of the intervals of time to be spent on the services because the nature of the services, such as speaking engagements, does not lend itself to exact scheduling and therefore meeting this element of the personal services safe harbor is impractical. Failure to meet the terms of the safe harbor does not render an arrangement illegal. Rather, the government may evaluate such arrangements on a case-by-case basis under the language of the statute, taking into account all facts and circumstances.</w:t>
      </w:r>
    </w:p>
    <w:p>
      <w:pPr>
        <w:spacing w:after="0" w:line="207"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While we believe that we are in compliance with the Anti-kickback Law, Section 650, and Section 14107.2, there can be no assurance that our relationships with physicians, academic institutions and other customers will not be subject to investigation or challenge under such laws. If imposed for any reason, sanctions under the Anti-kickback Law, Section 650, or Section 14107.2 could have a negative effect on our business.</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Other Federal and State Fraud and Abuse Laws</w:t>
      </w:r>
    </w:p>
    <w:p>
      <w:pPr>
        <w:spacing w:after="0" w:line="233"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In addition to the requirements discussed above, several other health care fraud and abuse laws could have an effect on our business. For example, provisions of the Social Security Act permit Medicare and Medicaid to exclude an entity that charges the federal health care programs substantially in excess of its usual charges for its services. The terms "usual charge" and "substantially in excess" are ambiguous and subject to varying interpretations, though the Department of Health and Human Services’ Office of the Inspector General has provided some guidance on the topic.</w:t>
      </w:r>
    </w:p>
    <w:p>
      <w:pPr>
        <w:spacing w:after="0" w:line="199"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Further, the federal False Claims Act prohibits a person from knowingly presenting or causing to be presented a false or fraudulent claim to, making a false record or statement in order to secure payment from or retaining an overpayment by the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8" w:name="page29"/>
    <w:bookmarkEnd w:id="28"/>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federal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Violation of these provisions may result in up to treble damages, substantial civil penalties, fines, imprisonment or combination of the above, and possible exclusion from Medicare or Medicaid programs. California has an analogous state false claims act applicable to all payers, as do many other states; however, we may not be aware of all such rules and statutes and cannot provide assurance that we will be in compliance with all such laws and regulations.</w:t>
      </w:r>
    </w:p>
    <w:p>
      <w:pPr>
        <w:spacing w:after="0" w:line="207"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In general, in recent years U.S. Attorneys’ Offices have increased scrutiny of the healthcare industry, as have Congress, the Department of Justice, the Department of Health and Human Services’ Office of the Inspector General and the Department of Defense. These bodies have all issued subpoenas and other requests for information to conduct investigations of, and commenced civil and criminal litigation against, healthcare companies based on financial arrangements with health care providers, regulatory compliance, product promotional practices and documentation, and coding and billing practices. Whistleblowers have filed numerous qui tam lawsuits against healthcare companies under the federal and state False Claims Acts in recent years, in part because the whistleblower can receive a portion of the government’s recovery under such suits.</w:t>
      </w:r>
    </w:p>
    <w:p>
      <w:pPr>
        <w:spacing w:after="0" w:line="201"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In addition, in October 2018, the Eliminating Kickbacks in Recovery Act of 2018, or EKRA, was enacted as part of the SUPPORT for Patients and Communities Act (P.L 115-271). This law prohibits the solicitation, receipt, payment or offering of any remuneration in return for referring a patient or patronage to a recovery home, clinical treatment facility, or laboratory for services covered by both government and private payers. EKRA also applies to the payment or offering of remuneration in exchange for an individual using the services of a recovery home, clinical treatment facility, or laboratory. To date, neither the Department of Justice nor the Department of Health and Human Services has issued guidance further interpreting or implementing EKRA.</w:t>
      </w:r>
    </w:p>
    <w:p>
      <w:pPr>
        <w:spacing w:after="0" w:line="201"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Finally, under PAMA, laboratories are required to report to CMS the private payer payment rates and test volumes paid by private payers based on final payments made during a specific “data collection period.” This data reporting requirement is triennial for most clinical diagnostic laboratory tests (annual for ADLTs), with the first data reporting period occurring in 2017 for final payments made in January through June 2016. The next data reporting period will be in 2021 for final payments made in January through June 2019. When reporting data under PAMA, the President, CEO, or CFO of a reporting entity, or an individual who has been delegated authority to sign for, and who reports directly to, such an officer, must sign the certification statement and be responsible for assuring that the data provided are accurate, complete, and truthful, and meets all the required reporting parameters. Failure to report or misrepresentation or omission in reporting can result in civil penalties of up to $10,000 per day for each violation and other penalties. We believe we are in compliance with the PAMA reporting requirements, but there can be no assurance that our reporting practices will not be scrutinized under the PAMA regulations.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International</w:t>
      </w:r>
    </w:p>
    <w:p>
      <w:pPr>
        <w:spacing w:after="0" w:line="231"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Many countries in which we may offer any of our tests in the future have anti-kickback regulations prohibiting providers from offering, paying, soliciting or receiving remuneration, directly or indirectly, in order to induce business that is reimbursable under any national health care program. In situations involving physicians employed by state-funded institutions or national health care agencies, violation of the local anti-kickback law may also constitute a violation of the United States Foreign Corrupt Practices Act, or FCPA.</w:t>
      </w:r>
    </w:p>
    <w:p>
      <w:pPr>
        <w:spacing w:after="0" w:line="199" w:lineRule="exact"/>
        <w:rPr>
          <w:sz w:val="20"/>
          <w:szCs w:val="20"/>
          <w:color w:val="auto"/>
        </w:rPr>
      </w:pPr>
    </w:p>
    <w:p>
      <w:pPr>
        <w:jc w:val="both"/>
        <w:ind w:firstLine="375"/>
        <w:spacing w:after="0" w:line="271" w:lineRule="auto"/>
        <w:rPr>
          <w:sz w:val="20"/>
          <w:szCs w:val="20"/>
          <w:color w:val="auto"/>
        </w:rPr>
      </w:pPr>
      <w:r>
        <w:rPr>
          <w:rFonts w:ascii="Times New Roman" w:cs="Times New Roman" w:eastAsia="Times New Roman" w:hAnsi="Times New Roman"/>
          <w:sz w:val="16"/>
          <w:szCs w:val="16"/>
          <w:color w:val="auto"/>
        </w:rPr>
        <w:t>The FCPA prohibits any U.S. individual, business entity or employee of a U.S. business entity to offer or provide, directly or through a third party, including any potential distributors we may rely on in certain markets, anything of value to a foreign government official with corrupt intent to influence an award or continuation of business or to gain an unfair advantage, whether or not such conduct violates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its books and records provisions and its anti-bribery provisions.</w:t>
      </w:r>
    </w:p>
    <w:p>
      <w:pPr>
        <w:spacing w:after="0" w:line="185"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The standard of intent and knowledge in the Anti-Bribery cases is minimal-intent and knowledge are usually inferred from that fact that bribery took place. The accounting provisions do not require intent. Violations of the FCPA's anti-bribery provisions for corporations and other business entities are subject to a fine of up to $2 million and officers, directors,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9" w:name="page30"/>
    <w:bookmarkEnd w:id="29"/>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stockholders, employees, and agents are subject to a fine of up to $100,000 and imprisonment for up to five years. Other countries, including the United Kingdom and other OECD Anti-Bribery Convention members, have similar anti-corruption regulations, such as the United Kingdom Anti-bribery Act.</w:t>
      </w:r>
    </w:p>
    <w:p>
      <w:pPr>
        <w:spacing w:after="0" w:line="184" w:lineRule="exact"/>
        <w:rPr>
          <w:sz w:val="20"/>
          <w:szCs w:val="20"/>
          <w:color w:val="auto"/>
        </w:rPr>
      </w:pPr>
    </w:p>
    <w:p>
      <w:pPr>
        <w:jc w:val="both"/>
        <w:ind w:firstLine="375"/>
        <w:spacing w:after="0" w:line="274" w:lineRule="auto"/>
        <w:rPr>
          <w:sz w:val="20"/>
          <w:szCs w:val="20"/>
          <w:color w:val="auto"/>
        </w:rPr>
      </w:pPr>
      <w:r>
        <w:rPr>
          <w:rFonts w:ascii="Times New Roman" w:cs="Times New Roman" w:eastAsia="Times New Roman" w:hAnsi="Times New Roman"/>
          <w:sz w:val="16"/>
          <w:szCs w:val="16"/>
          <w:color w:val="auto"/>
        </w:rPr>
        <w:t>When marketing our tests outside of the United States, we may be subject to foreign regulatory requirements governing human clinical testing, prohibitions on the import of tissue necessary for us to perform our tests or restrictions on the export of tissue imposed by countries outside of the United States or the import of tissue into the United States, and marketing approval. These requirements vary by jurisdiction, differ from those in the United States and may in some cases require us to perform additional pre-clinical or clinical testing. In many countries outside of the United States, coverage, pricing and reimbursement approvals are also required.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Patents and Proprietary Technology</w:t>
      </w:r>
    </w:p>
    <w:p>
      <w:pPr>
        <w:spacing w:after="0" w:line="233"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In order to remain competitive, we must develop and maintain protection of the proprietary aspects of our technologies. To that end, we rely on a combination of patents, copyrights and trademarks, as well as contracts, such as confidentiality, invention assignment and licensing agreements. We also rely upon trade secret laws to protect unpatented know-how and continuing technological innovation. In addition, we have what we consider to be reasonable security measures in place to maintain confidentiality. Our intellectual property strategy is intended to develop and maintain our competitive position.</w:t>
      </w:r>
    </w:p>
    <w:p>
      <w:pPr>
        <w:spacing w:after="0" w:line="199"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Our issued patents expire between 2021 and 2038 and are related to methods used in the Afirma thyroid diagnostic platform, lung diagnostics, breast cancer diagnostics, and the nCounter Analysis System.</w:t>
      </w:r>
    </w:p>
    <w:p>
      <w:pPr>
        <w:spacing w:after="0" w:line="199"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We intend to file additional patent applications in the United States and abroad to strengthen our intellectual property rights; however, our patent applications (including the patent applications listed above) may not result in issued patents in a timely fashion or at all, and we cannot assure investors that any patents that have issued or might issue will protect our technology. We may receive notices of claims of potential infringement from third parties in the future.</w:t>
      </w:r>
    </w:p>
    <w:p>
      <w:pPr>
        <w:spacing w:after="0" w:line="196"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We hold registered trademarks in the United States for "Veracyte," "Afirma," "Percepta," "Envisia," "Prosigna," "Know By Design," the Afirma logo, and the current and former Veracyte logos, and we have common law rights and pending trademark applications for "LymphMark" and “More About You.” We also hold registered trademarks in various jurisdictions outside of the United States.</w:t>
      </w:r>
    </w:p>
    <w:p>
      <w:pPr>
        <w:spacing w:after="0" w:line="196"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We require all employees and technical consultants working for us to execute confidentiality agreements, which provide that all confidential information received by them during the course of the employment, consulting or business relationship be kept confidential, except in specified circumstances. Our agreements with our research employees provide that all inventions, discoveries and other types of intellectual property, whether or not patentable or copyrightable, conceived by the individual while he or she is employed by us are assigned to us. We cannot provide any assurance, however, that employees and consultants will abide by the confidentiality or assignment terms of these agreements. Despite measures taken to protect our intellectual property, unauthorized parties might copy aspects of our technology or obtain and use information that we regard as proprietary.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Teams and Culture</w:t>
      </w:r>
    </w:p>
    <w:p>
      <w:pPr>
        <w:spacing w:after="0" w:line="231" w:lineRule="exact"/>
        <w:rPr>
          <w:sz w:val="20"/>
          <w:szCs w:val="20"/>
          <w:color w:val="auto"/>
        </w:rPr>
      </w:pPr>
    </w:p>
    <w:p>
      <w:pPr>
        <w:jc w:val="both"/>
        <w:ind w:firstLine="366"/>
        <w:spacing w:after="0" w:line="259" w:lineRule="auto"/>
        <w:rPr>
          <w:sz w:val="20"/>
          <w:szCs w:val="20"/>
          <w:color w:val="auto"/>
        </w:rPr>
      </w:pPr>
      <w:r>
        <w:rPr>
          <w:rFonts w:ascii="Times New Roman" w:cs="Times New Roman" w:eastAsia="Times New Roman" w:hAnsi="Times New Roman"/>
          <w:sz w:val="17"/>
          <w:szCs w:val="17"/>
          <w:i w:val="1"/>
          <w:iCs w:val="1"/>
          <w:u w:val="single" w:color="auto"/>
          <w:color w:val="auto"/>
        </w:rPr>
        <w:t>Our People.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 December 31, 2020, we had 320 employees, of which 59 work in laboratory operations, 35 in research and development and clinical development,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131 in selling and marketing, and 95 in general and administrative, including 55 in billing and client services, 13 in information technology and 13 in finance. None of our employees are the subject of collective bargaining arrangements, and our management considers its relationships with employees to be good.</w:t>
      </w:r>
    </w:p>
    <w:p>
      <w:pPr>
        <w:spacing w:after="0" w:line="191" w:lineRule="exact"/>
        <w:rPr>
          <w:sz w:val="20"/>
          <w:szCs w:val="20"/>
          <w:color w:val="auto"/>
        </w:rPr>
      </w:pPr>
    </w:p>
    <w:p>
      <w:pPr>
        <w:jc w:val="both"/>
        <w:ind w:firstLine="366"/>
        <w:spacing w:after="0" w:line="252" w:lineRule="auto"/>
        <w:rPr>
          <w:sz w:val="20"/>
          <w:szCs w:val="20"/>
          <w:color w:val="auto"/>
        </w:rPr>
      </w:pPr>
      <w:r>
        <w:rPr>
          <w:rFonts w:ascii="Times New Roman" w:cs="Times New Roman" w:eastAsia="Times New Roman" w:hAnsi="Times New Roman"/>
          <w:sz w:val="17"/>
          <w:szCs w:val="17"/>
          <w:i w:val="1"/>
          <w:iCs w:val="1"/>
          <w:u w:val="single" w:color="auto"/>
          <w:color w:val="auto"/>
        </w:rPr>
        <w:t>Diversity, Inclusion, and Belonging.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believes in an inclusive workforce, where diverse backgrounds are represented, engaged and empowered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inspire innovative ideas and decisions. In addition to being led by a female founder, Chief Executive Officer and Chairman of the Board, our Chief Scientific Officer and Chief Medical Officer is also female and 58% of our employees are female, including 37% at the Vice President level and above, as of December 31, 2020. In addition, three of our nine Board of Directors are female, including our Chairman of the Board, as of December 31, 2020. Forty-eight percent (48%) of our employees are non-White, including 26% at the Vice President Level and above, as of December 31,</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0" w:name="page31"/>
    <w:bookmarkEnd w:id="30"/>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2020. We strive to further advance diversity among our employees and believe that the resulting range of employee ideas, experiences and perspectives strengthens our company.</w:t>
      </w:r>
    </w:p>
    <w:p>
      <w:pPr>
        <w:spacing w:after="0" w:line="184" w:lineRule="exact"/>
        <w:rPr>
          <w:sz w:val="20"/>
          <w:szCs w:val="20"/>
          <w:color w:val="auto"/>
        </w:rPr>
      </w:pPr>
    </w:p>
    <w:p>
      <w:pPr>
        <w:jc w:val="both"/>
        <w:ind w:firstLine="366"/>
        <w:spacing w:after="0" w:line="257" w:lineRule="auto"/>
        <w:rPr>
          <w:sz w:val="20"/>
          <w:szCs w:val="20"/>
          <w:color w:val="auto"/>
        </w:rPr>
      </w:pPr>
      <w:r>
        <w:rPr>
          <w:rFonts w:ascii="Times New Roman" w:cs="Times New Roman" w:eastAsia="Times New Roman" w:hAnsi="Times New Roman"/>
          <w:sz w:val="17"/>
          <w:szCs w:val="17"/>
          <w:color w:val="auto"/>
        </w:rPr>
        <w:t>During the COVID-19 pandemic, we have taken important steps to protect the health and safety of our employees and the broader community. These have included asking employees who were able to work from home to do so in order to protect employees who perform mission-critical work in our facilities; reconfiguring our workspaces and workshift scheduling to enable social distancing; requiring face masks to be worn inside our offices; and other initiatives.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 Matters</w:t>
      </w:r>
    </w:p>
    <w:p>
      <w:pPr>
        <w:spacing w:after="0" w:line="233"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Our operations require the use of hazardous materials (including biological materials) which subject us to a variety of federal, state and local environmental and safety laws and regulations. Some of these regulations provide for strict liability, holding a party potentially liable without regard to fault or negligence. We could be held liable for damages and fines as a result of our, or others’, business operations should contamination of the environment or individual exposure to hazardous substances occur. We cannot predict how changes in laws or new regulations will affect our business, operations or the cost of compliance.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Raw Materials and Suppliers</w:t>
      </w:r>
    </w:p>
    <w:p>
      <w:pPr>
        <w:spacing w:after="0" w:line="233" w:lineRule="exact"/>
        <w:rPr>
          <w:sz w:val="20"/>
          <w:szCs w:val="20"/>
          <w:color w:val="auto"/>
        </w:rPr>
      </w:pPr>
    </w:p>
    <w:p>
      <w:pPr>
        <w:jc w:val="both"/>
        <w:ind w:firstLine="375"/>
        <w:spacing w:after="0" w:line="247" w:lineRule="auto"/>
        <w:rPr>
          <w:sz w:val="20"/>
          <w:szCs w:val="20"/>
          <w:color w:val="auto"/>
        </w:rPr>
      </w:pPr>
      <w:r>
        <w:rPr>
          <w:rFonts w:ascii="Times New Roman" w:cs="Times New Roman" w:eastAsia="Times New Roman" w:hAnsi="Times New Roman"/>
          <w:sz w:val="17"/>
          <w:szCs w:val="17"/>
          <w:color w:val="auto"/>
        </w:rPr>
        <w:t>We procure reagents, equipment, and other materials that we use to perform our tests from sole suppliers. We also purchase components used in our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tests and for our collection kits, if the materials do not meet our quality specifications or are otherwise unusable, if we cannot obtain acceptable substitute materials, if materials become unavailable due to COVID-19 related increases in demand for the materials, or if we elect to change suppliers, an interruption in test processing could occur, we may not be able to deliver patient reports and we may incur higher one-time switching costs.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supply were available. If our test volume decreases or we switch suppliers, we may hold excess inventory with expiration dates that occur before use which would adversely affect our losses and cash flow position. As we introduce any new test, we may experience supply issues as we ramp test volume.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2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From time to time, we may be party to lawsuits in the ordinary course of business. We are currently not a party to any material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1" w:name="page32"/>
    <w:bookmarkEnd w:id="31"/>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Risk Factors</w:t>
      </w:r>
    </w:p>
    <w:p>
      <w:pPr>
        <w:spacing w:after="0" w:line="220" w:lineRule="exact"/>
        <w:rPr>
          <w:sz w:val="20"/>
          <w:szCs w:val="20"/>
          <w:color w:val="auto"/>
        </w:rPr>
      </w:pPr>
    </w:p>
    <w:p>
      <w:pPr>
        <w:ind w:firstLine="375"/>
        <w:spacing w:after="0" w:line="270" w:lineRule="auto"/>
        <w:rPr>
          <w:sz w:val="20"/>
          <w:szCs w:val="20"/>
          <w:color w:val="auto"/>
        </w:rPr>
      </w:pPr>
      <w:r>
        <w:rPr>
          <w:rFonts w:ascii="Times New Roman" w:cs="Times New Roman" w:eastAsia="Times New Roman" w:hAnsi="Times New Roman"/>
          <w:sz w:val="17"/>
          <w:szCs w:val="17"/>
          <w:color w:val="auto"/>
        </w:rPr>
        <w:t>Investing in our common stock involves a high degree of risk. You should carefully review the “Risk Factors” section before you invest in shares of our common stock. Listed below are some of the more significant risks relating to an investment in our common stock.</w:t>
      </w:r>
    </w:p>
    <w:p>
      <w:pPr>
        <w:spacing w:after="0" w:line="184" w:lineRule="exact"/>
        <w:rPr>
          <w:sz w:val="20"/>
          <w:szCs w:val="20"/>
          <w:color w:val="auto"/>
        </w:rPr>
      </w:pPr>
    </w:p>
    <w:p>
      <w:pPr>
        <w:ind w:left="600" w:hanging="301"/>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We have a history of losses, and we expect to incur net losses for the foreseeable future and may never achieve or sustain profitability.</w:t>
      </w:r>
    </w:p>
    <w:p>
      <w:pPr>
        <w:spacing w:after="0" w:line="5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The outbreak of COVID-19 has had an adverse effect on our business, results of operations and financial condition.</w:t>
      </w:r>
    </w:p>
    <w:p>
      <w:pPr>
        <w:spacing w:after="0" w:line="54" w:lineRule="exact"/>
        <w:rPr>
          <w:rFonts w:ascii="Times New Roman" w:cs="Times New Roman" w:eastAsia="Times New Roman" w:hAnsi="Times New Roman"/>
          <w:sz w:val="17"/>
          <w:szCs w:val="17"/>
          <w:color w:val="auto"/>
        </w:rPr>
      </w:pPr>
    </w:p>
    <w:p>
      <w:pPr>
        <w:ind w:left="600" w:hanging="301"/>
        <w:spacing w:after="0" w:line="270" w:lineRule="auto"/>
        <w:tabs>
          <w:tab w:leader="none" w:pos="59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Our financial results currently depend mainly on sales of our Afirma tests, and we will need to generate sufficient revenue from this and other diagnostic solutions to grow our business.</w:t>
      </w:r>
    </w:p>
    <w:p>
      <w:pPr>
        <w:spacing w:after="0" w:line="9"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we are unable to grow our Percepta and Envisia sales, our business may suffer.</w:t>
      </w:r>
    </w:p>
    <w:p>
      <w:pPr>
        <w:spacing w:after="0" w:line="54" w:lineRule="exact"/>
        <w:rPr>
          <w:rFonts w:ascii="Times New Roman" w:cs="Times New Roman" w:eastAsia="Times New Roman" w:hAnsi="Times New Roman"/>
          <w:sz w:val="17"/>
          <w:szCs w:val="17"/>
          <w:color w:val="231F20"/>
        </w:rPr>
      </w:pPr>
    </w:p>
    <w:p>
      <w:pPr>
        <w:ind w:left="600" w:hanging="301"/>
        <w:spacing w:after="0" w:line="270" w:lineRule="auto"/>
        <w:tabs>
          <w:tab w:leader="none" w:pos="596" w:val="left"/>
        </w:tabs>
        <w:numPr>
          <w:ilvl w:val="0"/>
          <w:numId w:val="2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We depend on a few payers for a significant portion of our revenue and if one or more significant payers stops providing reimbursement or decreases the amount of reimbursement for our tests, our revenue could decline.</w:t>
      </w:r>
    </w:p>
    <w:p>
      <w:pPr>
        <w:spacing w:after="0" w:line="9" w:lineRule="exact"/>
        <w:rPr>
          <w:rFonts w:ascii="Times New Roman" w:cs="Times New Roman" w:eastAsia="Times New Roman" w:hAnsi="Times New Roman"/>
          <w:sz w:val="17"/>
          <w:szCs w:val="17"/>
          <w:color w:val="231F20"/>
        </w:rPr>
      </w:pPr>
    </w:p>
    <w:p>
      <w:pPr>
        <w:ind w:left="600" w:hanging="301"/>
        <w:spacing w:after="0" w:line="270" w:lineRule="auto"/>
        <w:tabs>
          <w:tab w:leader="none" w:pos="596" w:val="left"/>
        </w:tabs>
        <w:numPr>
          <w:ilvl w:val="0"/>
          <w:numId w:val="2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9" w:lineRule="exact"/>
        <w:rPr>
          <w:rFonts w:ascii="Times New Roman" w:cs="Times New Roman" w:eastAsia="Times New Roman" w:hAnsi="Times New Roman"/>
          <w:sz w:val="17"/>
          <w:szCs w:val="17"/>
          <w:color w:val="231F20"/>
        </w:rPr>
      </w:pPr>
    </w:p>
    <w:p>
      <w:pPr>
        <w:ind w:left="600" w:hanging="301"/>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We may experience limits on our revenue if physicians decide not to order our tests or if patients decide not to use our tests.</w:t>
      </w:r>
    </w:p>
    <w:p>
      <w:pPr>
        <w:spacing w:after="0" w:line="5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If we fail to comply with federal and state licensing requirements, we could lose the ability to perform our tests or experience disruptions to our business.</w:t>
      </w:r>
    </w:p>
    <w:p>
      <w:pPr>
        <w:spacing w:after="0" w:line="54" w:lineRule="exact"/>
        <w:rPr>
          <w:rFonts w:ascii="Times New Roman" w:cs="Times New Roman" w:eastAsia="Times New Roman" w:hAnsi="Times New Roman"/>
          <w:sz w:val="17"/>
          <w:szCs w:val="17"/>
          <w:color w:val="auto"/>
        </w:rPr>
      </w:pPr>
    </w:p>
    <w:p>
      <w:pPr>
        <w:ind w:left="600" w:hanging="301"/>
        <w:spacing w:after="0" w:line="270" w:lineRule="auto"/>
        <w:tabs>
          <w:tab w:leader="none" w:pos="596" w:val="left"/>
        </w:tabs>
        <w:numPr>
          <w:ilvl w:val="0"/>
          <w:numId w:val="2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pending acquisition of Decipher may present many risks and we may not realize the strategic and financial goals that were contemplated at the time we entered into the Merger Agreement.</w:t>
      </w:r>
    </w:p>
    <w:p>
      <w:pPr>
        <w:spacing w:after="0" w:line="9" w:lineRule="exact"/>
        <w:rPr>
          <w:rFonts w:ascii="Times New Roman" w:cs="Times New Roman" w:eastAsia="Times New Roman" w:hAnsi="Times New Roman"/>
          <w:sz w:val="17"/>
          <w:szCs w:val="17"/>
          <w:color w:val="231F20"/>
        </w:rPr>
      </w:pPr>
    </w:p>
    <w:p>
      <w:pPr>
        <w:ind w:left="600" w:hanging="301"/>
        <w:spacing w:after="0" w:line="270" w:lineRule="auto"/>
        <w:tabs>
          <w:tab w:leader="none" w:pos="596" w:val="left"/>
        </w:tabs>
        <w:numPr>
          <w:ilvl w:val="0"/>
          <w:numId w:val="2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our general strategy of seeking growth through acquisitions and collaborations is not successful, or if we do not successfully integrate companies or assets that we acquire into our business, our prospects and financial condition will suffer.</w:t>
      </w:r>
    </w:p>
    <w:p>
      <w:pPr>
        <w:spacing w:after="0" w:line="9" w:lineRule="exact"/>
        <w:rPr>
          <w:rFonts w:ascii="Times New Roman" w:cs="Times New Roman" w:eastAsia="Times New Roman" w:hAnsi="Times New Roman"/>
          <w:sz w:val="17"/>
          <w:szCs w:val="17"/>
          <w:color w:val="231F20"/>
        </w:rPr>
      </w:pPr>
    </w:p>
    <w:p>
      <w:pPr>
        <w:ind w:left="600" w:hanging="301"/>
        <w:spacing w:after="0"/>
        <w:tabs>
          <w:tab w:leader="none" w:pos="600" w:val="left"/>
        </w:tabs>
        <w:numPr>
          <w:ilvl w:val="0"/>
          <w:numId w:val="2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Our future success and international growth depends, in part, on our ability to adapt select tests to be performed on the nCounter Analysis System.</w:t>
      </w:r>
    </w:p>
    <w:p>
      <w:pPr>
        <w:spacing w:after="0" w:line="54" w:lineRule="exact"/>
        <w:rPr>
          <w:rFonts w:ascii="Times New Roman" w:cs="Times New Roman" w:eastAsia="Times New Roman" w:hAnsi="Times New Roman"/>
          <w:sz w:val="17"/>
          <w:szCs w:val="17"/>
          <w:color w:val="231F20"/>
        </w:rPr>
      </w:pPr>
    </w:p>
    <w:p>
      <w:pPr>
        <w:ind w:left="600" w:hanging="301"/>
        <w:spacing w:after="0" w:line="270" w:lineRule="auto"/>
        <w:tabs>
          <w:tab w:leader="none" w:pos="59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If we are not successful in advancing our collaborations with Johnson &amp; Johnson and others, or if our general strategy of seeking growth through such collaborations is not successful, our prospects and financial condition will suffer.</w:t>
      </w:r>
    </w:p>
    <w:p>
      <w:pPr>
        <w:spacing w:after="0" w:line="9" w:lineRule="exact"/>
        <w:rPr>
          <w:rFonts w:ascii="Times New Roman" w:cs="Times New Roman" w:eastAsia="Times New Roman" w:hAnsi="Times New Roman"/>
          <w:sz w:val="17"/>
          <w:szCs w:val="17"/>
          <w:color w:val="auto"/>
        </w:rPr>
      </w:pPr>
    </w:p>
    <w:p>
      <w:pPr>
        <w:ind w:left="600" w:hanging="301"/>
        <w:spacing w:after="0" w:line="270" w:lineRule="auto"/>
        <w:tabs>
          <w:tab w:leader="none" w:pos="59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We rely on sole suppliers for some of the reagents, equipment, and other materials used to perform our tests, and we may not be able to find replacements or transition to alternative suppliers.</w:t>
      </w:r>
    </w:p>
    <w:p>
      <w:pPr>
        <w:spacing w:after="0" w:line="9" w:lineRule="exact"/>
        <w:rPr>
          <w:rFonts w:ascii="Times New Roman" w:cs="Times New Roman" w:eastAsia="Times New Roman" w:hAnsi="Times New Roman"/>
          <w:sz w:val="17"/>
          <w:szCs w:val="17"/>
          <w:color w:val="auto"/>
        </w:rPr>
      </w:pPr>
    </w:p>
    <w:p>
      <w:pPr>
        <w:ind w:left="600" w:hanging="301"/>
        <w:spacing w:after="0" w:line="270" w:lineRule="auto"/>
        <w:tabs>
          <w:tab w:leader="none" w:pos="59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We depend on a specialized cytopathology practice to perform the cytopathology component of our Afirma test, and our ability to perform our diagnostic solution would be harmed if we were required to secure a replacement.</w:t>
      </w:r>
    </w:p>
    <w:p>
      <w:pPr>
        <w:spacing w:after="0" w:line="9"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Due to how we recognize revenue, our quarterly operating results are likely to fluctuate.</w:t>
      </w:r>
    </w:p>
    <w:p>
      <w:pPr>
        <w:spacing w:after="0" w:line="5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We may be unable to manage our future growth effectively, which could make it difficult to execute our business strategy.</w:t>
      </w:r>
    </w:p>
    <w:p>
      <w:pPr>
        <w:spacing w:after="0" w:line="5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If we are unable to support demand for our commercial tests, our business could suffer.</w:t>
      </w:r>
    </w:p>
    <w:p>
      <w:pPr>
        <w:spacing w:after="0" w:line="54" w:lineRule="exact"/>
        <w:rPr>
          <w:rFonts w:ascii="Times New Roman" w:cs="Times New Roman" w:eastAsia="Times New Roman" w:hAnsi="Times New Roman"/>
          <w:sz w:val="17"/>
          <w:szCs w:val="17"/>
          <w:color w:val="auto"/>
        </w:rPr>
      </w:pPr>
    </w:p>
    <w:p>
      <w:pPr>
        <w:ind w:left="600" w:hanging="301"/>
        <w:spacing w:after="0" w:line="270" w:lineRule="auto"/>
        <w:tabs>
          <w:tab w:leader="none" w:pos="59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Changes in healthcare policy, including legislation reforming the U.S. healthcare system, may have a material adverse effect on our financial condition and operations.</w:t>
      </w:r>
    </w:p>
    <w:p>
      <w:pPr>
        <w:spacing w:after="0" w:line="9"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Because of Medicare billing rules, we may not receive reimbursement for all tests provided to Medicare patients.</w:t>
      </w:r>
    </w:p>
    <w:p>
      <w:pPr>
        <w:spacing w:after="0" w:line="54" w:lineRule="exact"/>
        <w:rPr>
          <w:rFonts w:ascii="Times New Roman" w:cs="Times New Roman" w:eastAsia="Times New Roman" w:hAnsi="Times New Roman"/>
          <w:sz w:val="17"/>
          <w:szCs w:val="17"/>
          <w:color w:val="auto"/>
        </w:rPr>
      </w:pPr>
    </w:p>
    <w:p>
      <w:pPr>
        <w:ind w:left="600" w:hanging="301"/>
        <w:spacing w:after="0" w:line="270" w:lineRule="auto"/>
        <w:tabs>
          <w:tab w:leader="none" w:pos="59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FDA were to begin regulating those of our tests that are not currently regulated, we could incur substantial costs and delays associated with trying to obtain premarket clearance or approval.</w:t>
      </w:r>
    </w:p>
    <w:p>
      <w:pPr>
        <w:spacing w:after="0" w:line="9" w:lineRule="exact"/>
        <w:rPr>
          <w:rFonts w:ascii="Times New Roman" w:cs="Times New Roman" w:eastAsia="Times New Roman" w:hAnsi="Times New Roman"/>
          <w:sz w:val="17"/>
          <w:szCs w:val="17"/>
          <w:color w:val="auto"/>
        </w:rPr>
      </w:pPr>
    </w:p>
    <w:p>
      <w:pPr>
        <w:ind w:left="600" w:hanging="301"/>
        <w:spacing w:after="0" w:line="270" w:lineRule="auto"/>
        <w:tabs>
          <w:tab w:leader="none" w:pos="59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marketing authorization by the FDA and foreign regulatory authorities for our diagnostic tests will take significant time and require significant research, development and clinical study expenditures and ultimately may not succeed.</w:t>
      </w:r>
    </w:p>
    <w:p>
      <w:pPr>
        <w:spacing w:after="0" w:line="9" w:lineRule="exact"/>
        <w:rPr>
          <w:rFonts w:ascii="Times New Roman" w:cs="Times New Roman" w:eastAsia="Times New Roman" w:hAnsi="Times New Roman"/>
          <w:sz w:val="17"/>
          <w:szCs w:val="17"/>
          <w:color w:val="auto"/>
        </w:rPr>
      </w:pPr>
    </w:p>
    <w:p>
      <w:pPr>
        <w:ind w:left="600" w:hanging="301"/>
        <w:spacing w:after="0" w:line="270" w:lineRule="auto"/>
        <w:tabs>
          <w:tab w:leader="none" w:pos="59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obtain marketing authorizations to market Prosigna in additional countries or if regulatory limitations are placed on our diagnostic kit products, our business and growth will be harmed.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2" w:name="page33"/>
    <w:bookmarkEnd w:id="32"/>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0" w:hanging="301"/>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ongoing and extensive regulatory requirements, and our failure to comply with these requirements could substantially harm our business.</w:t>
      </w:r>
    </w:p>
    <w:p>
      <w:pPr>
        <w:spacing w:after="0" w:line="5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compete successfully, we may be unable to increase or sustain our revenue or achieve profitability.</w:t>
      </w:r>
    </w:p>
    <w:p>
      <w:pPr>
        <w:spacing w:after="0" w:line="5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of members of our senior management team or our inability to attract and retain key personnel could adversely affect our business.</w:t>
      </w:r>
    </w:p>
    <w:p>
      <w:pPr>
        <w:spacing w:after="0" w:line="5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Billing for our diagnostic tests is complex, and we must dedicate substantial time and resources to the billing process to be paid.</w:t>
      </w:r>
    </w:p>
    <w:p>
      <w:pPr>
        <w:spacing w:after="0" w:line="54" w:lineRule="exact"/>
        <w:rPr>
          <w:rFonts w:ascii="Times New Roman" w:cs="Times New Roman" w:eastAsia="Times New Roman" w:hAnsi="Times New Roman"/>
          <w:sz w:val="17"/>
          <w:szCs w:val="17"/>
          <w:color w:val="auto"/>
        </w:rPr>
      </w:pPr>
    </w:p>
    <w:p>
      <w:pPr>
        <w:ind w:left="600" w:hanging="301"/>
        <w:spacing w:after="0" w:line="270" w:lineRule="auto"/>
        <w:tabs>
          <w:tab w:leader="none" w:pos="59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internal sales force is less successful than anticipated, our business expansion plans could suffer and our ability to generate revenues could be diminished. In addition, we have limited history selling our molecular diagnostics tests on a direct basis and our limited history makes forecasting difficult.</w:t>
      </w:r>
    </w:p>
    <w:p>
      <w:pPr>
        <w:spacing w:after="0" w:line="9" w:lineRule="exact"/>
        <w:rPr>
          <w:rFonts w:ascii="Times New Roman" w:cs="Times New Roman" w:eastAsia="Times New Roman" w:hAnsi="Times New Roman"/>
          <w:sz w:val="17"/>
          <w:szCs w:val="17"/>
          <w:color w:val="auto"/>
        </w:rPr>
      </w:pPr>
    </w:p>
    <w:p>
      <w:pPr>
        <w:ind w:left="600" w:hanging="301"/>
        <w:spacing w:after="0" w:line="270" w:lineRule="auto"/>
        <w:tabs>
          <w:tab w:leader="none" w:pos="59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new products involves a lengthy and complex process, and we may not be able to commercialize on a timely basis, or at all, other products we are developing.</w:t>
      </w:r>
    </w:p>
    <w:p>
      <w:pPr>
        <w:spacing w:after="0" w:line="9" w:lineRule="exact"/>
        <w:rPr>
          <w:rFonts w:ascii="Times New Roman" w:cs="Times New Roman" w:eastAsia="Times New Roman" w:hAnsi="Times New Roman"/>
          <w:sz w:val="17"/>
          <w:szCs w:val="17"/>
          <w:color w:val="auto"/>
        </w:rPr>
      </w:pPr>
    </w:p>
    <w:p>
      <w:pPr>
        <w:ind w:left="600" w:hanging="301"/>
        <w:spacing w:after="0" w:line="270" w:lineRule="auto"/>
        <w:tabs>
          <w:tab w:leader="none" w:pos="59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 expansion of our business exposes us to business, regulatory, political, operational, financial and economic risks associated with doing business outside of the United States.</w:t>
      </w:r>
    </w:p>
    <w:p>
      <w:pPr>
        <w:spacing w:after="0" w:line="9" w:lineRule="exact"/>
        <w:rPr>
          <w:rFonts w:ascii="Times New Roman" w:cs="Times New Roman" w:eastAsia="Times New Roman" w:hAnsi="Times New Roman"/>
          <w:sz w:val="17"/>
          <w:szCs w:val="17"/>
          <w:color w:val="auto"/>
        </w:rPr>
      </w:pPr>
    </w:p>
    <w:p>
      <w:pPr>
        <w:ind w:left="600" w:hanging="301"/>
        <w:spacing w:after="0" w:line="270" w:lineRule="auto"/>
        <w:tabs>
          <w:tab w:leader="none" w:pos="59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9"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protect our intellectual property effectively, our business would be harmed.</w:t>
      </w:r>
    </w:p>
    <w:p>
      <w:pPr>
        <w:spacing w:after="0" w:line="54" w:lineRule="exact"/>
        <w:rPr>
          <w:rFonts w:ascii="Times New Roman" w:cs="Times New Roman" w:eastAsia="Times New Roman" w:hAnsi="Times New Roman"/>
          <w:sz w:val="17"/>
          <w:szCs w:val="17"/>
          <w:color w:val="auto"/>
        </w:rPr>
      </w:pPr>
    </w:p>
    <w:p>
      <w:pPr>
        <w:ind w:left="600" w:hanging="301"/>
        <w:spacing w:after="0" w:line="270" w:lineRule="auto"/>
        <w:tabs>
          <w:tab w:leader="none" w:pos="59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involved in litigation related to intellectual property, which could be time-intensive and costly and may adversely affect our business, operating results or financial condition.</w:t>
      </w:r>
    </w:p>
    <w:p>
      <w:pPr>
        <w:spacing w:after="0" w:line="9" w:lineRule="exact"/>
        <w:rPr>
          <w:rFonts w:ascii="Times New Roman" w:cs="Times New Roman" w:eastAsia="Times New Roman" w:hAnsi="Times New Roman"/>
          <w:sz w:val="17"/>
          <w:szCs w:val="17"/>
          <w:color w:val="auto"/>
        </w:rPr>
      </w:pPr>
    </w:p>
    <w:p>
      <w:pPr>
        <w:ind w:left="600" w:hanging="301"/>
        <w:spacing w:after="0" w:line="270" w:lineRule="auto"/>
        <w:tabs>
          <w:tab w:leader="none" w:pos="59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9"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stock price may be volatile, and you may not be able to sell shares of our common stock at or above the price you paid.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w:t>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We have a history of losses, and we expect to incur net losses for the foreseeable future and may never achieve or sustain profitability.</w:t>
      </w:r>
    </w:p>
    <w:p>
      <w:pPr>
        <w:spacing w:after="0" w:line="233"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We have incurred net losses since our inception. For the year ended December 31, 2020, we had a net loss of $34.9 million and as of December 31, 2020, we had an accumulated deficit of $281.6 million. We expect to incur additional losses in the future, and we may never achieve revenue sufficient to offset our expenses. We expect to continue to devote substantially all of our resources to increase adoption of and reimbursement for our Afirma, Percepta and Envisia classifiers and Prosigna test, and the development of additional tests. We may never achieve or sustain profitability, and our failure to achieve and sustain profitability in the future could cause the market price of our common stock to decline.</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The outbreak of COVID-19 has had an adverse effect on our business, results of operations and financial condition.</w:t>
      </w:r>
    </w:p>
    <w:p>
      <w:pPr>
        <w:spacing w:after="0" w:line="233"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COVID-19 has caused significant volatility in financial markets and has raised the prospect of an extended global recession. Public health problems resulting from COVID-19 and precautionary measures instituted by governments and businesses to mitigate its spread, including travel restrictions and quarantines, have contributed to a general slowdown in the global economy, adversely impacted patients, physicians, customers, suppliers, third-party contract manufacturers, and collaboration partners, and disrupted our operations. Changes in our operations in response to COVID-19 or employee illnesses resulting from the pandemic may result in inefficiencies or delays, including in sales and product development efforts and additional costs related to business continuity initiatives, that cannot be fully mitigated through succession planning, employees working remotely or teleconferencing technologies. The cumulative incidence rate of COVID-19 cases in the United States reported to the CDC increased from 0.2 million at March 31, 2020 to 2.6 million at June 30, 2020, and to 7.2 million at September 30, 2020. During the second half of March 2020, we experienced a significant decline in the volume of samples received. Our monthly reported genomic volumes reached a low point in April 2020. Following the April 2020 low point, sequential monthly total reported genomic volume increased in both May and June 2020. As a result of the impact on our volumes, we reported a significant decline in sequential and year-over-year revenue for the quarter ended June 30, 2020. For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3" w:name="page34"/>
    <w:bookmarkEnd w:id="33"/>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second half of 2020, our total reported genomic volume, relative to the same period of the prior year, increased 3%, principally from an increase in reported genomic volume for both our Afirma GSC and Envisia Genomic Classifier tests, offset by a decline in our Percepta GSC. As of December 31, 2020, the cumulative incidence rate of COVID-19 cases in the United States was approximately 19.7 million, and the FDA has issued Emergency Use Authorizations, or EUAs, for two vaccines. We expect federal, state and local agencies to continue to take steps to combat the virus and to reduce the incidence of new cases. We believe these actions negatively impact our volumes and revenue and limit our ability to reliably forecast our test volumes and levels of revenue.</w:t>
      </w:r>
    </w:p>
    <w:p>
      <w:pPr>
        <w:spacing w:after="0" w:line="201"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COVID-19 and related governmental reactions have had and may continue to have a negative impact on our business, liquidity, results of operations, and stock price due to the occurrence of some or all of the following events or circumstances among others:</w:t>
      </w:r>
    </w:p>
    <w:p>
      <w:pPr>
        <w:spacing w:after="0" w:line="184" w:lineRule="exact"/>
        <w:rPr>
          <w:sz w:val="20"/>
          <w:szCs w:val="20"/>
          <w:color w:val="auto"/>
        </w:rPr>
      </w:pPr>
    </w:p>
    <w:p>
      <w:pPr>
        <w:ind w:left="600" w:hanging="301"/>
        <w:spacing w:after="0" w:line="270" w:lineRule="auto"/>
        <w:tabs>
          <w:tab w:leader="none" w:pos="59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manage our business effectively due to key employees becoming ill, working from home inefficiently and being unable to travel to our facilities.</w:t>
      </w:r>
    </w:p>
    <w:p>
      <w:pPr>
        <w:spacing w:after="0" w:line="184" w:lineRule="exact"/>
        <w:rPr>
          <w:rFonts w:ascii="Times New Roman" w:cs="Times New Roman" w:eastAsia="Times New Roman" w:hAnsi="Times New Roman"/>
          <w:sz w:val="17"/>
          <w:szCs w:val="17"/>
          <w:color w:val="auto"/>
        </w:rPr>
      </w:pPr>
    </w:p>
    <w:p>
      <w:pPr>
        <w:ind w:left="600" w:hanging="301"/>
        <w:spacing w:after="0" w:line="270" w:lineRule="auto"/>
        <w:tabs>
          <w:tab w:leader="none" w:pos="59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and our customers, suppliers, third-party contract manufacturers, and collaboration partners may be prevented from operating worksites, including manufacturing facilities, due to employee illness or reluctance to appear at work and “stay-at-home” regulations.</w:t>
      </w:r>
    </w:p>
    <w:p>
      <w:pPr>
        <w:spacing w:after="0" w:line="184" w:lineRule="exact"/>
        <w:rPr>
          <w:rFonts w:ascii="Times New Roman" w:cs="Times New Roman" w:eastAsia="Times New Roman" w:hAnsi="Times New Roman"/>
          <w:sz w:val="17"/>
          <w:szCs w:val="17"/>
          <w:color w:val="auto"/>
        </w:rPr>
      </w:pPr>
    </w:p>
    <w:p>
      <w:pPr>
        <w:jc w:val="both"/>
        <w:ind w:left="600" w:hanging="301"/>
        <w:spacing w:after="0" w:line="248" w:lineRule="auto"/>
        <w:tabs>
          <w:tab w:leader="none" w:pos="59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Interruptions in manufacturing (including the sourcing of reagents or supplies) and shipment of our products. According to Johns Hopkins Coronavirus Resource Center, daily COVID-19 test volume increased from less than approximately 0.2 million tests per day in April 2020 to between 0.8 million and 1.0 million tests per day in the first half of October 2020. We believe the rapid increase in daily testing volumes is consuming reagents and supplies otherwise available to genomic testing companies like ours across the United States. In October, we experienced supply chain disruptions in the supply of plastic materials used in the processing of samples. When not limited by the expiration date of products and when we feel it reasonable and feasible to do so, we are taking steps to increase our level of supplies and inventory reserves, to develop alternative sources of supply and to implement procedures to mitigate the impact on our supply chain or our ability to process samples in our laboratories. Though we are in regular contact with our key suppliers, we do not have, nor expect to have, the necessary insight into our vendors’ supply chain issues that we may need to know to effectively mitigate the impact to our business. Though we attempt to mitigate the impact to our business, these interruptions in manufacturing (including the sourcing of reagents or supplies) may negatively impact our test volumes or levels of revenue.</w:t>
      </w:r>
    </w:p>
    <w:p>
      <w:pPr>
        <w:spacing w:after="0" w:line="202"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patient demand for, or provider capacity to deliver, diagnostic testing and elective procedures generally.</w:t>
      </w:r>
    </w:p>
    <w:p>
      <w:pPr>
        <w:spacing w:after="0" w:line="228" w:lineRule="exact"/>
        <w:rPr>
          <w:rFonts w:ascii="Times New Roman" w:cs="Times New Roman" w:eastAsia="Times New Roman" w:hAnsi="Times New Roman"/>
          <w:sz w:val="17"/>
          <w:szCs w:val="17"/>
          <w:color w:val="auto"/>
        </w:rPr>
      </w:pPr>
    </w:p>
    <w:p>
      <w:pPr>
        <w:ind w:left="600" w:hanging="301"/>
        <w:spacing w:after="0" w:line="270" w:lineRule="auto"/>
        <w:tabs>
          <w:tab w:leader="none" w:pos="59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of the operations of our third-party contract manufacturers and suppliers, which could impact our ability to purchase components at efficient prices and in sufficient amounts.</w:t>
      </w:r>
    </w:p>
    <w:p>
      <w:pPr>
        <w:spacing w:after="0" w:line="18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need to raise capital, and if we raise capital by issuing equity securities, our common stock may be diluted.</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of our common stock may drop or remain volatile.</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incur significant employee health care costs under our insurance programs.</w:t>
      </w:r>
    </w:p>
    <w:p>
      <w:pPr>
        <w:spacing w:after="0" w:line="229"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The extent of the impact of COVID-19 on our business and financial results will depend largely on future developments, including the deployment and long-term efficacy of vaccines and ongoing infection rate surges, the impact on capital and financial markets and the related impact on the financial circumstances of patients, physicians, suppliers, third-party contract manufacturers, and collaboration partners, all of which are highly uncertain and cannot be predicted. This situation is changing rapidly, and additional impacts may arise that we are not aware of at this time.</w:t>
      </w:r>
    </w:p>
    <w:p>
      <w:pPr>
        <w:spacing w:after="0" w:line="195" w:lineRule="exact"/>
        <w:rPr>
          <w:sz w:val="20"/>
          <w:szCs w:val="20"/>
          <w:color w:val="auto"/>
        </w:rPr>
      </w:pPr>
    </w:p>
    <w:p>
      <w:pPr>
        <w:jc w:val="both"/>
        <w:ind w:firstLine="12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Our financial results currently depend mainly on sales of our Afirma tests, and we will need to generate sufficient revenue from this and other diagnostic solutions to grow our business.</w:t>
      </w:r>
    </w:p>
    <w:p>
      <w:pPr>
        <w:spacing w:after="0" w:line="180"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Most of our revenue to date has been derived from the sale of our Afirma tests, which are used in the diagnosis of thyroid cancer. Over the next few years, we expect to continue to derive a substantial portion of our revenue from sales of our Afirma tests. In the third quarter of 2017, we began recognizing revenue from the sale of our Percepta test, used in the diagnosis of lung</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4" w:name="page35"/>
    <w:bookmarkEnd w:id="34"/>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cancer. We also launched our Envisia test to help improve the diagnosis of interstitial lung disease, specifically IPF, and began recognizing revenue from Envisia in the second quarter of 2019. In December 2019, we acquired the rights to the Prosigna test from NanoString Technologies, Inc. and commenced marketing and selling Prosigna test kits to U.S. and international customers. Once genomic tests are clinically validated and commercially available for patient testing, we must continue to develop and publish evidence that our tests are informing clinical decisions in order for them to receive positive coverage decisions by payers. Without coverage policies, our tests may not be reimbursed and we will not be able to recognize revenue. We cannot guarantee that tests we commercialize will gain and maintain positive coverage decisions and therefore, we may never realize revenue from tests we commercialize. In addition, we are in various stages of research and development for other diagnostic solutions that we may offer, but there can be no assurance that we will be able to identify other diseases that can be effectively addressed or, if we are able to identify such diseases, whether or when we will be able to successfully commercialize solutions for these diseases and obtain the evidence and coverage decisions from payers. If we are unable to increase sales and expand reimbursement for our Afirma, Percepta, Envisia and Prosigna tests, or develop and commercialize other solutions, our revenue and our ability to achieve and sustain profitability would be impaired, and the market price of our common stock could decline.</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grow our Percepta and Envisia sales, our business may suffer.</w:t>
      </w:r>
    </w:p>
    <w:p>
      <w:pPr>
        <w:spacing w:after="0" w:line="233"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We have focused on developing a robust pulmonology business, led by our Percepta and Envisia products. Although these products have not contributed the majority of our revenue to date, we expect them to grow and become an increasingly important component of our business and results of operations. In 2021, we plan to introduce a nasal swab test for early lung cancer detection which, together with our Percepta Genomic Atlas and the Percepta GSC, we expect to form a comprehensive lung cancer portfolio that we believe may improve lung cancer diagnosis and treatment decisions. However, due to the COVID-19 pandemic, pulmonologists have been focused on treatment planning and care for COVID-19 patients and we believe fewer bronchoscopy procedures have been performed where Percepta and Envisia brushings and biopsies have been taken and sent to us for genomic testing. There can be no assurance that physicians will perform bronchoscopy procedures or send brushings or biopsies to us in sufficient volumes for our revenue to recover to pre-pandemic levels or to meet our projections. Additionally, we anticipate expanding the reach of our lung cancer tests to international markets through the distribution of the nCounter Analysis System; if our distribution of this platform is unsuccessful, or if our products are not widely adopted international, our business and results of operations may be adversely affected.</w:t>
      </w:r>
    </w:p>
    <w:p>
      <w:pPr>
        <w:spacing w:after="0" w:line="200" w:lineRule="exact"/>
        <w:rPr>
          <w:sz w:val="20"/>
          <w:szCs w:val="20"/>
          <w:color w:val="auto"/>
        </w:rPr>
      </w:pPr>
    </w:p>
    <w:p>
      <w:pPr>
        <w:jc w:val="both"/>
        <w:ind w:firstLine="12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depend on a few payers for a significant portion of our revenue and if one or more significant payers stops providing reimbursement or decreases the amount of reimbursement for our tests, our revenue could decline.</w:t>
      </w:r>
    </w:p>
    <w:p>
      <w:pPr>
        <w:spacing w:after="0" w:line="180" w:lineRule="exact"/>
        <w:rPr>
          <w:sz w:val="20"/>
          <w:szCs w:val="20"/>
          <w:color w:val="auto"/>
        </w:rPr>
      </w:pPr>
    </w:p>
    <w:p>
      <w:pPr>
        <w:jc w:val="both"/>
        <w:ind w:firstLine="375"/>
        <w:spacing w:after="0" w:line="249" w:lineRule="auto"/>
        <w:rPr>
          <w:sz w:val="20"/>
          <w:szCs w:val="20"/>
          <w:color w:val="auto"/>
        </w:rPr>
      </w:pPr>
      <w:r>
        <w:rPr>
          <w:rFonts w:ascii="Times New Roman" w:cs="Times New Roman" w:eastAsia="Times New Roman" w:hAnsi="Times New Roman"/>
          <w:sz w:val="17"/>
          <w:szCs w:val="17"/>
          <w:color w:val="auto"/>
        </w:rPr>
        <w:t>Revenue for tests performed on patients covered by Medicare and UnitedHealthcare Group was 24% and 11%, respectively, of our revenue for the year ended December 31, 2020, compared with 26% and 11%, respectively, for the year ended December 31, 2019. The percentage of our revenue derived from significant payers is expected to fluctuate from period to period as our revenue fluctuates, as additional payers provide reimbursement for our tests or if one or more payers were to stop reimbursing for our tests or change their reimbursed amounts. Effective January 2012, Palmetto GBA, the regional Medicare Administrative Contractor, or MAC, that handled claims processing for Medicare services over our jurisdiction at that time, issued coverage and payment determinations for our Afirma Classifiers now covered by Noridian Healthcare Solutions, the current MAC for our jurisdiction, through the Molecular Diagnostics Services Program, or MolDX program, administered by Palmetto GBA, under a Local Coverage Determination, or LCD.</w:t>
      </w:r>
    </w:p>
    <w:p>
      <w:pPr>
        <w:spacing w:after="0" w:line="203"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Noridian Healthcare Solutions issued an LCD for Percepta effective for services performed on or after May 2017. This coverage policy requires us to establish and maintain a Certification and Training Registry program and make Percepta available only to certain Medicare patients through physicians who participate in this program. Failure by us or physicians to comply with the requirements of the Certification and Training Registry program could lead to loss of Medicare coverage for Percepta, which could have an adverse effect on our revenue.</w:t>
      </w:r>
    </w:p>
    <w:p>
      <w:pPr>
        <w:spacing w:after="0" w:line="199"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We submitted the dossier of clinical evidence needed to obtain Medicare coverage for the Envisia Genomic Classifier through the MolDX technical assessment process in 2018, and received notice of Medicare coverage for the classifier in the first quarter of 2019, with an effective date of April 1, 2019.</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An LCD was issued for Prosigna by Palmetto GBA in August 2015, which has been in effect since October 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5" w:name="page36"/>
    <w:bookmarkEnd w:id="35"/>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On a five-year rotational basis, Medicare requests bids for its regional MAC services. Any future changes in the MAC processing or coding for Medicare claims for the Afirma, Percepta or Envisia classifiers, or for Prosigna, could result in a change in the coverage or reimbursement rates for such products, or the loss of coverage, and could also result in increased difficulties in obtaining and maintaining coverage for future products.</w:t>
      </w:r>
    </w:p>
    <w:p>
      <w:pPr>
        <w:spacing w:after="0" w:line="196"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On March 1, 2015, an American Medical Association Current Procedural Terminology code, or CPT code, 81545 for the Afirma GEC was issued. On January 1, 2018, the Medicare Clinical Laboratory Fee Schedule payment rate for the Afirma classifier increased from $3,220 to $3,600. This rate is based on the volume-weighted median of private payer rates based on final payments made between January 1 and June 30, 2016, which we reported to the Centers for Medicare &amp; Medicaid Services, or CMS, in 2017 as required under the Protecting Access to Medicare Act of 2014, or PAMA. In December 2019, through the Further Consolidated Appropriations Act of 2020, Congress delayed the next data reporting period from 2020 to 2021 for final payments made between January 1 and June 30, 2019, extending the applicability of the payment rates based on 2017 reporting by one year through December 31, 2021. In March 2020, through the Coronavirus Aid, Relief, and Economic Security, or CARES Act, Congress further delayed the next reporting period to 2022 for final payments made between January 1 and June 30, 2019, extending the applicability of the payment rates based on 2017 reporting through December 31, 2022.</w:t>
      </w:r>
    </w:p>
    <w:p>
      <w:pPr>
        <w:spacing w:after="0" w:line="207"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As a result of the transition from Afirma GEC to Afirma GSC, a new CPT Category I code (81546) was established for the Afirma classifier, effective January 1, 2021. This code went through the national payment determination process for Medicare in 2020, through which CMS priced 81546 at the same rate of $3,600 as 81545. New CPT Proprietary Laboratory Analyses, or PLA, codes have also been established for Afirma Xpression Atlas (0204U) and Afirma MTC (0208U), effective October 1, 2020. CMS has priced 0204U at the same rate of $2,919.60 as CPT 81455. The new payment rates for 81546 and 0204U became effective January 1, 2021. CMS did not price 0208U, and instead assigned the code to the “gapfilling” process, under which the individual MACs will set the payment rate for the test in 2021 based on the following four factors: 1) charges for the test and routine discounts to charges; 2) resources required to perform the test; 3) payment amounts determined by other payers; and 4) charges, payment amounts, and resources required for other tests that may be comparable or otherwise relevant. The median of payment rates set by the MACs (determined by locality) will set the payment rate for 0208U beginning in 2022. There is no assurance that the gapfilling process will not result in a lower than expected payment rate for 0208U.</w:t>
      </w:r>
    </w:p>
    <w:p>
      <w:pPr>
        <w:spacing w:after="0" w:line="204"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After 81546 is priced, we expect the volume-weighted median of private payer rates for final payments made from January through June 2019 under 81545 to be reported in January through March 2022 under 81546. We expect the weighted median of these rates to set the payment rate for the Afirma classifier (under 81546) from January 1, 2023 through December 31, 2025. There can be no assurance that the Afirma or Prosigna rates (or the rates for Afirma Xpression Atlas or Afirma MTC) will not decrease during this or a subsequent reporting cycle under PAMA.</w:t>
      </w:r>
    </w:p>
    <w:p>
      <w:pPr>
        <w:spacing w:after="0" w:line="199"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We submit claims to Medicare for Percepta using an unlisted code under the MolDX program. A specific CPT code assigned to Percepta may be required to go through the national payment determination process, and there can be no assurance that the Medicare payment rate Percepta receives through this process will not be lower than its current rate. There can also be no assurance that the Medicare payment rate for Percepta will not be reduced when it is set based on the volume-weighted median of private payer rates when we are required to report private payer rates for Percepta under PAMA.</w:t>
      </w:r>
    </w:p>
    <w:p>
      <w:pPr>
        <w:spacing w:after="0" w:line="199"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We currently submit claims to Medicare for Envisia using an unlisted code under the MolDX program. A specific CPT code (81554) was assigned to Envisia, effective January 1, 2021. We applied for New ADLT designation for Envisia, and the test was approved as a New ADLT on September 17, 2020. Effective October 1, 2020 through June 30, 2021, the Medicare payment rate for Envisia will be set at $5,500, the “actual list charge” for the test. Veracyte will report private payer rates for Envisia from March 1, 2021 through March 31, 2021, reflecting final payments between October 1, 2020 and February 28, 2021. The volume-weighted median of these reported rates will set the payment rate for Envisia from July 1, 2021 through December 31, 2022, after which Envisia will be priced based on private payer rates collected and reported annually. Insofar as the actual list charge of $5,500 substantially exceeds the reported private payer rates (by more than 30%), CMS will have the ability to recoup excess payments (above 130% of the reported private payer rate) made during the initial nine-month payment period. There can be no assurance that the Medicare payment rate for Envisia will not be reduced when it is set based on the volume-weighted median of private payer rates when we are required to report private payer rates for Envisia under PAMA, or that CMS will not recoup amounts paid for Envisia based on the difference between the actual list charge and the volume-weighted median of private payer rates reported by Veracyte.</w:t>
      </w:r>
    </w:p>
    <w:p>
      <w:pPr>
        <w:spacing w:after="0" w:line="202"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Moreover, federal Medicare funding and state budgets are limited and have been placed under tremendous strain in recent years, which is likely to be further exacerbated as a result of reduced tax receipts and greater deficit spending as a result of the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6" w:name="page37"/>
    <w:bookmarkEnd w:id="36"/>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COVID-19 pandemic. Such budgetary pressures may force Medicare or state agencies to reduce payment rates or change coverage policies. If there is a decrease in the Medicare or other payers’ payment rates for our tests, our revenue from Medicare and such payers will decrease and the payment rates for some of our commercial payers may also decrease if they tie their allowable rates to the Medicare rates. These changes could have an adverse effect on our business, financial condition and results of operations.</w:t>
      </w:r>
    </w:p>
    <w:p>
      <w:pPr>
        <w:spacing w:after="0" w:line="199"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Although we have entered into contracts with certain third-party payers that establish in-network allowable rates of reimbursement for our Afirma tests, payers may suspend or discontinue reimbursement at any time, may require or increase co-payments from patients, or may reduce the reimbursement rates paid to us. Reductions in private payer amounts could decrease the Medicare payment rates for our tests under PAMA. In addition, private payers have begun requiring prior authorization for molecular diagnostic tests. Potential reductions in reimbursement rates or increases in the difficulty of achieving payment could have a negative effect on our revenue.</w:t>
      </w:r>
    </w:p>
    <w:p>
      <w:pPr>
        <w:spacing w:after="0" w:line="197" w:lineRule="exact"/>
        <w:rPr>
          <w:sz w:val="20"/>
          <w:szCs w:val="20"/>
          <w:color w:val="auto"/>
        </w:rPr>
      </w:pPr>
    </w:p>
    <w:p>
      <w:pPr>
        <w:jc w:val="both"/>
        <w:ind w:firstLine="12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80"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Physicians might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spacing w:after="0" w:line="196" w:lineRule="exact"/>
        <w:rPr>
          <w:sz w:val="20"/>
          <w:szCs w:val="20"/>
          <w:color w:val="auto"/>
        </w:rPr>
      </w:pPr>
    </w:p>
    <w:p>
      <w:pPr>
        <w:ind w:left="600" w:hanging="301"/>
        <w:spacing w:after="0"/>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experimental or investigational;</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pre-authorized and appropriate for the specific patient;</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cost-effective;</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supported by peer-reviewed publications; and</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clinical practice guidelines.</w:t>
      </w:r>
    </w:p>
    <w:p>
      <w:pPr>
        <w:spacing w:after="0" w:line="229"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Since each payer makes its own decision as to whether to establish a coverage policy or enter into a contract to reimburse our tests, seeking these approvals is a time-consuming and costly process.</w:t>
      </w:r>
    </w:p>
    <w:p>
      <w:pPr>
        <w:spacing w:after="0" w:line="184"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We do not have a contracted rate of reimbursement with some payers for our tests. Without a contracted rate for reimbursement, our claims are often denied upon submission, and we must appeal the claims. The appeals process is time consuming and expensive, and may not result in payment. In cases where there is no contracted rate for reimbursement, there is typically a greater patient co-insurance or co-payment requirement which may result in further delay or decreased likelihood of collection. Payers may attempt to recoup prior payments after review, sometimes after significant time has passed, which would impact future revenue.</w:t>
      </w:r>
    </w:p>
    <w:p>
      <w:pPr>
        <w:spacing w:after="0" w:line="199"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We expect to continue to focus substantial resources on increasing adoption, coverage and reimbursement for the Afirma, Percepta, and Envisia classifiers, Prosigna and any other future tests we may develop. We believe it will take several years to achieve coverage and contracted reimbursement with a majority of third-party payers. We cannot predict whether, under what circumstances, or at what payment levels payers will reimburse for our tests. Also, payer consolidation is underway and creates uncertainty as to whether coverage and contracts with existing payers will remain in effect. Finally, if there is a decrease in the Medicare payment rates for our tests, the payment rates for some of our commercial payers may also decrease if they tie their allowable rates to the Medicare rates. Reductions in private payer amounts could decrease the Medicare payment rates for our tests under PAMA. Our failure to establish broad adoption of and reimbursement for our tests, or our inability to maintain existing reimbursement from payers, will negatively impact our ability to generate revenue and achieve profitability, as well as our future prospects and our business.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We may experience limits on our revenue if physicians decide not to order our tests.</w:t>
      </w:r>
    </w:p>
    <w:p>
      <w:pPr>
        <w:spacing w:after="0" w:line="233"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If we are unable to create or maintain demand for our tests in sufficient volume, we may not become profitable. To generate demand, we will need to continue to educate physicians about the benefits and cost-effectiveness of our tests through</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7" w:name="page38"/>
    <w:bookmarkEnd w:id="37"/>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published papers, presentations at scientific conferences, marketing campaigns and one-on-one education by our sales force. In addition, our ability to obtain and maintain adequate reimbursement from third-party payers will be critical to generating revenue. Moreover, many patients have been deferring elective procedures and medical visits as a result of the COVID-19 pandemic, and we have experienced, and expect to continue to experience, a significant reduction in patient demand or physician recommendations, which has and may continue to adversely affect our business.</w:t>
      </w:r>
    </w:p>
    <w:p>
      <w:pPr>
        <w:spacing w:after="0" w:line="199"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The Afirma genomic classifier is included in most physician practice guidelines in the United States for the assessment of patients with thyroid nodules. However, historical practice recommended a full or partial thyroidectomy in cases where cytopathology results were indeterminate to confirm a diagnosis. Our lung products are not yet integrated into practice guidelines and physicians may be reluctant to order tests that are not recommended in these guidelines. The Prosigna test is included in practice guidelines in the United States and internationally but faces competition from other products. Because our Afirma, Percepta and Envisia testing services are performed by our certified laboratory under the Clinical Laboratory Improvement Amendments of 1988, or CLIA, rather than by the local laboratory or pathology practice, pathologists may be reluctant to support our testing services as well. Guidelines that include our tests currently may subsequently be revised to recommend another testing protocol, and these changes may result in physicians deciding not to use our tests. Lack of guideline inclusion could limit the adoption of our tests and our ability to generate revenue and achieve profitability. To the extent international markets have existing practices and standards of care that are different than those in the United States, we may face challenges with the adoption of our tests in international markets.</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We may experience limits on our revenue if patients decide not to use our tests.</w:t>
      </w:r>
    </w:p>
    <w:p>
      <w:pPr>
        <w:spacing w:after="0" w:line="233"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We expect to continue to see pressure from payers to limit the utilization of tests, generally, and we believe more payers are deploying costs containment tactics, such as pre-authorization and employing laboratory benefit managers to reduce utilization rates. Implementation of provisions of the Patient Protection and Affordable Care Act, as amended by the Health Care and Education Affordability Reconciliation Act, collectively the ACA, has also resulted in increases in premiums and reductions in coverage for some patients. In addition, judicial challenges to and Congressional efforts to repeal the ACA could result in an increase in uninsured patients. These events may result in patients delaying or forgoing medical checkups or treatment due to their inability to pay for our tests, which could have an adverse effect on our revenue. Many patients have been deferring elective procedures and medical visits as a result of the COVID-19 pandemic, and we have experienced, and may continue to experience, a significant reduction in patient demand, which has and may continue to adversely affect our business.</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If we fail to comply with federal and state licensing requirements, we could lose the ability to perform our tests or experience disruptions to our business.</w:t>
      </w:r>
    </w:p>
    <w:p>
      <w:pPr>
        <w:spacing w:after="0" w:line="233" w:lineRule="exact"/>
        <w:rPr>
          <w:sz w:val="20"/>
          <w:szCs w:val="20"/>
          <w:color w:val="auto"/>
        </w:rPr>
      </w:pPr>
    </w:p>
    <w:p>
      <w:pPr>
        <w:jc w:val="both"/>
        <w:ind w:firstLine="375"/>
        <w:spacing w:after="0" w:line="249" w:lineRule="auto"/>
        <w:rPr>
          <w:sz w:val="20"/>
          <w:szCs w:val="20"/>
          <w:color w:val="auto"/>
        </w:rPr>
      </w:pPr>
      <w:r>
        <w:rPr>
          <w:rFonts w:ascii="Times New Roman" w:cs="Times New Roman" w:eastAsia="Times New Roman" w:hAnsi="Times New Roman"/>
          <w:sz w:val="17"/>
          <w:szCs w:val="17"/>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personnel qualifications, facilities administration, quality systems, inspections, and proficiency testing. CLIA certification is also required for us to be eligible to bill state and federal healthcare programs, as well as many private third-party payers. To renew these certifications, we are subject to survey and inspection every two years. Moreover, CLIA inspectors may make random inspections of our clinical reference laboratories. If fail to maintain CLIA certificates in our South San Francisco, California or Austin, Texas laboratory locations, we would be unable to bill for services provided by state and federal healthcare programs, as well as many private third-party payers, which may have an adverse effect on our business, financial condition and results of operations.</w:t>
      </w:r>
    </w:p>
    <w:p>
      <w:pPr>
        <w:spacing w:after="0" w:line="203" w:lineRule="exact"/>
        <w:rPr>
          <w:sz w:val="20"/>
          <w:szCs w:val="20"/>
          <w:color w:val="auto"/>
        </w:rPr>
      </w:pPr>
    </w:p>
    <w:p>
      <w:pPr>
        <w:jc w:val="both"/>
        <w:ind w:firstLine="375"/>
        <w:spacing w:after="0" w:line="268" w:lineRule="auto"/>
        <w:rPr>
          <w:sz w:val="20"/>
          <w:szCs w:val="20"/>
          <w:color w:val="auto"/>
        </w:rPr>
      </w:pPr>
      <w:r>
        <w:rPr>
          <w:rFonts w:ascii="Times New Roman" w:cs="Times New Roman" w:eastAsia="Times New Roman" w:hAnsi="Times New Roman"/>
          <w:sz w:val="16"/>
          <w:szCs w:val="16"/>
          <w:color w:val="auto"/>
        </w:rPr>
        <w:t>We are also required to maintain state licenses to conduct testing in our laboratories. California, New York, and Texas, among other states’ laws, require that we maintain a license and comply with state regulation as a clinical laboratory. Other states may have similar requirements or may adopt similar requirements in the future. In addition, both of our clinical laboratories are required to be licensed on a test-specific basis by New York State. We have received approval for the Afirma, Percepta and Envisia tests. We will be required to obtain approval for other tests we may offer in the future. If we were to lose our CLIA certificate or California license for our South San Francisco laboratory, whether as a result of revocation, suspension or limitation, we would no longer be able to perform our molecular tests, which would eliminate our primary source of revenue and harm our business. If we fail to meet the state licensing requirements for our Austin laboratory, we would need to move the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8" w:name="page39"/>
    <w:bookmarkEnd w:id="38"/>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receipt and storage of fine needle aspirations, or FNAs, as well as the slide preparation for cytopathology, to South San Francisco, which could result in a delay in processing tests during that transition and increased costs. If we were to lose our licenses issued by New York or by other states where we are required to hold licenses, we would not be able to test specimens from those states. New tests we may develop may be subject to new approvals by regulatory bodies such as New York State, and we may not be able to offer our new tests until such approvals are received.</w:t>
      </w:r>
    </w:p>
    <w:p>
      <w:pPr>
        <w:spacing w:after="0" w:line="195" w:lineRule="exact"/>
        <w:rPr>
          <w:sz w:val="20"/>
          <w:szCs w:val="20"/>
          <w:color w:val="auto"/>
        </w:rPr>
      </w:pPr>
    </w:p>
    <w:p>
      <w:pPr>
        <w:jc w:val="both"/>
        <w:ind w:firstLine="12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The pending acquisition of Decipher may present many risks and we may not realize the strategic and financial goals that were contemplated at the time we entered into the Merger Agreement</w:t>
      </w:r>
      <w:r>
        <w:rPr>
          <w:rFonts w:ascii="Times New Roman" w:cs="Times New Roman" w:eastAsia="Times New Roman" w:hAnsi="Times New Roman"/>
          <w:sz w:val="17"/>
          <w:szCs w:val="17"/>
          <w:color w:val="auto"/>
        </w:rPr>
        <w:t>.</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Risks we may face in connection with the pending acquisition and subsequent integration of Decipher include:</w:t>
      </w:r>
    </w:p>
    <w:p>
      <w:pPr>
        <w:spacing w:after="0" w:line="154" w:lineRule="exact"/>
        <w:rPr>
          <w:sz w:val="20"/>
          <w:szCs w:val="20"/>
          <w:color w:val="auto"/>
        </w:rPr>
      </w:pPr>
    </w:p>
    <w:p>
      <w:pPr>
        <w:ind w:left="600" w:hanging="301"/>
        <w:spacing w:after="0" w:line="270" w:lineRule="auto"/>
        <w:tabs>
          <w:tab w:leader="none" w:pos="59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closing of the acquisition could be delayed or not consummated, including in the event that the closing conditions are not satisfied or waived or we or Decipher terminate the Merger Agreement;</w:t>
      </w:r>
    </w:p>
    <w:p>
      <w:pPr>
        <w:spacing w:after="0" w:line="109"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realize the benefits we expect to receive from the transaction, such as anticipated synergies and an enhanced menu of genomic tests;</w:t>
      </w:r>
    </w:p>
    <w:p>
      <w:pPr>
        <w:spacing w:after="0" w:line="154" w:lineRule="exact"/>
        <w:rPr>
          <w:rFonts w:ascii="Times New Roman" w:cs="Times New Roman" w:eastAsia="Times New Roman" w:hAnsi="Times New Roman"/>
          <w:sz w:val="17"/>
          <w:szCs w:val="17"/>
          <w:color w:val="auto"/>
        </w:rPr>
      </w:pPr>
    </w:p>
    <w:p>
      <w:pPr>
        <w:ind w:left="600" w:hanging="301"/>
        <w:spacing w:after="0" w:line="270" w:lineRule="auto"/>
        <w:tabs>
          <w:tab w:leader="none" w:pos="59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closing conditions to the acquisition may not be satisfied or waived, including that the expiration or termination of the applicable waiting period may not be satisfied or waived under the Hart-Scott-Rodino Antitrust Improvements Act of 1976, as amended;</w:t>
      </w:r>
    </w:p>
    <w:p>
      <w:pPr>
        <w:spacing w:after="0" w:line="109"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have difficulties managing Decipher’s products and tests or retaining key personnel from Decipher;</w:t>
      </w:r>
    </w:p>
    <w:p>
      <w:pPr>
        <w:spacing w:after="0" w:line="154" w:lineRule="exact"/>
        <w:rPr>
          <w:rFonts w:ascii="Times New Roman" w:cs="Times New Roman" w:eastAsia="Times New Roman" w:hAnsi="Times New Roman"/>
          <w:sz w:val="17"/>
          <w:szCs w:val="17"/>
          <w:color w:val="auto"/>
        </w:rPr>
      </w:pPr>
    </w:p>
    <w:p>
      <w:pPr>
        <w:jc w:val="both"/>
        <w:ind w:left="600" w:hanging="301"/>
        <w:spacing w:after="0" w:line="257" w:lineRule="auto"/>
        <w:tabs>
          <w:tab w:leader="none" w:pos="59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may not further our business strategy as we expected, we may not successfully integrate Decipher as planned, there could be unanticipated adverse impacts on Decipher’s business, or we may otherwise not realize the expected return on our investments, which could adversely affect our business or operating results and potentially cause impairment to assets that we record as a part of an acquisition including intangible assets and goodwill;</w:t>
      </w:r>
    </w:p>
    <w:p>
      <w:pPr>
        <w:spacing w:after="0" w:line="121" w:lineRule="exact"/>
        <w:rPr>
          <w:rFonts w:ascii="Times New Roman" w:cs="Times New Roman" w:eastAsia="Times New Roman" w:hAnsi="Times New Roman"/>
          <w:sz w:val="17"/>
          <w:szCs w:val="17"/>
          <w:color w:val="auto"/>
        </w:rPr>
      </w:pPr>
    </w:p>
    <w:p>
      <w:pPr>
        <w:jc w:val="both"/>
        <w:ind w:left="600" w:hanging="301"/>
        <w:spacing w:after="0" w:line="257" w:lineRule="auto"/>
        <w:tabs>
          <w:tab w:leader="none" w:pos="59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Merger Agreement does not provide for post-closing indemnification protection related to pre-closing Decipher operations and, therefore, we may incur unforeseen costs as a result of Decipher’s pre-closing activities, over which we have limited control, including Decipher’s breach of the covenants contained in the Merger Agreement;</w:t>
      </w:r>
    </w:p>
    <w:p>
      <w:pPr>
        <w:spacing w:after="0" w:line="121" w:lineRule="exact"/>
        <w:rPr>
          <w:rFonts w:ascii="Times New Roman" w:cs="Times New Roman" w:eastAsia="Times New Roman" w:hAnsi="Times New Roman"/>
          <w:sz w:val="17"/>
          <w:szCs w:val="17"/>
          <w:color w:val="auto"/>
        </w:rPr>
      </w:pPr>
    </w:p>
    <w:p>
      <w:pPr>
        <w:jc w:val="both"/>
        <w:ind w:left="600" w:hanging="301"/>
        <w:spacing w:after="0" w:line="251" w:lineRule="auto"/>
        <w:tabs>
          <w:tab w:leader="none" w:pos="59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operating results or financial condition may be adversely impacted by (i) claims or liabilities related to Decipher’s business including, among others, claims from U.S. or international regulatory or other governmental agencies, terminated employees, current or former customers or business partners, or other third parties; (ii) pre-existing contractual relationships of Decipher that we would not have otherwise entered into, the termination or modification of which may be costly or disruptive to our business; (iii) unfavorable accounting treatment as a result of Decipher’s practices; and (iv) intellectual property claims or disputes;</w:t>
      </w:r>
    </w:p>
    <w:p>
      <w:pPr>
        <w:spacing w:after="0" w:line="126" w:lineRule="exact"/>
        <w:rPr>
          <w:rFonts w:ascii="Times New Roman" w:cs="Times New Roman" w:eastAsia="Times New Roman" w:hAnsi="Times New Roman"/>
          <w:sz w:val="17"/>
          <w:szCs w:val="17"/>
          <w:color w:val="auto"/>
        </w:rPr>
      </w:pPr>
    </w:p>
    <w:p>
      <w:pPr>
        <w:jc w:val="both"/>
        <w:ind w:left="600" w:hanging="301"/>
        <w:spacing w:after="0" w:line="253" w:lineRule="auto"/>
        <w:tabs>
          <w:tab w:leader="none" w:pos="59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Decipher was not required to maintain an internal control infrastructure that would meet the standards of a public company, including the requirements of the Sarbanes-Oxley Act of 2002. The costs that we may incur to implement such controls and procedures may be substantial and we could encounter unexpected delays and challenges in this implementation. In addition, we may discover significant deficiencies or material weaknesses in the quality of Decipher’s financial and disclosure controls and procedures;</w:t>
      </w:r>
    </w:p>
    <w:p>
      <w:pPr>
        <w:spacing w:after="0" w:line="124" w:lineRule="exact"/>
        <w:rPr>
          <w:rFonts w:ascii="Times New Roman" w:cs="Times New Roman" w:eastAsia="Times New Roman" w:hAnsi="Times New Roman"/>
          <w:sz w:val="17"/>
          <w:szCs w:val="17"/>
          <w:color w:val="auto"/>
        </w:rPr>
      </w:pPr>
    </w:p>
    <w:p>
      <w:pPr>
        <w:ind w:left="600" w:hanging="301"/>
        <w:spacing w:after="0" w:line="270" w:lineRule="auto"/>
        <w:tabs>
          <w:tab w:leader="none" w:pos="59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Decipher operates in segments of the diagnostic market that we have less experience with, including urology, and our further expansion of operations into these areas could present various integration challenges and result in increased costs and other unforeseen challenges; and</w:t>
      </w:r>
    </w:p>
    <w:p>
      <w:pPr>
        <w:spacing w:after="0" w:line="109" w:lineRule="exact"/>
        <w:rPr>
          <w:rFonts w:ascii="Times New Roman" w:cs="Times New Roman" w:eastAsia="Times New Roman" w:hAnsi="Times New Roman"/>
          <w:sz w:val="17"/>
          <w:szCs w:val="17"/>
          <w:color w:val="auto"/>
        </w:rPr>
      </w:pPr>
    </w:p>
    <w:p>
      <w:pPr>
        <w:jc w:val="both"/>
        <w:ind w:left="600" w:hanging="301"/>
        <w:spacing w:after="0" w:line="257" w:lineRule="auto"/>
        <w:tabs>
          <w:tab w:leader="none" w:pos="59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fail to identify or assess the magnitude of certain liabilities, shortcomings or other circumstances prior to acquiring Decipher, which could result in unexpected litigation or regulatory exposure, unfavorable accounting treatment, a diversion of management’s attention and resources, and other adverse effects on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9" w:name="page40"/>
    <w:bookmarkEnd w:id="39"/>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12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If our general strategy of seeking growth through acquisitions and collaborations is not successful, or if we do not successfully integrate companies or assets that we acquire into our business, our prospects and financial condition will suffer.</w:t>
      </w:r>
    </w:p>
    <w:p>
      <w:pPr>
        <w:spacing w:after="0" w:line="180"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As an element of our growth strategy, we may pursue opportunities to license assets or purchase companies or assets that we believe would complement our current business or help us expand into new markets. For example, in December 2019, we acquired the nCounter Analysis System and Prosigna test from NanoString, and we may pursue additional acquisitions of complementary businesses or assets as part of our business strategy. There can be no assurance that we will successfully integrate the assets acquired from such acquisitions into our existing business, in general, or that our exclusive worldwide license to the nCounter Analysis System for in vitro diagnostic use granted by NanoString will allow us to expand our international reach as anticipated. This and any future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204"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To finance any acquisitions or investments, we have previously issued and may choose in the future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 Our Loan and Security Agreement with Silicon Valley Bank contains covenants that could limit our ability to sell debt securities or obtain additional debt financing arrangements, which could affect our ability to finance acquisitions or investments other than through the issuance of stock.</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Our future success and international growth depends, in part, on our ability to adapt select tests to be performed on the nCounter Analysis System.</w:t>
      </w:r>
    </w:p>
    <w:p>
      <w:pPr>
        <w:spacing w:after="0" w:line="233" w:lineRule="exact"/>
        <w:rPr>
          <w:sz w:val="20"/>
          <w:szCs w:val="20"/>
          <w:color w:val="auto"/>
        </w:rPr>
      </w:pPr>
    </w:p>
    <w:p>
      <w:pPr>
        <w:jc w:val="both"/>
        <w:ind w:firstLine="375"/>
        <w:spacing w:after="0" w:line="271" w:lineRule="auto"/>
        <w:rPr>
          <w:sz w:val="20"/>
          <w:szCs w:val="20"/>
          <w:color w:val="auto"/>
        </w:rPr>
      </w:pPr>
      <w:r>
        <w:rPr>
          <w:rFonts w:ascii="Times New Roman" w:cs="Times New Roman" w:eastAsia="Times New Roman" w:hAnsi="Times New Roman"/>
          <w:sz w:val="16"/>
          <w:szCs w:val="16"/>
          <w:color w:val="auto"/>
        </w:rPr>
        <w:t>Our strategy to expand into international markets depends on our ability to successfully distribute the nCounter Analysis System, adapt our menu of diagnostic tests for the platform, and secure necessary regulatory approvals. Currently, the Prosigna breast cancer assay is the only commercially-available test on the platform. If we are not able to adapt our other current or future genomic classifiers to be performed on the nCounter Analysis System, or if the nCounter Analysis System fails to be competitive against other diagnostic tests, our prospects for growth could suffer. In addition, to the extent international markets have existing practices and standards of care that are different than those in the United States, we may face challenges with the adoption of the nCounter Analysis System in international markets.</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If we are not successful in advancing our collaborations with Johnson &amp; Johnson and others, our prospects and financial condition will suffer.</w:t>
      </w:r>
    </w:p>
    <w:p>
      <w:pPr>
        <w:spacing w:after="0" w:line="233"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We have previously entered into technology licensing and collaboration arrangements, such as our collaborations with Johnson &amp; Johnson in December 2018, with Acerta Pharma, the hematology research and development arm of AstraZeneca, in December 2019, with CareDx in May 2020 and our investment in MAVIDx in July 2020, reflecting important elements of our business strategy. We also may pursue additional strategic alliances that leverage our core technology and industry experience to expand our offerings or distribution, or make investments in other companies. However, we have limited experience with respect to the formation of strategic alliances and joint ventures. There can be no assurance that we will successfully identify or complete these transactions in a timely manner, on a cost-effective basis, or at all, and we may not realize the anticipated benefits of any technology license, strategic alliance, joint venture or investment.</w:t>
      </w:r>
    </w:p>
    <w:p>
      <w:pPr>
        <w:spacing w:after="0" w:line="197" w:lineRule="exact"/>
        <w:rPr>
          <w:sz w:val="20"/>
          <w:szCs w:val="20"/>
          <w:color w:val="auto"/>
        </w:rPr>
      </w:pPr>
    </w:p>
    <w:p>
      <w:pPr>
        <w:jc w:val="both"/>
        <w:ind w:firstLine="12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rely on sole suppliers for some of the reagents, equipment and other materials used to perform our tests, and we may not be able to find replacements or transition to alternative suppliers.</w:t>
      </w:r>
    </w:p>
    <w:p>
      <w:pPr>
        <w:spacing w:after="0" w:line="180" w:lineRule="exact"/>
        <w:rPr>
          <w:sz w:val="20"/>
          <w:szCs w:val="20"/>
          <w:color w:val="auto"/>
        </w:rPr>
      </w:pPr>
    </w:p>
    <w:p>
      <w:pPr>
        <w:jc w:val="both"/>
        <w:ind w:firstLine="375"/>
        <w:spacing w:after="0" w:line="281" w:lineRule="auto"/>
        <w:rPr>
          <w:sz w:val="20"/>
          <w:szCs w:val="20"/>
          <w:color w:val="auto"/>
        </w:rPr>
      </w:pPr>
      <w:r>
        <w:rPr>
          <w:rFonts w:ascii="Times New Roman" w:cs="Times New Roman" w:eastAsia="Times New Roman" w:hAnsi="Times New Roman"/>
          <w:sz w:val="16"/>
          <w:szCs w:val="16"/>
          <w:color w:val="auto"/>
        </w:rPr>
        <w:t>We rely on sole suppliers for critical supply of reagents, equipment and other materials that we use to perform our tests and for the manufacture of the nCounter Analysis System for diagnostic use and Prosigna test kits sold to customers. We also purchase components used in our sample collection kits from sole-source suppliers. Some of these items are unique to these suppliers and vendors. In addition, we utilize a sole source to assemble and distribute our sample collection kits. We rely 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0" w:name="page41"/>
    <w:bookmarkEnd w:id="40"/>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NanoString for the supply of the nCounter Analysis System for diagnostic use and Prosigna test kits. While we have developed alternate sourcing strategies for these materials and vendors, we cannot be certain whether these strategies will be effective or the alternative sources will be available when we need them. Moreover, the supply of key reagents and testing materials has been severely challenged by the COVID-19 pandemic. In October 2020, we experienced supply chain disruptions in the supply of plastic materials used in the processing of samples, although this has not resulted in delays in our ability to timely return test results. If these suppliers can no longer provide us with the materials we need to perform the tests and for our sample collection kits, if the materials do not meet our quality specifications or are otherwise unusable, if we cannot obtain acceptable substitute materials, or if we elect to change suppliers, an interruption in test processing or system and test kit deliveries could occur, we may not be able to deliver patient reports and we may incur higher one-time switching costs.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supplies were available. If our test volume decreases or we switch suppliers, we may hold excess supplies with expiration dates that occur before use which would adversely affect our losses and cash flow position. As we introduce any new test, we may experience supply issues as we ramp test volume. Moreover, the COVID-19 pandemic has disrupted supply chains globally, and could adversely affect our ability to source essential reagents, equipment and other materials in a timely manner or at all.</w:t>
      </w:r>
    </w:p>
    <w:p>
      <w:pPr>
        <w:spacing w:after="0" w:line="203" w:lineRule="exact"/>
        <w:rPr>
          <w:sz w:val="20"/>
          <w:szCs w:val="20"/>
          <w:color w:val="auto"/>
        </w:rPr>
      </w:pPr>
    </w:p>
    <w:p>
      <w:pPr>
        <w:jc w:val="both"/>
        <w:ind w:firstLine="12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depend on a specialized cytopathology practice to perform the cytopathology component of our Afirma test, and our ability to perform our diagnostic solution would be harmed if we were required to secure a replacement.</w:t>
      </w:r>
    </w:p>
    <w:p>
      <w:pPr>
        <w:spacing w:after="0" w:line="180" w:lineRule="exact"/>
        <w:rPr>
          <w:sz w:val="20"/>
          <w:szCs w:val="20"/>
          <w:color w:val="auto"/>
        </w:rPr>
      </w:pPr>
    </w:p>
    <w:p>
      <w:pPr>
        <w:jc w:val="both"/>
        <w:ind w:firstLine="375"/>
        <w:spacing w:after="0" w:line="274" w:lineRule="auto"/>
        <w:rPr>
          <w:sz w:val="20"/>
          <w:szCs w:val="20"/>
          <w:color w:val="auto"/>
        </w:rPr>
      </w:pPr>
      <w:r>
        <w:rPr>
          <w:rFonts w:ascii="Times New Roman" w:cs="Times New Roman" w:eastAsia="Times New Roman" w:hAnsi="Times New Roman"/>
          <w:sz w:val="16"/>
          <w:szCs w:val="16"/>
          <w:color w:val="auto"/>
        </w:rPr>
        <w:t>We rely on Thyroid Cytopathology Partners, or TCP, to provide cytopathology professional diagnoses on thyroid FNA samples pursuant to a pathology services agreement. Pursuant to this agreement, as amended, TCP has the exclusive right to provide our cytopathology diagnoses on FNA samples at a fixed price per test. Until February 2019, TCP also previously subleased a portion of our facility in Austin, Texas. Our agreement with TCP is effective through October 31, 2022, and thereafter automatically renews every year unless either party provides notice of intent not to renew at least 12 months prior to the end of the then-current term.</w:t>
      </w:r>
    </w:p>
    <w:p>
      <w:pPr>
        <w:spacing w:after="0" w:line="184"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If TCP were not able to support our current test volume or future increases in test volume or to provide the quality of services we require, or if we were unable to agree on commercial terms and our relationship with TCP were to terminate, our business would be harmed until we were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Afirma tests until a replacement was fully integrated with our test processing operations.</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Due to how we recognize revenue, our quarterly operating results are likely to fluctuate.</w:t>
      </w:r>
    </w:p>
    <w:p>
      <w:pPr>
        <w:spacing w:after="0" w:line="233"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We recognize test revenue upon delivery of the patient report to the prescribing physician based on the amount we expect to ultimately realize. We determine the amount we expect to ultimately realize based on payer reimbursement history, contracts, and coverage. Upon ultimate collection, the amount received is compared to the estimates and the amount accrued is adjusted accordingly. We cannot be certain as to when we will receive payment for our diagnostic tests, and we must appeal negative payment decisions, which delays collections. Should judgments underlying estimated reimbursement change or be incorrect at the time we accrued such revenue, our financial results could be negatively impacted in future quarters. As a result, comparing our operating results on a period-to-period basis may not be meaningful. You should not rely on our past results as an indication of our future performance. In addition, these fluctuations in revenue may make it difficult for us, for research analysts and for investors to accurately forecast our revenue and operating results. If our revenue or operating results fall below expectations, the price of our common stock would likely decline.</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manage our future growth effectively, which could make it difficult to execute our business strategy.</w:t>
      </w:r>
    </w:p>
    <w:p>
      <w:pPr>
        <w:spacing w:after="0" w:line="233"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internally-developed data warehouse, which is critical to our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1" w:name="page42"/>
    <w:bookmarkEnd w:id="41"/>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If we are unable to manage our growth effectively, it may be difficult for us to execute our business strategy and our business could be harmed.</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support demand for our commercial tests, our business could suffer.</w:t>
      </w:r>
    </w:p>
    <w:p>
      <w:pPr>
        <w:spacing w:after="0" w:line="233" w:lineRule="exact"/>
        <w:rPr>
          <w:sz w:val="20"/>
          <w:szCs w:val="20"/>
          <w:color w:val="auto"/>
        </w:rPr>
      </w:pPr>
    </w:p>
    <w:p>
      <w:pPr>
        <w:jc w:val="both"/>
        <w:ind w:firstLine="375"/>
        <w:spacing w:after="0" w:line="249" w:lineRule="auto"/>
        <w:rPr>
          <w:sz w:val="20"/>
          <w:szCs w:val="20"/>
          <w:color w:val="auto"/>
        </w:rPr>
      </w:pPr>
      <w:r>
        <w:rPr>
          <w:rFonts w:ascii="Times New Roman" w:cs="Times New Roman" w:eastAsia="Times New Roman" w:hAnsi="Times New Roman"/>
          <w:sz w:val="17"/>
          <w:szCs w:val="17"/>
          <w:color w:val="auto"/>
        </w:rPr>
        <w:t>As demand for our tests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quality control issues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99" w:lineRule="exact"/>
        <w:rPr>
          <w:sz w:val="20"/>
          <w:szCs w:val="20"/>
          <w:color w:val="auto"/>
        </w:rPr>
      </w:pPr>
    </w:p>
    <w:p>
      <w:pPr>
        <w:jc w:val="both"/>
        <w:ind w:firstLine="12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Changes in healthcare policy, including legislation reforming the U.S. healthcare system, may have a material adverse effect on our financial condition and operations.</w:t>
      </w:r>
    </w:p>
    <w:p>
      <w:pPr>
        <w:spacing w:after="0" w:line="180"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The ACA, enacted in March 2010, made changes that significantly affected the pharmaceutical and medical device industries and clinical laboratories. Along with the now-repealed 2.3% excise tax on the sale of certain medical devices sold outside of the retail setting, 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w:t>
      </w:r>
    </w:p>
    <w:p>
      <w:pPr>
        <w:spacing w:after="0" w:line="201"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In the beginning of 2017, the U.S. Congress and the Administration took actions to repeal the ACA and indicated an intent to replace it with another act and efforts to challenge, repeal or amend the ACA are ongoing. We cannot predict if, or when, the ACA will be repealed or amended, and cannot predict the impact that an amendment or repeal of the ACA will have on our business.</w:t>
      </w:r>
    </w:p>
    <w:p>
      <w:pPr>
        <w:spacing w:after="0" w:line="196"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In addition to the ACA, various healthcare reform proposals have also periodically emerged from federal and state governments. For example, in February 2012, Congress passed the Middle Class Tax Relief and Job Creation Act of 2012, which in part reset the clinical laboratory payment rates on the Medicare Clinical Laboratory Fee Schedule, or CLFS, by 2% in 2013. In addition, under the Budget Control Act of 2011, which is effective for dates of service on or after April 1, 2013, Medicare payments, including payments to clinical laboratories, are subject to a reduction of 2% due to the automatic expense reductions (sequester) until fiscal year 2024. In March 2020, Congress passed the CARES Act, which suspended the 2% reduction in Medicare fee-for-service payments from May 1, 2020 through December 31, 2020. To account for this temporary suspension, the legislation also extends the effect of sequestration by a year (now through fiscal year 2030). Reductions resulting from the Congressional sequester are applied to total claims payment made; however, they do not currently result in a rebasing of the negotiated or established Medicare or Medicaid reimbursement rates. In December 2020, Congress passed the Consolidated Appropriations Act of 2021, or CAA, which extended the suspension through March 31, 2021.</w:t>
      </w:r>
    </w:p>
    <w:p>
      <w:pPr>
        <w:spacing w:after="0" w:line="204"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State legislation on reimbursement applies to Medicaid reimbursement and managed Medicaid reimbursement rates within that state. Some states have passed or proposed legislation that would revise the reimbursement methodology for clinical laboratory payment rates under those Medicaid programs. For example, effective July 2015, California’s Department of Health Care Services implemented a new rate methodology for clinical laboratories and laboratory services. This methodology involves the use of a range of rates that fell between zero and 80% of the calculated California-specific Medicare rate and the calculation of a weighted average (based on units billed) of such rates.</w:t>
      </w:r>
    </w:p>
    <w:p>
      <w:pPr>
        <w:spacing w:after="0" w:line="201"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2" w:name="page43"/>
    <w:bookmarkEnd w:id="42"/>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subject our business to foreign regulatory requirements and cost-reduction measures, which may also change over time.</w:t>
      </w:r>
    </w:p>
    <w:p>
      <w:pPr>
        <w:spacing w:after="0" w:line="196"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Ongoing calls for deficit reduction at the federal government level and reforms to programs such as the Medicare program to pay for such reductions may affect the pharmaceutical, medical device and clinical laboratory industries. Currently, clinical laboratory services are excluded from the Medicare Part B co-insurance and co-payment as preventative services. Any requirement for clinical laboratories to collect co-payments from patients may increase our costs and reduce the amount ultimately collected.</w:t>
      </w:r>
    </w:p>
    <w:p>
      <w:pPr>
        <w:spacing w:after="0" w:line="199"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CMS bundles payments for clinical laboratory diagnostic tests together with other services performed during hospital outpatient visits under the Hospital Outpatient Prospective Payment System. CMS currently maintains an exemption for molecular pathology tests from this bundling provision. It is possible that this exemption could be removed by CMS in future rule making, which might result in lower reimbursement for tests performed in this setting.</w:t>
      </w:r>
    </w:p>
    <w:p>
      <w:pPr>
        <w:spacing w:after="0" w:line="196" w:lineRule="exact"/>
        <w:rPr>
          <w:sz w:val="20"/>
          <w:szCs w:val="20"/>
          <w:color w:val="auto"/>
        </w:rPr>
      </w:pPr>
    </w:p>
    <w:p>
      <w:pPr>
        <w:jc w:val="both"/>
        <w:ind w:firstLine="375"/>
        <w:spacing w:after="0" w:line="247" w:lineRule="auto"/>
        <w:rPr>
          <w:sz w:val="20"/>
          <w:szCs w:val="20"/>
          <w:color w:val="auto"/>
        </w:rPr>
      </w:pPr>
      <w:r>
        <w:rPr>
          <w:rFonts w:ascii="Times New Roman" w:cs="Times New Roman" w:eastAsia="Times New Roman" w:hAnsi="Times New Roman"/>
          <w:sz w:val="17"/>
          <w:szCs w:val="17"/>
          <w:color w:val="auto"/>
        </w:rPr>
        <w:t>PAMA includes a substantial new payment system for clinical laboratory tests under the CLFS. Under PAMA, laboratories that receive the majority of their Medicare revenues from payments made under the CLFS and the Physician Fee Schedule would report on a triennial basis (or annually for ADLTs), private payer rates and volumes for their tests with specific CPT codes based on final payments made during a set data collection period (the first of which was January 1 through June 30, 2016). We believe that PAMA and its implementing regulations are generally favorable to us. We reported to CMS the data required under PAMA before the March 31, 2017 deadline. The new payment rate for the Afirma genomic classifier based on the volume-weighted median of private payer rates took effect January 1, 2018, increasing from $3,220 to $3,600 through December 31, 2020. In December 2019, through the Further Consolidated Appropriations Act of 2020, Congress delayed the next data reporting period from 2020 to 2021 for final payments made between January 1 and June 30, 2019, extending the applicability of the current rate for Afirma through December 31, 2021. In March 2020, through the CARES Act, Congress further delayed the next reporting period to 2022 for final payments made between January 1 and June 30, 2019, extending the applicability of the payment rates based on 2017 reporting through December 31, 2022. We expect the weighted median of the rates for final payments made between January 1 and June 30, 2019 to set the payment rate for the Afirma classifier from January 1, 2023 through December 31, 2025. There can be no assurance that the payment rate for Afirma or Prosigna will not decrease in the future or that the payment rates for Afirma Xpression Atlas, Afirma MTC, or Percepta will not be adversely affected by the PAMA law and regulations.</w:t>
      </w:r>
    </w:p>
    <w:p>
      <w:pPr>
        <w:spacing w:after="0" w:line="207"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Our Envisia classifier was approved by CMS as a New ADLT on September 17, 2020. The initial payment rate (for a period not to exceed nine months) under PAMA for a new ADLT (an ADLT for which payment has not been made under the CLFS prior to January 1, 2018) will be set at the “actual list charge” for the test as reported by the laboratory. Insofar as the actual list charge substantially exceeds private payer rates reported in March 2021 (by more than 30%), CMS will have the ability to recoup excess payments made during the initial nine-month payment period. Subsequently, Envisia will be priced based on private payer rates collected and reported annually. We can determine whether to seek ADLT status for our tests, but there can be no assurance that our tests will be designated ADLTs or that the payment rates for our tests, including Envisia, will not be adversely affected by such designation.</w:t>
      </w:r>
    </w:p>
    <w:p>
      <w:pPr>
        <w:spacing w:after="0" w:line="201"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There have also been recent and substantial changes to the payment structure for physicians, including those passed as part of the Medicare Access and CHIP Reauthorization Act of 2015, or MACRA, which was signed into law on April 16, 2015. MACRA created the Merit-Based Incentive Payment System which, beginning in 2019, more closely aligns physician payments with composite performance on performance metrics similar to three existing incentive programs (i.e., the Physician Quality Reporting System, the Value-based modifier program and the Electronic Health Record Meaningful Use program) and incentivizes physicians to enroll in alternative payment methods. At this time, we do not know whether these changes to the physician payment systems will have any impact on orders or payments for our tests.</w:t>
      </w:r>
    </w:p>
    <w:p>
      <w:pPr>
        <w:spacing w:after="0" w:line="201"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In December 2016, Congress passed the 21st Century Cures Act, which, among other things, revised the process for LCDs. Additionally, effective June 11, 2017, a MAC is required to, among other things, publish a summary of the evidence that it considered when developing an LCD, including a list of sources, and an explanation of the rationale that supports the MAC’s determinations. In October 2018, CMS issued additional guidance revising the requirements for the development of LCDs. We cannot predict whether these revisions will delay future LCDs and result in impeded coverage for our test products, which could have a material negative impact on revenue.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3" w:name="page44"/>
    <w:bookmarkEnd w:id="43"/>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In December 2020, in its enactment of the CAA, Congress enacted the No Surprises Act. This law, which takes effect January 1, 2022, prohibits an out-of-network provider from billing a patient at an amount in excess of the in-network cost sharing for services furnished with respect to a visit at certain in-network health care facilities. The law establishes an independent dispute resolution process between the provider and the payer to determine the appropriate payment rate to the provider. As written, the No Surprises Act may apply to laboratory tests furnished by an independent laboratory with respect to a hospital visit. The law establishes a notice and consent exception that generally does not apply to laboratory tests, although it allows for the Secretary of the Department of Health and Human Services, or HHS, to apply the exception to certain advanced tests. Details on the applicability of the No Surprises Act, any applicability of the notice and consent exception to advanced tests, and the rules governing the independent dispute resolution process may be determined in rulemaking and subregulatory guidance from HHS, the Department of Labor, and the Department of the Treasury in 2021. The No Surprises Act, and regulations and subregulatory guidance promulgated thereunder, could limit our ability to achieve payment in full for our testing services.</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Because of Medicare billing rules, we may not receive reimbursement for all tests provided to Medicare patients.</w:t>
      </w:r>
    </w:p>
    <w:p>
      <w:pPr>
        <w:spacing w:after="0" w:line="233"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Under previous Medicare billing rules, hospitals were required to bill for our tests when performed on Medicare beneficiaries who were hospital outpatients at the time of tissue specimen collection when these tests were ordered less than 14 days following the date of the patient's discharge.</w:t>
      </w:r>
    </w:p>
    <w:p>
      <w:pPr>
        <w:spacing w:after="0" w:line="184"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Effective January 1, 2018, CMS revised its billing rules to allow the performing laboratory to bill Medicare directly for molecular pathology tests performed on specimens collected from hospital outpatients, even when those tests are ordered less than 14 days after the date of discharge, if certain conditions are met. We believe that our Afirma, Percepta, and Envisia classifiers, along with Prosigna, should be covered by this policy. Accordingly, we bill Medicare for these tests when we perform them on specimens collected from hospital outpatients and meet the conditions set forth in CMS's revised billing rules.</w:t>
      </w:r>
    </w:p>
    <w:p>
      <w:pPr>
        <w:spacing w:after="0" w:line="199"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This change does not apply to tests performed on specimens collected from hospital inpatients. We will continue to bill hospitals for tests performed on specimens collected from hospital inpatients when the test was ordered less than 14 days after the date of discharge.</w:t>
      </w:r>
    </w:p>
    <w:p>
      <w:pPr>
        <w:spacing w:after="0" w:line="184"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In the CY 2020 Hospital Outpatient Prospective Payment System Proposed Rule, CMS solicited comments on potential revisions to these billing rules that could have impacted our ability to bill Medicare directly for our Afirma, Percepta, and Envisia classifiers, as well as for Prosigna, when performed on specimens collected from hospital outpatients. Although these changes were not finalized, if CMS makes similar changes in the future, it could negatively impact our business.</w:t>
      </w:r>
    </w:p>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In addition, we must maintain CLIA compliance and certification to sell our tests and be eligible to bill for diagnostic services provided to Medicare beneficiaries.</w:t>
      </w:r>
    </w:p>
    <w:p>
      <w:pPr>
        <w:spacing w:after="0" w:line="236" w:lineRule="exact"/>
        <w:rPr>
          <w:sz w:val="20"/>
          <w:szCs w:val="20"/>
          <w:color w:val="auto"/>
        </w:rPr>
      </w:pPr>
    </w:p>
    <w:p>
      <w:pPr>
        <w:jc w:val="both"/>
        <w:ind w:firstLine="12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If the FDA were to begin regulating those of our tests that are not currently regulated, we could incur substantial costs and delays associated with trying to obtain premarket clearance or approval.</w:t>
      </w:r>
    </w:p>
    <w:p>
      <w:pPr>
        <w:spacing w:after="0" w:line="180" w:lineRule="exact"/>
        <w:rPr>
          <w:sz w:val="20"/>
          <w:szCs w:val="20"/>
          <w:color w:val="auto"/>
        </w:rPr>
      </w:pPr>
    </w:p>
    <w:p>
      <w:pPr>
        <w:jc w:val="both"/>
        <w:ind w:firstLine="375"/>
        <w:spacing w:after="0" w:line="249" w:lineRule="auto"/>
        <w:rPr>
          <w:sz w:val="20"/>
          <w:szCs w:val="20"/>
          <w:color w:val="auto"/>
        </w:rPr>
      </w:pPr>
      <w:r>
        <w:rPr>
          <w:rFonts w:ascii="Times New Roman" w:cs="Times New Roman" w:eastAsia="Times New Roman" w:hAnsi="Times New Roman"/>
          <w:sz w:val="17"/>
          <w:szCs w:val="17"/>
          <w:color w:val="auto"/>
        </w:rPr>
        <w:t>Clinical laboratory tests have long been subject to comprehensive regulations under CLIA, as well as by applicable state laws. Most laboratory developed tests, or LDTs, are not currently subject to regulation under the FDA's enforcement discretion policy, although reagents, instruments, software or components provided by third parties and used to perform LDTs may be subject to regulation. While the FDA maintains its authority to regulate LDTs, it has chosen to exercise its enforcement discretion not to enforce the premarket review and other applicable medical device requirements for LDTs. We believe that the Afirma, Percepta and Envisia classifiers are LDTs that fall under the FDA's enforcement discretion policy. In October 2014, the FDA issued draft guidance, entitled "Framework for Regulatory Oversight of LDTs," proposing a risk-based framework of oversight and a phased-in enforcement of premarket review requirements for most LDTs. In 2016, the FDA announced that it would not be finalizing the guidance.</w:t>
      </w:r>
    </w:p>
    <w:p>
      <w:pPr>
        <w:spacing w:after="0" w:line="203"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In January 2017, the FDA issued a "Discussion Paper on Laboratory Developed Tests" following input it received from multiple stakeholders who had commented on its 2014 draft guidance. The FDA specifically states in its Discussion Paper that the proposals contained in the document do not represent a final version of the LDT draft guidance documents and are only designed to provide a possible approach to spark further dialogue. The suggested LDT framework could grandfather many types of LDTs without requiring new premarket review or quality management requirements but would subject some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4" w:name="page45"/>
    <w:bookmarkEnd w:id="44"/>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grandfathered tests to adverse event and malfunction reporting requirements. It also suggests a four-year phased implementation of the premarket review requirements for some types of tests. In a December 2018 statement, the FDA said that there is a need for “a unified approach to the regulation of in vitro clinical tests to protect patient safety, support innovation, and keep pace with the rapidly evolving technology that’s helping us find new treatments for disease.” The FDA listed key principles of an approach it would support.</w:t>
      </w:r>
    </w:p>
    <w:p>
      <w:pPr>
        <w:spacing w:after="0" w:line="199" w:lineRule="exact"/>
        <w:rPr>
          <w:sz w:val="20"/>
          <w:szCs w:val="20"/>
          <w:color w:val="auto"/>
        </w:rPr>
      </w:pPr>
    </w:p>
    <w:p>
      <w:pPr>
        <w:jc w:val="both"/>
        <w:ind w:firstLine="375"/>
        <w:spacing w:after="0" w:line="232" w:lineRule="auto"/>
        <w:rPr>
          <w:sz w:val="20"/>
          <w:szCs w:val="20"/>
          <w:color w:val="auto"/>
        </w:rPr>
      </w:pPr>
      <w:r>
        <w:rPr>
          <w:rFonts w:ascii="Times New Roman" w:cs="Times New Roman" w:eastAsia="Times New Roman" w:hAnsi="Times New Roman"/>
          <w:sz w:val="17"/>
          <w:szCs w:val="17"/>
          <w:color w:val="auto"/>
        </w:rPr>
        <w:t>In March 2017, a draft bill on the regulation of LDTs, entitled "The Diagnostics Accuracy and Innovation Act", or DAIA, was released for discussion. In December 2018, the sponsors of DAIA released a new version of the legislation called the “Verifying Accurate, Leading-edge IVCT Development Act", or VALID Act. The VALID Act proposes a risk-based approach to regulate LDTs and creates a new in vitro clinical test category, which includes LDTs, and a regulatory structure under the FDA. As proposed, the bill would create a precertification program for lower risk tests not otherwise required to go through premarket review. It would grandfather existing tests but would allow the FDA to subject otherwise grandfathered tests to premarket review under certain conditions. We cannot predict whether this draft bill will become legislation and cannot quantify the effect of this draft bill on our business. The HHS issued a public statement on August 9, 2020 purporting to rescind FDA’s policies regarding the premarket review of LDTs. According to the HHS statement, FDA will not require premarket review of LDTs unless it first engages in notice-and-comment rulemaking. Questions remain regarding the scope of the HHS statement’s applicability and whether other FDA regulatory requirements may apply to LDTs. It is also unclear to what extent the HHS policy statement will be affected by the change in Administration following the U.S. general election in November 2020. There is no guarantee that the HHS statement will not be revised, that legislation reforming the federal government’s regulation of LDTs will not be passed, or that LDTs will otherwise continue to be able to operate without first receiving FDA premarket review. How the HHS statement as well as future legislation by federal and state governments and actions by the FDA will impact the industry remain unclear.</w:t>
      </w:r>
    </w:p>
    <w:p>
      <w:pPr>
        <w:spacing w:after="0" w:line="204"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If the FDA were to require us to seek clearance or approval for our existing tests or any of our future products for clinical use, we may not be able to obtain such approvals on a timely basis, or at all. While we believe our Afirma, Percepta and Envisia classifiers would likely qualify for the “grandfathered” tests treatment, there can be no assurance of what the FDA might ultimately require if it issues a rule. If premarket reviews are required, our business could be negatively impacted if we are required to stop selling our products pending their clearance or approval. In addition, the launch of any new products that we develop could be delayed by the implementation of future FDA regulations. The cost of complying with premarket review requirements, including obtaining clinical data, could be significant. In addition, future regulation by the FDA could subject our business to further regulatory risks and costs. Failure to comply with applicable regulatory requirements of the FDA could result in enforcement action, including receiving untitled or warning letters, fines, injunctions, or civil or criminal penalties. Any such enforcement action would have a material adverse effect on our business, financial condition and operations. In addition, our sample collection containers are listed as Class I devices with the FDA. If the FDA were to determine that they are not Class I devices, we would be required to file 510(k) applications and obtain FDA clearance to use the containers, which could be time consuming and expensive.</w:t>
      </w:r>
    </w:p>
    <w:p>
      <w:pPr>
        <w:spacing w:after="0" w:line="202" w:lineRule="exact"/>
        <w:rPr>
          <w:sz w:val="20"/>
          <w:szCs w:val="20"/>
          <w:color w:val="auto"/>
        </w:rPr>
      </w:pPr>
    </w:p>
    <w:p>
      <w:pPr>
        <w:jc w:val="both"/>
        <w:ind w:firstLine="375"/>
        <w:spacing w:after="0" w:line="264" w:lineRule="auto"/>
        <w:rPr>
          <w:sz w:val="20"/>
          <w:szCs w:val="20"/>
          <w:color w:val="auto"/>
        </w:rPr>
      </w:pPr>
      <w:r>
        <w:rPr>
          <w:rFonts w:ascii="Times New Roman" w:cs="Times New Roman" w:eastAsia="Times New Roman" w:hAnsi="Times New Roman"/>
          <w:sz w:val="16"/>
          <w:szCs w:val="16"/>
          <w:color w:val="auto"/>
        </w:rPr>
        <w:t>Some of the materials we use for our tests and that we may use for future tests are labeled for research-use only, or RUO, or investigational-use only, or IUO. In November 2013, the FDA finalized guidance regarding the sale and use of products labeled RUO or IUO. Among other things, the guidance advises that the FDA continues to be concerned about distribution of research or investigational-use only products intended for clinical diagnostic use and that the manufacturer’s objective intent for the product’s intended use will be determined by examining the totality of circumstances, including advertising, instructions for clinical interpretation, presentations that describe clinical use, and specialized technical support, surrounding the distribution of the product in question. The FDA has advised that if evidence demonstrates that a product is inappropriately labeled for research or investigational-use only, the device would be considered misbranded and adulterated within the meaning of the Federal Food, Drug and Cosmetic Act, or FDC Act. Some of the reagents, instruments, software or components obtained by us from suppliers for use in our products are currently labeled as RUO or IUO. If the FDA were to determine that any of these reagents, instruments, software or components are improperly labeled RUO or IUO and undertake enforcement actions, some of our suppliers might cease selling these reagents, instruments, software or components to us,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5" w:name="page46"/>
    <w:bookmarkEnd w:id="45"/>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12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Obtaining marketing authorization by the FDA and foreign regulatory authorities for our diagnostic tests will take significant time and require significant research, development and clinical study expenditures and ultimately may not succeed.</w:t>
      </w:r>
    </w:p>
    <w:p>
      <w:pPr>
        <w:spacing w:after="0" w:line="180" w:lineRule="exact"/>
        <w:rPr>
          <w:sz w:val="20"/>
          <w:szCs w:val="20"/>
          <w:color w:val="auto"/>
        </w:rPr>
      </w:pPr>
    </w:p>
    <w:p>
      <w:pPr>
        <w:jc w:val="both"/>
        <w:ind w:firstLine="375"/>
        <w:spacing w:after="0" w:line="249" w:lineRule="auto"/>
        <w:rPr>
          <w:sz w:val="20"/>
          <w:szCs w:val="20"/>
          <w:color w:val="auto"/>
        </w:rPr>
      </w:pPr>
      <w:r>
        <w:rPr>
          <w:rFonts w:ascii="Times New Roman" w:cs="Times New Roman" w:eastAsia="Times New Roman" w:hAnsi="Times New Roman"/>
          <w:sz w:val="17"/>
          <w:szCs w:val="17"/>
          <w:color w:val="auto"/>
        </w:rPr>
        <w:t xml:space="preserve">Before we begin to label and market some of our products for use as clinical diagnostics in the United States, unless an exemption applies, we are required to obtain clearance from the FDA by submitting a premarket notification under section 510(k) of the FDC Act or 510(k), or approval from the FDA by submitting a premarket approval, or PMA. We may also be able to obtain marketing authorization through a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classification process rather than through a PMA if the 510(k) pathway is not available. In September 2013, Prosigna obtained FDA 510(k) clearance as a prognostic indicator for distant recurrence-free survival at ten years in post-menopausal women with Stage I/II lymph node-negative or Stage II lymph node-positive (1-3 positive nodes), hormone receptor-positive breast cancer to be treated with adjuvant endocrine therapy alone, when used in conjunction with other clinicopathological factors after they have undergone surgery in conjunction with locoregional treatment and consistent with the standard of care.</w:t>
      </w:r>
    </w:p>
    <w:p>
      <w:pPr>
        <w:spacing w:after="0" w:line="203" w:lineRule="exact"/>
        <w:rPr>
          <w:sz w:val="20"/>
          <w:szCs w:val="20"/>
          <w:color w:val="auto"/>
        </w:rPr>
      </w:pPr>
    </w:p>
    <w:p>
      <w:pPr>
        <w:jc w:val="both"/>
        <w:ind w:firstLine="375"/>
        <w:spacing w:after="0" w:line="265" w:lineRule="auto"/>
        <w:rPr>
          <w:sz w:val="20"/>
          <w:szCs w:val="20"/>
          <w:color w:val="auto"/>
        </w:rPr>
      </w:pPr>
      <w:r>
        <w:rPr>
          <w:rFonts w:ascii="Times New Roman" w:cs="Times New Roman" w:eastAsia="Times New Roman" w:hAnsi="Times New Roman"/>
          <w:sz w:val="16"/>
          <w:szCs w:val="16"/>
          <w:color w:val="auto"/>
        </w:rPr>
        <w:t>In August 2014, the FDA issued a final guidance document titled "In Vitro Companion Diagnostic Devices". In the guidance, the FDA defined an IVD companion diagnostic device as an in vitro diagnostic device that provides information that is essential for the safe and effective use of a corresponding therapeutic product. The use of an IVD companion diagnostic device with a therapeutic product is stipulated in the instructions for use in the labeling of both the diagnostic device and the corresponding therapeutic product, including the labeling of any generic equivalents of the therapeutic product. The FDA stated that an IVD companion diagnostic should be submitted for review and approved or cleared through an appropriate device submission contemporaneously with the review and approval of the therapeutic product to facilitate concurrent review. The FDA guidance also stated that while there may be cases when a companion diagnostic could come to market through the 510(k) pathway, the FDA expects that most companion diagnostics will be Class III devices. Class III devices generally require the approval of a PMA before they can be marketed. An IVD diagnostic device that is not a companion diagnostic device because it is not essential for the safe and effective use of a corresponding therapeutic product, may still be beneficial for use with a therapeutic product but may not be identified in the labeling of the therapeutic product. It is possible that revenue from a cleared or approved beneficial or complementary IVD diagnostic device may be less than revenue from a cleared or approved IVD companion diagnostic device.</w:t>
      </w:r>
    </w:p>
    <w:p>
      <w:pPr>
        <w:spacing w:after="0" w:line="191" w:lineRule="exact"/>
        <w:rPr>
          <w:sz w:val="20"/>
          <w:szCs w:val="20"/>
          <w:color w:val="auto"/>
        </w:rPr>
      </w:pPr>
    </w:p>
    <w:p>
      <w:pPr>
        <w:jc w:val="both"/>
        <w:ind w:firstLine="375"/>
        <w:spacing w:after="0" w:line="267" w:lineRule="auto"/>
        <w:rPr>
          <w:sz w:val="20"/>
          <w:szCs w:val="20"/>
          <w:color w:val="auto"/>
        </w:rPr>
      </w:pPr>
      <w:r>
        <w:rPr>
          <w:rFonts w:ascii="Times New Roman" w:cs="Times New Roman" w:eastAsia="Times New Roman" w:hAnsi="Times New Roman"/>
          <w:sz w:val="16"/>
          <w:szCs w:val="16"/>
          <w:color w:val="auto"/>
        </w:rPr>
        <w:t>In July 2016, the FDA issued guidance pertaining to the co-development of companion diagnostic tests with a therapeutic product. The FDA explained that while it supports contemporaneous marketing authorizations, if there are any deficiencies in the submissions, the FDA may place a PMA review of a companion diagnostic on hold or request additional testing, which could potentially delay the approval of the corresponding new drug application or the marketing authorization of the companion diagnostic or otherwise complicate the review process. The FDA issued another draft guidance in December 2018 specific to oncology companion diagnostic tests, which it finalized in April 2020. The guidance explained that some oncology companion diagnostic tests can be developed in a way that results in labeling for a specific group of oncology therapeutic products, rather than a single therapeutic product. However, there is no assurance that we would be able to obtain clearance or approval for any of our diagnostic devices in development as a companion diagnostic device or that any such clearance or approval will occur without significant delay.</w:t>
      </w:r>
    </w:p>
    <w:p>
      <w:pPr>
        <w:spacing w:after="0" w:line="190"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Any marketing authorization we obtain for any future device product would be subject to regulatory requirements that would affect how we are able to market and sell the device. The FDC Act and FDA regulations place considerable requirements on our products, including, but not limited to, compliance with the quality system regulations, or QSR, establishment registration and product listing with the FDA, and compliance with labeling, marketing, complaint handling, medical device reporting requirements, and reporting certain corrections and removals. Obtaining FDA clearance or approval for diagnostics can be expensive and uncertain, generally may take several months to several years, and generally requires detailed and comprehensive scientific and clinical data, as well as compliance with FDA regulations for investigational devices. In addition, we have limited experience in obtaining PMA approval from the FDA and are therefore supplementing our operational capabilities to manage the more complex processes needed to obtain and maintain PMAs. Notwithstanding the expense, these efforts may never result in FDA clearance or approval. Even if we were to obtain marketing authorization, it may not be for the uses we believe are important or commercially attractive, in which case we would not market our product for those uses.</w:t>
      </w:r>
    </w:p>
    <w:p>
      <w:pPr>
        <w:spacing w:after="0" w:line="204" w:lineRule="exact"/>
        <w:rPr>
          <w:sz w:val="20"/>
          <w:szCs w:val="20"/>
          <w:color w:val="auto"/>
        </w:rPr>
      </w:pPr>
    </w:p>
    <w:p>
      <w:pPr>
        <w:jc w:val="both"/>
        <w:ind w:firstLine="375"/>
        <w:spacing w:after="0" w:line="281" w:lineRule="auto"/>
        <w:rPr>
          <w:sz w:val="20"/>
          <w:szCs w:val="20"/>
          <w:color w:val="auto"/>
        </w:rPr>
      </w:pPr>
      <w:r>
        <w:rPr>
          <w:rFonts w:ascii="Times New Roman" w:cs="Times New Roman" w:eastAsia="Times New Roman" w:hAnsi="Times New Roman"/>
          <w:sz w:val="16"/>
          <w:szCs w:val="16"/>
          <w:color w:val="auto"/>
        </w:rPr>
        <w:t>Sales of our diagnostic products outside the United States are subject to foreign regulatory requirements governing clinical studies, vigilance reporting, marketing approval, manufacturing, regulatory inspections, product licensing, pricing and reimbursement. These regulatory requirements vary greatly from country to country. As a result, the time required to obtain approvals outside the United States may differ from that required to obtain FDA marketing authorization, and we may not be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6" w:name="page47"/>
    <w:bookmarkEnd w:id="46"/>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able to obtain foreign regulatory approvals on a timely basis or at all. Marketing authorization from the FDA does not ensure approval by regulatory authorities in other countries, and approval by any foreign regulatory authority does not ensure marketing authorization by regulatory authorities in other countries or by the FDA. Foreign regulatory authorities could require additional testing beyond what the FDA requires. In addition, the FDC Act imposes requirements on the export of medical devices, such as labeling requirements, and foreign governments impose requirements on the import of medical devices from the United States. Failure to comply with these regulatory requirements or to obtain required approvals, clearances, and export certifications could impair our ability to commercialize our diagnostic products outside of the United States.</w:t>
      </w:r>
    </w:p>
    <w:p>
      <w:pPr>
        <w:spacing w:after="0" w:line="197" w:lineRule="exact"/>
        <w:rPr>
          <w:sz w:val="20"/>
          <w:szCs w:val="20"/>
          <w:color w:val="auto"/>
        </w:rPr>
      </w:pPr>
    </w:p>
    <w:p>
      <w:pPr>
        <w:jc w:val="both"/>
        <w:ind w:firstLine="12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obtain marketing authorizations to market Prosigna in additional countries or if regulatory limitations are placed on our diagnostic kit products, our business and growth will be harmed.</w:t>
      </w:r>
    </w:p>
    <w:p>
      <w:pPr>
        <w:spacing w:after="0" w:line="180"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The FDA cleared the Prosigna test for marketing in the United States; Prosigna also has a CE mark which permits us to market the test in the European Union; and Prosigna received marketing authorizations in selected other jurisdictions. We intend to seek regulatory authorizations for Prosigna in other jurisdictions and, potentially, for other indications.</w:t>
      </w:r>
    </w:p>
    <w:p>
      <w:pPr>
        <w:spacing w:after="0" w:line="196" w:lineRule="exact"/>
        <w:rPr>
          <w:sz w:val="20"/>
          <w:szCs w:val="20"/>
          <w:color w:val="auto"/>
        </w:rPr>
      </w:pPr>
    </w:p>
    <w:p>
      <w:pPr>
        <w:jc w:val="both"/>
        <w:ind w:firstLine="375"/>
        <w:spacing w:after="0" w:line="271" w:lineRule="auto"/>
        <w:rPr>
          <w:sz w:val="20"/>
          <w:szCs w:val="20"/>
          <w:color w:val="auto"/>
        </w:rPr>
      </w:pPr>
      <w:r>
        <w:rPr>
          <w:rFonts w:ascii="Times New Roman" w:cs="Times New Roman" w:eastAsia="Times New Roman" w:hAnsi="Times New Roman"/>
          <w:sz w:val="16"/>
          <w:szCs w:val="16"/>
          <w:color w:val="auto"/>
        </w:rPr>
        <w:t>In addition, pursuant to our collaborations with pharmaceutical companies for the development of companion diagnostic tests for use with their drugs, we are responsible for obtaining regulatory authorizations to use the companion diagnostic tests in clinical trials as well as the marketing authorizations to sell the companion diagnostic tests following completion of such trials. Some of the compensation we expect to receive pursuant to these collaborations is based on the receipt of marketing authorizations. Any failure to obtain marketing authorizations for our diagnostic kits in a particular jurisdiction may also reduce sales of the nCounter Analysis System for clinical use in that jurisdiction, as the lack of a robust menu of available diagnostic tests would make those systems less attractive to testing laboratories.</w:t>
      </w:r>
    </w:p>
    <w:p>
      <w:pPr>
        <w:spacing w:after="0" w:line="185"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We cannot assure investors that we will be successful in obtaining regulatory clearances, approvals, or marketing authorizations. If we do not obtain regulatory clearances, approvals, or marketing authorizations for future diagnostic kit products or expand future indications for diagnostic purposes, if additional regulatory limitations are placed on our diagnostic kit products or if we fail to successfully commercialize such products, the market potential for our diagnostic kit products would be constrained, and our business and growth prospects would be adversely affected.</w:t>
      </w:r>
    </w:p>
    <w:p>
      <w:pPr>
        <w:spacing w:after="0" w:line="1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ongoing and extensive regulatory requirements, and our failure to comply with these requirements could substantially harm our business.</w:t>
      </w:r>
    </w:p>
    <w:p>
      <w:pPr>
        <w:spacing w:after="0" w:line="233"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Certain of our products are regulated as in vitro diagnostic medical devices, including Prosigna and the nCounter Analysis System. Accordingly, we and certain of our contract manufacturers are subject to ongoing International Organization for Standardization, or ISO, obligations as well as requirements under the FDC Act and device regulations enforced by the FDA and other statutory and regulatory requirements enforced by other government authorities. These may include routine inspections by Notified Bodies, FDA, and other health authorities, of our manufacturing facilities and our records for compliance with standards such as ISO 13485 and QSR regulations, which establish extensive requirements for quality assurance and control as well as manufacturing and change control procedures, among other things. These inspections may include the manufacturing facilities of any suppliers. In the event that a supplier fails to maintain compliance with regulatory or our quality requirements, we may have to qualify a new supplier and could experience manufacturing delays as a result. We are also subject to other regulatory obligations, such as registration of our company offices and facilities and the listing of our devices with the FDA; continued adverse event and malfunction reporting; reporting certain corrections and removals; and labeling and promotional requirements.</w:t>
      </w:r>
    </w:p>
    <w:p>
      <w:pPr>
        <w:spacing w:after="0" w:line="204"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Other regulatory bodies may also issue guidelines and regulations that could impact the development of our products, including companion diagnostic tests. For example, the European Medicines Agency, a European Union agency which is responsible for the scientific evaluation of medicines used in the European Union, recently launched an initiative to determine guidelines for the use of genomic biomarkers in the development and lifecycle of drugs. On April 5, 2017, the European Union Parliament passed Regulation (EU) 2017/746, referred to as the IVD Device Regulation, or IVDR, which increases the regulatory requirements applicable to in vitro diagnostics in the EU and would require that we re-classify and obtain approval, registration, or clearance for our existing CE-marked IVD products within a five-year grace period (by May 25, 2022).</w:t>
      </w:r>
    </w:p>
    <w:p>
      <w:pPr>
        <w:spacing w:after="0" w:line="201"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We may also be subject to additional FDA or global regulatory authority post-marketing obligations or requirements by the FDA or global regulatory authority to change our current product classifications which would impose additional regulatory obligations on us. The promotional claims we can make for Prosigna are limited to the indications for use in the United States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7" w:name="page48"/>
    <w:bookmarkEnd w:id="47"/>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as cleared by the FDA or outside the United States as authorized by the applicable regulatory authority. If we are not able to maintain regulatory compliance, we may not be permitted to market our medical device products and/or may be subject to enforcement actions by the FDA or other governmental authorities such as the issuance of warning or untitled letters, fines, injunctions, and civil penalties; recall or seizure of products; operating restrictions; and criminal prosecution. In addition, we may be subject to similar regulatory regimes of foreign jurisdictions as we continue to commercialize our products in new markets outside of the United States and Europe. Adverse Notified Body, EU Competent Authority or FDA or global regulatory authority action in any of these areas could significantly increase our expenses and limit our revenue and profitability.</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compete successfully, we may be unable to increase or sustain our revenue or achieve profitability.</w:t>
      </w:r>
    </w:p>
    <w:p>
      <w:pPr>
        <w:spacing w:after="0" w:line="233"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Our principal competition for our tests comes from traditional methods used by physicians to diagnose and manage patient care decisions. For example, with our Afirma genomic classifier,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continue to educate physicians about the benefits of the Afirma genomic classifier to change clinical practice.</w:t>
      </w:r>
    </w:p>
    <w:p>
      <w:pPr>
        <w:spacing w:after="0" w:line="199"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We also face competition from companies and academic institutions that use next generation sequencing technology or other methods to measure mutational markers such as BRAF and KRAS, along with numerous other mutations. These organizations include Interpace Diagnostics Group, Inc., CBLPath, Inc./University of Pittsburgh Medical Center and others who are developing new products or technologies that may compete with our tests. In the future, we may also face competition from companies developing new products or technologies.</w:t>
      </w:r>
    </w:p>
    <w:p>
      <w:pPr>
        <w:spacing w:after="0" w:line="199" w:lineRule="exact"/>
        <w:rPr>
          <w:sz w:val="20"/>
          <w:szCs w:val="20"/>
          <w:color w:val="auto"/>
        </w:rPr>
      </w:pPr>
    </w:p>
    <w:p>
      <w:pPr>
        <w:jc w:val="both"/>
        <w:ind w:firstLine="375"/>
        <w:spacing w:after="0" w:line="249" w:lineRule="auto"/>
        <w:rPr>
          <w:sz w:val="20"/>
          <w:szCs w:val="20"/>
          <w:color w:val="auto"/>
        </w:rPr>
      </w:pPr>
      <w:r>
        <w:rPr>
          <w:rFonts w:ascii="Times New Roman" w:cs="Times New Roman" w:eastAsia="Times New Roman" w:hAnsi="Times New Roman"/>
          <w:sz w:val="17"/>
          <w:szCs w:val="17"/>
          <w:color w:val="auto"/>
        </w:rPr>
        <w:t>We believe our primary competition in pulmonology with our Percepta and Envisia classifiers will similarly come from traditional methods used by physicians to diagnose the related diseases. For the Percepta test, we expect competition from companies focused on lung cancer such as Oncocyte Corporation and Biodesix, Inc. We believe our principal competitor in the breast cancer diagnostics market is Exact Sciences, Inc. (having combined with Genomic Health, Inc.), which currently commands a substantial majority of the market. As we expand our portfolio of tests to address clinical questions across the clinical care continuum, we may also face competition from companies focused on screening at-risk patients for cancer or companies informing treatment decisions such as Guardant Health or GRAIL. Competition could also emerge using alternative samples, such as blood, urine or sputum. However, such “liquid biopsies” are currently being used to gauge risk of recurrence or response to treatment in patients already diagnosed with lung cancer.</w:t>
      </w:r>
    </w:p>
    <w:p>
      <w:pPr>
        <w:spacing w:after="0" w:line="203"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In general, we also face competition from commercial laboratories, such as Laboratory Corporation of America Holdings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w:t>
      </w:r>
    </w:p>
    <w:p>
      <w:pPr>
        <w:spacing w:after="0" w:line="199" w:lineRule="exact"/>
        <w:rPr>
          <w:sz w:val="20"/>
          <w:szCs w:val="20"/>
          <w:color w:val="auto"/>
        </w:rPr>
      </w:pPr>
    </w:p>
    <w:p>
      <w:pPr>
        <w:jc w:val="both"/>
        <w:ind w:firstLine="375"/>
        <w:spacing w:after="0" w:line="302" w:lineRule="auto"/>
        <w:rPr>
          <w:sz w:val="20"/>
          <w:szCs w:val="20"/>
          <w:color w:val="auto"/>
        </w:rPr>
      </w:pPr>
      <w:r>
        <w:rPr>
          <w:rFonts w:ascii="Times New Roman" w:cs="Times New Roman" w:eastAsia="Times New Roman" w:hAnsi="Times New Roman"/>
          <w:sz w:val="16"/>
          <w:szCs w:val="16"/>
          <w:color w:val="auto"/>
        </w:rPr>
        <w:t>In addition, competitors may develop their own versions of our solutions in countries we may seek to enter where we do not have patents or where our intellectual property rights are not recognized and compete with us in those countries, including encouraging the use of their solutions by physicians in other countries.</w:t>
      </w:r>
    </w:p>
    <w:p>
      <w:pPr>
        <w:spacing w:after="0" w:line="161"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To compete successfully, we must be able to demonstrate, among other things, that our diagnostic test results are accurate and cost effective, and we must secure a meaningful level of reimbursement for our products.</w:t>
      </w:r>
    </w:p>
    <w:p>
      <w:pPr>
        <w:spacing w:after="0" w:line="184" w:lineRule="exact"/>
        <w:rPr>
          <w:sz w:val="20"/>
          <w:szCs w:val="20"/>
          <w:color w:val="auto"/>
        </w:rPr>
      </w:pPr>
    </w:p>
    <w:p>
      <w:pPr>
        <w:jc w:val="both"/>
        <w:ind w:firstLine="375"/>
        <w:spacing w:after="0" w:line="268" w:lineRule="auto"/>
        <w:rPr>
          <w:sz w:val="20"/>
          <w:szCs w:val="20"/>
          <w:color w:val="auto"/>
        </w:rPr>
      </w:pPr>
      <w:r>
        <w:rPr>
          <w:rFonts w:ascii="Times New Roman" w:cs="Times New Roman" w:eastAsia="Times New Roman" w:hAnsi="Times New Roman"/>
          <w:sz w:val="16"/>
          <w:szCs w:val="16"/>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solutions,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8" w:name="page49"/>
    <w:bookmarkEnd w:id="48"/>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The loss of members of our senior management team or our inability to attract and retain key personnel could adversely affect our business.</w:t>
      </w:r>
    </w:p>
    <w:p>
      <w:pPr>
        <w:spacing w:after="0" w:line="233"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Our success depends largely on the skills, experience and performance of key members of our executive management team and others in key management positions. The efforts of each of these persons together will be critical to us as we continue to develop our technologies and test processes and focus on our growth. If we were to lose one or more of these key employees, including due to illness resulting from COVID-19, we may experience difficulties in competing effectively, developing our technologies and implementing our business strategy.</w:t>
      </w:r>
    </w:p>
    <w:p>
      <w:pPr>
        <w:spacing w:after="0" w:line="199" w:lineRule="exact"/>
        <w:rPr>
          <w:sz w:val="20"/>
          <w:szCs w:val="20"/>
          <w:color w:val="auto"/>
        </w:rPr>
      </w:pPr>
    </w:p>
    <w:p>
      <w:pPr>
        <w:jc w:val="both"/>
        <w:ind w:firstLine="375"/>
        <w:spacing w:after="0" w:line="247" w:lineRule="auto"/>
        <w:rPr>
          <w:sz w:val="20"/>
          <w:szCs w:val="20"/>
          <w:color w:val="auto"/>
        </w:rPr>
      </w:pPr>
      <w:r>
        <w:rPr>
          <w:rFonts w:ascii="Times New Roman" w:cs="Times New Roman" w:eastAsia="Times New Roman" w:hAnsi="Times New Roman"/>
          <w:sz w:val="17"/>
          <w:szCs w:val="17"/>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particularly in the San Francisco Bay Area.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Additionally, our success depends on our ability to attract and retain qualified sales-people. We recently significantly expanded our sales force as we invest in our multi-product sales strategy, which includes assignment of a single contact to successfully develop and implement relationships with our customers. There can be no assurance that we will be successful in maintaining and growing our business. Additionally, as we increase our sales channels for new tests we commercialize, including the Percepta and Envisia tests, or acquire, such as Prosigna, we may have difficulties recruiting and training additional sales personnel or retaining qualified sales-people, which could cause a delay or decline in the rate of adoption of our tests. Finally, 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employees are at will, which means that either we or the employee may terminate their employment at any time. We do not carry key man insurance for any of our employees.</w:t>
      </w: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Billing for our diagnostic tests is complex, and we must dedicate substantial time and resources to the billing process to be paid.</w:t>
      </w:r>
    </w:p>
    <w:p>
      <w:pPr>
        <w:spacing w:after="0" w:line="233"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Billing for clinical laboratory testing services is complex, time-consuming and expensive. Depending on the billing arrangement and applicable law, we bill various payers, including Medicare,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accounts receivable and long collection cycles, which could adversely affect our business, results of operations and financial condition.</w:t>
      </w:r>
    </w:p>
    <w:p>
      <w:pPr>
        <w:spacing w:after="0" w:line="2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Several factors make the billing process complex, including:</w:t>
      </w:r>
    </w:p>
    <w:p>
      <w:pPr>
        <w:spacing w:after="0" w:line="229" w:lineRule="exact"/>
        <w:rPr>
          <w:sz w:val="20"/>
          <w:szCs w:val="20"/>
          <w:color w:val="auto"/>
        </w:rPr>
      </w:pPr>
    </w:p>
    <w:p>
      <w:pPr>
        <w:ind w:left="600" w:hanging="301"/>
        <w:spacing w:after="0"/>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differences between the list price for our tests and the reimbursement rates of payers;</w:t>
      </w:r>
    </w:p>
    <w:p>
      <w:pPr>
        <w:spacing w:after="0" w:line="228" w:lineRule="exact"/>
        <w:rPr>
          <w:rFonts w:ascii="Times New Roman" w:cs="Times New Roman" w:eastAsia="Times New Roman" w:hAnsi="Times New Roman"/>
          <w:sz w:val="17"/>
          <w:szCs w:val="17"/>
          <w:color w:val="auto"/>
        </w:rPr>
      </w:pPr>
    </w:p>
    <w:p>
      <w:pPr>
        <w:ind w:left="600" w:hanging="301"/>
        <w:spacing w:after="0" w:line="270" w:lineRule="auto"/>
        <w:tabs>
          <w:tab w:leader="none" w:pos="59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complex federal and state regulations related to billing government payers, such as Medicare and Medicaid, including requirements to have an active CLIA certificate;</w:t>
      </w:r>
    </w:p>
    <w:p>
      <w:pPr>
        <w:spacing w:after="0" w:line="18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of government audits related to billing Medicare and other government payers;</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among payers as to which party is responsible for payment;</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differences in coverage and in information and billing requirements among payers, including the need for prior authorization and/or advanced notification;</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patient co-payments or co-insurance;</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billing codes used for our tests;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9" w:name="page50"/>
    <w:bookmarkEnd w:id="49"/>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00" w:hanging="301"/>
        <w:spacing w:after="0"/>
        <w:tabs>
          <w:tab w:leader="none" w:pos="6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incorrect or missing billing information; and</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resources required to manage the billing and claims appeals process.</w:t>
      </w:r>
    </w:p>
    <w:p>
      <w:pPr>
        <w:spacing w:after="0" w:line="229"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We use standard industry billing codes, known as CPT codes, to bill for cytopathology. Through December 31, 2020, we used the CPT code 81545 to bill for our Afirma classifier. Effective January 1, 2021, we will use the new CPT code 81546 to bill for our Afirma classifier, and code 81545 is being retired. Effective October 1, 2020, we are using the new CPT code 0204U to bill for Afirma Xpression Atlas, and the new CPT code 0208U to bill for Afirma MTC. Effective January 1, 2021, we are using the new CPT code 81554 to bill for our Envisia classifier. There is no CPT code for our Percepta classifier. Therefore, until such time that we are assigned and are able to use a designated CPT code specific to Percepta, we use “unlisted” codes for claim submissions, which can lead to delays in payers adjudicating our claims or denying payment altogether.</w:t>
      </w:r>
    </w:p>
    <w:p>
      <w:pPr>
        <w:spacing w:after="0" w:line="201"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CPT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revenues. Even when we receive a designated CPT code specific to our tests, there can be no assurance that payers will recognize these codes in a timely manner or that the process of transitioning to such a code and updating their billing systems and ours will not result in errors, delays in payments and a related increase in accounts receivable balances.</w:t>
      </w:r>
    </w:p>
    <w:p>
      <w:pPr>
        <w:spacing w:after="0" w:line="201"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As we introduce new tests,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84"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Correct coding is subject to the coding policies of the American Medical Association CPT Editorial Panel, or AMA CPT. With respect to claims submitted to Medicare and Medicaid, it is also subject to coding policies developed through the National Correct Coding Initiative, or NCCI. Other payers may develop their own payer-specific coding policies. The broader coding policies of the AMA CPT, NCCI, and other payers are subject to change. For instance, the NCCI adopted an update to its Coding Policy Manual effective January 1, 2019, to limit instances when multiple codes may be billed for molecular pathology testing. Although the NCCI appears to have moderated this change in its updates effective January 1, 2020, such coding policy changes may negatively affect our revenues and cash flow.</w:t>
      </w:r>
    </w:p>
    <w:p>
      <w:pPr>
        <w:spacing w:after="0" w:line="201"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If the payer makes an overpayment determination, there is a risk that we may be required to return some portion of prior payments we have received. Additionally, the ACA established a requirement for providers and suppliers to report and return any overpayments received from government payers under the Medicare and Medicaid programs within 60 days of identification. Failure to identify and return such overpayments exposes the provider or supplier to liability under federal false claims laws. These billing complexities, and the related uncertainty in obtaining payment for our tests, could negatively affect our revenue and cash flow, our ability to achieve profitability, and the consistency and comparability of our results of operations.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We rely on a third-party provider to transmit claims to payers, and any delay in transmitting claims could have an adverse effect on our revenue.</w:t>
      </w:r>
    </w:p>
    <w:p>
      <w:pPr>
        <w:spacing w:after="0" w:line="233"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or possibly denial of claims for lack of timely submission, which would have an adverse effect on our revenue and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0" w:name="page51"/>
    <w:bookmarkEnd w:id="50"/>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i w:val="1"/>
          <w:iCs w:val="1"/>
          <w:color w:val="auto"/>
        </w:rPr>
        <w:t>If our internal sales force is less successful than anticipated, our business expansion plans could suffer and our ability to generate revenues could be diminished.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 addition, we have limited history selling our molecular diagnostics tests on a direct basis and our limited history makes forecasting difficult.</w:t>
      </w:r>
    </w:p>
    <w:p>
      <w:pPr>
        <w:spacing w:after="0" w:line="212" w:lineRule="exact"/>
        <w:rPr>
          <w:sz w:val="20"/>
          <w:szCs w:val="20"/>
          <w:color w:val="auto"/>
        </w:rPr>
      </w:pPr>
    </w:p>
    <w:p>
      <w:pPr>
        <w:jc w:val="both"/>
        <w:ind w:firstLine="378"/>
        <w:spacing w:after="0" w:line="250" w:lineRule="auto"/>
        <w:rPr>
          <w:sz w:val="20"/>
          <w:szCs w:val="20"/>
          <w:color w:val="auto"/>
        </w:rPr>
      </w:pPr>
      <w:r>
        <w:rPr>
          <w:rFonts w:ascii="Times New Roman" w:cs="Times New Roman" w:eastAsia="Times New Roman" w:hAnsi="Times New Roman"/>
          <w:sz w:val="17"/>
          <w:szCs w:val="17"/>
          <w:color w:val="auto"/>
        </w:rPr>
        <w:t>We acquired several international sales employees from NanoString, and expect to build upon this team as we offer additional tests internationally in the future. If our internal sales force is not successful, however, or new additions to our sales team fail to gain traction among our customers, we may not be able to increase market awareness and sales of our molecular diagnostic tests. If we fail to establish our molecular diagnostic tests in the marketplace, it could have a negative effect on our ability to sell subsequent molecular diagnostic tests and hinder the desired expansion of our business. We have growing, however limited, historical experience forecasting the direct sales of our molecular diagnostics products. Our ability to produce test volumes that meet customer demand is dependent upon our ability to forecast accurately and plan production capacities accordingly.</w:t>
      </w:r>
    </w:p>
    <w:p>
      <w:pPr>
        <w:spacing w:after="0" w:line="197" w:lineRule="exact"/>
        <w:rPr>
          <w:sz w:val="20"/>
          <w:szCs w:val="20"/>
          <w:color w:val="auto"/>
        </w:rPr>
      </w:pPr>
    </w:p>
    <w:p>
      <w:pPr>
        <w:jc w:val="both"/>
        <w:ind w:firstLine="12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Developing new products involves a lengthy and complex process, and we may not be able to commercialize on a timely basis, or at all, other products we are developing.</w:t>
      </w:r>
    </w:p>
    <w:p>
      <w:pPr>
        <w:spacing w:after="0" w:line="180"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We continually seek to develop enhancements to our current test offerings and additional diagnostic solutions that requires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may face challenges obtaining sufficient numbers of samples to validate a genomic signature for a molecular diagnostic product. After launching new products, we still must complete studies that meet the clinical evidence required to obtain reimbursement. Moreover, we may experience delays in the development and introduction of new products due to the effects of the current COVID-19 outbreak.</w:t>
      </w:r>
    </w:p>
    <w:p>
      <w:pPr>
        <w:spacing w:after="0" w:line="2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In order to develop and commercialize diagnostic tests, we need to:</w:t>
      </w:r>
    </w:p>
    <w:p>
      <w:pPr>
        <w:spacing w:after="0" w:line="229" w:lineRule="exact"/>
        <w:rPr>
          <w:sz w:val="20"/>
          <w:szCs w:val="20"/>
          <w:color w:val="auto"/>
        </w:rPr>
      </w:pPr>
    </w:p>
    <w:p>
      <w:pPr>
        <w:ind w:left="600" w:hanging="301"/>
        <w:spacing w:after="0"/>
        <w:tabs>
          <w:tab w:leader="none" w:pos="6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expend significant funds to conduct substantial research and development;</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successful analytical and clinical studies;</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scale our laboratory processes to accommodate new tests; and</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build the commercial infrastructure to market and sell new products.</w:t>
      </w:r>
    </w:p>
    <w:p>
      <w:pPr>
        <w:spacing w:after="0" w:line="229" w:lineRule="exact"/>
        <w:rPr>
          <w:sz w:val="20"/>
          <w:szCs w:val="20"/>
          <w:color w:val="auto"/>
        </w:rPr>
      </w:pPr>
    </w:p>
    <w:p>
      <w:pPr>
        <w:ind w:firstLine="375"/>
        <w:spacing w:after="0" w:line="270" w:lineRule="auto"/>
        <w:rPr>
          <w:sz w:val="20"/>
          <w:szCs w:val="20"/>
          <w:color w:val="auto"/>
        </w:rPr>
      </w:pPr>
      <w:r>
        <w:rPr>
          <w:rFonts w:ascii="Times New Roman" w:cs="Times New Roman" w:eastAsia="Times New Roman" w:hAnsi="Times New Roman"/>
          <w:sz w:val="17"/>
          <w:szCs w:val="17"/>
          <w:color w:val="auto"/>
        </w:rPr>
        <w:t>Our product development process involves a high degree of risk and may take several years. Our product development efforts may fail for many reasons, including:</w:t>
      </w:r>
    </w:p>
    <w:p>
      <w:pPr>
        <w:spacing w:after="0" w:line="184" w:lineRule="exact"/>
        <w:rPr>
          <w:sz w:val="20"/>
          <w:szCs w:val="20"/>
          <w:color w:val="auto"/>
        </w:rPr>
      </w:pPr>
    </w:p>
    <w:p>
      <w:pPr>
        <w:ind w:left="600" w:hanging="301"/>
        <w:spacing w:after="0"/>
        <w:tabs>
          <w:tab w:leader="none" w:pos="6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identify a genomic signature in biomarker discovery;</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secure sufficient numbers of samples at an acceptable cost and on an acceptable timeframe to conduct analytical and clinical studies; or</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clinical validation studies to support the effectiveness of the test.</w:t>
      </w:r>
    </w:p>
    <w:p>
      <w:pPr>
        <w:spacing w:after="0" w:line="229"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1" w:name="page52"/>
    <w:bookmarkEnd w:id="51"/>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If we cannot enter into new clinical study collaborations, our product development and subsequent commercialization could be delayed.</w:t>
      </w:r>
    </w:p>
    <w:p>
      <w:pPr>
        <w:spacing w:after="0" w:line="233"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 with many companies at once, which can extend the time it takes to develop, negotiate and implement a collaboration. Moreover, it may take longer to obtain the samples we need which could delay our trials, publications, and product launches and reimbursement. Additionally, organizations often insist on retaining the rights to publish the clinical data resulting from the collaboration. The publication of clinical data in peer-reviewed journals is a crucial step in commercializing and obtaining reimbursement for our diagnostic tests, and our inability to control when and if results are published may delay or limit our ability to derive sufficient revenue from them.</w:t>
      </w:r>
    </w:p>
    <w:p>
      <w:pPr>
        <w:spacing w:after="0" w:line="203" w:lineRule="exact"/>
        <w:rPr>
          <w:sz w:val="20"/>
          <w:szCs w:val="20"/>
          <w:color w:val="auto"/>
        </w:rPr>
      </w:pPr>
    </w:p>
    <w:p>
      <w:pPr>
        <w:jc w:val="both"/>
        <w:ind w:firstLine="12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develop products to keep pace with rapid technological, medical and scientific change, our operating results and competitive position could be harmed.</w:t>
      </w:r>
    </w:p>
    <w:p>
      <w:pPr>
        <w:spacing w:after="0" w:line="180"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195" w:lineRule="exact"/>
        <w:rPr>
          <w:sz w:val="20"/>
          <w:szCs w:val="20"/>
          <w:color w:val="auto"/>
        </w:rPr>
      </w:pPr>
    </w:p>
    <w:p>
      <w:pPr>
        <w:jc w:val="both"/>
        <w:ind w:firstLine="120"/>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Our Loan and Security Agreement provides our lenders with a first-priority lien against substantially all of our assets, excluding our intellectual property, and contains financial covenants and other restrictions on our actions, which could limit our operational flexibility and otherwise adversely affect our financial condition.</w:t>
      </w:r>
    </w:p>
    <w:p>
      <w:pPr>
        <w:spacing w:after="0" w:line="193"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Our Loan and Security Agreement restricts our ability to, among other things, incur liens, make investments, incur indebtedness, merge with or acquire other entities, dispose of assets, make dividends or other distributions to holders of its equity interests, engage in any new line of business, or enter into certain transactions with affiliates, in each case subject to certain exceptions. It also requires us to achieve certain revenue levels tested quarterly on a trailing twelve-month basis. However, failure to maintain the revenue levels will not be considered a default if the sum of our unrestricted cash and cash equivalents maintained with Silicon Valley Bank and amount available under the Revolving Line of Credit is at least $40.0 million. Our ability to comply with these and other covenants is dependent upon a number of factors, some of which are beyond our control.</w:t>
      </w:r>
    </w:p>
    <w:p>
      <w:pPr>
        <w:spacing w:after="0" w:line="201" w:lineRule="exact"/>
        <w:rPr>
          <w:sz w:val="20"/>
          <w:szCs w:val="20"/>
          <w:color w:val="auto"/>
        </w:rPr>
      </w:pPr>
    </w:p>
    <w:p>
      <w:pPr>
        <w:jc w:val="both"/>
        <w:ind w:firstLine="375"/>
        <w:spacing w:after="0" w:line="249" w:lineRule="auto"/>
        <w:rPr>
          <w:sz w:val="20"/>
          <w:szCs w:val="20"/>
          <w:color w:val="auto"/>
        </w:rPr>
      </w:pPr>
      <w:r>
        <w:rPr>
          <w:rFonts w:ascii="Times New Roman" w:cs="Times New Roman" w:eastAsia="Times New Roman" w:hAnsi="Times New Roman"/>
          <w:sz w:val="17"/>
          <w:szCs w:val="17"/>
          <w:color w:val="auto"/>
        </w:rPr>
        <w:t>Our failure to comply with the financial covenants, or the occurrence of other events specified in our Loan and Security Agreement, could result in an event of default under the Loan and Security Agreement, which would give our lenders the right to terminate their commitments to provide additional loans under the Loan and Security Agreement and to declare all borrowings outstanding, together with accrued and unpaid interest and fees, to be immediately due and payable. In addition, we have granted our lenders a first-priority lien against all of our assets, excluding our intellectual property, as collateral. Failure to comply with the covenants or other restrictions in the Loan and Security Agreement could result in a default. If the debt under our Loan and Security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common stock.</w:t>
      </w:r>
    </w:p>
    <w:p>
      <w:pPr>
        <w:spacing w:after="0" w:line="199" w:lineRule="exact"/>
        <w:rPr>
          <w:sz w:val="20"/>
          <w:szCs w:val="20"/>
          <w:color w:val="auto"/>
        </w:rPr>
      </w:pPr>
    </w:p>
    <w:p>
      <w:pPr>
        <w:jc w:val="both"/>
        <w:ind w:firstLine="12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80"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Our operations are subject to other extensive federal, state, local, and foreign laws and regulations, all of which are subject to change. These laws and regulations currently include, among others:</w:t>
      </w:r>
    </w:p>
    <w:p>
      <w:pPr>
        <w:spacing w:after="0" w:line="184" w:lineRule="exact"/>
        <w:rPr>
          <w:sz w:val="20"/>
          <w:szCs w:val="20"/>
          <w:color w:val="auto"/>
        </w:rPr>
      </w:pPr>
    </w:p>
    <w:p>
      <w:pPr>
        <w:jc w:val="both"/>
        <w:ind w:left="600" w:hanging="301"/>
        <w:spacing w:after="0" w:line="257" w:lineRule="auto"/>
        <w:tabs>
          <w:tab w:leader="none" w:pos="59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in 2013 to HIPAA under the Health Information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2" w:name="page53"/>
    <w:bookmarkEnd w:id="52"/>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00"/>
        <w:spacing w:after="0" w:line="270" w:lineRule="auto"/>
        <w:rPr>
          <w:sz w:val="20"/>
          <w:szCs w:val="20"/>
          <w:color w:val="auto"/>
        </w:rPr>
      </w:pPr>
      <w:r>
        <w:rPr>
          <w:rFonts w:ascii="Times New Roman" w:cs="Times New Roman" w:eastAsia="Times New Roman" w:hAnsi="Times New Roman"/>
          <w:sz w:val="17"/>
          <w:szCs w:val="17"/>
          <w:color w:val="auto"/>
        </w:rPr>
        <w:t>Technology for Economic and Clinical Health Act, or HITECH, which strengthen and expand HIPAA privacy and security compliance requirements, increase penalties for violators, extend enforcement authority to state attorneys general, and impose requirements for breach notification;</w:t>
      </w:r>
    </w:p>
    <w:p>
      <w:pPr>
        <w:spacing w:after="0" w:line="184" w:lineRule="exact"/>
        <w:rPr>
          <w:sz w:val="20"/>
          <w:szCs w:val="20"/>
          <w:color w:val="auto"/>
        </w:rPr>
      </w:pPr>
    </w:p>
    <w:p>
      <w:pPr>
        <w:ind w:left="600" w:hanging="301"/>
        <w:spacing w:after="0"/>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Medicare billing and payment regulations applicable to clinical laboratories, including requirements to have an active CLIA certificate;</w:t>
      </w:r>
    </w:p>
    <w:p>
      <w:pPr>
        <w:spacing w:after="0" w:line="228" w:lineRule="exact"/>
        <w:rPr>
          <w:rFonts w:ascii="Times New Roman" w:cs="Times New Roman" w:eastAsia="Times New Roman" w:hAnsi="Times New Roman"/>
          <w:sz w:val="17"/>
          <w:szCs w:val="17"/>
          <w:color w:val="auto"/>
        </w:rPr>
      </w:pPr>
    </w:p>
    <w:p>
      <w:pPr>
        <w:jc w:val="both"/>
        <w:ind w:left="600" w:hanging="301"/>
        <w:spacing w:after="0" w:line="257" w:lineRule="auto"/>
        <w:tabs>
          <w:tab w:leader="none" w:pos="59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(and state equivalents),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195" w:lineRule="exact"/>
        <w:rPr>
          <w:rFonts w:ascii="Times New Roman" w:cs="Times New Roman" w:eastAsia="Times New Roman" w:hAnsi="Times New Roman"/>
          <w:sz w:val="17"/>
          <w:szCs w:val="17"/>
          <w:color w:val="auto"/>
        </w:rPr>
      </w:pPr>
    </w:p>
    <w:p>
      <w:pPr>
        <w:ind w:left="600" w:hanging="301"/>
        <w:spacing w:after="0" w:line="270" w:lineRule="auto"/>
        <w:tabs>
          <w:tab w:leader="none" w:pos="59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Eliminating Kickbacks in Recovery Act of 2018, which prohibits the solicitation, receipt, payment or offering of any remuneration in return for referring a patient or patronage to a recovery home, clinical treatment facility, or laboratory for services covered by both government and private payers;</w:t>
      </w:r>
    </w:p>
    <w:p>
      <w:pPr>
        <w:spacing w:after="0" w:line="184" w:lineRule="exact"/>
        <w:rPr>
          <w:rFonts w:ascii="Times New Roman" w:cs="Times New Roman" w:eastAsia="Times New Roman" w:hAnsi="Times New Roman"/>
          <w:sz w:val="17"/>
          <w:szCs w:val="17"/>
          <w:color w:val="auto"/>
        </w:rPr>
      </w:pPr>
    </w:p>
    <w:p>
      <w:pPr>
        <w:jc w:val="both"/>
        <w:ind w:left="600" w:hanging="301"/>
        <w:spacing w:after="0" w:line="257" w:lineRule="auto"/>
        <w:tabs>
          <w:tab w:leader="none" w:pos="59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195" w:lineRule="exact"/>
        <w:rPr>
          <w:rFonts w:ascii="Times New Roman" w:cs="Times New Roman" w:eastAsia="Times New Roman" w:hAnsi="Times New Roman"/>
          <w:sz w:val="17"/>
          <w:szCs w:val="17"/>
          <w:color w:val="auto"/>
        </w:rPr>
      </w:pPr>
    </w:p>
    <w:p>
      <w:pPr>
        <w:jc w:val="both"/>
        <w:ind w:left="600" w:hanging="301"/>
        <w:spacing w:after="0" w:line="257" w:lineRule="auto"/>
        <w:tabs>
          <w:tab w:leader="none" w:pos="59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Monetary Penalties Law, which prohibits,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95" w:lineRule="exact"/>
        <w:rPr>
          <w:rFonts w:ascii="Times New Roman" w:cs="Times New Roman" w:eastAsia="Times New Roman" w:hAnsi="Times New Roman"/>
          <w:sz w:val="17"/>
          <w:szCs w:val="17"/>
          <w:color w:val="auto"/>
        </w:rPr>
      </w:pPr>
    </w:p>
    <w:p>
      <w:pPr>
        <w:ind w:left="600" w:hanging="301"/>
        <w:spacing w:after="0" w:line="270" w:lineRule="auto"/>
        <w:tabs>
          <w:tab w:leader="none" w:pos="59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False Claims Act, which imposes liability on any person or entity who knowingly presents, or causes to be presented, a false, fictitious, or fraudulent claim for payment to the federal government;</w:t>
      </w:r>
    </w:p>
    <w:p>
      <w:pPr>
        <w:spacing w:after="0" w:line="184" w:lineRule="exact"/>
        <w:rPr>
          <w:rFonts w:ascii="Times New Roman" w:cs="Times New Roman" w:eastAsia="Times New Roman" w:hAnsi="Times New Roman"/>
          <w:sz w:val="17"/>
          <w:szCs w:val="17"/>
          <w:color w:val="auto"/>
        </w:rPr>
      </w:pPr>
    </w:p>
    <w:p>
      <w:pPr>
        <w:jc w:val="both"/>
        <w:ind w:left="600" w:hanging="301"/>
        <w:spacing w:after="0" w:line="257" w:lineRule="auto"/>
        <w:tabs>
          <w:tab w:leader="none" w:pos="59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195"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prohibition on reassignment of Medicare claims, which, subject to certain exceptions, precludes the reassignment of Medicare claims to any other party;</w:t>
      </w:r>
    </w:p>
    <w:p>
      <w:pPr>
        <w:spacing w:after="0" w:line="228" w:lineRule="exact"/>
        <w:rPr>
          <w:rFonts w:ascii="Times New Roman" w:cs="Times New Roman" w:eastAsia="Times New Roman" w:hAnsi="Times New Roman"/>
          <w:sz w:val="17"/>
          <w:szCs w:val="17"/>
          <w:color w:val="auto"/>
        </w:rPr>
      </w:pPr>
    </w:p>
    <w:p>
      <w:pPr>
        <w:ind w:left="600" w:hanging="301"/>
        <w:spacing w:after="0" w:line="270" w:lineRule="auto"/>
        <w:tabs>
          <w:tab w:leader="none" w:pos="59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Protecting Access to Medicare Act of 2014, which requires us to report private payer rates and test volumes for specific CPT codes on a triennial basis and imposes penalties for failures to report, omissions, or misrepresentations;</w:t>
      </w:r>
    </w:p>
    <w:p>
      <w:pPr>
        <w:spacing w:after="0" w:line="184" w:lineRule="exact"/>
        <w:rPr>
          <w:rFonts w:ascii="Times New Roman" w:cs="Times New Roman" w:eastAsia="Times New Roman" w:hAnsi="Times New Roman"/>
          <w:sz w:val="17"/>
          <w:szCs w:val="17"/>
          <w:color w:val="auto"/>
        </w:rPr>
      </w:pPr>
    </w:p>
    <w:p>
      <w:pPr>
        <w:jc w:val="both"/>
        <w:ind w:left="600" w:hanging="301"/>
        <w:spacing w:after="0" w:line="257" w:lineRule="auto"/>
        <w:tabs>
          <w:tab w:leader="none" w:pos="59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195" w:lineRule="exact"/>
        <w:rPr>
          <w:rFonts w:ascii="Times New Roman" w:cs="Times New Roman" w:eastAsia="Times New Roman" w:hAnsi="Times New Roman"/>
          <w:sz w:val="17"/>
          <w:szCs w:val="17"/>
          <w:color w:val="auto"/>
        </w:rPr>
      </w:pPr>
    </w:p>
    <w:p>
      <w:pPr>
        <w:ind w:left="600" w:hanging="301"/>
        <w:spacing w:after="0" w:line="270" w:lineRule="auto"/>
        <w:tabs>
          <w:tab w:leader="none" w:pos="59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w:t>
      </w:r>
    </w:p>
    <w:p>
      <w:pPr>
        <w:spacing w:after="0" w:line="18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Foreign Corrupt Practices Act of 1977, and other similar laws, which apply to our international activities;</w:t>
      </w:r>
    </w:p>
    <w:p>
      <w:pPr>
        <w:spacing w:after="0" w:line="228" w:lineRule="exact"/>
        <w:rPr>
          <w:rFonts w:ascii="Times New Roman" w:cs="Times New Roman" w:eastAsia="Times New Roman" w:hAnsi="Times New Roman"/>
          <w:sz w:val="17"/>
          <w:szCs w:val="17"/>
          <w:color w:val="auto"/>
        </w:rPr>
      </w:pPr>
    </w:p>
    <w:p>
      <w:pPr>
        <w:ind w:left="600" w:hanging="301"/>
        <w:spacing w:after="0" w:line="270" w:lineRule="auto"/>
        <w:tabs>
          <w:tab w:leader="none" w:pos="59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unclaimed property (escheat) laws and regulations, which may require us to turn over to governmental authorities the property of others held by us that has been unclaimed for a specified period of time; and</w:t>
      </w:r>
    </w:p>
    <w:p>
      <w:pPr>
        <w:spacing w:after="0" w:line="18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enforcing our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3" w:name="page54"/>
    <w:bookmarkEnd w:id="53"/>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We have adopted policies and procedures designed to comply with applicable laws and regulations. In the ordinary course of our business, we conduct internal reviews of our compliance with these laws. Our compliance with some of these laws and regulations is also subject to governmental review. The growth of our business and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w:t>
      </w:r>
    </w:p>
    <w:p>
      <w:pPr>
        <w:spacing w:after="0" w:line="201"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In recent years U.S. Attorneys’ Offices have increased scrutiny of the healthcare industry, as have Congress, the Department of Justice, the Department of Health and Human Services’ Office of the Inspector General and the Department of Defense. These bodies have all issued subpoenas and other requests for information to conduct investigations of, and commenced civil and criminal litigation against, healthcare companies based on financial arrangements with health care providers, regulatory compliance, product promotional practices and documentation, and coding and billing practices. Whistleblowers have filed numerous qui tam lawsuits against healthcare companies under the federal and state False Claims Acts in recent years, in part because the whistleblower can receive a portion of the government’s recovery under such suits.</w:t>
      </w:r>
    </w:p>
    <w:p>
      <w:pPr>
        <w:spacing w:after="0" w:line="201" w:lineRule="exact"/>
        <w:rPr>
          <w:sz w:val="20"/>
          <w:szCs w:val="20"/>
          <w:color w:val="auto"/>
        </w:rPr>
      </w:pPr>
    </w:p>
    <w:p>
      <w:pPr>
        <w:jc w:val="both"/>
        <w:ind w:firstLine="375"/>
        <w:spacing w:after="0" w:line="249" w:lineRule="auto"/>
        <w:rPr>
          <w:sz w:val="20"/>
          <w:szCs w:val="20"/>
          <w:color w:val="auto"/>
        </w:rPr>
      </w:pPr>
      <w:r>
        <w:rPr>
          <w:rFonts w:ascii="Times New Roman" w:cs="Times New Roman" w:eastAsia="Times New Roman" w:hAnsi="Times New Roman"/>
          <w:sz w:val="17"/>
          <w:szCs w:val="17"/>
          <w:color w:val="auto"/>
        </w:rPr>
        <w:t>These laws and regulations are complex and are subject to interpretation by the courts and by government agencies.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If we use hazardous materials in a manner that causes contamination or injury, we could be liable for resulting damages.</w:t>
      </w:r>
    </w:p>
    <w:p>
      <w:pPr>
        <w:spacing w:after="0" w:line="233"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97" w:lineRule="exact"/>
        <w:rPr>
          <w:sz w:val="20"/>
          <w:szCs w:val="20"/>
          <w:color w:val="auto"/>
        </w:rPr>
      </w:pPr>
    </w:p>
    <w:p>
      <w:pPr>
        <w:jc w:val="both"/>
        <w:ind w:firstLine="12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80"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Our business strategy includes international expansion in select countries, and may include developing and maintaining physician outreach and education capabilities outside of the United States, establishing agreements with laboratories, and expanding our relationships with international payers. Doing business internationally involves a number of risks, including:</w:t>
      </w:r>
    </w:p>
    <w:p>
      <w:pPr>
        <w:spacing w:after="0" w:line="196" w:lineRule="exact"/>
        <w:rPr>
          <w:sz w:val="20"/>
          <w:szCs w:val="20"/>
          <w:color w:val="auto"/>
        </w:rPr>
      </w:pPr>
    </w:p>
    <w:p>
      <w:pPr>
        <w:ind w:left="600" w:hanging="301"/>
        <w:spacing w:after="0" w:line="270" w:lineRule="auto"/>
        <w:tabs>
          <w:tab w:leader="none" w:pos="59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multiple, conflicting and changing laws and regulations such as tax laws, privacy laws, export and import restrictions, employment laws, regulatory requirements and other governmental approvals, permits and licenses;</w:t>
      </w:r>
    </w:p>
    <w:p>
      <w:pPr>
        <w:spacing w:after="0" w:line="18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by us to obtain regulatory approvals where required for the use of our solutions in various countries;</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complexities associated with managing multiple payer reimbursement regimes, government payers or patient self-pay systems;</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logistics and regulations associated with shipping tissue samples, including infrastructure conditions and transportation delays;</w:t>
      </w:r>
    </w:p>
    <w:p>
      <w:pPr>
        <w:spacing w:after="0" w:line="228" w:lineRule="exact"/>
        <w:rPr>
          <w:rFonts w:ascii="Times New Roman" w:cs="Times New Roman" w:eastAsia="Times New Roman" w:hAnsi="Times New Roman"/>
          <w:sz w:val="17"/>
          <w:szCs w:val="17"/>
          <w:color w:val="auto"/>
        </w:rPr>
      </w:pPr>
    </w:p>
    <w:p>
      <w:pPr>
        <w:ind w:left="600" w:hanging="301"/>
        <w:spacing w:after="0" w:line="270" w:lineRule="auto"/>
        <w:tabs>
          <w:tab w:leader="none" w:pos="59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associated with establishing laboratory partners, including proper sample collection techniques, management of supplies, sample logistics, billing and promotional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4" w:name="page55"/>
    <w:bookmarkEnd w:id="54"/>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00" w:hanging="301"/>
        <w:spacing w:after="0"/>
        <w:tabs>
          <w:tab w:leader="none" w:pos="6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limits on our ability to penetrate international markets if we are not able to process tests locally;</w:t>
      </w:r>
    </w:p>
    <w:p>
      <w:pPr>
        <w:spacing w:after="0" w:line="228" w:lineRule="exact"/>
        <w:rPr>
          <w:rFonts w:ascii="Times New Roman" w:cs="Times New Roman" w:eastAsia="Times New Roman" w:hAnsi="Times New Roman"/>
          <w:sz w:val="17"/>
          <w:szCs w:val="17"/>
          <w:color w:val="auto"/>
        </w:rPr>
      </w:pPr>
    </w:p>
    <w:p>
      <w:pPr>
        <w:ind w:left="600" w:hanging="301"/>
        <w:spacing w:after="0" w:line="270" w:lineRule="auto"/>
        <w:tabs>
          <w:tab w:leader="none" w:pos="59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risks, such as longer payment cycles, difficulty in collecting from payers, the effect of local and regional financial crises, and exposure to foreign currency exchange rate fluctuations;</w:t>
      </w:r>
    </w:p>
    <w:p>
      <w:pPr>
        <w:spacing w:after="0" w:line="184" w:lineRule="exact"/>
        <w:rPr>
          <w:rFonts w:ascii="Times New Roman" w:cs="Times New Roman" w:eastAsia="Times New Roman" w:hAnsi="Times New Roman"/>
          <w:sz w:val="17"/>
          <w:szCs w:val="17"/>
          <w:color w:val="auto"/>
        </w:rPr>
      </w:pPr>
    </w:p>
    <w:p>
      <w:pPr>
        <w:ind w:left="600" w:hanging="301"/>
        <w:spacing w:after="0" w:line="270" w:lineRule="auto"/>
        <w:tabs>
          <w:tab w:leader="none" w:pos="59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disasters, political and economic instability, including wars, terrorism, and political unrest, outbreak of disease, including COVID-19, boycotts, curtailment of trade and other business restrictions; and</w:t>
      </w:r>
    </w:p>
    <w:p>
      <w:pPr>
        <w:spacing w:after="0" w:line="184" w:lineRule="exact"/>
        <w:rPr>
          <w:rFonts w:ascii="Times New Roman" w:cs="Times New Roman" w:eastAsia="Times New Roman" w:hAnsi="Times New Roman"/>
          <w:sz w:val="17"/>
          <w:szCs w:val="17"/>
          <w:color w:val="auto"/>
        </w:rPr>
      </w:pPr>
    </w:p>
    <w:p>
      <w:pPr>
        <w:ind w:left="600" w:hanging="301"/>
        <w:spacing w:after="0" w:line="270" w:lineRule="auto"/>
        <w:tabs>
          <w:tab w:leader="none" w:pos="59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Any of these factors could significantly harm our future international expansion and operations and, consequently, our revenue and results of operations.</w:t>
      </w:r>
    </w:p>
    <w:p>
      <w:pPr>
        <w:spacing w:after="0" w:line="225" w:lineRule="exact"/>
        <w:rPr>
          <w:sz w:val="20"/>
          <w:szCs w:val="20"/>
          <w:color w:val="auto"/>
        </w:rPr>
      </w:pPr>
    </w:p>
    <w:p>
      <w:pPr>
        <w:jc w:val="both"/>
        <w:ind w:firstLine="12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Our reliance on distributors for sales of our products outside of the United States, and on clinical laboratories for delivery of Prosigna testing services, could limit or prevent us from selling our products and impact our revenue.</w:t>
      </w:r>
    </w:p>
    <w:p>
      <w:pPr>
        <w:spacing w:after="0" w:line="180" w:lineRule="exact"/>
        <w:rPr>
          <w:sz w:val="20"/>
          <w:szCs w:val="20"/>
          <w:color w:val="auto"/>
        </w:rPr>
      </w:pPr>
    </w:p>
    <w:p>
      <w:pPr>
        <w:jc w:val="both"/>
        <w:ind w:firstLine="375"/>
        <w:spacing w:after="0" w:line="268" w:lineRule="auto"/>
        <w:rPr>
          <w:sz w:val="20"/>
          <w:szCs w:val="20"/>
          <w:color w:val="auto"/>
        </w:rPr>
      </w:pPr>
      <w:r>
        <w:rPr>
          <w:rFonts w:ascii="Times New Roman" w:cs="Times New Roman" w:eastAsia="Times New Roman" w:hAnsi="Times New Roman"/>
          <w:sz w:val="16"/>
          <w:szCs w:val="16"/>
          <w:color w:val="auto"/>
        </w:rPr>
        <w:t>We have established distribution agreements for the nCounter Analysis System for diagnostic use and related diagnostic kit products in certain countries where we do not sell directly. We intend to continue to grow our business internationally, and to do so we must attract additional distributors and retain existing distributors to maximize the commercial opportunity for our products. There is no guarantee that we will be successful in attracting or retaining desirable sales and distribution partners or that we will be able to enter into such arrangements on favorable terms. Distributors may not commit the necessary resources to market and sell our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w:t>
      </w:r>
    </w:p>
    <w:p>
      <w:pPr>
        <w:spacing w:after="0" w:line="190" w:lineRule="exact"/>
        <w:rPr>
          <w:sz w:val="20"/>
          <w:szCs w:val="20"/>
          <w:color w:val="auto"/>
        </w:rPr>
      </w:pPr>
    </w:p>
    <w:p>
      <w:pPr>
        <w:jc w:val="both"/>
        <w:ind w:firstLine="375"/>
        <w:spacing w:after="0" w:line="249" w:lineRule="auto"/>
        <w:rPr>
          <w:sz w:val="20"/>
          <w:szCs w:val="20"/>
          <w:color w:val="auto"/>
        </w:rPr>
      </w:pPr>
      <w:r>
        <w:rPr>
          <w:rFonts w:ascii="Times New Roman" w:cs="Times New Roman" w:eastAsia="Times New Roman" w:hAnsi="Times New Roman"/>
          <w:sz w:val="17"/>
          <w:szCs w:val="17"/>
          <w:color w:val="auto"/>
        </w:rPr>
        <w:t>Similarly, we or our distributors have entered into agreements with clinical laboratories globally to provide Prosigna testing services. We do not provide testing services directly and, thus, we are reliant on these clinical laboratories to actively promote and sell Prosigna testing services. These clinical laboratories may take longer than anticipated to begin offering Prosigna testing services and may not commit the necessary resources to market and sell Prosigna testing services to the level of our expectations. Furthermore, we intend to contract with additional clinical laboratories to offer Prosigna testing services, including physician-owned laboratories, and we may be unsuccessful in attracting and contracting with new clinical laboratory providers. If current or future Prosigna testing service providers do not perform adequately, or we are unable to enter into contracts with additional clinical laboratories to provide Prosigna testing services, we may not be successful selling Prosigna and our future revenue prospects may be adversely affected.</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If we are sued for product liability or errors and omissions liability, we could face substantial liabilities that exceed our resources.</w:t>
      </w:r>
    </w:p>
    <w:p>
      <w:pPr>
        <w:spacing w:after="0" w:line="233" w:lineRule="exact"/>
        <w:rPr>
          <w:sz w:val="20"/>
          <w:szCs w:val="20"/>
          <w:color w:val="auto"/>
        </w:rPr>
      </w:pPr>
    </w:p>
    <w:p>
      <w:pPr>
        <w:jc w:val="both"/>
        <w:ind w:firstLine="375"/>
        <w:spacing w:after="0" w:line="247" w:lineRule="auto"/>
        <w:rPr>
          <w:sz w:val="20"/>
          <w:szCs w:val="20"/>
          <w:color w:val="auto"/>
        </w:rPr>
      </w:pPr>
      <w:r>
        <w:rPr>
          <w:rFonts w:ascii="Times New Roman" w:cs="Times New Roman" w:eastAsia="Times New Roman" w:hAnsi="Times New Roman"/>
          <w:sz w:val="17"/>
          <w:szCs w:val="17"/>
          <w:color w:val="auto"/>
        </w:rPr>
        <w:t>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classifiers are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classifier to perform as intended. We may also be subject to similar types of claims related to our Percepta, Envisia and Prosigna tests, as well as tests we may develop or acquire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5" w:name="page56"/>
    <w:bookmarkEnd w:id="55"/>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12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Our business is subject to the risk of disruptions caused by pandemics, political events, war, terrorism, earthquakes, fire, power outages, floods, and other catastrophic events.</w:t>
      </w:r>
    </w:p>
    <w:p>
      <w:pPr>
        <w:spacing w:after="0" w:line="180"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War, terrorism, geopolitical uncertainties, trade restrictions, public health issues, natural disasters and other catastrophic events may cause damage or disruption to the economy and commerce on a global, regional or country-specific basis, and could disrupt supply or delivery of, or demand for, our products. For example, the COVID-19 outbreak has had, and we expect will continue to have, a negative effect on consumer confidence and spending, and other impacts, which could adversely affect our business.</w:t>
      </w:r>
    </w:p>
    <w:p>
      <w:pPr>
        <w:spacing w:after="0" w:line="195" w:lineRule="exact"/>
        <w:rPr>
          <w:sz w:val="20"/>
          <w:szCs w:val="20"/>
          <w:color w:val="auto"/>
        </w:rPr>
      </w:pPr>
    </w:p>
    <w:p>
      <w:pPr>
        <w:jc w:val="both"/>
        <w:ind w:firstLine="12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If a catastrophe strikes either of our laboratories or if either of our laboratories becomes inoperable for any other reason, we will be unable to perform our testing services and our business will be harmed.</w:t>
      </w:r>
    </w:p>
    <w:p>
      <w:pPr>
        <w:spacing w:after="0" w:line="180"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We perform all of the Afirma, Percepta and Envisia genomic classifier testing at our laboratory in South San Francisco, California, near major earthquake faults known for seismic activity and in a region affected by wildfires. Our laboratory in Austin, Texas accepts and stores the majority of our Afirma FNA samples pending transfer to our California laboratory for genomic test processing. The laboratories and equipment we use to perform our tests would be costly to replace and could require substantial lead time to replace and qualify for use if they became inoperable.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203" w:lineRule="exact"/>
        <w:rPr>
          <w:sz w:val="20"/>
          <w:szCs w:val="20"/>
          <w:color w:val="auto"/>
        </w:rPr>
      </w:pPr>
    </w:p>
    <w:p>
      <w:pPr>
        <w:jc w:val="both"/>
        <w:ind w:firstLine="12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80" w:lineRule="exact"/>
        <w:rPr>
          <w:sz w:val="20"/>
          <w:szCs w:val="20"/>
          <w:color w:val="auto"/>
        </w:rPr>
      </w:pPr>
    </w:p>
    <w:p>
      <w:pPr>
        <w:jc w:val="both"/>
        <w:ind w:firstLine="375"/>
        <w:spacing w:after="0" w:line="246" w:lineRule="auto"/>
        <w:rPr>
          <w:sz w:val="20"/>
          <w:szCs w:val="20"/>
          <w:color w:val="auto"/>
        </w:rPr>
      </w:pPr>
      <w:r>
        <w:rPr>
          <w:rFonts w:ascii="Times New Roman" w:cs="Times New Roman" w:eastAsia="Times New Roman" w:hAnsi="Times New Roman"/>
          <w:sz w:val="17"/>
          <w:szCs w:val="17"/>
          <w:color w:val="auto"/>
        </w:rPr>
        <w:t>We expect continued capital expenditures and operating losses over the next few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Loan and Security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The trading prices for our common stock and other biotechnology companies have been highly volatile as a result of the COVID-19 pandemic, which may reduce our ability to access capital on favorable terms or at all. In addition, a recession, depression or other sustained adverse market event resulting from the spread of COVID-19 could materially and adversely affect our business and the value of our common stock.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6" w:name="page57"/>
    <w:bookmarkEnd w:id="56"/>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12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80"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related to our protection of, and our service providers’ protection of, this critical information, including loss of access, inappropriate disclosure and inappropriate access, as well as risks associated with our ability to identify and audit such events. System failures or outages, including any potential disruptions due to significantly increased global demand on certain cloud based systems during the COVID-19 pandemic, could compromise our ability to perform these functions in a timely manner, which could harm our ability to conduct business or delay our financial reporting. Such failures could materially adversely affect our operating results and financial condition.</w:t>
      </w:r>
    </w:p>
    <w:p>
      <w:pPr>
        <w:spacing w:after="0" w:line="207"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aware of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federal, state, and international laws that protect the privacy of personal information, such as HIPAA,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manage the administrative aspects of our business and damage our reputation, any of which could adversely affect our business.</w:t>
      </w:r>
    </w:p>
    <w:p>
      <w:pPr>
        <w:spacing w:after="0" w:line="202" w:lineRule="exact"/>
        <w:rPr>
          <w:sz w:val="20"/>
          <w:szCs w:val="20"/>
          <w:color w:val="auto"/>
        </w:rPr>
      </w:pPr>
    </w:p>
    <w:p>
      <w:pPr>
        <w:jc w:val="both"/>
        <w:ind w:firstLine="375"/>
        <w:spacing w:after="0" w:line="265" w:lineRule="auto"/>
        <w:rPr>
          <w:sz w:val="20"/>
          <w:szCs w:val="20"/>
          <w:color w:val="auto"/>
        </w:rPr>
      </w:pPr>
      <w:r>
        <w:rPr>
          <w:rFonts w:ascii="Times New Roman" w:cs="Times New Roman" w:eastAsia="Times New Roman" w:hAnsi="Times New Roman"/>
          <w:sz w:val="16"/>
          <w:szCs w:val="16"/>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Certain health-related and data protection requirements have been modified during the Public Health Emergency, or PHE, under section 319 of the Public Health Service Act first declared January 31, 2020, which was most recently extended effective October 2, 2020. We cannot predict when the PHE declaration will be lifted. In addition, we are subject to various state laws, including the California Consumer Privacy Act, or CCPA, which was enacted in California in 2018 and components of which went into effect on January 1, 2020. The CCPA, among other things, requires covered companies to provide disclosures to California consumers concerning the collection and sale of personal information, and gives such consumers the right to opt-out of certain sales of personal information. Amendments to the CCPA have been made since its enactment, and it remains unclear what, if any, further amendments will be made to this legislation or how it will be interpreted. We cannot yet predict the impact of the CCPA on our business or operations, but it may require us to modify our data processing practices and policies and to incur substantial costs and expenses in an effort to comply.</w:t>
      </w:r>
    </w:p>
    <w:p>
      <w:pPr>
        <w:spacing w:after="0" w:line="191" w:lineRule="exact"/>
        <w:rPr>
          <w:sz w:val="20"/>
          <w:szCs w:val="20"/>
          <w:color w:val="auto"/>
        </w:rPr>
      </w:pPr>
    </w:p>
    <w:p>
      <w:pPr>
        <w:jc w:val="both"/>
        <w:ind w:firstLine="375"/>
        <w:spacing w:after="0" w:line="249" w:lineRule="auto"/>
        <w:rPr>
          <w:sz w:val="20"/>
          <w:szCs w:val="20"/>
          <w:color w:val="auto"/>
        </w:rPr>
      </w:pPr>
      <w:r>
        <w:rPr>
          <w:rFonts w:ascii="Times New Roman" w:cs="Times New Roman" w:eastAsia="Times New Roman" w:hAnsi="Times New Roman"/>
          <w:sz w:val="17"/>
          <w:szCs w:val="17"/>
          <w:color w:val="auto"/>
        </w:rPr>
        <w:t>Recent developments in Europe have created compliance uncertainty regarding the processing of personal data from Europe. For example, the General Data Protection Regulation, or GDPR, which became effective in the European Union on May 25, 2018, applies to our activities conducted from an establishment in the EU or related to products and services that we offer to European Union users. The GDPR creates new compliance obligations applicable to our business, which could cause us to change our business practices, and increases financial penalties for noncompliance (including possible fines of up to 4% of global annual turnover for the preceding financial year or €20 million (whichever is higher) for the most serious infringements). On July 16, 2020, the Court of Justice of the European Union issued a decision invalidating outright the EU-US Privacy Shield framework which companies rely on to transfer data from the European Union to the United States. As a result, we may need to modify the way we treat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7" w:name="page58"/>
    <w:bookmarkEnd w:id="57"/>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If we cannot license rights to use technologies on reasonable terms, we may not be able to commercialize new products in the future.</w:t>
      </w:r>
    </w:p>
    <w:p>
      <w:pPr>
        <w:spacing w:after="0" w:line="233"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protect our intellectual property effectively, our business would be harmed.</w:t>
      </w:r>
    </w:p>
    <w:p>
      <w:pPr>
        <w:spacing w:after="0" w:line="233"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99"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Our issued patents expire between 2021 and 2038 and are related to methods used in thyroid diagnostics, lung diagnostics, breast cancer diagnostics, and the nCounter Analysis System.</w:t>
      </w:r>
    </w:p>
    <w:p>
      <w:pPr>
        <w:spacing w:after="0" w:line="196" w:lineRule="exact"/>
        <w:rPr>
          <w:sz w:val="20"/>
          <w:szCs w:val="20"/>
          <w:color w:val="auto"/>
        </w:rPr>
      </w:pPr>
    </w:p>
    <w:p>
      <w:pPr>
        <w:jc w:val="both"/>
        <w:ind w:firstLine="375"/>
        <w:spacing w:after="0" w:line="249" w:lineRule="auto"/>
        <w:rPr>
          <w:sz w:val="20"/>
          <w:szCs w:val="20"/>
          <w:color w:val="auto"/>
        </w:rPr>
      </w:pPr>
      <w:r>
        <w:rPr>
          <w:rFonts w:ascii="Times New Roman" w:cs="Times New Roman" w:eastAsia="Times New Roman" w:hAnsi="Times New Roman"/>
          <w:sz w:val="17"/>
          <w:szCs w:val="17"/>
          <w:color w:val="auto"/>
        </w:rPr>
        <w:t>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203"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spacing w:after="0" w:line="199"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In particular, the patent positions of companies engaged in the development and commercialization of genomic diagnostic tests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pacing w:after="0" w:line="201" w:lineRule="exact"/>
        <w:rPr>
          <w:sz w:val="20"/>
          <w:szCs w:val="20"/>
          <w:color w:val="auto"/>
        </w:rPr>
      </w:pPr>
    </w:p>
    <w:p>
      <w:pPr>
        <w:jc w:val="both"/>
        <w:ind w:firstLine="375"/>
        <w:spacing w:after="0" w:line="274" w:lineRule="auto"/>
        <w:rPr>
          <w:sz w:val="20"/>
          <w:szCs w:val="20"/>
          <w:color w:val="auto"/>
        </w:rPr>
      </w:pPr>
      <w:r>
        <w:rPr>
          <w:rFonts w:ascii="Times New Roman" w:cs="Times New Roman" w:eastAsia="Times New Roman" w:hAnsi="Times New Roman"/>
          <w:sz w:val="16"/>
          <w:szCs w:val="16"/>
          <w:color w:val="auto"/>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8" w:name="page59"/>
    <w:bookmarkEnd w:id="58"/>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96"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201"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196"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201"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99" w:lineRule="exact"/>
        <w:rPr>
          <w:sz w:val="20"/>
          <w:szCs w:val="20"/>
          <w:color w:val="auto"/>
        </w:rPr>
      </w:pPr>
    </w:p>
    <w:p>
      <w:pPr>
        <w:jc w:val="both"/>
        <w:ind w:firstLine="375"/>
        <w:spacing w:after="0" w:line="249" w:lineRule="auto"/>
        <w:rPr>
          <w:sz w:val="20"/>
          <w:szCs w:val="20"/>
          <w:color w:val="auto"/>
        </w:rPr>
      </w:pPr>
      <w:r>
        <w:rPr>
          <w:rFonts w:ascii="Times New Roman" w:cs="Times New Roman" w:eastAsia="Times New Roman" w:hAnsi="Times New Roman"/>
          <w:sz w:val="17"/>
          <w:szCs w:val="17"/>
          <w:color w:val="auto"/>
        </w:rPr>
        <w:t>We have not registered certain of our trademarks in all of our potential geographic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If some other business in one of these markets already owns a trademark that is confusingly similar to one of our trademarks, we may be prohibited from entering that market under our trademark unless we re-brand our product in that location. Similarly, if we develop a new product line, there is no guaranty that one of our existing trademarks will be available as the brand for that new product line. Under those circumstances, we may incur the cost of developing a new trademark for this new product line.</w:t>
      </w:r>
    </w:p>
    <w:p>
      <w:pPr>
        <w:spacing w:after="0" w:line="203"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92" w:lineRule="exact"/>
        <w:rPr>
          <w:sz w:val="20"/>
          <w:szCs w:val="20"/>
          <w:color w:val="auto"/>
        </w:rPr>
      </w:pPr>
    </w:p>
    <w:p>
      <w:pPr>
        <w:jc w:val="both"/>
        <w:ind w:firstLine="12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80"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9" w:name="page60"/>
    <w:bookmarkEnd w:id="59"/>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201" w:lineRule="exact"/>
        <w:rPr>
          <w:sz w:val="20"/>
          <w:szCs w:val="20"/>
          <w:color w:val="auto"/>
        </w:rPr>
      </w:pPr>
    </w:p>
    <w:p>
      <w:pPr>
        <w:jc w:val="both"/>
        <w:ind w:firstLine="375"/>
        <w:spacing w:after="0" w:line="249" w:lineRule="auto"/>
        <w:rPr>
          <w:sz w:val="20"/>
          <w:szCs w:val="20"/>
          <w:color w:val="auto"/>
        </w:rPr>
      </w:pPr>
      <w:r>
        <w:rPr>
          <w:rFonts w:ascii="Times New Roman" w:cs="Times New Roman" w:eastAsia="Times New Roman" w:hAnsi="Times New Roman"/>
          <w:sz w:val="17"/>
          <w:szCs w:val="17"/>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203" w:lineRule="exact"/>
        <w:rPr>
          <w:sz w:val="20"/>
          <w:szCs w:val="20"/>
          <w:color w:val="auto"/>
        </w:rPr>
      </w:pPr>
    </w:p>
    <w:p>
      <w:pPr>
        <w:jc w:val="both"/>
        <w:ind w:firstLine="375"/>
        <w:spacing w:after="0" w:line="246" w:lineRule="auto"/>
        <w:rPr>
          <w:sz w:val="20"/>
          <w:szCs w:val="20"/>
          <w:color w:val="auto"/>
        </w:rPr>
      </w:pPr>
      <w:r>
        <w:rPr>
          <w:rFonts w:ascii="Times New Roman" w:cs="Times New Roman" w:eastAsia="Times New Roman" w:hAnsi="Times New Roman"/>
          <w:sz w:val="17"/>
          <w:szCs w:val="17"/>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 With respect to trademarks, infringement litigation or threats of infringement litigation may require us to re-brand our product in order to enter into the new mark.</w:t>
      </w:r>
    </w:p>
    <w:p>
      <w:pPr>
        <w:spacing w:after="0" w:line="214"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99"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0" w:name="page61"/>
    <w:bookmarkEnd w:id="60"/>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our net operating loss carryforwards may be limited and may result in increased future tax liability to us.</w:t>
      </w:r>
    </w:p>
    <w:p>
      <w:pPr>
        <w:spacing w:after="0" w:line="233"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We have incurred net losses since our inception and may never achieve profitability. As of December 31, 2020, we had net operating loss, or NOL, carryforwards of approximately $282.9 million, $63.0 million and $72.2 million available to reduce future taxable income, if any, for federal, California and other state income tax purposes, respectively. The U.S. federal NOL carryforwards will begin to expire in 2026 while for state purposes, the NOL carryforwards begin to expire in 2028. These NOL carryforwards could expire unused and be unavailable to offset future income tax liabilities. Under the Tax Cuts and Jobs Acts, or Tax Act, which was enacted in December 2017, federal NOLs incurred in tax years beginning after December 31, 2017 may be carried forward indefinitely, but the deductibility of such federal NOLs is limited. It is uncertain if and to what extent various states will conform to the newly enacted federal tax law.</w:t>
      </w:r>
    </w:p>
    <w:p>
      <w:pPr>
        <w:spacing w:after="0" w:line="201" w:lineRule="exact"/>
        <w:rPr>
          <w:sz w:val="20"/>
          <w:szCs w:val="20"/>
          <w:color w:val="auto"/>
        </w:rPr>
      </w:pPr>
    </w:p>
    <w:p>
      <w:pPr>
        <w:jc w:val="both"/>
        <w:ind w:firstLine="375"/>
        <w:spacing w:after="0" w:line="267" w:lineRule="auto"/>
        <w:rPr>
          <w:sz w:val="20"/>
          <w:szCs w:val="20"/>
          <w:color w:val="auto"/>
        </w:rPr>
      </w:pPr>
      <w:r>
        <w:rPr>
          <w:rFonts w:ascii="Times New Roman" w:cs="Times New Roman" w:eastAsia="Times New Roman" w:hAnsi="Times New Roman"/>
          <w:sz w:val="16"/>
          <w:szCs w:val="16"/>
          <w:color w:val="auto"/>
        </w:rPr>
        <w:t>To the extent that we continue to generate taxable losses, unused losses will carry forward to offset future taxable income, if any, until such unused losses expire. We may be limited in the portion of NOL carryforwards that we can use in the future to offset taxable income for U.S. federal and state income tax purposes, and federal tax credits to offset federal tax liabilities. Sections 382 and 383 of Internal Revenue Code limit the use of NOLs and tax credits after a cumulative change in corporate ownership of more than 50% occurs within a three-year period. The limitation could prevent a corporation from using some or all its NOL and tax credits before they expire within their normal 20-year lifespan, as it places a formula limit of how much NOL and tax credits a loss corporation can use in a tax year. In the event we have undergone an ownership change under Section 382 of the Internal Revenue Code, if we earn net taxable income, our ability to use our pre-change NOL carryforwards to offset U.S. federal taxable income may become subject to limitations, which could potentially result in increased future tax liability to us.</w:t>
      </w:r>
    </w:p>
    <w:p>
      <w:pPr>
        <w:spacing w:after="0" w:line="190"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On March 27, 2020, the CARES Act was signed into law. The CARES Act changes certain provisions of the 2017 Tax Act. Under the CARES Act, NOLs arising in taxable years beginning after December 31, 2017 and before January 1, 2021 may be carried back to each of the five taxable years preceding the tax year of such loss, but NOLs arising in taxable years beginning after December 31, 2020 may not be carried back. In addition, the CARES Act eliminates the limitation on the deduction of NOLs to 80% of current year taxable income for taxable years beginning before January 1, 2021, and increases the amount of interest expense that may be deducted to 50% of adjusted taxable income for taxable years beginning in 2019 or 2020. Notwithstanding the reduction in the corporate income tax rate, the overall impact of the Tax Act, as modified by the CARES Act, is uncertain and our business, financial conditions, results of operations and growth prospects could be materially and adversely affected. In addition, it is uncertain if and to what extent various states will conform to the Tax Act, as modified by the CARES Act. The impact of the Tax Act, as modified by the CARES Act, on holders of our common stock is also uncertain and could be adverse.</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If our goodwill or intangible assets become impaired, we may be required to record a significant charge to earnings.</w:t>
      </w:r>
    </w:p>
    <w:p>
      <w:pPr>
        <w:spacing w:after="0" w:line="233"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We review our goodwill and intangible assets for impairment when events or changes in circumstances indicate the carrying value may not be recoverable, such as declines in stock price, market capitalization, or cash flows and slower growth rates in our industry. Goodwill is required to be tested for impairment at least annually. If we are required to record a significant charge in our consolidated financial statements during the period in which any impairment of our goodwill or intangible assets is determined, that would negatively affect our operating results.</w:t>
      </w:r>
    </w:p>
    <w:p>
      <w:pPr>
        <w:spacing w:after="0" w:line="1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i w:val="1"/>
          <w:iCs w:val="1"/>
          <w:color w:val="auto"/>
        </w:rPr>
        <w:t>Changes in financial accounting standards or practices may cause adverse, unexpected financial reporting fluctuations and affect our reported operating results.</w:t>
      </w:r>
    </w:p>
    <w:p>
      <w:pPr>
        <w:spacing w:after="0" w:line="244"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U.S. GAAP is subject to interpretation by the Financial Accounting Standards Board, the Securities and Exchange Commission, or the SEC, and various bodies formed to promulgate and interpret appropriate accounting principles. A change in accounting standards or practices can have a significant effect on our reported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1" w:name="page62"/>
    <w:bookmarkEnd w:id="61"/>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120"/>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Our consolidated financial statements are subject to change and if our estimates or judgments relating to our critical accounting policies prove to be incorrect, our operating results could be adversely affected.</w:t>
      </w:r>
    </w:p>
    <w:p>
      <w:pPr>
        <w:spacing w:after="0" w:line="180"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U.S. GAAP requires management to make estimates and assumptions that affect the amounts reported in our consolidated financial statements and related notes. We base our estimates on historical experience and on various other assumptions that we believe to be reasonable under the circumstances, as provided in the section titled “Management’s Discussion and Analysis of Financial Condition and Results of</w:t>
      </w:r>
    </w:p>
    <w:p>
      <w:pPr>
        <w:spacing w:after="0" w:line="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Operations” in this Annual Report on Form 10-K. The results of these estimates form the basis for making judgments about the carrying values of assets, liabilities, and equity, and the amount of revenue and expenses that are not readily apparent from other sources. Critical accounting policies and estimates used in preparing our consolidated financial statements include those related to: revenue recognition; write-down of supplies; the useful lives of property and equipment; the recoverability of long-lived assets; the incremental borrowing rate for leases; the estimation of the fair value of intangible assets and contingent consideration; variable interest entity assessment; impairment of equity investment, at cost; stock options; income tax uncertainties, including a valuation allowance for deferred tax assets; reserve on accounts receivable and contingencies.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common stock.</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Risks Related to Being a Public Company</w:t>
      </w:r>
    </w:p>
    <w:p>
      <w:pPr>
        <w:spacing w:after="0" w:line="229" w:lineRule="exact"/>
        <w:rPr>
          <w:sz w:val="20"/>
          <w:szCs w:val="20"/>
          <w:color w:val="auto"/>
        </w:rPr>
      </w:pPr>
    </w:p>
    <w:p>
      <w:pPr>
        <w:jc w:val="both"/>
        <w:ind w:firstLine="12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80"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As a public company, we will continue to incur significant legal, accounting, consulting and other expenses that we did not incur as a private company, including costs associated with public company reporting requirements. In addition, the Sarbanes-Oxley Act of 2002 and the Dodd-Frank Act of 2010, as well as rules implemented by the SEC, and The Nasdaq Stock Market LLC, impose a number of requirements on public companies, including with respect to corporate governance practices. Our management and other personnel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197" w:lineRule="exact"/>
        <w:rPr>
          <w:sz w:val="20"/>
          <w:szCs w:val="20"/>
          <w:color w:val="auto"/>
        </w:rPr>
      </w:pPr>
    </w:p>
    <w:p>
      <w:pPr>
        <w:jc w:val="both"/>
        <w:ind w:firstLine="12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80" w:lineRule="exact"/>
        <w:rPr>
          <w:sz w:val="20"/>
          <w:szCs w:val="20"/>
          <w:color w:val="auto"/>
        </w:rPr>
      </w:pPr>
    </w:p>
    <w:p>
      <w:pPr>
        <w:jc w:val="both"/>
        <w:ind w:firstLine="375"/>
        <w:spacing w:after="0" w:line="265" w:lineRule="auto"/>
        <w:rPr>
          <w:sz w:val="20"/>
          <w:szCs w:val="20"/>
          <w:color w:val="auto"/>
        </w:rPr>
      </w:pPr>
      <w:r>
        <w:rPr>
          <w:rFonts w:ascii="Times New Roman" w:cs="Times New Roman" w:eastAsia="Times New Roman" w:hAnsi="Times New Roman"/>
          <w:sz w:val="16"/>
          <w:szCs w:val="16"/>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consolidated financial statements may be materially misstated. We will need to maintain and enhance the systems, processes and documentation necessary to comply with Section 404 of the Sarbanes-Oxley Act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We are also required to include an attestation report from our independent registered public accounting firm on the effectiveness of our internal control over financial reporting annually.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91"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If we are unable to conclude that our internal control over financial reporting is effective, or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2" w:name="page63"/>
    <w:bookmarkEnd w:id="62"/>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Risks Related to Our Common Stock</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Our stock price may be volatile, and you may not be able to sell shares of our common stock at or above the price you paid.</w:t>
      </w:r>
    </w:p>
    <w:p>
      <w:pPr>
        <w:spacing w:after="0" w:line="233" w:lineRule="exact"/>
        <w:rPr>
          <w:sz w:val="20"/>
          <w:szCs w:val="20"/>
          <w:color w:val="auto"/>
        </w:rPr>
      </w:pPr>
    </w:p>
    <w:p>
      <w:pPr>
        <w:ind w:firstLine="375"/>
        <w:spacing w:after="0" w:line="270" w:lineRule="auto"/>
        <w:rPr>
          <w:sz w:val="20"/>
          <w:szCs w:val="20"/>
          <w:color w:val="auto"/>
        </w:rPr>
      </w:pPr>
      <w:r>
        <w:rPr>
          <w:rFonts w:ascii="Times New Roman" w:cs="Times New Roman" w:eastAsia="Times New Roman" w:hAnsi="Times New Roman"/>
          <w:sz w:val="17"/>
          <w:szCs w:val="17"/>
          <w:color w:val="auto"/>
        </w:rPr>
        <w:t>The trading price of our common stock is likely to continue to be highly volatile and could be subject to wide fluctuations in response to various factors, some of which are beyond our control. These factors include:</w:t>
      </w:r>
    </w:p>
    <w:p>
      <w:pPr>
        <w:spacing w:after="0" w:line="184" w:lineRule="exact"/>
        <w:rPr>
          <w:sz w:val="20"/>
          <w:szCs w:val="20"/>
          <w:color w:val="auto"/>
        </w:rPr>
      </w:pPr>
    </w:p>
    <w:p>
      <w:pPr>
        <w:ind w:left="600" w:hanging="301"/>
        <w:spacing w:after="0"/>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variations in our and our competitors’ results of operations;</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global macroeconomic impact of the current COVID-19 outbreak;</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new products, commercial relationships or capital commitments;</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reimbursement by current or potential payers, including governmental payers;</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 of new securities analysts’ reports or changed recommendations for our stock;</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our revenue, due in part to the way in which we recognize revenue;</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regulatory oversight of our products;</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or disputes concerning our intellectual property or other proprietary rights;</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commencement of, or our involvement in, litigation;</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or completed acquisitions of businesses or technologies by us or our competitors;</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major change in our management; and</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and slow or negative growth of our markets.</w:t>
      </w:r>
    </w:p>
    <w:p>
      <w:pPr>
        <w:spacing w:after="0" w:line="229"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if the trading volume of our stock remains low.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97" w:lineRule="exact"/>
        <w:rPr>
          <w:sz w:val="20"/>
          <w:szCs w:val="20"/>
          <w:color w:val="auto"/>
        </w:rPr>
      </w:pPr>
    </w:p>
    <w:p>
      <w:pPr>
        <w:jc w:val="both"/>
        <w:ind w:firstLine="12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80"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The trading market for our common stock will depend in part on the research and reports that equity research analysts publish about us, our business and our competitors. We do not control these analysts or the content and opinions or financial models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3" w:name="page64"/>
    <w:bookmarkEnd w:id="63"/>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firstLine="12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80" w:lineRule="exact"/>
        <w:rPr>
          <w:sz w:val="20"/>
          <w:szCs w:val="20"/>
          <w:color w:val="auto"/>
        </w:rPr>
      </w:pPr>
    </w:p>
    <w:p>
      <w:pPr>
        <w:ind w:firstLine="375"/>
        <w:spacing w:after="0" w:line="270" w:lineRule="auto"/>
        <w:rPr>
          <w:sz w:val="20"/>
          <w:szCs w:val="20"/>
          <w:color w:val="auto"/>
        </w:rPr>
      </w:pPr>
      <w:r>
        <w:rPr>
          <w:rFonts w:ascii="Times New Roman" w:cs="Times New Roman" w:eastAsia="Times New Roman" w:hAnsi="Times New Roman"/>
          <w:sz w:val="17"/>
          <w:szCs w:val="17"/>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84" w:lineRule="exact"/>
        <w:rPr>
          <w:sz w:val="20"/>
          <w:szCs w:val="20"/>
          <w:color w:val="auto"/>
        </w:rPr>
      </w:pPr>
    </w:p>
    <w:p>
      <w:pPr>
        <w:ind w:left="600" w:hanging="301"/>
        <w:spacing w:after="0"/>
        <w:tabs>
          <w:tab w:leader="none" w:pos="6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our board of directors to issue, without further action by the stockholders, up to 5.0 million shares of undesignated preferred stock;</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that any action to be taken by our stockholders be effected at a duly called annual or special meeting and not by written consent;</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specify that special meetings of our stockholders can be called only by our board of directors, our chairman of the board, or our chief executive officer;</w:t>
      </w:r>
    </w:p>
    <w:p>
      <w:pPr>
        <w:spacing w:after="0" w:line="228" w:lineRule="exact"/>
        <w:rPr>
          <w:rFonts w:ascii="Times New Roman" w:cs="Times New Roman" w:eastAsia="Times New Roman" w:hAnsi="Times New Roman"/>
          <w:sz w:val="17"/>
          <w:szCs w:val="17"/>
          <w:color w:val="auto"/>
        </w:rPr>
      </w:pPr>
    </w:p>
    <w:p>
      <w:pPr>
        <w:ind w:left="600" w:hanging="301"/>
        <w:spacing w:after="0" w:line="270" w:lineRule="auto"/>
        <w:tabs>
          <w:tab w:leader="none" w:pos="59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an advance notice procedure for stockholder approvals to be brought before an annual meeting of our stockholders, including proposed nominations of persons for election to our board of directors;</w:t>
      </w:r>
    </w:p>
    <w:p>
      <w:pPr>
        <w:spacing w:after="0" w:line="18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that our board of directors is divided into three classes, Class I, Class II and Class III, with each class serving staggered terms;</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our directors may be removed only for cause;</w:t>
      </w:r>
    </w:p>
    <w:p>
      <w:pPr>
        <w:spacing w:after="0" w:line="228" w:lineRule="exact"/>
        <w:rPr>
          <w:rFonts w:ascii="Times New Roman" w:cs="Times New Roman" w:eastAsia="Times New Roman" w:hAnsi="Times New Roman"/>
          <w:sz w:val="17"/>
          <w:szCs w:val="17"/>
          <w:color w:val="auto"/>
        </w:rPr>
      </w:pPr>
    </w:p>
    <w:p>
      <w:pPr>
        <w:ind w:left="600" w:hanging="301"/>
        <w:spacing w:after="0" w:line="270" w:lineRule="auto"/>
        <w:tabs>
          <w:tab w:leader="none" w:pos="59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vacancies on our board of directors may, except as otherwise required by law, be filled only by a majority of directors then in office, even if less than a quorum;</w:t>
      </w:r>
    </w:p>
    <w:p>
      <w:pPr>
        <w:spacing w:after="0" w:line="184" w:lineRule="exact"/>
        <w:rPr>
          <w:rFonts w:ascii="Times New Roman" w:cs="Times New Roman" w:eastAsia="Times New Roman" w:hAnsi="Times New Roman"/>
          <w:sz w:val="17"/>
          <w:szCs w:val="17"/>
          <w:color w:val="auto"/>
        </w:rPr>
      </w:pPr>
    </w:p>
    <w:p>
      <w:pPr>
        <w:ind w:left="600" w:hanging="301"/>
        <w:spacing w:after="0" w:line="270" w:lineRule="auto"/>
        <w:tabs>
          <w:tab w:leader="none" w:pos="59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the federal district courts of the United States shall be the exclusive forum for the resolution of any complaint asserting a cause of action arising under the Securities Act of 1933, as amended;</w:t>
      </w:r>
    </w:p>
    <w:p>
      <w:pPr>
        <w:spacing w:after="0" w:line="18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specify that no stockholder is permitted to cumulate votes at any election of directors; and</w:t>
      </w:r>
    </w:p>
    <w:p>
      <w:pPr>
        <w:spacing w:after="0" w:line="228"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a super-majority of votes to amend certain of the above-mentioned provisions.</w:t>
      </w:r>
    </w:p>
    <w:p>
      <w:pPr>
        <w:spacing w:after="0" w:line="229"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We have never paid dividends on our capital stock, and we do not anticipate paying dividends in the foreseeable future.</w:t>
      </w:r>
    </w:p>
    <w:p>
      <w:pPr>
        <w:spacing w:after="0" w:line="233" w:lineRule="exact"/>
        <w:rPr>
          <w:sz w:val="20"/>
          <w:szCs w:val="20"/>
          <w:color w:val="auto"/>
        </w:rPr>
      </w:pPr>
    </w:p>
    <w:p>
      <w:pPr>
        <w:jc w:val="both"/>
        <w:ind w:firstLine="375"/>
        <w:spacing w:after="0" w:line="271" w:lineRule="auto"/>
        <w:rPr>
          <w:sz w:val="20"/>
          <w:szCs w:val="20"/>
          <w:color w:val="auto"/>
        </w:rPr>
      </w:pPr>
      <w:r>
        <w:rPr>
          <w:rFonts w:ascii="Times New Roman" w:cs="Times New Roman" w:eastAsia="Times New Roman" w:hAnsi="Times New Roman"/>
          <w:sz w:val="16"/>
          <w:szCs w:val="16"/>
          <w:color w:val="auto"/>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200" w:lineRule="exact"/>
        <w:rPr>
          <w:sz w:val="20"/>
          <w:szCs w:val="20"/>
          <w:color w:val="auto"/>
        </w:rPr>
      </w:pPr>
    </w:p>
    <w:p>
      <w:pPr>
        <w:spacing w:after="0" w:line="20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2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4" w:name="page65"/>
    <w:bookmarkEnd w:id="64"/>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233" w:lineRule="exact"/>
        <w:rPr>
          <w:sz w:val="20"/>
          <w:szCs w:val="20"/>
          <w:color w:val="auto"/>
        </w:rPr>
      </w:pPr>
    </w:p>
    <w:p>
      <w:pPr>
        <w:jc w:val="both"/>
        <w:ind w:firstLine="412"/>
        <w:spacing w:after="0" w:line="253" w:lineRule="auto"/>
        <w:rPr>
          <w:sz w:val="20"/>
          <w:szCs w:val="20"/>
          <w:color w:val="auto"/>
        </w:rPr>
      </w:pPr>
      <w:r>
        <w:rPr>
          <w:rFonts w:ascii="Times New Roman" w:cs="Times New Roman" w:eastAsia="Times New Roman" w:hAnsi="Times New Roman"/>
          <w:sz w:val="17"/>
          <w:szCs w:val="17"/>
          <w:color w:val="auto"/>
        </w:rPr>
        <w:t>On April 29, 2015, we signed a non-cancelable lease agreement for approximately 59,000 square feet to serve as our South San Francisco, California headquarters and laboratory. The lease began in June 2015 and ends in March 2026, and contains extension of lease term and expansion options. Certain expansion options were waived by us on February 8, 2017 in exchange for consideration of $500,000. We also lease approximately 10,400 square feet of office and laboratory space in Austin, Texas, under a lease that expires in January 2029 and includes options for expansion and early termination in 2025.</w:t>
      </w:r>
    </w:p>
    <w:p>
      <w:pPr>
        <w:spacing w:after="0" w:line="19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33" w:lineRule="exact"/>
        <w:rPr>
          <w:sz w:val="20"/>
          <w:szCs w:val="20"/>
          <w:color w:val="auto"/>
        </w:rPr>
      </w:pPr>
    </w:p>
    <w:p>
      <w:pPr>
        <w:jc w:val="both"/>
        <w:ind w:firstLine="412"/>
        <w:spacing w:after="0" w:line="270" w:lineRule="auto"/>
        <w:rPr>
          <w:sz w:val="20"/>
          <w:szCs w:val="20"/>
          <w:color w:val="auto"/>
        </w:rPr>
      </w:pPr>
      <w:r>
        <w:rPr>
          <w:rFonts w:ascii="Times New Roman" w:cs="Times New Roman" w:eastAsia="Times New Roman" w:hAnsi="Times New Roman"/>
          <w:sz w:val="17"/>
          <w:szCs w:val="17"/>
          <w:color w:val="auto"/>
        </w:rPr>
        <w:t>We are not currently a party to any material legal proceedings. We may from time to time become involved in legal proceedings arising in the ordinary course of business.</w:t>
      </w:r>
    </w:p>
    <w:p>
      <w:pPr>
        <w:spacing w:after="0" w:line="18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w:t>
      </w:r>
    </w:p>
    <w:p>
      <w:pPr>
        <w:spacing w:after="0" w:line="2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2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2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Our common stock is traded on the Nasdaq Global Market under the symbol "VCYT".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33" w:lineRule="exact"/>
        <w:rPr>
          <w:sz w:val="20"/>
          <w:szCs w:val="20"/>
          <w:color w:val="auto"/>
        </w:rPr>
      </w:pPr>
    </w:p>
    <w:p>
      <w:pPr>
        <w:jc w:val="both"/>
        <w:ind w:firstLine="412"/>
        <w:spacing w:after="0" w:line="250" w:lineRule="auto"/>
        <w:rPr>
          <w:sz w:val="20"/>
          <w:szCs w:val="20"/>
          <w:color w:val="auto"/>
        </w:rPr>
      </w:pPr>
      <w:r>
        <w:rPr>
          <w:rFonts w:ascii="Times New Roman" w:cs="Times New Roman" w:eastAsia="Times New Roman" w:hAnsi="Times New Roman"/>
          <w:sz w:val="17"/>
          <w:szCs w:val="17"/>
          <w:color w:val="auto"/>
        </w:rPr>
        <w:t>We have never declared or paid dividends on our common stock and do not expect to pay dividends on our common stock for the foreseeable future. Instead, we anticipate that all of our earnings in the foreseeable future will be used for the operation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 addition, the terms of our credit agreement restrict our ability to pay dividends on our common stock, and we may also enter into credit agreements or other borrowing arrangements in the future that will further restrict our ability to declare or pay dividends on our common stock.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Sale of Unregistered Securities and Use of Proceeds</w:t>
      </w:r>
    </w:p>
    <w:p>
      <w:pPr>
        <w:spacing w:after="0" w:line="2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Performance Graph</w:t>
      </w:r>
    </w:p>
    <w:p>
      <w:pPr>
        <w:spacing w:after="0" w:line="233" w:lineRule="exact"/>
        <w:rPr>
          <w:sz w:val="20"/>
          <w:szCs w:val="20"/>
          <w:color w:val="auto"/>
        </w:rPr>
      </w:pPr>
    </w:p>
    <w:p>
      <w:pPr>
        <w:jc w:val="both"/>
        <w:ind w:firstLine="412"/>
        <w:spacing w:after="0" w:line="281" w:lineRule="auto"/>
        <w:rPr>
          <w:sz w:val="20"/>
          <w:szCs w:val="20"/>
          <w:color w:val="auto"/>
        </w:rPr>
      </w:pPr>
      <w:r>
        <w:rPr>
          <w:rFonts w:ascii="Times New Roman" w:cs="Times New Roman" w:eastAsia="Times New Roman" w:hAnsi="Times New Roman"/>
          <w:sz w:val="16"/>
          <w:szCs w:val="16"/>
          <w:color w:val="auto"/>
        </w:rPr>
        <w:t>The following information is not deemed to be "soliciting material" or to be "filed" with the Securities and Exchange Commission or subject to Regulation 14A or 14C under the Securities Exchange Act of 1934, as amended, or the Exchange Act, or to the liabilities of Section 18 of the Exchange Act, and will not be deemed to be incorporated by reference into any filing under the Securities Act or the Exchange Act, except to the extent we specifically incorporate it by reference into such a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5" w:name="page66"/>
    <w:bookmarkEnd w:id="65"/>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412"/>
        <w:spacing w:after="0" w:line="281" w:lineRule="auto"/>
        <w:rPr>
          <w:sz w:val="20"/>
          <w:szCs w:val="20"/>
          <w:color w:val="auto"/>
        </w:rPr>
      </w:pPr>
      <w:r>
        <w:rPr>
          <w:rFonts w:ascii="Times New Roman" w:cs="Times New Roman" w:eastAsia="Times New Roman" w:hAnsi="Times New Roman"/>
          <w:sz w:val="16"/>
          <w:szCs w:val="16"/>
          <w:color w:val="auto"/>
        </w:rPr>
        <w:t>The graph below compares the cumulative total stockholder return of our common stock to the Nasdaq Global Market Index and the Nasdaq Biotechnology Index. The graph and table below assume that $100 was invested on the starting date and dividends, if any, were reinvested on the date of payment without payment of any commissions. The comparisons in the table are required by the SEC and are not intended to forecast or be indicative of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864235</wp:posOffset>
            </wp:positionH>
            <wp:positionV relativeFrom="paragraph">
              <wp:posOffset>123190</wp:posOffset>
            </wp:positionV>
            <wp:extent cx="5422265" cy="3083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422265" cy="3083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2"/>
                <w:szCs w:val="12"/>
                <w:color w:val="auto"/>
              </w:rPr>
            </w:pPr>
          </w:p>
        </w:tc>
        <w:tc>
          <w:tcPr>
            <w:tcW w:w="1240" w:type="dxa"/>
            <w:vAlign w:val="bottom"/>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80" w:type="dxa"/>
            <w:vAlign w:val="bottom"/>
          </w:tcPr>
          <w:p>
            <w:pPr>
              <w:spacing w:after="0"/>
              <w:rPr>
                <w:sz w:val="12"/>
                <w:szCs w:val="12"/>
                <w:color w:val="auto"/>
              </w:rPr>
            </w:pPr>
          </w:p>
        </w:tc>
        <w:tc>
          <w:tcPr>
            <w:tcW w:w="1200" w:type="dxa"/>
            <w:vAlign w:val="bottom"/>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80" w:type="dxa"/>
            <w:vAlign w:val="bottom"/>
          </w:tcPr>
          <w:p>
            <w:pPr>
              <w:spacing w:after="0"/>
              <w:rPr>
                <w:sz w:val="12"/>
                <w:szCs w:val="12"/>
                <w:color w:val="auto"/>
              </w:rPr>
            </w:pPr>
          </w:p>
        </w:tc>
        <w:tc>
          <w:tcPr>
            <w:tcW w:w="1240" w:type="dxa"/>
            <w:vAlign w:val="bottom"/>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80" w:type="dxa"/>
            <w:vAlign w:val="bottom"/>
          </w:tcPr>
          <w:p>
            <w:pPr>
              <w:spacing w:after="0"/>
              <w:rPr>
                <w:sz w:val="12"/>
                <w:szCs w:val="12"/>
                <w:color w:val="auto"/>
              </w:rPr>
            </w:pPr>
          </w:p>
        </w:tc>
        <w:tc>
          <w:tcPr>
            <w:tcW w:w="1220" w:type="dxa"/>
            <w:vAlign w:val="bottom"/>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20" w:type="dxa"/>
            <w:vAlign w:val="bottom"/>
          </w:tcPr>
          <w:p>
            <w:pPr>
              <w:spacing w:after="0"/>
              <w:rPr>
                <w:sz w:val="12"/>
                <w:szCs w:val="12"/>
                <w:color w:val="auto"/>
              </w:rPr>
            </w:pPr>
          </w:p>
        </w:tc>
        <w:tc>
          <w:tcPr>
            <w:tcW w:w="1200" w:type="dxa"/>
            <w:vAlign w:val="bottom"/>
          </w:tcPr>
          <w:p>
            <w:pPr>
              <w:jc w:val="right"/>
              <w:ind w:right="243"/>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5"/>
        </w:trPr>
        <w:tc>
          <w:tcPr>
            <w:tcW w:w="2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3"/>
                <w:szCs w:val="13"/>
                <w:b w:val="1"/>
                <w:bCs w:val="1"/>
                <w:color w:val="auto"/>
              </w:rPr>
              <w:t>2015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3"/>
                <w:szCs w:val="13"/>
                <w:b w:val="1"/>
                <w:bCs w:val="1"/>
                <w:color w:val="auto"/>
              </w:rPr>
              <w:t>2016</w:t>
            </w: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3"/>
                <w:szCs w:val="13"/>
                <w:b w:val="1"/>
                <w:bCs w:val="1"/>
                <w:color w:val="auto"/>
              </w:rPr>
              <w:t>2017</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3"/>
                <w:szCs w:val="13"/>
                <w:b w:val="1"/>
                <w:bCs w:val="1"/>
                <w:color w:val="auto"/>
              </w:rPr>
              <w:t>2018</w:t>
            </w: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3"/>
                <w:szCs w:val="13"/>
                <w:b w:val="1"/>
                <w:bCs w:val="1"/>
                <w:color w:val="auto"/>
              </w:rPr>
              <w:t>2019</w:t>
            </w: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205"/>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Veracyte, Inc.</w:t>
            </w: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108.00</w:t>
            </w:r>
          </w:p>
        </w:tc>
        <w:tc>
          <w:tcPr>
            <w:tcW w:w="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91.00</w:t>
            </w:r>
          </w:p>
        </w:tc>
        <w:tc>
          <w:tcPr>
            <w:tcW w:w="2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175.00</w:t>
            </w:r>
          </w:p>
        </w:tc>
        <w:tc>
          <w:tcPr>
            <w:tcW w:w="2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388.00</w:t>
            </w:r>
          </w:p>
        </w:tc>
        <w:tc>
          <w:tcPr>
            <w:tcW w:w="3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680.00</w:t>
            </w:r>
          </w:p>
        </w:tc>
      </w:tr>
      <w:tr>
        <w:trPr>
          <w:trHeight w:val="212"/>
        </w:trPr>
        <w:tc>
          <w:tcPr>
            <w:tcW w:w="2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Nasdaq Global Market Index</w:t>
            </w: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tcPr>
          <w:p>
            <w:pPr>
              <w:spacing w:after="0"/>
              <w:rPr>
                <w:sz w:val="18"/>
                <w:szCs w:val="18"/>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7"/>
                <w:szCs w:val="17"/>
                <w:color w:val="auto"/>
              </w:rPr>
              <w:t>108.00</w:t>
            </w:r>
          </w:p>
        </w:tc>
        <w:tc>
          <w:tcPr>
            <w:tcW w:w="2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23"/>
              <w:spacing w:after="0"/>
              <w:rPr>
                <w:sz w:val="20"/>
                <w:szCs w:val="20"/>
                <w:color w:val="auto"/>
              </w:rPr>
            </w:pPr>
            <w:r>
              <w:rPr>
                <w:rFonts w:ascii="Times New Roman" w:cs="Times New Roman" w:eastAsia="Times New Roman" w:hAnsi="Times New Roman"/>
                <w:sz w:val="17"/>
                <w:szCs w:val="17"/>
                <w:color w:val="auto"/>
              </w:rPr>
              <w:t>138.00</w:t>
            </w:r>
          </w:p>
        </w:tc>
        <w:tc>
          <w:tcPr>
            <w:tcW w:w="2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133.00</w:t>
            </w:r>
          </w:p>
        </w:tc>
        <w:tc>
          <w:tcPr>
            <w:tcW w:w="2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23"/>
              <w:spacing w:after="0"/>
              <w:rPr>
                <w:sz w:val="20"/>
                <w:szCs w:val="20"/>
                <w:color w:val="auto"/>
              </w:rPr>
            </w:pPr>
            <w:r>
              <w:rPr>
                <w:rFonts w:ascii="Times New Roman" w:cs="Times New Roman" w:eastAsia="Times New Roman" w:hAnsi="Times New Roman"/>
                <w:sz w:val="17"/>
                <w:szCs w:val="17"/>
                <w:color w:val="auto"/>
              </w:rPr>
              <w:t>179.00</w:t>
            </w:r>
          </w:p>
        </w:tc>
        <w:tc>
          <w:tcPr>
            <w:tcW w:w="3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257.00</w:t>
            </w:r>
          </w:p>
        </w:tc>
      </w:tr>
      <w:tr>
        <w:trPr>
          <w:trHeight w:val="212"/>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Nasdaq Biotechnology Index</w:t>
            </w: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78.00</w:t>
            </w:r>
          </w:p>
        </w:tc>
        <w:tc>
          <w:tcPr>
            <w:tcW w:w="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95.00</w:t>
            </w:r>
          </w:p>
        </w:tc>
        <w:tc>
          <w:tcPr>
            <w:tcW w:w="2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89.00</w:t>
            </w:r>
          </w:p>
        </w:tc>
        <w:tc>
          <w:tcPr>
            <w:tcW w:w="2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111.00</w:t>
            </w:r>
          </w:p>
        </w:tc>
        <w:tc>
          <w:tcPr>
            <w:tcW w:w="3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141.00</w:t>
            </w:r>
          </w:p>
        </w:tc>
      </w:tr>
    </w:tbl>
    <w:p>
      <w:pPr>
        <w:spacing w:after="0" w:line="200" w:lineRule="exact"/>
        <w:rPr>
          <w:sz w:val="20"/>
          <w:szCs w:val="20"/>
          <w:color w:val="auto"/>
        </w:rPr>
      </w:pPr>
    </w:p>
    <w:p>
      <w:pPr>
        <w:spacing w:after="0" w:line="31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SELECTED FINANCIAL DATA</w:t>
      </w:r>
    </w:p>
    <w:p>
      <w:pPr>
        <w:spacing w:after="0" w:line="233" w:lineRule="exact"/>
        <w:rPr>
          <w:sz w:val="20"/>
          <w:szCs w:val="20"/>
          <w:color w:val="auto"/>
        </w:rPr>
      </w:pPr>
    </w:p>
    <w:p>
      <w:pPr>
        <w:jc w:val="both"/>
        <w:ind w:firstLine="412"/>
        <w:spacing w:after="0" w:line="249" w:lineRule="auto"/>
        <w:rPr>
          <w:sz w:val="20"/>
          <w:szCs w:val="20"/>
          <w:color w:val="auto"/>
        </w:rPr>
      </w:pPr>
      <w:r>
        <w:rPr>
          <w:rFonts w:ascii="Times New Roman" w:cs="Times New Roman" w:eastAsia="Times New Roman" w:hAnsi="Times New Roman"/>
          <w:sz w:val="17"/>
          <w:szCs w:val="17"/>
          <w:color w:val="auto"/>
        </w:rPr>
        <w:t>The information set forth below should be read in conjunction with "Item 7. Management's Discussion and Analysis of Financial Condition and Results of Operations" and our audited consolidated financial statements and related notes included elsewhere in this annual report. The selected consolidated balance sheet data at December 31, 2020 and 2019 and the selected consolidated statements of operations data for each of the years ended December 31, 2020, 2019 and 2018 have been derived from our audited consolidated financial statements that are included elsewhere in this report. The selected consolidated balance sheet data at December 31, 2018, 2017 and 2016 and the selected consolidated statements of operations data for the years ended December 31, 2017 and 2016 have been derived from our audited consolidated financial statements not included in this report. The financial data are historical and are not necessarily indicative of results to be expected in any future period (in thousands, except share and per share data and test volume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6" w:name="page67"/>
    <w:bookmarkEnd w:id="66"/>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3"/>
                <w:szCs w:val="13"/>
                <w:b w:val="1"/>
                <w:bCs w:val="1"/>
                <w:color w:val="auto"/>
              </w:rPr>
              <w:t>2018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3"/>
                <w:szCs w:val="13"/>
                <w:b w:val="1"/>
                <w:bCs w:val="1"/>
                <w:color w:val="auto"/>
              </w:rPr>
              <w:t>2017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3"/>
                <w:szCs w:val="13"/>
                <w:b w:val="1"/>
                <w:bCs w:val="1"/>
                <w:color w:val="auto"/>
              </w:rPr>
              <w:t>2016</w:t>
            </w:r>
          </w:p>
        </w:tc>
        <w:tc>
          <w:tcPr>
            <w:tcW w:w="0" w:type="dxa"/>
            <w:vAlign w:val="bottom"/>
          </w:tcPr>
          <w:p>
            <w:pPr>
              <w:spacing w:after="0"/>
              <w:rPr>
                <w:sz w:val="1"/>
                <w:szCs w:val="1"/>
                <w:color w:val="auto"/>
              </w:rPr>
            </w:pPr>
          </w:p>
        </w:tc>
      </w:tr>
      <w:tr>
        <w:trPr>
          <w:trHeight w:val="20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Data:</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Testing revenue</w:t>
            </w: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107,355</w:t>
            </w:r>
          </w:p>
        </w:tc>
        <w:tc>
          <w:tcPr>
            <w:tcW w:w="40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65,085</w:t>
            </w:r>
          </w:p>
        </w:tc>
        <w:tc>
          <w:tcPr>
            <w:tcW w:w="0" w:type="dxa"/>
            <w:vAlign w:val="bottom"/>
          </w:tcPr>
          <w:p>
            <w:pPr>
              <w:spacing w:after="0"/>
              <w:rPr>
                <w:sz w:val="1"/>
                <w:szCs w:val="1"/>
                <w:color w:val="auto"/>
              </w:rPr>
            </w:pPr>
          </w:p>
        </w:tc>
      </w:tr>
      <w:tr>
        <w:trPr>
          <w:trHeight w:val="212"/>
        </w:trPr>
        <w:tc>
          <w:tcPr>
            <w:tcW w:w="4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Product revenue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Biopharmaceutical revenue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Collaboration revenue</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42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revenue</w:t>
            </w: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117,483</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120,368</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92,008</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71,953</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65,085</w:t>
            </w:r>
          </w:p>
        </w:tc>
        <w:tc>
          <w:tcPr>
            <w:tcW w:w="0" w:type="dxa"/>
            <w:vAlign w:val="bottom"/>
          </w:tcPr>
          <w:p>
            <w:pPr>
              <w:spacing w:after="0"/>
              <w:rPr>
                <w:sz w:val="1"/>
                <w:szCs w:val="1"/>
                <w:color w:val="auto"/>
              </w:rPr>
            </w:pPr>
          </w:p>
        </w:tc>
      </w:tr>
      <w:tr>
        <w:trPr>
          <w:trHeight w:val="212"/>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120"/>
              <w:spacing w:after="0" w:line="212" w:lineRule="exact"/>
              <w:rPr>
                <w:sz w:val="20"/>
                <w:szCs w:val="20"/>
                <w:color w:val="auto"/>
              </w:rPr>
            </w:pPr>
            <w:r>
              <w:rPr>
                <w:rFonts w:ascii="Times New Roman" w:cs="Times New Roman" w:eastAsia="Times New Roman" w:hAnsi="Times New Roman"/>
                <w:sz w:val="17"/>
                <w:szCs w:val="17"/>
                <w:color w:val="auto"/>
              </w:rPr>
              <w:t>Cost of testing revenue</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25,462</w:t>
            </w:r>
          </w:p>
        </w:tc>
        <w:tc>
          <w:tcPr>
            <w:tcW w:w="0" w:type="dxa"/>
            <w:vAlign w:val="bottom"/>
          </w:tcPr>
          <w:p>
            <w:pPr>
              <w:spacing w:after="0"/>
              <w:rPr>
                <w:sz w:val="1"/>
                <w:szCs w:val="1"/>
                <w:color w:val="auto"/>
              </w:rPr>
            </w:pPr>
          </w:p>
        </w:tc>
      </w:tr>
      <w:tr>
        <w:trPr>
          <w:trHeight w:val="212"/>
        </w:trPr>
        <w:tc>
          <w:tcPr>
            <w:tcW w:w="4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Cost of product revenue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Cost of biopharmaceutical revenue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240" w:type="dxa"/>
            <w:vAlign w:val="bottom"/>
          </w:tcPr>
          <w:p>
            <w:pPr>
              <w:ind w:left="120"/>
              <w:spacing w:after="0" w:line="212" w:lineRule="exact"/>
              <w:rPr>
                <w:sz w:val="20"/>
                <w:szCs w:val="20"/>
                <w:color w:val="auto"/>
              </w:rPr>
            </w:pPr>
            <w:r>
              <w:rPr>
                <w:rFonts w:ascii="Times New Roman" w:cs="Times New Roman" w:eastAsia="Times New Roman" w:hAnsi="Times New Roman"/>
                <w:sz w:val="17"/>
                <w:szCs w:val="17"/>
                <w:color w:val="auto"/>
              </w:rPr>
              <w:t>Research and development</w:t>
            </w:r>
            <w:r>
              <w:rPr>
                <w:rFonts w:ascii="Times New Roman" w:cs="Times New Roman" w:eastAsia="Times New Roman" w:hAnsi="Times New Roman"/>
                <w:sz w:val="21"/>
                <w:szCs w:val="21"/>
                <w:color w:val="auto"/>
                <w:vertAlign w:val="superscript"/>
              </w:rPr>
              <w:t>(1)</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15,324</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120"/>
              <w:spacing w:after="0" w:line="212" w:lineRule="exact"/>
              <w:rPr>
                <w:sz w:val="20"/>
                <w:szCs w:val="20"/>
                <w:color w:val="auto"/>
              </w:rPr>
            </w:pPr>
            <w:r>
              <w:rPr>
                <w:rFonts w:ascii="Times New Roman" w:cs="Times New Roman" w:eastAsia="Times New Roman" w:hAnsi="Times New Roman"/>
                <w:sz w:val="17"/>
                <w:szCs w:val="17"/>
                <w:color w:val="auto"/>
              </w:rPr>
              <w:t>Selling and marketing</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28,248</w:t>
            </w:r>
          </w:p>
        </w:tc>
        <w:tc>
          <w:tcPr>
            <w:tcW w:w="0" w:type="dxa"/>
            <w:vAlign w:val="bottom"/>
          </w:tcPr>
          <w:p>
            <w:pPr>
              <w:spacing w:after="0"/>
              <w:rPr>
                <w:sz w:val="1"/>
                <w:szCs w:val="1"/>
                <w:color w:val="auto"/>
              </w:rPr>
            </w:pPr>
          </w:p>
        </w:tc>
      </w:tr>
      <w:tr>
        <w:trPr>
          <w:trHeight w:val="212"/>
        </w:trPr>
        <w:tc>
          <w:tcPr>
            <w:tcW w:w="4240" w:type="dxa"/>
            <w:vAlign w:val="bottom"/>
          </w:tcPr>
          <w:p>
            <w:pPr>
              <w:ind w:left="120"/>
              <w:spacing w:after="0" w:line="212" w:lineRule="exact"/>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1"/>
                <w:szCs w:val="21"/>
                <w:color w:val="auto"/>
                <w:vertAlign w:val="superscript"/>
              </w:rPr>
              <w:t>(1)</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23,787</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Intangible asset amortization</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w:t>
            </w:r>
          </w:p>
        </w:tc>
        <w:tc>
          <w:tcPr>
            <w:tcW w:w="0" w:type="dxa"/>
            <w:vAlign w:val="bottom"/>
          </w:tcPr>
          <w:p>
            <w:pPr>
              <w:spacing w:after="0"/>
              <w:rPr>
                <w:sz w:val="1"/>
                <w:szCs w:val="1"/>
                <w:color w:val="auto"/>
              </w:rPr>
            </w:pPr>
          </w:p>
        </w:tc>
      </w:tr>
      <w:tr>
        <w:trPr>
          <w:trHeight w:val="205"/>
        </w:trPr>
        <w:tc>
          <w:tcPr>
            <w:tcW w:w="4240" w:type="dxa"/>
            <w:vAlign w:val="bottom"/>
            <w:tcBorders>
              <w:bottom w:val="single" w:sz="8" w:color="CCEEFF"/>
            </w:tcBorders>
          </w:tcPr>
          <w:p>
            <w:pPr>
              <w:ind w:left="20"/>
              <w:spacing w:after="0" w:line="205" w:lineRule="exact"/>
              <w:rPr>
                <w:sz w:val="20"/>
                <w:szCs w:val="20"/>
                <w:color w:val="auto"/>
              </w:rPr>
            </w:pPr>
            <w:r>
              <w:rPr>
                <w:rFonts w:ascii="Times New Roman" w:cs="Times New Roman" w:eastAsia="Times New Roman" w:hAnsi="Times New Roman"/>
                <w:sz w:val="17"/>
                <w:szCs w:val="17"/>
                <w:color w:val="auto"/>
              </w:rPr>
              <w:t>Total operating expenses</w:t>
            </w:r>
            <w:r>
              <w:rPr>
                <w:rFonts w:ascii="Times New Roman" w:cs="Times New Roman" w:eastAsia="Times New Roman" w:hAnsi="Times New Roman"/>
                <w:sz w:val="21"/>
                <w:szCs w:val="21"/>
                <w:color w:val="auto"/>
                <w:vertAlign w:val="superscript"/>
              </w:rPr>
              <w:t>(1)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152,872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135,495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114,241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98,491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93,888</w:t>
            </w:r>
          </w:p>
        </w:tc>
        <w:tc>
          <w:tcPr>
            <w:tcW w:w="0" w:type="dxa"/>
            <w:vAlign w:val="bottom"/>
          </w:tcPr>
          <w:p>
            <w:pPr>
              <w:spacing w:after="0"/>
              <w:rPr>
                <w:sz w:val="1"/>
                <w:szCs w:val="1"/>
                <w:color w:val="auto"/>
              </w:rPr>
            </w:pPr>
          </w:p>
        </w:tc>
      </w:tr>
      <w:tr>
        <w:trPr>
          <w:trHeight w:val="20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(35,389)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(15,127)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(22,233)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(26,538)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(28,803)</w:t>
            </w:r>
          </w:p>
        </w:tc>
        <w:tc>
          <w:tcPr>
            <w:tcW w:w="0" w:type="dxa"/>
            <w:vAlign w:val="bottom"/>
          </w:tcPr>
          <w:p>
            <w:pPr>
              <w:spacing w:after="0"/>
              <w:rPr>
                <w:sz w:val="1"/>
                <w:szCs w:val="1"/>
                <w:color w:val="auto"/>
              </w:rPr>
            </w:pPr>
          </w:p>
        </w:tc>
      </w:tr>
      <w:tr>
        <w:trPr>
          <w:trHeight w:val="212"/>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(2,757)</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0" w:type="dxa"/>
            <w:vAlign w:val="bottom"/>
          </w:tcPr>
          <w:p>
            <w:pPr>
              <w:spacing w:after="0"/>
              <w:rPr>
                <w:sz w:val="1"/>
                <w:szCs w:val="1"/>
                <w:color w:val="auto"/>
              </w:rPr>
            </w:pPr>
          </w:p>
        </w:tc>
      </w:tr>
      <w:tr>
        <w:trPr>
          <w:trHeight w:val="205"/>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and comprehensive loss</w:t>
            </w:r>
          </w:p>
        </w:tc>
        <w:tc>
          <w:tcPr>
            <w:tcW w:w="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(34,909)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(12,599)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(22,999)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(31,003)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(31,358)</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common share, basic and diluted</w:t>
            </w: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line="147" w:lineRule="exact"/>
              <w:rPr>
                <w:sz w:val="20"/>
                <w:szCs w:val="20"/>
                <w:color w:val="auto"/>
              </w:rPr>
            </w:pPr>
            <w:r>
              <w:rPr>
                <w:rFonts w:ascii="Times New Roman" w:cs="Times New Roman" w:eastAsia="Times New Roman" w:hAnsi="Times New Roman"/>
                <w:sz w:val="17"/>
                <w:szCs w:val="17"/>
                <w:color w:val="auto"/>
              </w:rPr>
              <w:t>Shares used to compute net loss per common share, basic and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42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53,239,231</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46,138,177</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37,020,246</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33,925,617</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28,830,472</w:t>
            </w:r>
          </w:p>
        </w:tc>
        <w:tc>
          <w:tcPr>
            <w:tcW w:w="0" w:type="dxa"/>
            <w:vAlign w:val="bottom"/>
          </w:tcPr>
          <w:p>
            <w:pPr>
              <w:spacing w:after="0"/>
              <w:rPr>
                <w:sz w:val="1"/>
                <w:szCs w:val="1"/>
                <w:color w:val="auto"/>
              </w:rPr>
            </w:pPr>
          </w:p>
        </w:tc>
      </w:tr>
      <w:tr>
        <w:trPr>
          <w:trHeight w:val="187"/>
        </w:trPr>
        <w:tc>
          <w:tcPr>
            <w:tcW w:w="4240" w:type="dxa"/>
            <w:vAlign w:val="bottom"/>
          </w:tcPr>
          <w:p>
            <w:pPr>
              <w:ind w:left="160"/>
              <w:spacing w:after="0" w:line="187" w:lineRule="exact"/>
              <w:rPr>
                <w:sz w:val="20"/>
                <w:szCs w:val="20"/>
                <w:color w:val="auto"/>
              </w:rPr>
            </w:pPr>
            <w:r>
              <w:rPr>
                <w:rFonts w:ascii="Times New Roman" w:cs="Times New Roman" w:eastAsia="Times New Roman" w:hAnsi="Times New Roman"/>
                <w:sz w:val="17"/>
                <w:szCs w:val="17"/>
                <w:color w:val="auto"/>
              </w:rPr>
              <w:t>diluted</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Operating Data:</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Genomic classifiers reported</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23,237</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tests sold</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test volume</w:t>
            </w: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44,489</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40,292</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31,710</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26,026</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23,237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_____________________________________________</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(1) Includes stock-based compensation as follows:</w:t>
      </w:r>
    </w:p>
    <w:p>
      <w:pPr>
        <w:spacing w:after="0" w:line="148" w:lineRule="exact"/>
        <w:rPr>
          <w:sz w:val="20"/>
          <w:szCs w:val="20"/>
          <w:color w:val="auto"/>
        </w:rPr>
      </w:pPr>
    </w:p>
    <w:tbl>
      <w:tblPr>
        <w:tblLayout w:type="fixed"/>
        <w:tblInd w:w="600" w:type="dxa"/>
        <w:tblCellMar>
          <w:top w:w="0" w:type="dxa"/>
          <w:left w:w="0" w:type="dxa"/>
          <w:bottom w:w="0" w:type="dxa"/>
          <w:right w:w="0" w:type="dxa"/>
        </w:tblCellMar>
      </w:tblPr>
      <w:tr>
        <w:trPr>
          <w:trHeight w:val="180"/>
        </w:trPr>
        <w:tc>
          <w:tcPr>
            <w:tcW w:w="3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6"/>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72"/>
        </w:trPr>
        <w:tc>
          <w:tcPr>
            <w:tcW w:w="3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2019</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2018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2017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2016</w:t>
            </w:r>
          </w:p>
        </w:tc>
      </w:tr>
      <w:tr>
        <w:trPr>
          <w:trHeight w:val="205"/>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testing revenue</w:t>
            </w: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212"/>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1,322</w:t>
            </w:r>
          </w:p>
        </w:tc>
      </w:tr>
      <w:tr>
        <w:trPr>
          <w:trHeight w:val="212"/>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and marketing</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1,594</w:t>
            </w:r>
          </w:p>
        </w:tc>
      </w:tr>
      <w:tr>
        <w:trPr>
          <w:trHeight w:val="212"/>
        </w:trPr>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6,462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4,736</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3,336</w:t>
            </w:r>
          </w:p>
        </w:tc>
      </w:tr>
      <w:tr>
        <w:trPr>
          <w:trHeight w:val="230"/>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6,378</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00"/>
          </w:cols>
          <w:pgMar w:left="320" w:top="120" w:right="379" w:bottom="1440" w:gutter="0" w:footer="0" w:header="0"/>
        </w:sectPr>
      </w:pPr>
    </w:p>
    <w:bookmarkStart w:id="67" w:name="page68"/>
    <w:bookmarkEnd w:id="67"/>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Balance Sheets Data:</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72"/>
        </w:trPr>
        <w:tc>
          <w:tcPr>
            <w:tcW w:w="42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3"/>
                <w:szCs w:val="13"/>
                <w:b w:val="1"/>
                <w:bCs w:val="1"/>
                <w:color w:val="auto"/>
              </w:rPr>
              <w:t>2018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2017</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2016</w:t>
            </w:r>
          </w:p>
        </w:tc>
      </w:tr>
      <w:tr>
        <w:trPr>
          <w:trHeight w:val="20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center"/>
              <w:ind w:left="220"/>
              <w:spacing w:after="0"/>
              <w:rPr>
                <w:sz w:val="20"/>
                <w:szCs w:val="20"/>
                <w:color w:val="auto"/>
              </w:rPr>
            </w:pPr>
            <w:r>
              <w:rPr>
                <w:rFonts w:ascii="Times New Roman" w:cs="Times New Roman" w:eastAsia="Times New Roman" w:hAnsi="Times New Roman"/>
                <w:sz w:val="17"/>
                <w:szCs w:val="17"/>
                <w:color w:val="auto"/>
                <w:w w:val="97"/>
              </w:rPr>
              <w:t>349,364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center"/>
              <w:ind w:left="260"/>
              <w:spacing w:after="0"/>
              <w:rPr>
                <w:sz w:val="20"/>
                <w:szCs w:val="20"/>
                <w:color w:val="auto"/>
              </w:rPr>
            </w:pPr>
            <w:r>
              <w:rPr>
                <w:rFonts w:ascii="Times New Roman" w:cs="Times New Roman" w:eastAsia="Times New Roman" w:hAnsi="Times New Roman"/>
                <w:sz w:val="17"/>
                <w:szCs w:val="17"/>
                <w:color w:val="auto"/>
                <w:w w:val="97"/>
              </w:rPr>
              <w:t>159,317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77,995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33,891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59,219</w:t>
            </w:r>
          </w:p>
        </w:tc>
      </w:tr>
      <w:tr>
        <w:trPr>
          <w:trHeight w:val="212"/>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Working capital</w:t>
            </w:r>
          </w:p>
        </w:tc>
        <w:tc>
          <w:tcPr>
            <w:tcW w:w="320" w:type="dxa"/>
            <w:vAlign w:val="bottom"/>
          </w:tcPr>
          <w:p>
            <w:pPr>
              <w:spacing w:after="0"/>
              <w:rPr>
                <w:sz w:val="18"/>
                <w:szCs w:val="18"/>
                <w:color w:val="auto"/>
              </w:rPr>
            </w:pPr>
          </w:p>
        </w:tc>
        <w:tc>
          <w:tcPr>
            <w:tcW w:w="1000" w:type="dxa"/>
            <w:vAlign w:val="bottom"/>
          </w:tcPr>
          <w:p>
            <w:pPr>
              <w:jc w:val="center"/>
              <w:ind w:left="220"/>
              <w:spacing w:after="0"/>
              <w:rPr>
                <w:sz w:val="20"/>
                <w:szCs w:val="20"/>
                <w:color w:val="auto"/>
              </w:rPr>
            </w:pPr>
            <w:r>
              <w:rPr>
                <w:rFonts w:ascii="Times New Roman" w:cs="Times New Roman" w:eastAsia="Times New Roman" w:hAnsi="Times New Roman"/>
                <w:sz w:val="17"/>
                <w:szCs w:val="17"/>
                <w:color w:val="auto"/>
                <w:w w:val="97"/>
              </w:rPr>
              <w:t>358,898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center"/>
              <w:ind w:left="260"/>
              <w:spacing w:after="0"/>
              <w:rPr>
                <w:sz w:val="20"/>
                <w:szCs w:val="20"/>
                <w:color w:val="auto"/>
              </w:rPr>
            </w:pPr>
            <w:r>
              <w:rPr>
                <w:rFonts w:ascii="Times New Roman" w:cs="Times New Roman" w:eastAsia="Times New Roman" w:hAnsi="Times New Roman"/>
                <w:sz w:val="17"/>
                <w:szCs w:val="17"/>
                <w:color w:val="auto"/>
                <w:w w:val="97"/>
              </w:rPr>
              <w:t>170,218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62,093</w:t>
            </w:r>
          </w:p>
        </w:tc>
      </w:tr>
      <w:tr>
        <w:trPr>
          <w:trHeight w:val="21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220"/>
              <w:spacing w:after="0"/>
              <w:rPr>
                <w:sz w:val="20"/>
                <w:szCs w:val="20"/>
                <w:color w:val="auto"/>
              </w:rPr>
            </w:pPr>
            <w:r>
              <w:rPr>
                <w:rFonts w:ascii="Times New Roman" w:cs="Times New Roman" w:eastAsia="Times New Roman" w:hAnsi="Times New Roman"/>
                <w:sz w:val="17"/>
                <w:szCs w:val="17"/>
                <w:color w:val="auto"/>
                <w:w w:val="97"/>
              </w:rPr>
              <w:t>457,163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260"/>
              <w:spacing w:after="0"/>
              <w:rPr>
                <w:sz w:val="20"/>
                <w:szCs w:val="20"/>
                <w:color w:val="auto"/>
              </w:rPr>
            </w:pPr>
            <w:r>
              <w:rPr>
                <w:rFonts w:ascii="Times New Roman" w:cs="Times New Roman" w:eastAsia="Times New Roman" w:hAnsi="Times New Roman"/>
                <w:sz w:val="17"/>
                <w:szCs w:val="17"/>
                <w:color w:val="auto"/>
                <w:w w:val="97"/>
              </w:rPr>
              <w:t>275,212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120,638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101,034</w:t>
            </w:r>
          </w:p>
        </w:tc>
      </w:tr>
      <w:tr>
        <w:trPr>
          <w:trHeight w:val="212"/>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deficit</w:t>
            </w:r>
          </w:p>
        </w:tc>
        <w:tc>
          <w:tcPr>
            <w:tcW w:w="320" w:type="dxa"/>
            <w:vAlign w:val="bottom"/>
          </w:tcPr>
          <w:p>
            <w:pPr>
              <w:spacing w:after="0"/>
              <w:rPr>
                <w:sz w:val="18"/>
                <w:szCs w:val="18"/>
                <w:color w:val="auto"/>
              </w:rPr>
            </w:pPr>
          </w:p>
        </w:tc>
        <w:tc>
          <w:tcPr>
            <w:tcW w:w="1000" w:type="dxa"/>
            <w:vAlign w:val="bottom"/>
          </w:tcPr>
          <w:p>
            <w:pPr>
              <w:jc w:val="center"/>
              <w:ind w:left="220"/>
              <w:spacing w:after="0"/>
              <w:rPr>
                <w:sz w:val="20"/>
                <w:szCs w:val="20"/>
                <w:color w:val="auto"/>
              </w:rPr>
            </w:pPr>
            <w:r>
              <w:rPr>
                <w:rFonts w:ascii="Times New Roman" w:cs="Times New Roman" w:eastAsia="Times New Roman" w:hAnsi="Times New Roman"/>
                <w:sz w:val="17"/>
                <w:szCs w:val="17"/>
                <w:color w:val="auto"/>
                <w:w w:val="99"/>
              </w:rPr>
              <w:t>(281,594)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center"/>
              <w:ind w:left="220"/>
              <w:spacing w:after="0"/>
              <w:rPr>
                <w:sz w:val="20"/>
                <w:szCs w:val="20"/>
                <w:color w:val="auto"/>
              </w:rPr>
            </w:pPr>
            <w:r>
              <w:rPr>
                <w:rFonts w:ascii="Times New Roman" w:cs="Times New Roman" w:eastAsia="Times New Roman" w:hAnsi="Times New Roman"/>
                <w:sz w:val="17"/>
                <w:szCs w:val="17"/>
                <w:color w:val="auto"/>
                <w:w w:val="99"/>
              </w:rPr>
              <w:t>(246,685)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(234,086)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(211,087)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(180,084)</w:t>
            </w:r>
          </w:p>
        </w:tc>
      </w:tr>
      <w:tr>
        <w:trPr>
          <w:trHeight w:val="21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220"/>
              <w:spacing w:after="0"/>
              <w:rPr>
                <w:sz w:val="20"/>
                <w:szCs w:val="20"/>
                <w:color w:val="auto"/>
              </w:rPr>
            </w:pPr>
            <w:r>
              <w:rPr>
                <w:rFonts w:ascii="Times New Roman" w:cs="Times New Roman" w:eastAsia="Times New Roman" w:hAnsi="Times New Roman"/>
                <w:sz w:val="17"/>
                <w:szCs w:val="17"/>
                <w:color w:val="auto"/>
                <w:w w:val="97"/>
              </w:rPr>
              <w:t>421,232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260"/>
              <w:spacing w:after="0"/>
              <w:rPr>
                <w:sz w:val="20"/>
                <w:szCs w:val="20"/>
                <w:color w:val="auto"/>
              </w:rPr>
            </w:pPr>
            <w:r>
              <w:rPr>
                <w:rFonts w:ascii="Times New Roman" w:cs="Times New Roman" w:eastAsia="Times New Roman" w:hAnsi="Times New Roman"/>
                <w:sz w:val="17"/>
                <w:szCs w:val="17"/>
                <w:color w:val="auto"/>
                <w:w w:val="97"/>
              </w:rPr>
              <w:t>239,455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00"/>
          </w:cols>
          <w:pgMar w:left="320" w:top="120" w:right="379" w:bottom="1440" w:gutter="0" w:footer="0" w:header="0"/>
        </w:sectPr>
      </w:pPr>
    </w:p>
    <w:bookmarkStart w:id="68" w:name="page69"/>
    <w:bookmarkEnd w:id="68"/>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31" w:lineRule="exact"/>
        <w:rPr>
          <w:sz w:val="20"/>
          <w:szCs w:val="20"/>
          <w:color w:val="auto"/>
        </w:rPr>
      </w:pPr>
    </w:p>
    <w:p>
      <w:pPr>
        <w:jc w:val="both"/>
        <w:ind w:firstLine="375"/>
        <w:spacing w:after="0" w:line="252"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financial condition and results of operations should be read together with the financial statements and the related notes included in Item 8 of Part II of this Annual Report on Form 10-K. This discussion and analysis contains certain forward-looking statements that involve risks and uncertainties. Our actual results may differ materially from those discussed below. Factors that could cause or contribute to such differences include, but are not limited to, those identified below and those set forth under the section entitled "Risk Factors" in Item 1A, and other documents we file with the Securities and Exchange Commission. Historical results are not necessarily indicative of future results.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33"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We are a global genomic diagnostics company that improves patient care by answering important clinical questions to inform diagnosis and treatment decisions throughout the patient journey in cancer and other diseases. Our growing menu of tests leverages advances in genomic science and machine learning technology to change care for patients, enabling them to avoid risky, costly procedures and reduce time to appropriate treatment. In addition to making our genomic tests available in the United States through our central laboratory, we believe our nCounter Analysis instrument is a best-in-class diagnostics platform that positions us to deliver our tests to patients worldwide through laboratories and hospitals that can perform the tests locally. We estimate that our current and near-term pipeline products address an estimated $10 billion global market and that our longer-term pipeline products will enable us to address an estimated $50 billion global market.</w:t>
      </w:r>
    </w:p>
    <w:p>
      <w:pPr>
        <w:spacing w:after="0" w:line="201"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We design our tests to answer critical questions in the diagnosis, prognosis and treatment of cancer and other diseases and improve patient outcomes, while delivering clinical and economic utility to physicians, payers and the healthcare system. We position our tests to integrate seamlessly into the way physicians currently evaluate patients in order to facilitate adoption.</w:t>
      </w:r>
    </w:p>
    <w:p>
      <w:pPr>
        <w:spacing w:after="0" w:line="196"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We develop our genomic tests using advanced scientific methods, such as RNA whole-transcriptome sequencing and machine learning, and then optimize the assays and classifiers for the platform on which the test will be performed. Historically, we have utilized RNA sequencing methods performed in our CLIA laboratory in South San Francisco, California. Beginning in 2021, we expect to adapt select tests to be performed on the nCounter Analysis System for international distribution of our tests.</w:t>
      </w:r>
    </w:p>
    <w:p>
      <w:pPr>
        <w:spacing w:after="0" w:line="199"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We currently offer five commercialized genomic tests that we believe are changing disease diagnosis and patient care. All five tests are available in the United States and one is available internationally. These include the Afirma Genomic Sequencing Classifier, or GSC (its predecessor was the Afirma Gene Expression Classifier, or GEC) for thyroid cancer; the Percepta GSC (its predecessor was the Percepta Bronchial Genomic Classifier) for lung cancer; the Envisia Genomic Classifier for IPF; the Afirma Xpression Atlas, which provides information on the most common and emerging gene alterations associated with thyroid cancer, enabling physicians to confidently tailor surgical and treatment decisions at time of diagnosis; and the Prosigna Breast Cancer Assay for assessing risk of breast cancer distant recurrence, which is available for use on the nCounter platform in the United States and internationally.</w:t>
      </w:r>
    </w:p>
    <w:p>
      <w:pPr>
        <w:spacing w:after="0" w:line="201"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We expect to continue expanding our offerings in thyroid cancer, lung cancer, ILD/IPF, breast cancer and lymphoma, as well as other indications that we believe will benefit from our technology and approach. Our product development pipelines address what we believe to be significant market opportunities in early detection, diagnosis, staging/prognosis, therapy selection/surgery and disease monitoring across the aforementioned indications. We plan to commercially introduce four products in 2021: Our nasal swab test for early lung cancer detection and our Percepta Genomic Atlas, which, together with the Percepta GSC, form a comprehensive lung cancer portfolio that we believe may improve lung cancer diagnosis and treatment decisions; our Envisia classifier on the nCounter system for expansion into global markets; and our LymphMark lymphoma subtyping test.</w:t>
      </w:r>
    </w:p>
    <w:p>
      <w:pPr>
        <w:spacing w:after="0" w:line="201"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We believe our ability to leverage RNA whole-transcriptome sequencing data in large biorepositories of patient-consented samples in oncology and other indications, our strong commercial position in major clinical indications and our global reach, present partnership opportunities for biopharmaceutical companies to enhance their research and development capabilities and for other genomic diagnostics companies to introduce their non-competitive tests to global markets on the nCounter system.</w:t>
      </w:r>
    </w:p>
    <w:p>
      <w:pPr>
        <w:spacing w:after="0" w:line="199"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We have formed several biopharmaceutical partnerships, each focused on our current indications to derive value out of our current business or advance future business. Our collaboration with the Lung Cancer Initiative at Johnson &amp; Johnson, which</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9" w:name="page70"/>
    <w:bookmarkEnd w:id="69"/>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began in December 2018, has helped advance our pipeline, including the launch in 2019 of our Percepta GSC on our RNA whole-transcriptome sequencing platform</w:t>
      </w:r>
    </w:p>
    <w:p>
      <w:pPr>
        <w:spacing w:after="0" w:line="4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and development of the first non-invasive nasal swab test designed for early lung cancer detection. We have recently expanded our program with Johnson &amp; Johnson to potentially develop future tests designed to detect lung disease before cancer develops.</w:t>
      </w:r>
    </w:p>
    <w:p>
      <w:pPr>
        <w:spacing w:after="0" w:line="184"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Patients access our tests through their physician. Our Afirma, Percepta and Envisia tests are used as part of the diagnostic process and genomic testing services are performed in our CLIA laboratory located in San Francisco, California and marketed as laboratory developed tests. Cytopathology services for Afirma testing are performed in our reference laboratory in Austin, Texas. The Prosigna test is indicated in female breast cancer patients who have undergone surgery in conjunction with locoregional treatment consistent with standard of care. This FDA cleared in vitro diagnostic test is performed on the nCounter Analysis System in laboratories worldwide, as well as in the United States.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Acquisition of Decipher</w:t>
      </w:r>
    </w:p>
    <w:p>
      <w:pPr>
        <w:spacing w:after="0" w:line="231" w:lineRule="exact"/>
        <w:rPr>
          <w:sz w:val="20"/>
          <w:szCs w:val="20"/>
          <w:color w:val="auto"/>
        </w:rPr>
      </w:pPr>
    </w:p>
    <w:p>
      <w:pPr>
        <w:jc w:val="both"/>
        <w:ind w:firstLine="412"/>
        <w:spacing w:after="0" w:line="257" w:lineRule="auto"/>
        <w:rPr>
          <w:sz w:val="20"/>
          <w:szCs w:val="20"/>
          <w:color w:val="auto"/>
        </w:rPr>
      </w:pPr>
      <w:r>
        <w:rPr>
          <w:rFonts w:ascii="Times New Roman" w:cs="Times New Roman" w:eastAsia="Times New Roman" w:hAnsi="Times New Roman"/>
          <w:sz w:val="17"/>
          <w:szCs w:val="17"/>
          <w:color w:val="auto"/>
        </w:rPr>
        <w:t>On February 2, 2021, we entered into a Merger Agreement, with Decipher, which is a commercial-stage precision oncology company, with a focus in urologic oncology specific to prostate and bladder cancers, and has a kidney cancer test in development. Through the planned acquisition, we expect to expand our presence into seven of the ten most common cancers in the United States, accelerating our expected revenue growth.</w:t>
      </w:r>
    </w:p>
    <w:p>
      <w:pPr>
        <w:spacing w:after="0" w:line="196" w:lineRule="exact"/>
        <w:rPr>
          <w:sz w:val="20"/>
          <w:szCs w:val="20"/>
          <w:color w:val="auto"/>
        </w:rPr>
      </w:pPr>
    </w:p>
    <w:p>
      <w:pPr>
        <w:jc w:val="both"/>
        <w:ind w:firstLine="412"/>
        <w:spacing w:after="0" w:line="257" w:lineRule="auto"/>
        <w:rPr>
          <w:sz w:val="20"/>
          <w:szCs w:val="20"/>
          <w:color w:val="auto"/>
        </w:rPr>
      </w:pPr>
      <w:r>
        <w:rPr>
          <w:rFonts w:ascii="Times New Roman" w:cs="Times New Roman" w:eastAsia="Times New Roman" w:hAnsi="Times New Roman"/>
          <w:sz w:val="17"/>
          <w:szCs w:val="17"/>
          <w:color w:val="auto"/>
        </w:rPr>
        <w:t>Under terms of the Merger Agreement, Decipher will become our wholly owned subsidiary. At the Closing, we will pay $600 million in cash to Decipher security holders, subject to customary purchase price adjustments for cash, unpaid indebtedness, unpaid transaction expenses and the aggregate exercise prices of all Decipher options.</w:t>
      </w:r>
    </w:p>
    <w:p>
      <w:pPr>
        <w:spacing w:after="0" w:line="196" w:lineRule="exact"/>
        <w:rPr>
          <w:sz w:val="20"/>
          <w:szCs w:val="20"/>
          <w:color w:val="auto"/>
        </w:rPr>
      </w:pPr>
    </w:p>
    <w:p>
      <w:pPr>
        <w:jc w:val="both"/>
        <w:ind w:firstLine="412"/>
        <w:spacing w:after="0" w:line="253" w:lineRule="auto"/>
        <w:rPr>
          <w:sz w:val="20"/>
          <w:szCs w:val="20"/>
          <w:color w:val="auto"/>
        </w:rPr>
      </w:pPr>
      <w:r>
        <w:rPr>
          <w:rFonts w:ascii="Times New Roman" w:cs="Times New Roman" w:eastAsia="Times New Roman" w:hAnsi="Times New Roman"/>
          <w:sz w:val="17"/>
          <w:szCs w:val="17"/>
          <w:color w:val="auto"/>
        </w:rPr>
        <w:t>The Merger Agreement contains customary representations, warranties, covenants and agreements of Decipher and us. The Closing is anticipated to occur by April 2021 and is subject to customary closing conditions, including approval by the Decipher stockholders and the expiration or termination of the applicable waiting period under the Hart-Scott-Rodino Antitrust Improvements Act of 1976, as amended. The Merger Agreement also provides customary termination rights to each of the parties</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Public Offering of Common Stock</w:t>
      </w:r>
    </w:p>
    <w:p>
      <w:pPr>
        <w:spacing w:after="0" w:line="231"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On February 9, 2021, the Company issued and sold 8,547,297 shares of common stock in a registered public offering, including 1,114,864 shares issued and sold upon the underwriters' exercise in full of their option to purchase additional shares, at a price to the public of $74.00 per share. The Company's net proceeds from the offering were $593.8 million, after deducting underwriting commissions and offering expenses of $38.7 million.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Impact of COVID-19</w:t>
      </w:r>
    </w:p>
    <w:p>
      <w:pPr>
        <w:spacing w:after="0" w:line="233" w:lineRule="exact"/>
        <w:rPr>
          <w:sz w:val="20"/>
          <w:szCs w:val="20"/>
          <w:color w:val="auto"/>
        </w:rPr>
      </w:pPr>
    </w:p>
    <w:p>
      <w:pPr>
        <w:jc w:val="both"/>
        <w:ind w:firstLine="375"/>
        <w:spacing w:after="0" w:line="247" w:lineRule="auto"/>
        <w:rPr>
          <w:sz w:val="20"/>
          <w:szCs w:val="20"/>
          <w:color w:val="auto"/>
        </w:rPr>
      </w:pPr>
      <w:r>
        <w:rPr>
          <w:rFonts w:ascii="Times New Roman" w:cs="Times New Roman" w:eastAsia="Times New Roman" w:hAnsi="Times New Roman"/>
          <w:sz w:val="17"/>
          <w:szCs w:val="17"/>
          <w:color w:val="auto"/>
        </w:rPr>
        <w:t>In December 2019, a strain of coronavirus was reported in Wuhan, China, and began to spread globally, including to the United States and Europe, in the following months. The World Health Organization has declared COVID-19 to be a pandemic and a public health emergency of international concern. The full impact of the COVID-19 outbreak is inherently uncertain at the time of this report. The COVID-19 outbreak has resulted in travel restrictions and in some cases, prohibitions of non-essential activities, disruption and shutdown of businesses and greater uncertainty in global financial markets. As COVID-19 has spread, it has significantly impacted the health and economic environment around the world and many governments have closed most public establishments, including restaurants, workplaces and schools. Our customers, third-party contract manufacturers, suppliers and collaboration partners may be affected by the closure of hospitals, doctors' offices, manufacturing sites, or country borders, among other measures being put in place around the world. Consequent increases in layoffs and furloughs in the medical industry and otherwise during the shutdown are having, and will continue to have, negative impact on the demand for medical care and diagnostic tests, which affects the frequency with which tests are prescribed, and the ability of doctors and hospitals to administer such tests. Further the inability to travel and conduct face-to-face meetings can also make it more difficult to expand utilization of our products into new geographies and to drive awareness of our products. These circumstances had a significant negative impact on our financial results during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0" w:name="page71"/>
    <w:bookmarkEnd w:id="70"/>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During the second half of March 2020, we experienced a significant decline in the volume of samples received. Our monthly reported genomic volumes reached a low point in April 2020. Following the April 2020 low point, sequential monthly total reported genomic volume increased in both May and June 2020. As a result of the impact on our volumes, we reported a significant decline in sequential and year-over-year revenue for the quarter ended June 30, 2020. For the second half of 2020, our total reported genomic volume, relative to the same period of the prior year, increased 3% as hospitals started performing more non-emergency procedures and physician practices began to reopen. The COVID-19 pandemic has also caused us to modify our business practices, including taking proactive steps to protect our employees and the broader community (including but not limited to curtailing or modifying employee travel, moving to full remote work wherever possible, and cancelling physical participation in meetings, events and conferences), while ensuring our ability to deliver genomic test results to physicians and their patients who need them. Given the significant challenges we face from COVID-19, we have taken actions to reduce expenses and preserve the health of our business, including our board of directors, executive team, including our Chairman and CEO, and certain other employees taking a reduction in pay, which ended in October 2020. In April 2020, we also put approximately 60 employees on a temporary furlough, which ended in July 2020.</w:t>
      </w:r>
    </w:p>
    <w:p>
      <w:pPr>
        <w:spacing w:after="0" w:line="202"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During the second quarter of 2020, with limited physical access to physicians, we expanded our use of digital tools to engage with our customers. Given the effectiveness of these programs, we believe such new sales and marketing models offer an opportunity to increase our efficiency and align with our projections for a U-shaped recovery. To that end, in July 2020 we terminated over 30 sales positions, representing a combination of employees who were furloughed and those who were not. At the same time, we brought the remaining 35 employees – mostly in sales – back from furlough as our business began to increase. We may take further actions as may be required by government authorities or that we determine are in the best interests of our employees, customers and business partners.</w:t>
      </w:r>
    </w:p>
    <w:p>
      <w:pPr>
        <w:spacing w:after="0" w:line="201" w:lineRule="exact"/>
        <w:rPr>
          <w:sz w:val="20"/>
          <w:szCs w:val="20"/>
          <w:color w:val="auto"/>
        </w:rPr>
      </w:pPr>
    </w:p>
    <w:p>
      <w:pPr>
        <w:jc w:val="both"/>
        <w:ind w:firstLine="375"/>
        <w:spacing w:after="0" w:line="266" w:lineRule="auto"/>
        <w:rPr>
          <w:sz w:val="20"/>
          <w:szCs w:val="20"/>
          <w:color w:val="auto"/>
        </w:rPr>
      </w:pPr>
      <w:r>
        <w:rPr>
          <w:rFonts w:ascii="Times New Roman" w:cs="Times New Roman" w:eastAsia="Times New Roman" w:hAnsi="Times New Roman"/>
          <w:sz w:val="16"/>
          <w:szCs w:val="16"/>
          <w:color w:val="auto"/>
        </w:rPr>
        <w:t>According to Johns Hopkins Coronavirus Resource Center, daily COVID-19 test volume increased from less than approximately 0.2 million tests per day in April 2020 to between 0.8 million and 1.0 million tests per day in the first half of October 2020. We believe the rapid increase in daily testing volumes is consuming reagents and supplies otherwise available to genomic testing companies like ours across the United States. In October 2020, we experienced supply chain disruptions in the supply of plastic materials used in the processing of samples. When not limited by the expiration date of products and when we feel it reasonable and feasible to do so, we are taking steps to increase our level of stock reserves, to develop alternative sources of supply and to implement procedures to mitigate the impact on our supply chain or our ability to process samples in our laboratories. Though we are in regular contact with our key suppliers, we do not have, nor expect to have, the necessary insight into our vendors’ supply chain issues that we may need to know to effectively mitigate the impact to our business. Though we attempt to mitigate the impact to our business, these interruptions in manufacturing (including the sourcing of reagents or supplies) may negatively impact our test volumes or levels of revenue.</w:t>
      </w:r>
    </w:p>
    <w:p>
      <w:pPr>
        <w:spacing w:after="0" w:line="191"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The extent of the impact of the COVID-19 on our future liquidity and operational performance will depend on certain developments, including the duration and spread of the outbreak, the impact on our customers' operations and the impact to our sales and renewal cycles.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Fourth Quarter and Full-Year 2020 Financial Results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three months ended December 31, 2020, compared to the prior year:</w:t>
      </w:r>
    </w:p>
    <w:p>
      <w:pPr>
        <w:spacing w:after="0" w:line="202" w:lineRule="exact"/>
        <w:rPr>
          <w:sz w:val="20"/>
          <w:szCs w:val="20"/>
          <w:color w:val="auto"/>
        </w:rPr>
      </w:pPr>
    </w:p>
    <w:p>
      <w:pPr>
        <w:ind w:left="600" w:hanging="301"/>
        <w:spacing w:after="0"/>
        <w:tabs>
          <w:tab w:leader="none" w:pos="6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Total Revenue </w:t>
      </w:r>
      <w:r>
        <w:rPr>
          <w:rFonts w:ascii="Times New Roman" w:cs="Times New Roman" w:eastAsia="Times New Roman" w:hAnsi="Times New Roman"/>
          <w:sz w:val="17"/>
          <w:szCs w:val="17"/>
          <w:color w:val="auto"/>
        </w:rPr>
        <w:t>was $34.5 million, an increase of 16%;</w:t>
      </w:r>
    </w:p>
    <w:p>
      <w:pPr>
        <w:spacing w:after="0" w:line="22"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Gross Margin </w:t>
      </w:r>
      <w:r>
        <w:rPr>
          <w:rFonts w:ascii="Times New Roman" w:cs="Times New Roman" w:eastAsia="Times New Roman" w:hAnsi="Times New Roman"/>
          <w:sz w:val="17"/>
          <w:szCs w:val="17"/>
          <w:color w:val="auto"/>
        </w:rPr>
        <w:t>was 68%, an increase of 2 percentage points;</w:t>
      </w:r>
    </w:p>
    <w:p>
      <w:pPr>
        <w:spacing w:after="0" w:line="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Operating Expenses, Excluding Cost of Revenue, </w:t>
      </w:r>
      <w:r>
        <w:rPr>
          <w:rFonts w:ascii="Times New Roman" w:cs="Times New Roman" w:eastAsia="Times New Roman" w:hAnsi="Times New Roman"/>
          <w:sz w:val="17"/>
          <w:szCs w:val="17"/>
          <w:color w:val="auto"/>
        </w:rPr>
        <w:t>were $31.4 million, an increase of 13%;</w:t>
      </w:r>
    </w:p>
    <w:p>
      <w:pPr>
        <w:spacing w:after="0" w:line="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Net Loss and Comprehensive Loss </w:t>
      </w:r>
      <w:r>
        <w:rPr>
          <w:rFonts w:ascii="Times New Roman" w:cs="Times New Roman" w:eastAsia="Times New Roman" w:hAnsi="Times New Roman"/>
          <w:sz w:val="17"/>
          <w:szCs w:val="17"/>
          <w:color w:val="auto"/>
        </w:rPr>
        <w:t>was $8.0 million, compared to $7.5 million;</w:t>
      </w:r>
    </w:p>
    <w:p>
      <w:pPr>
        <w:spacing w:after="0" w:line="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Basic and Diluted Net Loss Per Common Share </w:t>
      </w:r>
      <w:r>
        <w:rPr>
          <w:rFonts w:ascii="Times New Roman" w:cs="Times New Roman" w:eastAsia="Times New Roman" w:hAnsi="Times New Roman"/>
          <w:sz w:val="17"/>
          <w:szCs w:val="17"/>
          <w:color w:val="auto"/>
        </w:rPr>
        <w:t>was $0.14, versus $0.15;</w:t>
      </w:r>
    </w:p>
    <w:p>
      <w:pPr>
        <w:spacing w:after="0" w:line="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Net Cash Provided by Operating Activities </w:t>
      </w:r>
      <w:r>
        <w:rPr>
          <w:rFonts w:ascii="Times New Roman" w:cs="Times New Roman" w:eastAsia="Times New Roman" w:hAnsi="Times New Roman"/>
          <w:sz w:val="17"/>
          <w:szCs w:val="17"/>
          <w:color w:val="auto"/>
        </w:rPr>
        <w:t>was $2.3 million, compared to $1.8 million; and</w:t>
      </w:r>
    </w:p>
    <w:p>
      <w:pPr>
        <w:spacing w:after="0" w:line="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Cash and Cash Equivalents </w:t>
      </w:r>
      <w:r>
        <w:rPr>
          <w:rFonts w:ascii="Times New Roman" w:cs="Times New Roman" w:eastAsia="Times New Roman" w:hAnsi="Times New Roman"/>
          <w:sz w:val="17"/>
          <w:szCs w:val="17"/>
          <w:color w:val="auto"/>
        </w:rPr>
        <w:t>were $349.4 million at December 31, 2020.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year ended December 31, 2020, compared to the prior year:</w:t>
      </w:r>
    </w:p>
    <w:p>
      <w:pPr>
        <w:spacing w:after="0" w:line="202" w:lineRule="exact"/>
        <w:rPr>
          <w:sz w:val="20"/>
          <w:szCs w:val="20"/>
          <w:color w:val="auto"/>
        </w:rPr>
      </w:pPr>
    </w:p>
    <w:p>
      <w:pPr>
        <w:ind w:left="600" w:hanging="301"/>
        <w:spacing w:after="0"/>
        <w:tabs>
          <w:tab w:leader="none" w:pos="6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Total Revenue </w:t>
      </w:r>
      <w:r>
        <w:rPr>
          <w:rFonts w:ascii="Times New Roman" w:cs="Times New Roman" w:eastAsia="Times New Roman" w:hAnsi="Times New Roman"/>
          <w:sz w:val="17"/>
          <w:szCs w:val="17"/>
          <w:color w:val="auto"/>
        </w:rPr>
        <w:t>was $117.5 million, a decrease of 2%;</w:t>
      </w:r>
    </w:p>
    <w:p>
      <w:pPr>
        <w:spacing w:after="0" w:line="22"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Gross Margin </w:t>
      </w:r>
      <w:r>
        <w:rPr>
          <w:rFonts w:ascii="Times New Roman" w:cs="Times New Roman" w:eastAsia="Times New Roman" w:hAnsi="Times New Roman"/>
          <w:sz w:val="17"/>
          <w:szCs w:val="17"/>
          <w:color w:val="auto"/>
        </w:rPr>
        <w:t>was 65%, a decrease of 5 percentage points;</w:t>
      </w:r>
    </w:p>
    <w:p>
      <w:pPr>
        <w:spacing w:after="0" w:line="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Operating Expenses, Excluding Cost of Revenue, </w:t>
      </w:r>
      <w:r>
        <w:rPr>
          <w:rFonts w:ascii="Times New Roman" w:cs="Times New Roman" w:eastAsia="Times New Roman" w:hAnsi="Times New Roman"/>
          <w:sz w:val="17"/>
          <w:szCs w:val="17"/>
          <w:color w:val="auto"/>
        </w:rPr>
        <w:t>were $111.4 million, an increase of 13%;</w:t>
      </w:r>
    </w:p>
    <w:p>
      <w:pPr>
        <w:spacing w:after="0" w:line="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Net Loss and Comprehensive Loss </w:t>
      </w:r>
      <w:r>
        <w:rPr>
          <w:rFonts w:ascii="Times New Roman" w:cs="Times New Roman" w:eastAsia="Times New Roman" w:hAnsi="Times New Roman"/>
          <w:sz w:val="17"/>
          <w:szCs w:val="17"/>
          <w:color w:val="auto"/>
        </w:rPr>
        <w:t>was $34.9 million, compared to $12.6 million;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1" w:name="page72"/>
    <w:bookmarkEnd w:id="71"/>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0" w:hanging="301"/>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Basic and Diluted Net Loss Per Common Share </w:t>
      </w:r>
      <w:r>
        <w:rPr>
          <w:rFonts w:ascii="Times New Roman" w:cs="Times New Roman" w:eastAsia="Times New Roman" w:hAnsi="Times New Roman"/>
          <w:sz w:val="17"/>
          <w:szCs w:val="17"/>
          <w:color w:val="auto"/>
        </w:rPr>
        <w:t>was $0.66, versus $0.27; and</w:t>
      </w:r>
    </w:p>
    <w:p>
      <w:pPr>
        <w:spacing w:after="0" w:line="22"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Net Cash Used in Operating Activities </w:t>
      </w:r>
      <w:r>
        <w:rPr>
          <w:rFonts w:ascii="Times New Roman" w:cs="Times New Roman" w:eastAsia="Times New Roman" w:hAnsi="Times New Roman"/>
          <w:sz w:val="17"/>
          <w:szCs w:val="17"/>
          <w:color w:val="auto"/>
        </w:rPr>
        <w:t>was $9.7 million, compared to $3.2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2020 Full-Year and Recent Business Highlights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Commercial Growth</w:t>
      </w:r>
    </w:p>
    <w:p>
      <w:pPr>
        <w:spacing w:after="0" w:line="231" w:lineRule="exact"/>
        <w:rPr>
          <w:sz w:val="20"/>
          <w:szCs w:val="20"/>
          <w:color w:val="auto"/>
        </w:rPr>
      </w:pPr>
    </w:p>
    <w:p>
      <w:pPr>
        <w:ind w:left="600" w:hanging="301"/>
        <w:spacing w:after="0"/>
        <w:tabs>
          <w:tab w:leader="none" w:pos="6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22222"/>
        </w:rPr>
        <w:t>Grew revenue to $</w:t>
      </w:r>
      <w:r>
        <w:rPr>
          <w:rFonts w:ascii="Times New Roman" w:cs="Times New Roman" w:eastAsia="Times New Roman" w:hAnsi="Times New Roman"/>
          <w:sz w:val="17"/>
          <w:szCs w:val="17"/>
          <w:color w:val="000000"/>
        </w:rPr>
        <w:t>34.5 million in the fourth quarter, an increase of 16% compared to the same period in 2019.</w:t>
      </w:r>
    </w:p>
    <w:p>
      <w:pPr>
        <w:spacing w:after="0" w:line="9" w:lineRule="exact"/>
        <w:rPr>
          <w:rFonts w:ascii="Times New Roman" w:cs="Times New Roman" w:eastAsia="Times New Roman" w:hAnsi="Times New Roman"/>
          <w:sz w:val="17"/>
          <w:szCs w:val="17"/>
          <w:color w:val="auto"/>
        </w:rPr>
      </w:pPr>
    </w:p>
    <w:p>
      <w:pPr>
        <w:ind w:left="600" w:hanging="301"/>
        <w:spacing w:after="0" w:line="229" w:lineRule="auto"/>
        <w:tabs>
          <w:tab w:leader="none" w:pos="6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revenue grew to $9.8 million for 2020.</w:t>
      </w:r>
    </w:p>
    <w:p>
      <w:pPr>
        <w:ind w:left="600" w:hanging="301"/>
        <w:spacing w:after="0" w:line="229" w:lineRule="auto"/>
        <w:tabs>
          <w:tab w:leader="none" w:pos="6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Achieved genomic testing and product volume of 13,130 tests in the fourth quarter, a 14% increase compared to the fourth quarter of 2019.</w:t>
      </w:r>
    </w:p>
    <w:p>
      <w:pPr>
        <w:ind w:left="600" w:hanging="301"/>
        <w:spacing w:after="0" w:line="229" w:lineRule="auto"/>
        <w:tabs>
          <w:tab w:leader="none" w:pos="59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Received new Medicare reimbursement rate of $5,500 for the Envisia Genomic Classifier, which went into effect on October 1, 2020, following the test’s designation by the Centers for Medicare &amp; Medicaid Services as an </w:t>
      </w:r>
      <w:r>
        <w:rPr>
          <w:rFonts w:ascii="Times New Roman" w:cs="Times New Roman" w:eastAsia="Times New Roman" w:hAnsi="Times New Roman"/>
          <w:sz w:val="17"/>
          <w:szCs w:val="17"/>
          <w:color w:val="222222"/>
        </w:rPr>
        <w:t>ADLT.</w:t>
      </w:r>
    </w:p>
    <w:p>
      <w:pPr>
        <w:spacing w:after="0" w:line="1" w:lineRule="exact"/>
        <w:rPr>
          <w:rFonts w:ascii="Times New Roman" w:cs="Times New Roman" w:eastAsia="Times New Roman" w:hAnsi="Times New Roman"/>
          <w:sz w:val="17"/>
          <w:szCs w:val="17"/>
          <w:color w:val="auto"/>
        </w:rPr>
      </w:pPr>
    </w:p>
    <w:p>
      <w:pPr>
        <w:ind w:left="600" w:hanging="301"/>
        <w:spacing w:after="0" w:line="236" w:lineRule="auto"/>
        <w:tabs>
          <w:tab w:leader="none" w:pos="59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22222"/>
        </w:rPr>
        <w:t xml:space="preserve">Received reimbursement approval from the German government for the </w:t>
      </w:r>
      <w:r>
        <w:rPr>
          <w:rFonts w:ascii="Times New Roman" w:cs="Times New Roman" w:eastAsia="Times New Roman" w:hAnsi="Times New Roman"/>
          <w:sz w:val="17"/>
          <w:szCs w:val="17"/>
          <w:color w:val="000000"/>
        </w:rPr>
        <w:t>Prosigna® Breast Cancer Gene Signature Assay, making the test accessible for all</w:t>
      </w:r>
      <w:r>
        <w:rPr>
          <w:rFonts w:ascii="Times New Roman" w:cs="Times New Roman" w:eastAsia="Times New Roman" w:hAnsi="Times New Roman"/>
          <w:sz w:val="17"/>
          <w:szCs w:val="17"/>
          <w:color w:val="222222"/>
        </w:rPr>
        <w:t xml:space="preserve"> </w:t>
      </w:r>
      <w:r>
        <w:rPr>
          <w:rFonts w:ascii="Times New Roman" w:cs="Times New Roman" w:eastAsia="Times New Roman" w:hAnsi="Times New Roman"/>
          <w:sz w:val="17"/>
          <w:szCs w:val="17"/>
          <w:color w:val="000000"/>
        </w:rPr>
        <w:t>breast cancer patients in Germany with HR+/HER2- early-stage breast cancer.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Evidence Development</w:t>
      </w:r>
    </w:p>
    <w:p>
      <w:pPr>
        <w:spacing w:after="0" w:line="218" w:lineRule="exact"/>
        <w:rPr>
          <w:sz w:val="20"/>
          <w:szCs w:val="20"/>
          <w:color w:val="auto"/>
        </w:rPr>
      </w:pPr>
    </w:p>
    <w:p>
      <w:pPr>
        <w:ind w:left="600" w:hanging="301"/>
        <w:spacing w:after="0"/>
        <w:tabs>
          <w:tab w:leader="none" w:pos="59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Published ten studies in leading peer-reviewed journals supporting our genomic tests in four disease areas (lung cancer, breast cancer, thyroid cancer and interstitial lung diseases, including idiopathic pulmonary fibrosis).</w:t>
      </w:r>
    </w:p>
    <w:p>
      <w:pPr>
        <w:spacing w:after="0" w:line="1" w:lineRule="exact"/>
        <w:rPr>
          <w:rFonts w:ascii="Times New Roman" w:cs="Times New Roman" w:eastAsia="Times New Roman" w:hAnsi="Times New Roman"/>
          <w:sz w:val="17"/>
          <w:szCs w:val="17"/>
          <w:color w:val="auto"/>
        </w:rPr>
      </w:pPr>
    </w:p>
    <w:p>
      <w:pPr>
        <w:ind w:left="600" w:hanging="301"/>
        <w:spacing w:after="0" w:line="236" w:lineRule="auto"/>
        <w:tabs>
          <w:tab w:leader="none" w:pos="59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Launched the PROCURE study, led by an independent scientific committee of breast cancer experts and including input from 180 clinicians throughout Europe, to help achieve consensus on the evidence supporting the most frequently used breast cancer genomic tests, including Prosigna.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22222"/>
        </w:rPr>
        <w:t>Pipeline Advancement/Collaborations</w:t>
      </w:r>
    </w:p>
    <w:p>
      <w:pPr>
        <w:spacing w:after="0" w:line="218" w:lineRule="exact"/>
        <w:rPr>
          <w:sz w:val="20"/>
          <w:szCs w:val="20"/>
          <w:color w:val="auto"/>
        </w:rPr>
      </w:pPr>
    </w:p>
    <w:p>
      <w:pPr>
        <w:ind w:left="600" w:hanging="301"/>
        <w:spacing w:after="0"/>
        <w:tabs>
          <w:tab w:leader="none" w:pos="59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Unveiled new preliminary performance data at an R&amp;D Day event for our noninvasive nasal swab test for early lung cancer detection and our Percepta Genomic Atlas for informing treatment decisions at the time of lung cancer diagnosis.</w:t>
      </w:r>
    </w:p>
    <w:p>
      <w:pPr>
        <w:spacing w:after="0" w:line="1" w:lineRule="exact"/>
        <w:rPr>
          <w:rFonts w:ascii="Times New Roman" w:cs="Times New Roman" w:eastAsia="Times New Roman" w:hAnsi="Times New Roman"/>
          <w:sz w:val="17"/>
          <w:szCs w:val="17"/>
          <w:color w:val="auto"/>
        </w:rPr>
      </w:pPr>
    </w:p>
    <w:p>
      <w:pPr>
        <w:jc w:val="both"/>
        <w:ind w:left="600" w:hanging="301"/>
        <w:spacing w:after="0" w:line="234" w:lineRule="auto"/>
        <w:tabs>
          <w:tab w:leader="none" w:pos="59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22222"/>
        </w:rPr>
        <w:t>Expanded our strategic collaboration with the Lung Cancer Initiative at Johnson &amp; Johnson to include a focus on the NOBLE trial. The 9,000-patient, prospective, multicenter clinical study is designed to distinguish genomic and other differences in lung cancer development, which may fuel Veracyte’s development of future tests.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22222"/>
        </w:rPr>
        <w:t>Decipher Acquisition</w:t>
      </w:r>
    </w:p>
    <w:p>
      <w:pPr>
        <w:spacing w:after="0" w:line="218" w:lineRule="exact"/>
        <w:rPr>
          <w:sz w:val="20"/>
          <w:szCs w:val="20"/>
          <w:color w:val="auto"/>
        </w:rPr>
      </w:pPr>
    </w:p>
    <w:p>
      <w:pPr>
        <w:ind w:left="600" w:hanging="301"/>
        <w:spacing w:after="0"/>
        <w:tabs>
          <w:tab w:leader="none" w:pos="59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22222"/>
        </w:rPr>
        <w:t>Announced we have entered into an agreement to acquire Decipher Biosciences, a commercial-stage precision oncology company focused on urologic cancers, further solidifying Veracyte’s global leadership in the genomic cancer diagnostics market while accelerating revenue growth.</w:t>
      </w:r>
    </w:p>
    <w:p>
      <w:pPr>
        <w:spacing w:after="0" w:line="1" w:lineRule="exact"/>
        <w:rPr>
          <w:rFonts w:ascii="Times New Roman" w:cs="Times New Roman" w:eastAsia="Times New Roman" w:hAnsi="Times New Roman"/>
          <w:sz w:val="17"/>
          <w:szCs w:val="17"/>
          <w:color w:val="auto"/>
        </w:rPr>
      </w:pPr>
    </w:p>
    <w:p>
      <w:pPr>
        <w:ind w:left="600" w:hanging="301"/>
        <w:spacing w:after="0" w:line="229" w:lineRule="auto"/>
        <w:tabs>
          <w:tab w:leader="none" w:pos="59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22222"/>
        </w:rPr>
        <w:t>Under terms of the acquisition agreement and following Veracyte’s exercise of an option to substitute cash for the entire stock portion of the consideration, the company will pay Decipher security holders $600 million in cash, subject to customary purchase price adjustments.</w:t>
      </w:r>
    </w:p>
    <w:p>
      <w:pPr>
        <w:spacing w:after="0" w:line="1"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22222"/>
        </w:rPr>
        <w:t xml:space="preserve">The acquisition is expected to close </w:t>
      </w:r>
      <w:r>
        <w:rPr>
          <w:rFonts w:ascii="Times New Roman" w:cs="Times New Roman" w:eastAsia="Times New Roman" w:hAnsi="Times New Roman"/>
          <w:sz w:val="17"/>
          <w:szCs w:val="17"/>
          <w:color w:val="000000"/>
        </w:rPr>
        <w:t>on or before April 1,</w:t>
      </w:r>
      <w:r>
        <w:rPr>
          <w:rFonts w:ascii="Times New Roman" w:cs="Times New Roman" w:eastAsia="Times New Roman" w:hAnsi="Times New Roman"/>
          <w:sz w:val="17"/>
          <w:szCs w:val="17"/>
          <w:color w:val="222222"/>
        </w:rPr>
        <w:t xml:space="preserve"> 2021, subject to regulatory approval and the satisfaction of other customary conditions.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22222"/>
        </w:rPr>
        <w:t>Financing</w:t>
      </w:r>
    </w:p>
    <w:p>
      <w:pPr>
        <w:spacing w:after="0" w:line="218" w:lineRule="exact"/>
        <w:rPr>
          <w:sz w:val="20"/>
          <w:szCs w:val="20"/>
          <w:color w:val="auto"/>
        </w:rPr>
      </w:pPr>
    </w:p>
    <w:p>
      <w:pPr>
        <w:ind w:left="600" w:hanging="301"/>
        <w:spacing w:after="0"/>
        <w:tabs>
          <w:tab w:leader="none" w:pos="596" w:val="left"/>
        </w:tabs>
        <w:numPr>
          <w:ilvl w:val="0"/>
          <w:numId w:val="44"/>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Issued and sold 8,547,297 shares of common stock, including 1,114,864 shares sold upon full exercise of the underwriters’ option to purchase additional shares, at a price to the public of $74.00 per share. The net proceeds to Veracyte from the offering were approximately $593.8 million.</w:t>
      </w:r>
    </w:p>
    <w:p>
      <w:pPr>
        <w:spacing w:after="0" w:line="1" w:lineRule="exact"/>
        <w:rPr>
          <w:rFonts w:ascii="Times New Roman" w:cs="Times New Roman" w:eastAsia="Times New Roman" w:hAnsi="Times New Roman"/>
          <w:sz w:val="17"/>
          <w:szCs w:val="17"/>
          <w:color w:val="222222"/>
        </w:rPr>
      </w:pPr>
    </w:p>
    <w:p>
      <w:pPr>
        <w:jc w:val="both"/>
        <w:ind w:left="600" w:hanging="301"/>
        <w:spacing w:after="0" w:line="234" w:lineRule="auto"/>
        <w:tabs>
          <w:tab w:leader="none" w:pos="596" w:val="left"/>
        </w:tabs>
        <w:numPr>
          <w:ilvl w:val="0"/>
          <w:numId w:val="44"/>
        </w:numPr>
        <w:rPr>
          <w:rFonts w:ascii="Times New Roman" w:cs="Times New Roman" w:eastAsia="Times New Roman" w:hAnsi="Times New Roman"/>
          <w:sz w:val="17"/>
          <w:szCs w:val="17"/>
          <w:color w:val="222222"/>
        </w:rPr>
      </w:pPr>
      <w:r>
        <w:rPr>
          <w:rFonts w:ascii="Times New Roman" w:cs="Times New Roman" w:eastAsia="Times New Roman" w:hAnsi="Times New Roman"/>
          <w:sz w:val="17"/>
          <w:szCs w:val="17"/>
          <w:color w:val="222222"/>
        </w:rPr>
        <w:t>Veracyte intends to use a portion of the net proceeds from the offering, together with its existing cash and cash equivalents, to finance its acquisition of Decipher and intends to use the remaining net proceeds of the offering for working capital and other general corporate purposes, including to acquire or invest in complementary businesses, technologies or other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2" w:name="page73"/>
    <w:bookmarkEnd w:id="72"/>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Affecting Our Performance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Reported Genomic Test Volume</w:t>
      </w:r>
    </w:p>
    <w:p>
      <w:pPr>
        <w:spacing w:after="0" w:line="208" w:lineRule="exact"/>
        <w:rPr>
          <w:sz w:val="20"/>
          <w:szCs w:val="20"/>
          <w:color w:val="auto"/>
        </w:rPr>
      </w:pPr>
    </w:p>
    <w:p>
      <w:pPr>
        <w:ind w:firstLine="375"/>
        <w:spacing w:after="0" w:line="270" w:lineRule="auto"/>
        <w:rPr>
          <w:sz w:val="20"/>
          <w:szCs w:val="20"/>
          <w:color w:val="auto"/>
        </w:rPr>
      </w:pPr>
      <w:r>
        <w:rPr>
          <w:rFonts w:ascii="Times New Roman" w:cs="Times New Roman" w:eastAsia="Times New Roman" w:hAnsi="Times New Roman"/>
          <w:sz w:val="17"/>
          <w:szCs w:val="17"/>
          <w:color w:val="auto"/>
        </w:rPr>
        <w:t>Our performance depends on the number of genomic tests that we perform and report as completed in our CLIA laboratories. Factors impacting the number of tests that we report as completed include, but are not limited to:</w:t>
      </w:r>
    </w:p>
    <w:p>
      <w:pPr>
        <w:spacing w:after="0" w:line="184" w:lineRule="exact"/>
        <w:rPr>
          <w:sz w:val="20"/>
          <w:szCs w:val="20"/>
          <w:color w:val="auto"/>
        </w:rPr>
      </w:pPr>
    </w:p>
    <w:p>
      <w:pPr>
        <w:ind w:left="740" w:hanging="366"/>
        <w:spacing w:after="0"/>
        <w:tabs>
          <w:tab w:leader="none" w:pos="7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COVID-19 on patients seeking to have tests performed;</w:t>
      </w:r>
    </w:p>
    <w:p>
      <w:pPr>
        <w:spacing w:after="0" w:line="9" w:lineRule="exact"/>
        <w:rPr>
          <w:rFonts w:ascii="Times New Roman" w:cs="Times New Roman" w:eastAsia="Times New Roman" w:hAnsi="Times New Roman"/>
          <w:sz w:val="17"/>
          <w:szCs w:val="17"/>
          <w:color w:val="auto"/>
        </w:rPr>
      </w:pPr>
    </w:p>
    <w:p>
      <w:pPr>
        <w:ind w:left="740" w:hanging="366"/>
        <w:spacing w:after="0"/>
        <w:tabs>
          <w:tab w:leader="none" w:pos="7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samples that we receive that meet the medical indication for each test performed;</w:t>
      </w:r>
    </w:p>
    <w:p>
      <w:pPr>
        <w:spacing w:after="0" w:line="2" w:lineRule="exact"/>
        <w:rPr>
          <w:rFonts w:ascii="Times New Roman" w:cs="Times New Roman" w:eastAsia="Times New Roman" w:hAnsi="Times New Roman"/>
          <w:sz w:val="17"/>
          <w:szCs w:val="17"/>
          <w:color w:val="auto"/>
        </w:rPr>
      </w:pPr>
    </w:p>
    <w:p>
      <w:pPr>
        <w:ind w:left="740" w:hanging="366"/>
        <w:spacing w:after="0"/>
        <w:tabs>
          <w:tab w:leader="none" w:pos="7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quantity and quality of the sample received;</w:t>
      </w:r>
    </w:p>
    <w:p>
      <w:pPr>
        <w:spacing w:after="0" w:line="4" w:lineRule="exact"/>
        <w:rPr>
          <w:rFonts w:ascii="Times New Roman" w:cs="Times New Roman" w:eastAsia="Times New Roman" w:hAnsi="Times New Roman"/>
          <w:sz w:val="17"/>
          <w:szCs w:val="17"/>
          <w:color w:val="auto"/>
        </w:rPr>
      </w:pPr>
    </w:p>
    <w:p>
      <w:pPr>
        <w:ind w:left="740" w:hanging="366"/>
        <w:spacing w:after="0"/>
        <w:tabs>
          <w:tab w:leader="none" w:pos="7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of the necessary documentation, such as physician order and patient consent, required to perform, bill and collect for our tests;</w:t>
      </w:r>
    </w:p>
    <w:p>
      <w:pPr>
        <w:spacing w:after="0" w:line="4" w:lineRule="exact"/>
        <w:rPr>
          <w:rFonts w:ascii="Times New Roman" w:cs="Times New Roman" w:eastAsia="Times New Roman" w:hAnsi="Times New Roman"/>
          <w:sz w:val="17"/>
          <w:szCs w:val="17"/>
          <w:color w:val="auto"/>
        </w:rPr>
      </w:pPr>
    </w:p>
    <w:p>
      <w:pPr>
        <w:ind w:left="740" w:hanging="366"/>
        <w:spacing w:after="0"/>
        <w:tabs>
          <w:tab w:leader="none" w:pos="7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patient's ability to pay or provide necessary insurance coverage for the tests performed;</w:t>
      </w:r>
    </w:p>
    <w:p>
      <w:pPr>
        <w:spacing w:after="0" w:line="4" w:lineRule="exact"/>
        <w:rPr>
          <w:rFonts w:ascii="Times New Roman" w:cs="Times New Roman" w:eastAsia="Times New Roman" w:hAnsi="Times New Roman"/>
          <w:sz w:val="17"/>
          <w:szCs w:val="17"/>
          <w:color w:val="auto"/>
        </w:rPr>
      </w:pPr>
    </w:p>
    <w:p>
      <w:pPr>
        <w:ind w:left="740" w:hanging="366"/>
        <w:spacing w:after="0"/>
        <w:tabs>
          <w:tab w:leader="none" w:pos="7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time it takes us to perform our tests and report the results;</w:t>
      </w:r>
    </w:p>
    <w:p>
      <w:pPr>
        <w:spacing w:after="0" w:line="4" w:lineRule="exact"/>
        <w:rPr>
          <w:rFonts w:ascii="Times New Roman" w:cs="Times New Roman" w:eastAsia="Times New Roman" w:hAnsi="Times New Roman"/>
          <w:sz w:val="17"/>
          <w:szCs w:val="17"/>
          <w:color w:val="auto"/>
        </w:rPr>
      </w:pPr>
    </w:p>
    <w:p>
      <w:pPr>
        <w:ind w:left="740" w:hanging="366"/>
        <w:spacing w:after="0" w:line="245" w:lineRule="auto"/>
        <w:tabs>
          <w:tab w:leader="none" w:pos="73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seasonality inherent in our business, such as the impact of work days per period, timing of industry conferences and the timing of when patient deductibles are exceeded, which also impacts the reimbursement we receive from insurers; and</w:t>
      </w:r>
    </w:p>
    <w:p>
      <w:pPr>
        <w:ind w:left="740" w:hanging="366"/>
        <w:spacing w:after="0"/>
        <w:tabs>
          <w:tab w:leader="none" w:pos="7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prior authorization or meet other requirements instituted by payers, benefit managers, or regulators necessary to be paid for our tests.</w:t>
      </w:r>
    </w:p>
    <w:p>
      <w:pPr>
        <w:spacing w:after="0" w:line="212"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We generate substantially all our revenue from genomic testing services, including the rendering of a cytopathology diagnosis as part of the Afirma solution. For the Afirma classifier, we do not accrue revenue for approximately 5% - 10% of the tests that we perform and report as complete due principally to insufficient RNA from which to render a result and tests performed for which we do not reasonably expect to be paid.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Continued Adoption of and Reimbursement for our Products</w:t>
      </w:r>
    </w:p>
    <w:p>
      <w:pPr>
        <w:spacing w:after="0" w:line="208"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Revenue growth depends on our ability to secure coverage decisions, achieve broader reimbursement at increased levels from third-party payers,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to increase if more payers make a positive coverage decision and as payers enter into contracts with us, which should enhance our revenue and cash collections. To drive increased adoption of our products, we increased our sales force and marketing efforts over the last several years. Our sales teams are aligned under our general manager-based structure to focus on specific products and global markets. If we are unable to expand the base of prescribing physicians and penetration within these accounts at an acceptable rate, or if we are not able to execute our strategy for increasing reimbursement, we may not be able to effectively increase our revenue. We expect to continue to see pressure from payers to limit the utilization of tests, generally, and we believe more payers are deploying cost containment tactics, such as pre-authorization, reduction of the payer portion of reimbursement and employing laboratory benefit managers to reduce utilization rates.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Integrating acquired assets and advances to our collaborations</w:t>
      </w:r>
    </w:p>
    <w:p>
      <w:pPr>
        <w:spacing w:after="0" w:line="233"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Revenue growth, operational results and advances to our business strategy depends on our ability to integrate the assets acquired into our existing business. The integration of acquired assets may impact our revenue growth, increase the cost of operations, cause significant write-offs of intangible assets, or may require management resources that otherwise would be available for ongoing development of our existing business. The integration of assets acquired from NanoString in December 2019 may impact our revenue and operating results through integration of a sales force, development of a product supply operation and the expansion of our business internationally with a broad menu of advanced genomic tests that may be offered.</w:t>
      </w:r>
    </w:p>
    <w:p>
      <w:pPr>
        <w:spacing w:after="0" w:line="201" w:lineRule="exact"/>
        <w:rPr>
          <w:sz w:val="20"/>
          <w:szCs w:val="20"/>
          <w:color w:val="auto"/>
        </w:rPr>
      </w:pPr>
    </w:p>
    <w:p>
      <w:pPr>
        <w:jc w:val="both"/>
        <w:ind w:firstLine="375"/>
        <w:spacing w:after="0" w:line="271" w:lineRule="auto"/>
        <w:rPr>
          <w:sz w:val="20"/>
          <w:szCs w:val="20"/>
          <w:color w:val="auto"/>
        </w:rPr>
      </w:pPr>
      <w:r>
        <w:rPr>
          <w:rFonts w:ascii="Times New Roman" w:cs="Times New Roman" w:eastAsia="Times New Roman" w:hAnsi="Times New Roman"/>
          <w:sz w:val="16"/>
          <w:szCs w:val="16"/>
          <w:color w:val="auto"/>
        </w:rPr>
        <w:t>Revenue growth or reimbursement from our collaborations depends on our ability to deliver services or information and achieve milestones required from our collaborative partners. Our collaboration partners pay us for the provision of data, other services and the achievement of milestones. Under a collaboration with Johnson</w:t>
      </w:r>
    </w:p>
    <w:p>
      <w:pPr>
        <w:spacing w:after="0" w:line="1" w:lineRule="exact"/>
        <w:rPr>
          <w:sz w:val="20"/>
          <w:szCs w:val="20"/>
          <w:color w:val="auto"/>
        </w:rPr>
      </w:pPr>
    </w:p>
    <w:p>
      <w:pPr>
        <w:spacing w:after="0" w:line="250" w:lineRule="auto"/>
        <w:tabs>
          <w:tab w:leader="none" w:pos="17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Johnson in 2018, we provided data services required under this agreement for $7.0 million in 2019, however, there remains $9.0 million of revenue associated with development and commercialization milestones yet to be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3" w:name="page74"/>
    <w:bookmarkEnd w:id="73"/>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How We Recognize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Testing Revenue</w:t>
      </w:r>
    </w:p>
    <w:p>
      <w:pPr>
        <w:spacing w:after="0" w:line="206"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 xml:space="preserve">We recognize testing revenue in accordance with the provisions of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Most of our revenue is generated from the provision of diagnostic testing services. These services are completed upon the delivery of test results to the prescribing physician, at which time we bill for the services. We recognize revenue related to billings on an accrual basis based on estimates of the amount that will ultimately be realized. In determining the amount to accrue for a delivered test, we consider factors such as payment history, payer coverage, whether there is a reimbursement contract between the payer and us, payment as a percentage of the agreed upon rate (if applicable), amount paid per test and any current developments or changes that could impact reimbursement. These estimates require significant judgment by management.</w:t>
      </w:r>
    </w:p>
    <w:p>
      <w:pPr>
        <w:spacing w:after="0" w:line="203"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payment for these tests.</w:t>
      </w:r>
    </w:p>
    <w:p>
      <w:pPr>
        <w:spacing w:after="0" w:line="196"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We bill list price regardless of contract rate, but only recognize revenue from amounts that we estimate are collectible and meet our revenue recognition criteria. Revenue may not be equal to the billed amount due to a number of factors that we consider when determining revenue accrual rates, including differences in reimbursement rates, the amounts of patient co-payments and co-insurance, the existence of secondary payers, claims denials and the amount we expect to ultimately collect. Finally, when we increase our list price, it will increase the cumulative amounts billed but may not positively impact accrued revenue. In addition, payer contracts generally include the right of offset and payers may offset payments prior to resolving disputes over tests performed.</w:t>
      </w:r>
    </w:p>
    <w:p>
      <w:pPr>
        <w:spacing w:after="0" w:line="201"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Generally, we calculate the average reimbursement from our products from all payers, for tests that are on average a year old, since it can take a significant period of time to collect from some payers. Except in situations where we believe the rate we reasonably expect to collect to vary due to a coverage decision, contract, more recent reimbursement data or evidence to the contrary, we use an average of reimbursement for tests provided over four quarters as it reduces the effects of temporary volatility and seasonal effects. Thus, the average reimbursement per product represents the total cash collected to date against genomic classifier tests, including variants, performed during the relevant period divided by the number of these tests performed during that same period.</w:t>
      </w:r>
    </w:p>
    <w:p>
      <w:pPr>
        <w:spacing w:after="0" w:line="201"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The average genomic classifier reimbursement rate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 For the year ended December 31, 2020, we accrued, on average, between $2,800 and $2,900 for the Afirma genomic classifier tests, including variants, that met our revenue recognition standard, which was between 90% - 95% of the reported Afirma classifier test volume.</w:t>
      </w:r>
    </w:p>
    <w:p>
      <w:pPr>
        <w:spacing w:after="0" w:line="201"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From the fourth quarter of 2019 to the fourth quarter of 2020, we accrued between $1.2 million and $2.4 million in revenue per quarter from providing cytopathology services associated with our Afirma solution.</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We incur expense for tests in the period in which the test is conducted and recognize revenue for tests in the period in which our revenue recognition criteria 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 Revenue</w:t>
      </w:r>
    </w:p>
    <w:p>
      <w:pPr>
        <w:spacing w:after="0" w:line="231" w:lineRule="exact"/>
        <w:rPr>
          <w:sz w:val="20"/>
          <w:szCs w:val="20"/>
          <w:color w:val="auto"/>
        </w:rPr>
      </w:pPr>
    </w:p>
    <w:p>
      <w:pPr>
        <w:jc w:val="both"/>
        <w:ind w:firstLine="375"/>
        <w:spacing w:after="0" w:line="273" w:lineRule="auto"/>
        <w:rPr>
          <w:sz w:val="20"/>
          <w:szCs w:val="20"/>
          <w:color w:val="auto"/>
        </w:rPr>
      </w:pPr>
      <w:r>
        <w:rPr>
          <w:rFonts w:ascii="Times New Roman" w:cs="Times New Roman" w:eastAsia="Times New Roman" w:hAnsi="Times New Roman"/>
          <w:sz w:val="17"/>
          <w:szCs w:val="17"/>
          <w:color w:val="auto"/>
        </w:rPr>
        <w:t xml:space="preserve">We began recognizing product revenue in December 2019 in accordance with the provisions of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when we executed an agreement with NanoString for the exclusive worldwide license to the nCounter Analysis System for in vitro diagnostic use.</w:t>
      </w:r>
    </w:p>
    <w:p>
      <w:pPr>
        <w:spacing w:after="0" w:line="181" w:lineRule="exact"/>
        <w:rPr>
          <w:sz w:val="20"/>
          <w:szCs w:val="20"/>
          <w:color w:val="auto"/>
        </w:rPr>
      </w:pPr>
    </w:p>
    <w:p>
      <w:pPr>
        <w:jc w:val="both"/>
        <w:ind w:firstLine="375"/>
        <w:spacing w:after="0" w:line="242" w:lineRule="auto"/>
        <w:rPr>
          <w:sz w:val="20"/>
          <w:szCs w:val="20"/>
          <w:color w:val="auto"/>
        </w:rPr>
      </w:pPr>
      <w:r>
        <w:rPr>
          <w:rFonts w:ascii="Times New Roman" w:cs="Times New Roman" w:eastAsia="Times New Roman" w:hAnsi="Times New Roman"/>
          <w:sz w:val="17"/>
          <w:szCs w:val="17"/>
          <w:color w:val="auto"/>
        </w:rPr>
        <w:t>We recognize product revenue when control of the promised goods is transferred to our customers, in an amount that reflects the consideration expected to be received in exchange for those products. This process involves identifying the contract with a customer, determining the performance obligations in the contract, determining the contract price, allocating the contract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4" w:name="page75"/>
    <w:bookmarkEnd w:id="74"/>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7"/>
          <w:szCs w:val="17"/>
          <w:color w:val="auto"/>
        </w:rPr>
        <w:t>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we have transferred control of a product to the customer, meaning the customer has the ability to use and obtain the benefit of the product. We recognize product revenue for satisfied performance obligations only when there are no uncertainties regarding payment terms or transfer of control. Shipping and handling costs incurred for product shipments are charged to our customers and included in product revenue.</w:t>
      </w:r>
    </w:p>
    <w:p>
      <w:pPr>
        <w:spacing w:after="0" w:line="200"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Our products consist of the Prosigna breast cancer assay, the nCounter Analysis System and related diagnostic kits. Revenues are presented net of the taxes that are collected from customers and remitted to governmental authorities.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Biopharmaceutical and Collaboration Revenues</w:t>
      </w:r>
    </w:p>
    <w:p>
      <w:pPr>
        <w:spacing w:after="0" w:line="233" w:lineRule="exact"/>
        <w:rPr>
          <w:sz w:val="20"/>
          <w:szCs w:val="20"/>
          <w:color w:val="auto"/>
        </w:rPr>
      </w:pPr>
    </w:p>
    <w:p>
      <w:pPr>
        <w:jc w:val="both"/>
        <w:ind w:firstLine="375"/>
        <w:spacing w:after="0" w:line="249" w:lineRule="auto"/>
        <w:rPr>
          <w:sz w:val="20"/>
          <w:szCs w:val="20"/>
          <w:color w:val="auto"/>
        </w:rPr>
      </w:pPr>
      <w:r>
        <w:rPr>
          <w:rFonts w:ascii="Times New Roman" w:cs="Times New Roman" w:eastAsia="Times New Roman" w:hAnsi="Times New Roman"/>
          <w:sz w:val="17"/>
          <w:szCs w:val="17"/>
          <w:color w:val="auto"/>
        </w:rPr>
        <w:t xml:space="preserve">From time to time, we enter into arrangements to license or provide access to our assets or services, including testing services, clinical and medical services, research and development and other services. Such arrangements may require us to deliver various rights, data, services, access and/or testing services to partner biopharmaceutical companies. The underlying terms of these arrangements generally provide for consideration paid to us in the form of nonrefundable fees, performance milestone payments, expense reimbursements and possibly royalty and/or other payments. Net sales of data or other services to our customers are recognized in accordance with ASC 606 and are classified under biopharmaceutical revenue. Certain milestone payments fall under the scope of ASC Topic 808, </w:t>
      </w:r>
      <w:r>
        <w:rPr>
          <w:rFonts w:ascii="Times New Roman" w:cs="Times New Roman" w:eastAsia="Times New Roman" w:hAnsi="Times New Roman"/>
          <w:sz w:val="17"/>
          <w:szCs w:val="17"/>
          <w:i w:val="1"/>
          <w:iCs w:val="1"/>
          <w:color w:val="auto"/>
        </w:rPr>
        <w:t>Collaborative Arrangements</w:t>
      </w:r>
      <w:r>
        <w:rPr>
          <w:rFonts w:ascii="Times New Roman" w:cs="Times New Roman" w:eastAsia="Times New Roman" w:hAnsi="Times New Roman"/>
          <w:sz w:val="17"/>
          <w:szCs w:val="17"/>
          <w:color w:val="auto"/>
        </w:rPr>
        <w:t>, or ASC 808, and are classified under collaboration revenue. Payments received that are not sales or services to a customer or collaboration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 are recorded as offsets against research and development expense in our consolidated statements of operations and comprehensive loss.</w:t>
      </w:r>
    </w:p>
    <w:p>
      <w:pPr>
        <w:spacing w:after="0" w:line="203"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In arrangements involving more than one performance obligation,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our best estimate of what the selling price would be if the deliverable was regularly sold by us on a stand-alone basis or using an adjusted market assessment approach if selling price on a stand-alone basis is not available.</w:t>
      </w:r>
    </w:p>
    <w:p>
      <w:pPr>
        <w:spacing w:after="0" w:line="201"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The consideration allocated to each distinct performance obligation is recognized as revenue when control of the related goods is transferred or services are performed. Consideration associated with at-risk substantive performance milestones is recognized as revenue when it is probable that a significant reversal of the cumulative revenue recognized will not occur. Should there be royalties, we utilize the sales and usage-based royalty exception in arrangements that resulted from the license of intellectual property, recognizing revenues generated from royalties or profit sharing as the underlying sales occur.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Development of Additional Tests</w:t>
      </w:r>
    </w:p>
    <w:p>
      <w:pPr>
        <w:spacing w:after="0" w:line="208"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We continue to advance our portfolio of diagnostic tests that leverage innovations in genomic science, sequencing technology and machine learning, and our exclusive diagnostics rights to the nCounter Analysis System to further improve patient care globally.</w:t>
      </w:r>
    </w:p>
    <w:p>
      <w:pPr>
        <w:spacing w:after="0" w:line="184"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Our Afirma GSC and Xpression Atlas, or XA, provide physicians with a comprehensive solution for thyroid nodule diagnosis. In May 2017, we introduced the Afirma GSC, supported by rigorous clinical validation data showing that the RNA sequencing-based test can help significantly more patients avoid unnecessary surgery in thyroid cancer diagnosis, compared to the original Afirma classifier. The Afirma GSC was developed with RNA whole-transcriptome sequencing and machine learning and helps identify patients with benign thyroid nodules among those with indeterminate cytopathology. For those with suspected thyroid cancer, the Afirma Xpression Atlas provides physicians with genomic alteration content from the same fine needle aspiration samples that are used in Afirma GSC testing and may help physicians decide with greater confidence on the surgical or therapeutic pathway for their patients.</w:t>
      </w:r>
    </w:p>
    <w:p>
      <w:pPr>
        <w:spacing w:after="0" w:line="201"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We launched the original Afirma XA in March 2018. We subsequently introduced an expanded Afirma XA in April 2020 to provide physicians with additional gene alteration content – including novel or rare NTRK, ALK, RET and BRAF fusions – to further inform surgery and treatment decisions for patients with suspected or confirmed thyroid cancer. Compared to the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5" w:name="page76"/>
    <w:bookmarkEnd w:id="75"/>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original gene alteration panel, the expanded Afirma XA now reports 905 DNA variants (versus 761) and 235 RNA fusion partners (versus 130) in 593 genes (versus 511).</w:t>
      </w:r>
    </w:p>
    <w:p>
      <w:pPr>
        <w:spacing w:after="0" w:line="184" w:lineRule="exact"/>
        <w:rPr>
          <w:sz w:val="20"/>
          <w:szCs w:val="20"/>
          <w:color w:val="auto"/>
        </w:rPr>
      </w:pPr>
    </w:p>
    <w:p>
      <w:pPr>
        <w:jc w:val="both"/>
        <w:ind w:firstLine="375"/>
        <w:spacing w:after="0" w:line="281" w:lineRule="auto"/>
        <w:rPr>
          <w:sz w:val="20"/>
          <w:szCs w:val="20"/>
          <w:color w:val="auto"/>
        </w:rPr>
      </w:pPr>
      <w:r>
        <w:rPr>
          <w:rFonts w:ascii="Times New Roman" w:cs="Times New Roman" w:eastAsia="Times New Roman" w:hAnsi="Times New Roman"/>
          <w:sz w:val="16"/>
          <w:szCs w:val="16"/>
          <w:color w:val="auto"/>
        </w:rPr>
        <w:t>Our Afirma GSC, including the BRAF v600E mutation test and medullary thyroid cancer, or MTC, Classifier, along with the Afirma XA offer a comprehensive solution for physicians evaluating thyroid nodules. Our broad ability to serve the thyroid diagnostic market also enables us to enter into research collaborations with biopharmaceutical companies, which is intended to support their development of targeted therapies for genetically defined cancers, including thyroid cancer.</w:t>
      </w:r>
    </w:p>
    <w:p>
      <w:pPr>
        <w:spacing w:after="0" w:line="178" w:lineRule="exact"/>
        <w:rPr>
          <w:sz w:val="20"/>
          <w:szCs w:val="20"/>
          <w:color w:val="auto"/>
        </w:rPr>
      </w:pPr>
    </w:p>
    <w:p>
      <w:pPr>
        <w:jc w:val="both"/>
        <w:ind w:firstLine="375"/>
        <w:spacing w:after="0" w:line="249" w:lineRule="auto"/>
        <w:rPr>
          <w:sz w:val="20"/>
          <w:szCs w:val="20"/>
          <w:color w:val="auto"/>
        </w:rPr>
      </w:pPr>
      <w:r>
        <w:rPr>
          <w:rFonts w:ascii="Times New Roman" w:cs="Times New Roman" w:eastAsia="Times New Roman" w:hAnsi="Times New Roman"/>
          <w:sz w:val="17"/>
          <w:szCs w:val="17"/>
          <w:color w:val="auto"/>
        </w:rPr>
        <w:t xml:space="preserve">In pulmonology, our Percepta Genomic Sequencing Classifer, or GSC, improves lung cancer diagnosis following an inconclusive bronchoscopy by identifying patients with lung nodules who are at low risk of cancer and may avoid further, invasive procedures and those with a high risk of lung cancer, so they may obtain faster diagnosis and treatment. The test is built upon foundational "field of injury" science - through which genomic changes associated with lung cancer in current and former smokers can be identified with a simple brushing of a person's airway - without the need to sample the often hard-to-reach nodule directly. We commercially introduced the Percepta classifier in 2015, with clinical validation data subsequently published in the </w:t>
      </w:r>
      <w:r>
        <w:rPr>
          <w:rFonts w:ascii="Times New Roman" w:cs="Times New Roman" w:eastAsia="Times New Roman" w:hAnsi="Times New Roman"/>
          <w:sz w:val="17"/>
          <w:szCs w:val="17"/>
          <w:i w:val="1"/>
          <w:iCs w:val="1"/>
          <w:color w:val="auto"/>
        </w:rPr>
        <w:t>New England Journal of Medicine</w:t>
      </w:r>
      <w:r>
        <w:rPr>
          <w:rFonts w:ascii="Times New Roman" w:cs="Times New Roman" w:eastAsia="Times New Roman" w:hAnsi="Times New Roman"/>
          <w:sz w:val="17"/>
          <w:szCs w:val="17"/>
          <w:color w:val="auto"/>
        </w:rPr>
        <w:t>. In June 2019, we launched the next-generation Percepta test, providing expanded lung cancer risk information to further inform treatment decisions. The Percepta classifier is the first product of its kind to be available commercially and the first to obtain Medicare coverage for improved lung cancer diagnosis.</w:t>
      </w:r>
    </w:p>
    <w:p>
      <w:pPr>
        <w:spacing w:after="0" w:line="203"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We are currently leveraging the same “field of injury” technology that powers our Percepta classifier to develop a first-of-its-kind, noninvasive nasal swab test that can enable earlier lung cancer diagnosis and ultimately, we believe, help reduce lung cancer deaths. In December 2020, we announced preliminary, cross-validation performance data for our nasal swab classifier showing that the novel genomic test could identify with a high degree of accuracy patients whose lung nodules were high risk for cancer, so they could obtain prompt diagnosis and potential treatment, and patients with low risk of cancer so they could be monitored noninvasively. We are also developing the Percepta Atlas, which – similar to the Afirma XA – is intended to inform treatment decisions by detecting gene alterations in small samples collected at the time of diagnosis. We plan to introduce the nasal swab test and the Percepta Atlas commercially in the United States during the second half of 2021, rounding out our comprehensive lung cancer portfolio designed to answer important clinical questions throughout the patient journey. We plan to complete the development of the nasal swab test on the nCounter instrument for regulatory submission internationally by the end of 2022.</w:t>
      </w:r>
    </w:p>
    <w:p>
      <w:pPr>
        <w:spacing w:after="0" w:line="207"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Additionally, our Envisia Genomic Classifier, launched in October 2016, is the first commercial test to improve the diagnosis of IPF among patients with a suspected interstitial lung disease. The Envisia test is also covered for Medicare patients. We are adapting our Envisia classifier for use on the nCounter system so that the test may be offered to physicians and patients in international markets by hospitals and laboratories that will perform the test locally. We expect to introduce the test before the end of 2021.</w:t>
      </w:r>
    </w:p>
    <w:p>
      <w:pPr>
        <w:spacing w:after="0" w:line="199"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Further, our LymphMark test is in development for use on the nCounter platform as an aid in disease characterization and prognosis to support disease management for patients newly diagnosed with diffuse large B-cell lymphoma, or DLBCL. The LymphMark test utilizes gene-expression profiling of RNA extracted from formalin-fixed paraffin-embedded tissue to classify the “cell of origin” subtype of DLBCL tumors.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Timing of Our Research and Development Expenses</w:t>
      </w:r>
    </w:p>
    <w:p>
      <w:pPr>
        <w:spacing w:after="0" w:line="208" w:lineRule="exact"/>
        <w:rPr>
          <w:sz w:val="20"/>
          <w:szCs w:val="20"/>
          <w:color w:val="auto"/>
        </w:rPr>
      </w:pPr>
    </w:p>
    <w:p>
      <w:pPr>
        <w:jc w:val="both"/>
        <w:ind w:firstLine="375"/>
        <w:spacing w:after="0" w:line="249" w:lineRule="auto"/>
        <w:rPr>
          <w:sz w:val="20"/>
          <w:szCs w:val="20"/>
          <w:color w:val="auto"/>
        </w:rPr>
      </w:pPr>
      <w:r>
        <w:rPr>
          <w:rFonts w:ascii="Times New Roman" w:cs="Times New Roman" w:eastAsia="Times New Roman" w:hAnsi="Times New Roman"/>
          <w:sz w:val="17"/>
          <w:szCs w:val="17"/>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6" w:name="page77"/>
    <w:bookmarkEnd w:id="76"/>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Testing Revenue</w:t>
      </w:r>
    </w:p>
    <w:p>
      <w:pPr>
        <w:spacing w:after="0" w:line="233"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Through December 31, 2020, we derived a substantial majority of our revenue from the sale of Afirma delivered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 payers and other customers in excess of 10% of total revenue and their related revenue as a percentage of total revenue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500" w:type="dxa"/>
            <w:vAlign w:val="bottom"/>
            <w:tcBorders>
              <w:bottom w:val="single" w:sz="8" w:color="auto"/>
            </w:tcBorders>
            <w:shd w:val="clear" w:color="auto" w:fill="CCEEFF"/>
          </w:tcPr>
          <w:p>
            <w:pPr>
              <w:spacing w:after="0"/>
              <w:rPr>
                <w:sz w:val="18"/>
                <w:szCs w:val="18"/>
                <w:color w:val="auto"/>
              </w:rPr>
            </w:pPr>
          </w:p>
        </w:tc>
      </w:tr>
      <w:tr>
        <w:trPr>
          <w:trHeight w:val="172"/>
        </w:trPr>
        <w:tc>
          <w:tcPr>
            <w:tcW w:w="650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205"/>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Medicare</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26 %</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29 %</w:t>
            </w:r>
          </w:p>
        </w:tc>
      </w:tr>
      <w:tr>
        <w:trPr>
          <w:trHeight w:val="212"/>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UnitedHealthcare</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12 %</w:t>
            </w:r>
          </w:p>
        </w:tc>
      </w:tr>
      <w:tr>
        <w:trPr>
          <w:trHeight w:val="230"/>
        </w:trPr>
        <w:tc>
          <w:tcPr>
            <w:tcW w:w="65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37 %</w:t>
            </w:r>
          </w:p>
        </w:tc>
        <w:tc>
          <w:tcPr>
            <w:tcW w:w="1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For tests performed, we recognize the related revenue upon delivery of a patient report to the prescribing physician based on the amount that we expect to ultimately receive. In determining the amount to accrue for a delivered test, we consider factors such as payment history, payer coverage, whether there is a reimbursement contract between the payer and us, payment as a percentage of agreed upon reimbursement rate (if applicable), amount paid per test and any current development or changes that could impact reimbursement. Upon ultimate collection, the amount received is compared to previous estimates and the amount accrued is adjusted accordingly. Our ability to increase our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the judgments underlying our estimated reimbursement change, our accrued revenue and financial results could be negatively impacted in future periods.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Testing Revenue</w:t>
      </w:r>
    </w:p>
    <w:p>
      <w:pPr>
        <w:spacing w:after="0" w:line="208"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The components of our cost of revenue are laboratory expenses, kit costs, sample collection expenses, compensation expense, license fees and royalties, depreciation and amortization, other expenses such as equipment and laboratory supplies, and allocations of facility and information technology expenses. Costs associated with performing tests are recorded as the test is processed regardless of whether and when revenue is recognized with respect to that test. As a result, our cost of revenue as a percentage of revenue may vary significantly from period to period because we may not recognize all revenue in the period in which the associated costs are incurred. We expect cost of revenue in absolute dollars to increase as the number of tests we perform increases. However, we expect that the cost per test will decrease over time due to leveraging fixed costs, efficiencies we may gain as test volume increases and from automation, process efficiencies and other cost reductions. As we introduce new tests, initially our cost of revenue will be high as we expect to run suboptimal batch sizes, run quality control batches, test batches, registry samples and generally incur costs that may suppress or reduce gross margins. This will disproportionately increase our aggregate cost of revenue until we achieve efficiencies in processing these new tests.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Product Revenue</w:t>
      </w:r>
    </w:p>
    <w:p>
      <w:pPr>
        <w:spacing w:after="0" w:line="208"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Our cost of product revenue consists primarily of costs of purchasing instruments and diagnostic kits from third-party contract manufacturers, installation, warranty, service and packaging and delivery costs. In addition, cost of product includes royalty costs for licensed technologies included in our products and labor expenses. As our Prosigna test kits are sold in various configurations with different number of tests, our product cost per test will vary based on the specific kit configuration purchased by customers.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Biopharmaceutical Revenue</w:t>
      </w:r>
    </w:p>
    <w:p>
      <w:pPr>
        <w:spacing w:after="0" w:line="233"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Our cost of biopharmaceutical revenue are the costs of performing activities under arrangements that require us to perform research and development services on behalf of a customer pursuant to a biopharmaceutical service agreement, and is mainly comprised of compensation expense and pass through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7" w:name="page78"/>
    <w:bookmarkEnd w:id="77"/>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208"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Research and development expenses include expenses incurred to develop our technology, collect clinical samples and conduct clinical studies to develop and support our products and pipeline. These expenses consist of compensation expenses, direct research and development expenses such as prototype materials, laboratory supplies and costs associated with setting up and conducting clinical studies at domestic and international sites, professional fees, depreciation and amortization, other miscellaneous expenses and allocation of facility and information technology expenses. We expense all research and development costs in the periods in which they are incurred. We expect to incur significant research and development expenses as we continue to invest in research and development activities related to developing additional products and evaluating various platforms. We incurred research and development expenses on ongoing evidence development for our Afirma, Percepta and Envisia classifiers in 2019. We incurred a majority of our research and development expenses in year ended December 31, 2020 in support of our pipeline products, and expect this to continue in 2021 and beyond.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and Marketing</w:t>
      </w:r>
    </w:p>
    <w:p>
      <w:pPr>
        <w:spacing w:after="0" w:line="208"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Selling and marketing expenses consist of compensation expenses, direct marketing expenses, professional fees, other expenses such as travel and communications costs and allocation of facility and information technology expenses. We have expanded our internal sales force as we invest in our multi-product sales strategy to assign a single point of contact to successfully develop and implement relationships with our customers and increased our marketing spending. We have also incurred increased selling and marketing expense as a result of investments in our lung product portfolio and believe total selling and marketing expenses will continue to increase as we launch and promote our new tests.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w:t>
      </w:r>
    </w:p>
    <w:p>
      <w:pPr>
        <w:spacing w:after="0" w:line="208"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General and administrative expenses include compensation expenses for executive officers and administrative, billing and client service personnel, professional fees for legal and audit services, occupancy costs, depreciation and amortization, and other expenses such as information technology and miscellaneous expenses offset by allocation of facility and information technology expenses to other functions. For the year ended December 31, 2020, approximately 62% of the average headcount classified as general and administrative encompass our billing and customer care teams. We expect general and administrative expenses to continue to increase as we build our general and administration infrastructure and to stabilize thereafter.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 Amortization</w:t>
      </w:r>
    </w:p>
    <w:p>
      <w:pPr>
        <w:spacing w:after="0" w:line="208"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Our finite-lived intangible assets, acquired in business combinations, are being amortized over 5 to15 years, using the straight-line method. Amortization expense is expected to be approximately $5.1 million per year through 2024 and decrease thereafter.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2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Interest expense is attributable to our borrowings under debt agreements and capital leases as well as costs associated with the prepayment of debt.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2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Other income, net consists primarily of sublease rental income and interest income from our cash held in interest bearing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8" w:name="page79"/>
    <w:bookmarkEnd w:id="78"/>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33"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Our management's discussion and analysis of our financial condition and results of operations is based on our audited consolidated financial statements, which have been prepared in accordance with United States generally accepted accounting principles, or U.S. GAAP. The preparation of the consolidated financial statements requires us to make estimates and assumptions that affect the reported amounts of assets and liabilities and the disclosure of contingent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Testing Revenue</w:t>
      </w:r>
    </w:p>
    <w:p>
      <w:pPr>
        <w:spacing w:after="0" w:line="233"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We recognize revenue related to billings on an accrual basis based on estimates of the amount that will ultimately be realized. In determining the amount to accrue for a delivered test, we consider factors such as payment history, payer coverage, whether there is a reimbursement contract between the payer and us, payment as a percentage of agreed upon rate (if applicable), amount paid per test and any current developments or changes that could impact reimbursement. These estimates require significant judgment by management.</w:t>
      </w:r>
    </w:p>
    <w:p>
      <w:pPr>
        <w:spacing w:after="0" w:line="199"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Generally, we determine accrual rates based on the average reimbursement from payers for tests that are on average a year old, since it can take a significant period of time to collect from some payers. Except in situations where we believe the rate we reasonably expect to collect to vary due to a coverage decision, contract, more recent reimbursement data or evidence to the contrary, we use an average of reimbursement for tests provided over four quarters as it reduces the effects of temporary volatility and seasonal effects.</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We use judgment in determining accrual rates and our judgments will continue to evolve in the future as we continue to gain reimbursement experience.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Biopharmaceutical and Collaboration Revenue</w:t>
      </w:r>
    </w:p>
    <w:p>
      <w:pPr>
        <w:spacing w:after="0" w:line="233" w:lineRule="exact"/>
        <w:rPr>
          <w:sz w:val="20"/>
          <w:szCs w:val="20"/>
          <w:color w:val="auto"/>
        </w:rPr>
      </w:pPr>
    </w:p>
    <w:p>
      <w:pPr>
        <w:jc w:val="both"/>
        <w:ind w:firstLine="375"/>
        <w:spacing w:after="0" w:line="249" w:lineRule="auto"/>
        <w:rPr>
          <w:sz w:val="20"/>
          <w:szCs w:val="20"/>
          <w:color w:val="auto"/>
        </w:rPr>
      </w:pPr>
      <w:r>
        <w:rPr>
          <w:rFonts w:ascii="Times New Roman" w:cs="Times New Roman" w:eastAsia="Times New Roman" w:hAnsi="Times New Roman"/>
          <w:sz w:val="17"/>
          <w:szCs w:val="17"/>
          <w:color w:val="auto"/>
        </w:rPr>
        <w:t>From time to time, we enter into arrangements for the research and development and/or commercialization of services. Such arrangements may require us to deliver various rights, services and/or samples, including intellectual property rights/licenses, research and development services, and/or commercialization of services. The underlying terms of these arrangements generally provide for consideration to us in the form of nonrefundable upfront license fees, development and commercial performance milestone payments, expense reimbursement, royalty payments and/or profit sharing. Net sales of data or other services to our customers are recognized in accordance with ASC 606 and are classified under biopharmaceutical revenue. Certain milestone payments fall under the scope of ASC Topic 808, and are classified under collaboration revenue. Payments received that are not sales or services to a customer or collaboration revenue are recorded as offsets against research and development expense in our consolidated statements of operations and comprehensive loss.</w:t>
      </w:r>
    </w:p>
    <w:p>
      <w:pPr>
        <w:spacing w:after="0" w:line="203"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In arrangements involving more than one performance obligation,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our best estimate of what the selling price would be if the deliverable was regularly sold by us on a stand-alone basis or using an adjusted market assessment approach if selling price on a stand-alone basis is not available.</w:t>
      </w:r>
    </w:p>
    <w:p>
      <w:pPr>
        <w:spacing w:after="0" w:line="201"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The consideration allocated to each distinct performance obligation is recognized as revenue when control of the related goods or services is transferred. Consideration associated with at-risk substantive performance milestones is recognized as revenue when it is probable that a significant reversal of the cumulative revenue recognized will not occur. Should there be royalties, we utilize the sales and usage-based royalty exception in arrangements that resulted from the license of intellectual property, recognizing revenues generated from royalties or profit sharing as the underlying sales occur.</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9" w:name="page80"/>
    <w:bookmarkEnd w:id="79"/>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Acquisitions</w:t>
      </w:r>
    </w:p>
    <w:p>
      <w:pPr>
        <w:spacing w:after="0" w:line="220"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We first determine whether a set of assets acquired and liabilities assumed constitute a business and should be accounted for as a business combination. If the assets acquired are not a business, we account for the transaction as an asset acquisition. Business combinations are accounted for by using the acquisition method of accounting. Under the acquisition method, assets acquired, and liabilities assumed are recorded at their respective fair values as of the acquisition date in our consolidated financial statements. The excess of the fair value of consideration transferred over the fair value of the net assets acquired is recorded as goodwill. Contingent consideration obligations incurred in connection with a business combination are recorded at fair value on the acquisition date and remeasured at each subsequent reporting period until the related contingencies are resolved, with the resulting changes in fair value recorded in earnings. The estimation of the fair value of the contingent consideration is based on the present value of the expected payments calculated by assessing the likelihood of when the related milestones would be achieved, discounted using the our estimated borrowing 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Finite-lived Intangible Assets</w:t>
      </w:r>
    </w:p>
    <w:p>
      <w:pPr>
        <w:spacing w:after="0" w:line="233"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Finite-lived intangible assets consist of intangible assets acquired as part of business combinations. We amortize finite-lived intangible assets using the straight-line method over their estimated useful lives of 5 to 15 years, based on management's estimate of the period over which their economic benefits will be realized, product life and patent life. We test these finite-lived intangible assets for impairment when events or circumstances indicate a reduction in the fair value below their carrying amounts. There was no impairment recognized during the years ended December 31, 2020, 2019, or 2018.</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233" w:lineRule="exact"/>
        <w:rPr>
          <w:sz w:val="20"/>
          <w:szCs w:val="20"/>
          <w:color w:val="auto"/>
        </w:rPr>
      </w:pPr>
    </w:p>
    <w:p>
      <w:pPr>
        <w:jc w:val="both"/>
        <w:ind w:firstLine="375"/>
        <w:spacing w:after="0" w:line="268" w:lineRule="auto"/>
        <w:rPr>
          <w:sz w:val="20"/>
          <w:szCs w:val="20"/>
          <w:color w:val="auto"/>
        </w:rPr>
      </w:pPr>
      <w:r>
        <w:rPr>
          <w:rFonts w:ascii="Times New Roman" w:cs="Times New Roman" w:eastAsia="Times New Roman" w:hAnsi="Times New Roman"/>
          <w:sz w:val="16"/>
          <w:szCs w:val="16"/>
          <w:color w:val="auto"/>
        </w:rPr>
        <w:t>Goodwill is reviewed for impairment on an annual basis or more frequently if events or circumstances indicate that it may be impaired. Our goodwill evaluation is based on both qualitative and quantitative assessments regarding the fair value of goodwill relative to its carrying value. We have determined that we operate in a single segment and have a single reporting unit associated with the development and commercialization of diagnostic products. In the event we determine that it is more likely than not the carrying value of the reporting unit is higher than its fair value, quantitative testing is performed comparing recorded values to estimated fair values. If impairment is present, the impairment loss is measured as the excess of the recorded goodwill over its implied fair value. We perform our annual evaluation of goodwill during the fourth quarter of each fiscal year. There was no impairment recognized during the years ended December 31, 2020, 2019, or 2018.</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33" w:lineRule="exact"/>
        <w:rPr>
          <w:sz w:val="20"/>
          <w:szCs w:val="20"/>
          <w:color w:val="auto"/>
        </w:rPr>
      </w:pPr>
    </w:p>
    <w:p>
      <w:pPr>
        <w:jc w:val="both"/>
        <w:ind w:firstLine="375"/>
        <w:spacing w:after="0" w:line="249" w:lineRule="auto"/>
        <w:rPr>
          <w:sz w:val="20"/>
          <w:szCs w:val="20"/>
          <w:color w:val="auto"/>
        </w:rPr>
      </w:pPr>
      <w:r>
        <w:rPr>
          <w:rFonts w:ascii="Times New Roman" w:cs="Times New Roman" w:eastAsia="Times New Roman" w:hAnsi="Times New Roman"/>
          <w:sz w:val="17"/>
          <w:szCs w:val="17"/>
          <w:color w:val="auto"/>
        </w:rPr>
        <w:t>We recognize stock-based compensation expense for only those shares underlying stock options and restricted stock units that we expect to vest on a straight-line basis over the requisite service period of the award. We estimate the fair value of stock options using a Black-Scholes option-pricing model, which requires the input of highly subjective assumptions, including the option's expected term and stock price volatility. In addition, judgment is also required in estimating the number of stock-based awards that are expected to be forfeited. Forfeitures are estimated based on historical experience at the time of grant and revised, if necessary, in subsequent periods if actual forfeitures differ from those estimates.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0" w:name="page81"/>
    <w:bookmarkEnd w:id="80"/>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Years Ended December 31, 2020 and 2019 (in thousands, except percentages)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4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38"/>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258"/>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320" w:type="dxa"/>
            <w:vAlign w:val="bottom"/>
            <w:gridSpan w:val="2"/>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18"/>
              <w:spacing w:after="0"/>
              <w:rPr>
                <w:sz w:val="20"/>
                <w:szCs w:val="20"/>
                <w:color w:val="auto"/>
              </w:rPr>
            </w:pPr>
            <w:r>
              <w:rPr>
                <w:rFonts w:ascii="Times New Roman" w:cs="Times New Roman" w:eastAsia="Times New Roman" w:hAnsi="Times New Roman"/>
                <w:sz w:val="13"/>
                <w:szCs w:val="13"/>
                <w:b w:val="1"/>
                <w:bCs w:val="1"/>
                <w:color w:val="auto"/>
              </w:rPr>
              <w:t>2019</w:t>
            </w:r>
          </w:p>
        </w:tc>
        <w:tc>
          <w:tcPr>
            <w:tcW w:w="0" w:type="dxa"/>
            <w:vAlign w:val="bottom"/>
          </w:tcPr>
          <w:p>
            <w:pPr>
              <w:spacing w:after="0"/>
              <w:rPr>
                <w:sz w:val="1"/>
                <w:szCs w:val="1"/>
                <w:color w:val="auto"/>
              </w:rPr>
            </w:pPr>
          </w:p>
        </w:tc>
      </w:tr>
      <w:tr>
        <w:trPr>
          <w:trHeight w:val="192"/>
        </w:trPr>
        <w:tc>
          <w:tcPr>
            <w:tcW w:w="6420" w:type="dxa"/>
            <w:vAlign w:val="bottom"/>
            <w:tcBorders>
              <w:top w:val="single" w:sz="8" w:color="CCEEFF"/>
            </w:tcBorders>
            <w:shd w:val="clear" w:color="auto" w:fill="CCEEFF"/>
          </w:tcPr>
          <w:p>
            <w:pPr>
              <w:ind w:left="20"/>
              <w:spacing w:after="0" w:line="193" w:lineRule="exact"/>
              <w:rPr>
                <w:sz w:val="20"/>
                <w:szCs w:val="20"/>
                <w:color w:val="auto"/>
              </w:rPr>
            </w:pPr>
            <w:r>
              <w:rPr>
                <w:rFonts w:ascii="Times New Roman" w:cs="Times New Roman" w:eastAsia="Times New Roman" w:hAnsi="Times New Roman"/>
                <w:sz w:val="17"/>
                <w:szCs w:val="17"/>
                <w:color w:val="auto"/>
              </w:rPr>
              <w:t>Revenue:</w:t>
            </w: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Testing revenue</w:t>
            </w: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101,970</w:t>
            </w:r>
          </w:p>
        </w:tc>
        <w:tc>
          <w:tcPr>
            <w:tcW w:w="10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8"/>
                <w:szCs w:val="18"/>
                <w:color w:val="auto"/>
              </w:rPr>
            </w:pP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107,355</w:t>
            </w:r>
          </w:p>
        </w:tc>
        <w:tc>
          <w:tcPr>
            <w:tcW w:w="0" w:type="dxa"/>
            <w:vAlign w:val="bottom"/>
          </w:tcPr>
          <w:p>
            <w:pPr>
              <w:spacing w:after="0"/>
              <w:rPr>
                <w:sz w:val="1"/>
                <w:szCs w:val="1"/>
                <w:color w:val="auto"/>
              </w:rPr>
            </w:pPr>
          </w:p>
        </w:tc>
      </w:tr>
      <w:tr>
        <w:trPr>
          <w:trHeight w:val="212"/>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Product revenue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w:t>
            </w:r>
          </w:p>
        </w:tc>
        <w:tc>
          <w:tcPr>
            <w:tcW w:w="0" w:type="dxa"/>
            <w:vAlign w:val="bottom"/>
          </w:tcPr>
          <w:p>
            <w:pPr>
              <w:spacing w:after="0"/>
              <w:rPr>
                <w:sz w:val="1"/>
                <w:szCs w:val="1"/>
                <w:color w:val="auto"/>
              </w:rPr>
            </w:pPr>
          </w:p>
        </w:tc>
      </w:tr>
      <w:tr>
        <w:trPr>
          <w:trHeight w:val="212"/>
        </w:trPr>
        <w:tc>
          <w:tcPr>
            <w:tcW w:w="6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Biopharmaceutical revenue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8,090</w:t>
            </w:r>
          </w:p>
        </w:tc>
        <w:tc>
          <w:tcPr>
            <w:tcW w:w="0" w:type="dxa"/>
            <w:vAlign w:val="bottom"/>
          </w:tcPr>
          <w:p>
            <w:pPr>
              <w:spacing w:after="0"/>
              <w:rPr>
                <w:sz w:val="1"/>
                <w:szCs w:val="1"/>
                <w:color w:val="auto"/>
              </w:rPr>
            </w:pPr>
          </w:p>
        </w:tc>
      </w:tr>
      <w:tr>
        <w:trPr>
          <w:trHeight w:val="212"/>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Collaboration revenue</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0" w:type="dxa"/>
            <w:vAlign w:val="bottom"/>
          </w:tcPr>
          <w:p>
            <w:pPr>
              <w:spacing w:after="0"/>
              <w:rPr>
                <w:sz w:val="1"/>
                <w:szCs w:val="1"/>
                <w:color w:val="auto"/>
              </w:rPr>
            </w:pPr>
          </w:p>
        </w:tc>
      </w:tr>
      <w:tr>
        <w:trPr>
          <w:trHeight w:val="205"/>
        </w:trPr>
        <w:tc>
          <w:tcPr>
            <w:tcW w:w="64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revenue</w:t>
            </w: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117,483</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(2,885)</w:t>
            </w:r>
          </w:p>
        </w:tc>
        <w:tc>
          <w:tcPr>
            <w:tcW w:w="10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120,368</w:t>
            </w:r>
          </w:p>
        </w:tc>
        <w:tc>
          <w:tcPr>
            <w:tcW w:w="0" w:type="dxa"/>
            <w:vAlign w:val="bottom"/>
          </w:tcPr>
          <w:p>
            <w:pPr>
              <w:spacing w:after="0"/>
              <w:rPr>
                <w:sz w:val="1"/>
                <w:szCs w:val="1"/>
                <w:color w:val="auto"/>
              </w:rPr>
            </w:pPr>
          </w:p>
        </w:tc>
      </w:tr>
      <w:tr>
        <w:trPr>
          <w:trHeight w:val="212"/>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Cost of testing revenue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36,077</w:t>
            </w:r>
          </w:p>
        </w:tc>
        <w:tc>
          <w:tcPr>
            <w:tcW w:w="0" w:type="dxa"/>
            <w:vAlign w:val="bottom"/>
          </w:tcPr>
          <w:p>
            <w:pPr>
              <w:spacing w:after="0"/>
              <w:rPr>
                <w:sz w:val="1"/>
                <w:szCs w:val="1"/>
                <w:color w:val="auto"/>
              </w:rPr>
            </w:pPr>
          </w:p>
        </w:tc>
      </w:tr>
      <w:tr>
        <w:trPr>
          <w:trHeight w:val="212"/>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Cost of product revenue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0" w:type="dxa"/>
            <w:vAlign w:val="bottom"/>
          </w:tcPr>
          <w:p>
            <w:pPr>
              <w:spacing w:after="0"/>
              <w:rPr>
                <w:sz w:val="1"/>
                <w:szCs w:val="1"/>
                <w:color w:val="auto"/>
              </w:rPr>
            </w:pPr>
          </w:p>
        </w:tc>
      </w:tr>
      <w:tr>
        <w:trPr>
          <w:trHeight w:val="212"/>
        </w:trPr>
        <w:tc>
          <w:tcPr>
            <w:tcW w:w="6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Cost of biopharmaceutical revenue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100" w:type="dxa"/>
            <w:vAlign w:val="bottom"/>
          </w:tcPr>
          <w:p>
            <w:pPr>
              <w:spacing w:after="0"/>
              <w:rPr>
                <w:sz w:val="18"/>
                <w:szCs w:val="18"/>
                <w:color w:val="auto"/>
              </w:rPr>
            </w:pP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NM</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14,851</w:t>
            </w:r>
          </w:p>
        </w:tc>
        <w:tc>
          <w:tcPr>
            <w:tcW w:w="0" w:type="dxa"/>
            <w:vAlign w:val="bottom"/>
          </w:tcPr>
          <w:p>
            <w:pPr>
              <w:spacing w:after="0"/>
              <w:rPr>
                <w:sz w:val="1"/>
                <w:szCs w:val="1"/>
                <w:color w:val="auto"/>
              </w:rPr>
            </w:pPr>
          </w:p>
        </w:tc>
      </w:tr>
      <w:tr>
        <w:trPr>
          <w:trHeight w:val="212"/>
        </w:trPr>
        <w:tc>
          <w:tcPr>
            <w:tcW w:w="6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Selling and marketing</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53,691</w:t>
            </w:r>
          </w:p>
        </w:tc>
        <w:tc>
          <w:tcPr>
            <w:tcW w:w="0" w:type="dxa"/>
            <w:vAlign w:val="bottom"/>
          </w:tcPr>
          <w:p>
            <w:pPr>
              <w:spacing w:after="0"/>
              <w:rPr>
                <w:sz w:val="1"/>
                <w:szCs w:val="1"/>
                <w:color w:val="auto"/>
              </w:rPr>
            </w:pPr>
          </w:p>
        </w:tc>
      </w:tr>
      <w:tr>
        <w:trPr>
          <w:trHeight w:val="212"/>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29,029</w:t>
            </w:r>
          </w:p>
        </w:tc>
        <w:tc>
          <w:tcPr>
            <w:tcW w:w="0" w:type="dxa"/>
            <w:vAlign w:val="bottom"/>
          </w:tcPr>
          <w:p>
            <w:pPr>
              <w:spacing w:after="0"/>
              <w:rPr>
                <w:sz w:val="1"/>
                <w:szCs w:val="1"/>
                <w:color w:val="auto"/>
              </w:rPr>
            </w:pPr>
          </w:p>
        </w:tc>
      </w:tr>
      <w:tr>
        <w:trPr>
          <w:trHeight w:val="212"/>
        </w:trPr>
        <w:tc>
          <w:tcPr>
            <w:tcW w:w="6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Intangible asset amortization</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5,095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3,694</w:t>
            </w:r>
          </w:p>
        </w:tc>
        <w:tc>
          <w:tcPr>
            <w:tcW w:w="1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264 %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1,401</w:t>
            </w:r>
          </w:p>
        </w:tc>
        <w:tc>
          <w:tcPr>
            <w:tcW w:w="0" w:type="dxa"/>
            <w:vAlign w:val="bottom"/>
          </w:tcPr>
          <w:p>
            <w:pPr>
              <w:spacing w:after="0"/>
              <w:rPr>
                <w:sz w:val="1"/>
                <w:szCs w:val="1"/>
                <w:color w:val="auto"/>
              </w:rPr>
            </w:pPr>
          </w:p>
        </w:tc>
      </w:tr>
      <w:tr>
        <w:trPr>
          <w:trHeight w:val="205"/>
        </w:trPr>
        <w:tc>
          <w:tcPr>
            <w:tcW w:w="6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152,872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17,377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135,495</w:t>
            </w:r>
          </w:p>
        </w:tc>
        <w:tc>
          <w:tcPr>
            <w:tcW w:w="0" w:type="dxa"/>
            <w:vAlign w:val="bottom"/>
          </w:tcPr>
          <w:p>
            <w:pPr>
              <w:spacing w:after="0"/>
              <w:rPr>
                <w:sz w:val="1"/>
                <w:szCs w:val="1"/>
                <w:color w:val="auto"/>
              </w:rPr>
            </w:pPr>
          </w:p>
        </w:tc>
      </w:tr>
      <w:tr>
        <w:trPr>
          <w:trHeight w:val="205"/>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(35,389)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(20,262)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(15,127)</w:t>
            </w:r>
          </w:p>
        </w:tc>
        <w:tc>
          <w:tcPr>
            <w:tcW w:w="0" w:type="dxa"/>
            <w:vAlign w:val="bottom"/>
          </w:tcPr>
          <w:p>
            <w:pPr>
              <w:spacing w:after="0"/>
              <w:rPr>
                <w:sz w:val="1"/>
                <w:szCs w:val="1"/>
                <w:color w:val="auto"/>
              </w:rPr>
            </w:pPr>
          </w:p>
        </w:tc>
      </w:tr>
      <w:tr>
        <w:trPr>
          <w:trHeight w:val="212"/>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0" w:type="dxa"/>
            <w:vAlign w:val="bottom"/>
          </w:tcPr>
          <w:p>
            <w:pPr>
              <w:spacing w:after="0"/>
              <w:rPr>
                <w:sz w:val="1"/>
                <w:szCs w:val="1"/>
                <w:color w:val="auto"/>
              </w:rPr>
            </w:pPr>
          </w:p>
        </w:tc>
      </w:tr>
      <w:tr>
        <w:trPr>
          <w:trHeight w:val="212"/>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(2,496)</w:t>
            </w:r>
          </w:p>
        </w:tc>
        <w:tc>
          <w:tcPr>
            <w:tcW w:w="1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3,205</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and comprehensive loss</w:t>
            </w: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(34,909)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(22,310)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(12,599)</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Other Operating Data:</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4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Genomic classifiers reported</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39,612</w:t>
            </w:r>
          </w:p>
        </w:tc>
        <w:tc>
          <w:tcPr>
            <w:tcW w:w="0" w:type="dxa"/>
            <w:vAlign w:val="bottom"/>
          </w:tcPr>
          <w:p>
            <w:pPr>
              <w:spacing w:after="0"/>
              <w:rPr>
                <w:sz w:val="1"/>
                <w:szCs w:val="1"/>
                <w:color w:val="auto"/>
              </w:rPr>
            </w:pPr>
          </w:p>
        </w:tc>
      </w:tr>
      <w:tr>
        <w:trPr>
          <w:trHeight w:val="212"/>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Product tests sold</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7,088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6,408</w:t>
            </w:r>
          </w:p>
        </w:tc>
        <w:tc>
          <w:tcPr>
            <w:tcW w:w="1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942 %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680</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test volume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44,489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40,292</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4,117</w:t>
            </w:r>
          </w:p>
        </w:tc>
        <w:tc>
          <w:tcPr>
            <w:tcW w:w="0" w:type="dxa"/>
            <w:vAlign w:val="bottom"/>
          </w:tcPr>
          <w:p>
            <w:pPr>
              <w:spacing w:after="0"/>
              <w:rPr>
                <w:sz w:val="1"/>
                <w:szCs w:val="1"/>
                <w:color w:val="auto"/>
              </w:rPr>
            </w:pP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12,995</w:t>
            </w:r>
          </w:p>
        </w:tc>
        <w:tc>
          <w:tcPr>
            <w:tcW w:w="10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33 %</w:t>
            </w:r>
          </w:p>
        </w:tc>
        <w:tc>
          <w:tcPr>
            <w:tcW w:w="100" w:type="dxa"/>
            <w:vAlign w:val="bottom"/>
          </w:tcPr>
          <w:p>
            <w:pPr>
              <w:spacing w:after="0"/>
              <w:rPr>
                <w:sz w:val="18"/>
                <w:szCs w:val="18"/>
                <w:color w:val="auto"/>
              </w:rPr>
            </w:pP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9,807</w:t>
            </w: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231"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During the second half of March 2020, we began to experience a significant decline in the volume of samples received due to COVID-19, resulting in a significant decline in revenue. Revenue decreased $2.9 million, or 2%, for the year ended December 31, 2020 compared to 2019. This was primarily due to a $5.4 million decrease in testing revenue from a 6% decrease in our Afirma, Percepta, and Envisia genomic classifiers reported, and a $4.0 million decrease in collaboration revenue, partially offset by an $8.9 million increase in product revenue from sales of Prosigna. Product sales began in December 2019, when we acquired the rights to Prosigna from NanoString. We also make adjustments, as necessary, for testing revenue accrued in prior periods as collections are made if the amount we expect to collect changes. The adjustment for testing revenue accrued in prior periods was $1.5 million and $1.6 million for the years ended December 31, 2020 and 2019, respectively, a net decrease of $0.1 million between the years. Biopharmaceutical revenue decreased $2.4 million, primarily due to $7.0 million for the provision of data for the year ended December 31, 2019 whereas biopharmaceutical revenue primarily consisted of $1.5 million for the provision of data, $1.0 million for the sale of commercial and development rights to CareDx, $1.0 million of milestones and $1.8 million for development services for the year ended December 31, 2020. Collaboration revenue in the year ended December 31, 2019 was derived from the fulfillment of development milestones.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1" w:name="page82"/>
    <w:bookmarkEnd w:id="81"/>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Comparison of revenue for the years ended December 31, 2019 and 2018 is included in Item 8 of Part II of the Annual Report on Form 10-K filed with the Securities and Exchange Commission dated February 25, 2020. There was no product revenue or collaboration revenue in 2018.</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w:t>
      </w:r>
    </w:p>
    <w:p>
      <w:pPr>
        <w:spacing w:after="0" w:line="2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Comparison of the years ended December 31, 2020 and 2019 was as follows (in thousands of dollars, except percentages):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72"/>
        </w:trPr>
        <w:tc>
          <w:tcPr>
            <w:tcW w:w="6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18"/>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259"/>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320" w:type="dxa"/>
            <w:vAlign w:val="bottom"/>
            <w:gridSpan w:val="2"/>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38"/>
              <w:spacing w:after="0"/>
              <w:rPr>
                <w:sz w:val="20"/>
                <w:szCs w:val="20"/>
                <w:color w:val="auto"/>
              </w:rPr>
            </w:pPr>
            <w:r>
              <w:rPr>
                <w:rFonts w:ascii="Times New Roman" w:cs="Times New Roman" w:eastAsia="Times New Roman" w:hAnsi="Times New Roman"/>
                <w:sz w:val="13"/>
                <w:szCs w:val="13"/>
                <w:b w:val="1"/>
                <w:bCs w:val="1"/>
                <w:color w:val="auto"/>
              </w:rPr>
              <w:t>2019</w:t>
            </w:r>
          </w:p>
        </w:tc>
      </w:tr>
      <w:tr>
        <w:trPr>
          <w:trHeight w:val="192"/>
        </w:trPr>
        <w:tc>
          <w:tcPr>
            <w:tcW w:w="6280" w:type="dxa"/>
            <w:vAlign w:val="bottom"/>
            <w:tcBorders>
              <w:top w:val="single" w:sz="8" w:color="CCEEFF"/>
            </w:tcBorders>
            <w:shd w:val="clear" w:color="auto" w:fill="CCEEFF"/>
          </w:tcPr>
          <w:p>
            <w:pPr>
              <w:ind w:left="20"/>
              <w:spacing w:after="0" w:line="193" w:lineRule="exact"/>
              <w:rPr>
                <w:sz w:val="20"/>
                <w:szCs w:val="20"/>
                <w:color w:val="auto"/>
              </w:rPr>
            </w:pPr>
            <w:r>
              <w:rPr>
                <w:rFonts w:ascii="Times New Roman" w:cs="Times New Roman" w:eastAsia="Times New Roman" w:hAnsi="Times New Roman"/>
                <w:sz w:val="17"/>
                <w:szCs w:val="17"/>
                <w:color w:val="auto"/>
              </w:rPr>
              <w:t>Cost of testing revenue:</w:t>
            </w:r>
          </w:p>
        </w:tc>
        <w:tc>
          <w:tcPr>
            <w:tcW w:w="2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r>
      <w:tr>
        <w:trPr>
          <w:trHeight w:val="212"/>
        </w:trPr>
        <w:tc>
          <w:tcPr>
            <w:tcW w:w="6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Laboratory expense</w:t>
            </w: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19,287</w:t>
            </w:r>
          </w:p>
        </w:tc>
        <w:tc>
          <w:tcPr>
            <w:tcW w:w="10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20,166</w:t>
            </w:r>
          </w:p>
        </w:tc>
      </w:tr>
      <w:tr>
        <w:trPr>
          <w:trHeight w:val="212"/>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Sample collection expense</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4,801</w:t>
            </w:r>
          </w:p>
        </w:tc>
      </w:tr>
      <w:tr>
        <w:trPr>
          <w:trHeight w:val="212"/>
        </w:trPr>
        <w:tc>
          <w:tcPr>
            <w:tcW w:w="6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Compensation expense</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6,013</w:t>
            </w:r>
          </w:p>
        </w:tc>
      </w:tr>
      <w:tr>
        <w:trPr>
          <w:trHeight w:val="212"/>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License fees and royalties</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2"/>
        </w:trPr>
        <w:tc>
          <w:tcPr>
            <w:tcW w:w="6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1,020</w:t>
            </w:r>
          </w:p>
        </w:tc>
      </w:tr>
      <w:tr>
        <w:trPr>
          <w:trHeight w:val="212"/>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expenses</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1,749</w:t>
            </w:r>
          </w:p>
        </w:tc>
      </w:tr>
      <w:tr>
        <w:trPr>
          <w:trHeight w:val="212"/>
        </w:trPr>
        <w:tc>
          <w:tcPr>
            <w:tcW w:w="6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Allocations</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1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2,318</w:t>
            </w:r>
          </w:p>
        </w:tc>
      </w:tr>
      <w:tr>
        <w:trPr>
          <w:trHeight w:val="230"/>
        </w:trPr>
        <w:tc>
          <w:tcPr>
            <w:tcW w:w="62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35,913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36,077</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95"/>
        </w:trPr>
        <w:tc>
          <w:tcPr>
            <w:tcW w:w="6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product revenue:</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2"/>
        </w:trPr>
        <w:tc>
          <w:tcPr>
            <w:tcW w:w="6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Product costs</w:t>
            </w: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4,032</w:t>
            </w:r>
          </w:p>
        </w:tc>
        <w:tc>
          <w:tcPr>
            <w:tcW w:w="10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804 %</w:t>
            </w:r>
          </w:p>
        </w:tc>
        <w:tc>
          <w:tcPr>
            <w:tcW w:w="100" w:type="dxa"/>
            <w:vAlign w:val="bottom"/>
          </w:tcPr>
          <w:p>
            <w:pPr>
              <w:spacing w:after="0"/>
              <w:rPr>
                <w:sz w:val="18"/>
                <w:szCs w:val="18"/>
                <w:color w:val="auto"/>
              </w:rPr>
            </w:pP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w:t>
            </w:r>
          </w:p>
        </w:tc>
      </w:tr>
      <w:tr>
        <w:trPr>
          <w:trHeight w:val="212"/>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License fees and royalties</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NM</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6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gridSpan w:val="2"/>
          </w:tcPr>
          <w:p>
            <w:pPr>
              <w:ind w:left="940"/>
              <w:spacing w:after="0"/>
              <w:rPr>
                <w:sz w:val="20"/>
                <w:szCs w:val="20"/>
                <w:color w:val="auto"/>
              </w:rPr>
            </w:pPr>
            <w:r>
              <w:rPr>
                <w:rFonts w:ascii="Times New Roman" w:cs="Times New Roman" w:eastAsia="Times New Roman" w:hAnsi="Times New Roman"/>
                <w:sz w:val="17"/>
                <w:szCs w:val="17"/>
                <w:color w:val="auto"/>
              </w:rPr>
              <w:t>NM</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0"/>
        </w:trPr>
        <w:tc>
          <w:tcPr>
            <w:tcW w:w="62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1,003 %</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95"/>
        </w:trPr>
        <w:tc>
          <w:tcPr>
            <w:tcW w:w="6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biopharmaceutical revenue:</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2"/>
        </w:trPr>
        <w:tc>
          <w:tcPr>
            <w:tcW w:w="6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Compensation expense</w:t>
            </w: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Pr>
          <w:p>
            <w:pPr>
              <w:spacing w:after="0"/>
              <w:rPr>
                <w:sz w:val="18"/>
                <w:szCs w:val="18"/>
                <w:color w:val="auto"/>
              </w:rPr>
            </w:pP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NM</w:t>
            </w: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expenses</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NM</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62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100" w:type="dxa"/>
            <w:vAlign w:val="bottom"/>
          </w:tcPr>
          <w:p>
            <w:pPr>
              <w:spacing w:after="0"/>
              <w:rPr>
                <w:sz w:val="17"/>
                <w:szCs w:val="17"/>
                <w:color w:val="auto"/>
              </w:rPr>
            </w:pP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NM</w:t>
            </w:r>
          </w:p>
        </w:tc>
        <w:tc>
          <w:tcPr>
            <w:tcW w:w="2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Cost of testing revenue decreased $0.2 million for the year ended December 31, 2020 compared to 2019. The decrease in laboratory costs was primarily related to a 6% decrease in the volume of genomic classifiers reported partially offset by a $1.1 million write-down of supplies for the expiration of reagents due to a decline in volumes resulting from the COVID-19 pandemic. The decrease in sample collection costs primarily related to the 6% decrease in the volume of genomic classifiers reported. The increase in compensation expense primarily relates to an average laboratory headcount increase of 8%.</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Cost of product revenue is related to sales of Prosigna, which commenced in December 2019.</w:t>
      </w:r>
    </w:p>
    <w:p>
      <w:pPr>
        <w:spacing w:after="0" w:line="229"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Cost of biopharmaceutical revenue includes labor costs incurred by our employees working on biopharmaceutical customer projects and pass-through expenses incurred on these projects. Biopharmaceutical revenue recognized in 2019 was mainly for the sale of sequencing data and had no related costs.</w:t>
      </w:r>
    </w:p>
    <w:p>
      <w:pPr>
        <w:spacing w:after="0" w:line="184"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Comparison of cost of testing revenue for the years ended December 31, 2019 and 2018 are included in Item 8 of Part II of the Annual Report on Form 10-K filed with the Securities and Exchange Commission dated February 25, 2020. There was no cost of product or biopharmaceutical revenue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2" w:name="page83"/>
    <w:bookmarkEnd w:id="82"/>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w:t>
      </w:r>
    </w:p>
    <w:p>
      <w:pPr>
        <w:spacing w:after="0" w:line="2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Comparison of the years ended December 31, 2020 and 2019 was as follows (in thousands of dollars, except percentages):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4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72"/>
        </w:trPr>
        <w:tc>
          <w:tcPr>
            <w:tcW w:w="6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39"/>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3"/>
                <w:szCs w:val="13"/>
                <w:b w:val="1"/>
                <w:bCs w:val="1"/>
                <w:color w:val="auto"/>
              </w:rPr>
              <w:t>2019</w:t>
            </w:r>
          </w:p>
        </w:tc>
      </w:tr>
      <w:tr>
        <w:trPr>
          <w:trHeight w:val="192"/>
        </w:trPr>
        <w:tc>
          <w:tcPr>
            <w:tcW w:w="6420" w:type="dxa"/>
            <w:vAlign w:val="bottom"/>
            <w:tcBorders>
              <w:top w:val="single" w:sz="8" w:color="CCEEFF"/>
            </w:tcBorders>
            <w:shd w:val="clear" w:color="auto" w:fill="CCEEFF"/>
          </w:tcPr>
          <w:p>
            <w:pPr>
              <w:ind w:left="20"/>
              <w:spacing w:after="0" w:line="193" w:lineRule="exact"/>
              <w:rPr>
                <w:sz w:val="20"/>
                <w:szCs w:val="20"/>
                <w:color w:val="auto"/>
              </w:rPr>
            </w:pPr>
            <w:r>
              <w:rPr>
                <w:rFonts w:ascii="Times New Roman" w:cs="Times New Roman" w:eastAsia="Times New Roman" w:hAnsi="Times New Roman"/>
                <w:sz w:val="17"/>
                <w:szCs w:val="17"/>
                <w:color w:val="auto"/>
              </w:rPr>
              <w:t>Research and development expense</w:t>
            </w: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r>
      <w:tr>
        <w:trPr>
          <w:trHeight w:val="212"/>
        </w:trPr>
        <w:tc>
          <w:tcPr>
            <w:tcW w:w="6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Compensation expense</w:t>
            </w: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11,658</w:t>
            </w:r>
          </w:p>
        </w:tc>
        <w:tc>
          <w:tcPr>
            <w:tcW w:w="10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2,214</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100" w:type="dxa"/>
            <w:vAlign w:val="bottom"/>
          </w:tcPr>
          <w:p>
            <w:pPr>
              <w:spacing w:after="0"/>
              <w:rPr>
                <w:sz w:val="18"/>
                <w:szCs w:val="18"/>
                <w:color w:val="auto"/>
              </w:rPr>
            </w:pP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9,444</w:t>
            </w:r>
          </w:p>
        </w:tc>
      </w:tr>
      <w:tr>
        <w:trPr>
          <w:trHeight w:val="212"/>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Direct research and development expense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2,924</w:t>
            </w:r>
          </w:p>
        </w:tc>
      </w:tr>
      <w:tr>
        <w:trPr>
          <w:trHeight w:val="212"/>
        </w:trPr>
        <w:tc>
          <w:tcPr>
            <w:tcW w:w="6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Professional fees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w:t>
            </w:r>
          </w:p>
        </w:tc>
      </w:tr>
      <w:tr>
        <w:trPr>
          <w:trHeight w:val="212"/>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r>
      <w:tr>
        <w:trPr>
          <w:trHeight w:val="212"/>
        </w:trPr>
        <w:tc>
          <w:tcPr>
            <w:tcW w:w="6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expenses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w:t>
            </w:r>
          </w:p>
        </w:tc>
      </w:tr>
      <w:tr>
        <w:trPr>
          <w:trHeight w:val="212"/>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Allocations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w:t>
            </w:r>
          </w:p>
        </w:tc>
      </w:tr>
      <w:tr>
        <w:trPr>
          <w:trHeight w:val="205"/>
        </w:trPr>
        <w:tc>
          <w:tcPr>
            <w:tcW w:w="64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17,204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2,353</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14,851</w:t>
            </w:r>
          </w:p>
        </w:tc>
      </w:tr>
      <w:tr>
        <w:trPr>
          <w:trHeight w:val="20"/>
        </w:trPr>
        <w:tc>
          <w:tcPr>
            <w:tcW w:w="6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Research and development expense increased $2.4 million or 16% for the year ended December 31, 2020 compared to 2019. Compensation expense increased $2.2 million, primarily due to a 13% increase in average headcount and higher stock-based compensation expense from the increase in our stock price over the last two years.</w:t>
      </w:r>
    </w:p>
    <w:p>
      <w:pPr>
        <w:spacing w:after="0" w:line="196"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Comparison of research and development expense for the years ended December 31, 2019 and 2018 are included in Item 8 of Part II of the Annual Report on Form 10-K filed with the Securities and Exchange Commission dated February 25, 2020.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Selling and marketing</w:t>
      </w:r>
    </w:p>
    <w:p>
      <w:pPr>
        <w:spacing w:after="0" w:line="2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Comparison of the years ended December 31, 2020 and 2019 was as follows (in thousands of dollars, except percentages):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72"/>
        </w:trPr>
        <w:tc>
          <w:tcPr>
            <w:tcW w:w="6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39"/>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39"/>
              <w:spacing w:after="0"/>
              <w:rPr>
                <w:sz w:val="20"/>
                <w:szCs w:val="20"/>
                <w:color w:val="auto"/>
              </w:rPr>
            </w:pPr>
            <w:r>
              <w:rPr>
                <w:rFonts w:ascii="Times New Roman" w:cs="Times New Roman" w:eastAsia="Times New Roman" w:hAnsi="Times New Roman"/>
                <w:sz w:val="13"/>
                <w:szCs w:val="13"/>
                <w:b w:val="1"/>
                <w:bCs w:val="1"/>
                <w:color w:val="auto"/>
              </w:rPr>
              <w:t>2019</w:t>
            </w:r>
          </w:p>
        </w:tc>
      </w:tr>
      <w:tr>
        <w:trPr>
          <w:trHeight w:val="192"/>
        </w:trPr>
        <w:tc>
          <w:tcPr>
            <w:tcW w:w="6220" w:type="dxa"/>
            <w:vAlign w:val="bottom"/>
            <w:tcBorders>
              <w:top w:val="single" w:sz="8" w:color="CCEEFF"/>
            </w:tcBorders>
            <w:shd w:val="clear" w:color="auto" w:fill="CCEEFF"/>
          </w:tcPr>
          <w:p>
            <w:pPr>
              <w:ind w:left="20"/>
              <w:spacing w:after="0" w:line="193" w:lineRule="exact"/>
              <w:rPr>
                <w:sz w:val="20"/>
                <w:szCs w:val="20"/>
                <w:color w:val="auto"/>
              </w:rPr>
            </w:pPr>
            <w:r>
              <w:rPr>
                <w:rFonts w:ascii="Times New Roman" w:cs="Times New Roman" w:eastAsia="Times New Roman" w:hAnsi="Times New Roman"/>
                <w:sz w:val="17"/>
                <w:szCs w:val="17"/>
                <w:color w:val="auto"/>
              </w:rPr>
              <w:t>Selling and marketing expense:</w:t>
            </w: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r>
      <w:tr>
        <w:trPr>
          <w:trHeight w:val="212"/>
        </w:trPr>
        <w:tc>
          <w:tcPr>
            <w:tcW w:w="6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Compensation expense</w:t>
            </w: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39,111</w:t>
            </w:r>
          </w:p>
        </w:tc>
        <w:tc>
          <w:tcPr>
            <w:tcW w:w="100" w:type="dxa"/>
            <w:vAlign w:val="bottom"/>
          </w:tcPr>
          <w:p>
            <w:pPr>
              <w:spacing w:after="0"/>
              <w:rPr>
                <w:sz w:val="18"/>
                <w:szCs w:val="18"/>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100" w:type="dxa"/>
            <w:vAlign w:val="bottom"/>
          </w:tcPr>
          <w:p>
            <w:pPr>
              <w:spacing w:after="0"/>
              <w:rPr>
                <w:sz w:val="18"/>
                <w:szCs w:val="18"/>
                <w:color w:val="auto"/>
              </w:rPr>
            </w:pP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33,239</w:t>
            </w:r>
          </w:p>
        </w:tc>
      </w:tr>
      <w:tr>
        <w:trPr>
          <w:trHeight w:val="212"/>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Direct marketing expense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6,015</w:t>
            </w:r>
          </w:p>
        </w:tc>
      </w:tr>
      <w:tr>
        <w:trPr>
          <w:trHeight w:val="212"/>
        </w:trPr>
        <w:tc>
          <w:tcPr>
            <w:tcW w:w="6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Professional fees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4"/>
              </w:rPr>
              <w:t>(35)%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2,234</w:t>
            </w:r>
          </w:p>
        </w:tc>
      </w:tr>
      <w:tr>
        <w:trPr>
          <w:trHeight w:val="212"/>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expenses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9,008</w:t>
            </w:r>
          </w:p>
        </w:tc>
      </w:tr>
      <w:tr>
        <w:trPr>
          <w:trHeight w:val="212"/>
        </w:trPr>
        <w:tc>
          <w:tcPr>
            <w:tcW w:w="6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Allocations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3,716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521</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3,195</w:t>
            </w:r>
          </w:p>
        </w:tc>
      </w:tr>
      <w:tr>
        <w:trPr>
          <w:trHeight w:val="230"/>
        </w:trPr>
        <w:tc>
          <w:tcPr>
            <w:tcW w:w="62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52,389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(1,302)</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53,691</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Selling and marketing expense decreased $1.3 million, or 2%, for the year ended December 31, 2020 compared to 2019. The increase in compensation expense was due to a 24% increase in average headcount, higher incentive compensation and higher stock-based compensation expense partially offset by the temporary furloughing of employees beginning in April 2020. The decrease in direct marketing expense was due to lower general marketing expenditures. The decrease in other expenses was primarily due to decreased travel and entertainment expenses as a result of COVID-19 travel restrictions.</w:t>
      </w:r>
    </w:p>
    <w:p>
      <w:pPr>
        <w:spacing w:after="0" w:line="19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auto"/>
        </w:rPr>
        <w:t>Comparison of selling and marketing expense for the years ended December 31, 2019 and 2018 are included in Item 8 of Part II of the Annual Report on Form 10-K filed with the Securities and Exchange Commission dated February 25,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3" w:name="page84"/>
    <w:bookmarkEnd w:id="83"/>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p>
      <w:pPr>
        <w:spacing w:after="0" w:line="2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Comparison of the years ended December 31, 2020 and 2019 was as follows (in thousands of dollars, except percentages):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72"/>
        </w:trPr>
        <w:tc>
          <w:tcPr>
            <w:tcW w:w="6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39"/>
              <w:spacing w:after="0"/>
              <w:rPr>
                <w:sz w:val="20"/>
                <w:szCs w:val="20"/>
                <w:color w:val="auto"/>
              </w:rPr>
            </w:pPr>
            <w:r>
              <w:rPr>
                <w:rFonts w:ascii="Times New Roman" w:cs="Times New Roman" w:eastAsia="Times New Roman" w:hAnsi="Times New Roman"/>
                <w:sz w:val="13"/>
                <w:szCs w:val="13"/>
                <w:b w:val="1"/>
                <w:bCs w:val="1"/>
                <w:color w:val="auto"/>
              </w:rPr>
              <w:t>2019</w:t>
            </w:r>
          </w:p>
        </w:tc>
      </w:tr>
      <w:tr>
        <w:trPr>
          <w:trHeight w:val="192"/>
        </w:trPr>
        <w:tc>
          <w:tcPr>
            <w:tcW w:w="6300" w:type="dxa"/>
            <w:vAlign w:val="bottom"/>
            <w:tcBorders>
              <w:top w:val="single" w:sz="8" w:color="CCEEFF"/>
            </w:tcBorders>
            <w:shd w:val="clear" w:color="auto" w:fill="CCEEFF"/>
          </w:tcPr>
          <w:p>
            <w:pPr>
              <w:ind w:left="20"/>
              <w:spacing w:after="0" w:line="193" w:lineRule="exact"/>
              <w:rPr>
                <w:sz w:val="20"/>
                <w:szCs w:val="20"/>
                <w:color w:val="auto"/>
              </w:rPr>
            </w:pPr>
            <w:r>
              <w:rPr>
                <w:rFonts w:ascii="Times New Roman" w:cs="Times New Roman" w:eastAsia="Times New Roman" w:hAnsi="Times New Roman"/>
                <w:sz w:val="17"/>
                <w:szCs w:val="17"/>
                <w:color w:val="auto"/>
              </w:rPr>
              <w:t>General and administrative expense:</w:t>
            </w: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r>
      <w:tr>
        <w:trPr>
          <w:trHeight w:val="212"/>
        </w:trPr>
        <w:tc>
          <w:tcPr>
            <w:tcW w:w="6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Compensation expense</w:t>
            </w: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22,875</w:t>
            </w:r>
          </w:p>
        </w:tc>
        <w:tc>
          <w:tcPr>
            <w:tcW w:w="100" w:type="dxa"/>
            <w:vAlign w:val="bottom"/>
          </w:tcPr>
          <w:p>
            <w:pPr>
              <w:spacing w:after="0"/>
              <w:rPr>
                <w:sz w:val="18"/>
                <w:szCs w:val="18"/>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100" w:type="dxa"/>
            <w:vAlign w:val="bottom"/>
          </w:tcPr>
          <w:p>
            <w:pPr>
              <w:spacing w:after="0"/>
              <w:rPr>
                <w:sz w:val="18"/>
                <w:szCs w:val="18"/>
                <w:color w:val="auto"/>
              </w:rPr>
            </w:pP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18,537</w:t>
            </w:r>
          </w:p>
        </w:tc>
      </w:tr>
      <w:tr>
        <w:trPr>
          <w:trHeight w:val="212"/>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Professional fees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8,854</w:t>
            </w:r>
          </w:p>
        </w:tc>
      </w:tr>
      <w:tr>
        <w:trPr>
          <w:trHeight w:val="212"/>
        </w:trPr>
        <w:tc>
          <w:tcPr>
            <w:tcW w:w="6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Occupancy costs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2,518</w:t>
            </w:r>
          </w:p>
        </w:tc>
      </w:tr>
      <w:tr>
        <w:trPr>
          <w:trHeight w:val="212"/>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1,408</w:t>
            </w:r>
          </w:p>
        </w:tc>
      </w:tr>
      <w:tr>
        <w:trPr>
          <w:trHeight w:val="212"/>
        </w:trPr>
        <w:tc>
          <w:tcPr>
            <w:tcW w:w="6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expenses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4,430</w:t>
            </w:r>
          </w:p>
        </w:tc>
      </w:tr>
      <w:tr>
        <w:trPr>
          <w:trHeight w:val="212"/>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Allocations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(6,718)</w:t>
            </w:r>
          </w:p>
        </w:tc>
      </w:tr>
      <w:tr>
        <w:trPr>
          <w:trHeight w:val="205"/>
        </w:trPr>
        <w:tc>
          <w:tcPr>
            <w:tcW w:w="6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36,729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7,700</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29,029</w:t>
            </w:r>
          </w:p>
        </w:tc>
      </w:tr>
      <w:tr>
        <w:trPr>
          <w:trHeight w:val="20"/>
        </w:trPr>
        <w:tc>
          <w:tcPr>
            <w:tcW w:w="6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General and administrative expense increased $7.7 million, or 27%, for the year ended December 31, 2020 compared to 2019. The increase in compensation expense was primarily due to higher stock-based compensation expense from the increase in our stock price and a 4% increase in average headcount. The increase in professional fees was primarily consulting, accounting and legal-related. The increase in other expenses was primarily due to a $1.5 million revaluation of the contingent consideration for the NanoString transaction and a $1.0 million impairment loss on the equity investment in MAVIDx. General and administrative expenses related to occupancy costs and information technology costs are allocated monthly to general and administrative expense, selling and marketing expense, research and development expense, and cost of testing revenue based on the headcount and employee location.</w:t>
      </w:r>
    </w:p>
    <w:p>
      <w:pPr>
        <w:spacing w:after="0" w:line="201"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Comparison of general and administrative expense for the years ended December 31, 2019 and 2018 are included in Item 8 of Part II of the Annual Report on Form 10-K filed with the Securities and Exchange Commission dated February 25, 2020.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expense</w:t>
      </w:r>
    </w:p>
    <w:p>
      <w:pPr>
        <w:spacing w:after="0" w:line="231"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Interest expense decreased $0.4 million, or 66%, for the year ended December 31, 2020 compared to 2019, primarily due to the prepayment of $24.9 million of the principal amount of our Term Loan Advance 2019. The average Term Loan Advance interest rate was 5.4% and 6.7% for the years ended December 31, 2020 and 2019, respectively.</w:t>
      </w:r>
    </w:p>
    <w:p>
      <w:pPr>
        <w:spacing w:after="0" w:line="196"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Comparison of interest expense for the years ended December 31, 2019 and 2018 are included in Item 8 of Part II of the Annual Report on Form 10-K filed with the Securities and Exchange Commission dated February 25, 2020.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income, net</w:t>
      </w:r>
    </w:p>
    <w:p>
      <w:pPr>
        <w:spacing w:after="0" w:line="231"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Other income, net, decreased $2.5 million for the year ended December 31, 2020 compared to 2019, primarily due to lower dividend and interest income from our investments and cash and cash equivalents.</w:t>
      </w:r>
    </w:p>
    <w:p>
      <w:pPr>
        <w:spacing w:after="0" w:line="184"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Comparison of Other income, net, for the years ended December 31, 2019 and 2018 are included in Item 8 of Part II of the Annual Report on Form 10-K filed with the Securities and Exchange Commission dated February 25, 2020.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33" w:lineRule="exact"/>
        <w:rPr>
          <w:sz w:val="20"/>
          <w:szCs w:val="20"/>
          <w:color w:val="auto"/>
        </w:rPr>
      </w:pPr>
    </w:p>
    <w:p>
      <w:pPr>
        <w:jc w:val="both"/>
        <w:ind w:firstLine="375"/>
        <w:spacing w:after="0" w:line="281" w:lineRule="auto"/>
        <w:rPr>
          <w:sz w:val="20"/>
          <w:szCs w:val="20"/>
          <w:color w:val="auto"/>
        </w:rPr>
      </w:pPr>
      <w:r>
        <w:rPr>
          <w:rFonts w:ascii="Times New Roman" w:cs="Times New Roman" w:eastAsia="Times New Roman" w:hAnsi="Times New Roman"/>
          <w:sz w:val="16"/>
          <w:szCs w:val="16"/>
          <w:color w:val="auto"/>
        </w:rPr>
        <w:t>From inception through December 31, 2020, we have been financed primarily through net proceeds from the sale of our equity securities. We have incurred net losses since our inception. For the years ended December 31, 2020, 2019 and 2018, we had net losses of $34.9 million, $12.6 million and $23.0 million, respectively, and we expect to incur additional losses in 2021 and potentially in future years. As of December 31, 2020, we had an accumulated deficit of $281.6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4" w:name="page85"/>
    <w:bookmarkEnd w:id="84"/>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In February 2021, we entered into an agreement to acquire Decipher for $600 million in cash which is expected to close by April 2021. On February 9, 2021, we issued and sold 8,547,297 shares of common stock in a registered public offering for net proceeds of $593.8 million.</w:t>
      </w:r>
    </w:p>
    <w:p>
      <w:pPr>
        <w:spacing w:after="0" w:line="184" w:lineRule="exact"/>
        <w:rPr>
          <w:sz w:val="20"/>
          <w:szCs w:val="20"/>
          <w:color w:val="auto"/>
        </w:rPr>
      </w:pPr>
    </w:p>
    <w:p>
      <w:pPr>
        <w:jc w:val="both"/>
        <w:ind w:firstLine="375"/>
        <w:spacing w:after="0" w:line="246" w:lineRule="auto"/>
        <w:rPr>
          <w:sz w:val="20"/>
          <w:szCs w:val="20"/>
          <w:color w:val="auto"/>
        </w:rPr>
      </w:pPr>
      <w:r>
        <w:rPr>
          <w:rFonts w:ascii="Times New Roman" w:cs="Times New Roman" w:eastAsia="Times New Roman" w:hAnsi="Times New Roman"/>
          <w:sz w:val="17"/>
          <w:szCs w:val="17"/>
          <w:color w:val="auto"/>
        </w:rPr>
        <w:t>We believe our existing cash and cash equivalents of $349.4 million as of December 31, 2020, our February 2021 equity offering proceeds, our available revolving line of credit, and our revenue during the next 12 months will be sufficient to meet our anticipated cash requirements for at least the next 12 months. We expect that our near- and longer-term liquidity requirements will continue to consist of costs to run our laboratories, research and development expenses, selling and marketing expenses, general and administrative expenses, working capital, costs to service our Loan and Security Agreement (See Note 8 to our audited consolidated financial statements included in this Annual Report on Form 10-K for more information about our Loan and Security Agreement), capital expenditures and general corporate expenses associated with the growth of our business. However, we may also use cash to acquire or invest in complementary businesses, technologies, services or products that would change our cash requirements. If we are not able to generate revenue to finance our cash requirements, including due to the impacts of the COVID-19 pandemic, we will need to finance future cash needs primarily through public or private equity offerings, debt financings, borrowings or strategic collaborations or licensing arrangements. If we raise funds by issuing equity securities, dilution to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restrictions on our cash pursuant to the terms of our Loan and Security Agreement and other operating restrictions that could adversely affect our ability to conduct our business. Our Loan and Security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Public Offering of Common Stock</w:t>
      </w:r>
    </w:p>
    <w:p>
      <w:pPr>
        <w:spacing w:after="0" w:line="233"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On February 9, 2021, we issued and sold 8,547,297 shares of common stock in a registered public offering, including 1,114,864 shares issued and sold upon the underwriters' exercise in full of their option to purchase additional shares, at a price to the public of $74.00 per share. Our net proceeds from the offering were $593.8 million, after deducting underwriting commissions and offering expenses of $38.7 million.</w:t>
      </w:r>
    </w:p>
    <w:p>
      <w:pPr>
        <w:spacing w:after="0" w:line="196"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In August 2020, we issued and sold 6,900,000 shares of common stock in a registered public offering, including 900,000 shares issued and sold upon the underwriters’ exercise in full of their option to purchase additional shares, at a price to the public of $30.00 per share. Our net proceeds from the offering were approximately $193.8 million, after deducting underwriting discounts and commissions and offering expenses of $13.2 million.</w:t>
      </w:r>
    </w:p>
    <w:p>
      <w:pPr>
        <w:spacing w:after="0" w:line="196"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In May 2019, we issued and sold 6,325,000 shares of common stock in a registered public offering, including 825,000 shares issued and sold upon the underwriters’ exercise in full of their option to purchase additional shares, at a price to the public of $23.25 per share. Our net proceeds from the offering were approximately $137.8 million, after deducting underwriting discounts and commissions and offering expenses of $9.2 million.</w:t>
      </w:r>
    </w:p>
    <w:p>
      <w:pPr>
        <w:spacing w:after="0" w:line="196"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In July 2018, we issued and sold 5,750,000 shares of common stock in a registered public offering, including 750,000 shares issued and sold upon the underwriters’ exercise in full of their option to purchase additional shares, at a price to the public of $10.25 per share. Our net proceeds from the offering were approximately $55.0 million, after deducting underwriting discounts and commissions and estimated offering expenses of $3.9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5" w:name="page86"/>
    <w:bookmarkEnd w:id="85"/>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Loan and Security Agreement</w:t>
      </w:r>
    </w:p>
    <w:p>
      <w:pPr>
        <w:spacing w:after="0" w:line="108" w:lineRule="exact"/>
        <w:rPr>
          <w:sz w:val="20"/>
          <w:szCs w:val="20"/>
          <w:color w:val="auto"/>
        </w:rPr>
      </w:pPr>
    </w:p>
    <w:p>
      <w:pPr>
        <w:jc w:val="both"/>
        <w:ind w:firstLine="375"/>
        <w:spacing w:after="0" w:line="249" w:lineRule="auto"/>
        <w:rPr>
          <w:sz w:val="20"/>
          <w:szCs w:val="20"/>
          <w:color w:val="auto"/>
        </w:rPr>
      </w:pPr>
      <w:r>
        <w:rPr>
          <w:rFonts w:ascii="Times New Roman" w:cs="Times New Roman" w:eastAsia="Times New Roman" w:hAnsi="Times New Roman"/>
          <w:sz w:val="17"/>
          <w:szCs w:val="17"/>
          <w:color w:val="auto"/>
        </w:rPr>
        <w:t>On November 3, 2017, we entered into the Loan and Security Agreement with Silicon Valley Bank. The Loan and Security Agreement allows us to borrow up to $35.0 million, with a $25.0 million term loan, or Term Loan, and a revolving line of credit of up to $10.0 million, or the Revolving Line of Credit, subject to, with respect to the Revolving Line of Credit, a borrowing base of 85% of eligible accounts receivable. The Term Loan was advanced upon the closing of the Loan and Security Agreement. Borrowings under the Loan and Security Agreement mature in October 2022. The Term Loan bears interest at a variable rate equal to (i) the thirty-day U.S. London Interbank Offer Rate, or LIBOR, plus (ii) 4.20%, with a minimum rate of 5.43% per annum. Principal amounts outstanding under the Revolving Line of Credit bear interest at a variable rate equal to (i) LIBOR plus (ii) 3.50%, with a minimum rate of 4.70% per annum. We are also required to pay an annual facility fee on the Revolving Line of Credit of $25,000. The average Term Loan Advance interest rate for the year ended December 31, 2020 was 5.4%.</w:t>
      </w:r>
    </w:p>
    <w:p>
      <w:pPr>
        <w:spacing w:after="0" w:line="78"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We may prepay the outstanding principal amount under the Term Loan plus accrued and unpaid interest and, if the Term Loan is repaid in full, a prepayment premium of $250,000. In addition, a final payment on the Term Loan in the amount of $1.2 million is due upon the earlier of the maturity date of the Term Loan or its payment in full. In January 2019, May 2019 and August 2020, we prepaid $12.5 million, $12.4 million and $0.1 million of the principal amount of the Term Loan Advance, respectively, and did not incur any prepayment premium as we did not repay the Term Loan Advance in full. As of December 31, 2020, the principal balance outstanding was one dollar.</w:t>
      </w:r>
    </w:p>
    <w:p>
      <w:pPr>
        <w:spacing w:after="0" w:line="201"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The Loan and Security Agreement contains customary representations, warranties, and events of default, as well as affirmative and negative covenants. As of December 31, 2020, we were in compliance with debt covenants.</w:t>
      </w:r>
    </w:p>
    <w:p>
      <w:pPr>
        <w:spacing w:after="0" w:line="159"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Our obligations under the Loan and Security Agreement are secured by substantially all of our assets (excluding intellectual property), subject to certain customary exceptions.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summarizes our cash flows for the years ended December 31, 2020, 2019 and 2018 (in thousands of dollars):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4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6"/>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920" w:type="dxa"/>
            <w:vAlign w:val="bottom"/>
            <w:tcBorders>
              <w:bottom w:val="single" w:sz="8" w:color="auto"/>
            </w:tcBorders>
          </w:tcPr>
          <w:p>
            <w:pPr>
              <w:spacing w:after="0"/>
              <w:rPr>
                <w:sz w:val="15"/>
                <w:szCs w:val="15"/>
                <w:color w:val="auto"/>
              </w:rPr>
            </w:pPr>
          </w:p>
        </w:tc>
      </w:tr>
      <w:tr>
        <w:trPr>
          <w:trHeight w:val="172"/>
        </w:trPr>
        <w:tc>
          <w:tcPr>
            <w:tcW w:w="74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20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(13,521)</w:t>
            </w:r>
          </w:p>
        </w:tc>
      </w:tr>
      <w:tr>
        <w:trPr>
          <w:trHeight w:val="212"/>
        </w:trPr>
        <w:tc>
          <w:tcPr>
            <w:tcW w:w="7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(1,874)</w:t>
            </w:r>
          </w:p>
        </w:tc>
      </w:tr>
      <w:tr>
        <w:trPr>
          <w:trHeight w:val="21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203,595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127,287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59,499</w:t>
            </w: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Operating Activities</w:t>
      </w:r>
    </w:p>
    <w:p>
      <w:pPr>
        <w:spacing w:after="0" w:line="231" w:lineRule="exact"/>
        <w:rPr>
          <w:sz w:val="20"/>
          <w:szCs w:val="20"/>
          <w:color w:val="auto"/>
        </w:rPr>
      </w:pPr>
    </w:p>
    <w:p>
      <w:pPr>
        <w:jc w:val="both"/>
        <w:ind w:firstLine="375"/>
        <w:spacing w:after="0" w:line="268" w:lineRule="auto"/>
        <w:rPr>
          <w:sz w:val="20"/>
          <w:szCs w:val="20"/>
          <w:color w:val="auto"/>
        </w:rPr>
      </w:pPr>
      <w:r>
        <w:rPr>
          <w:rFonts w:ascii="Times New Roman" w:cs="Times New Roman" w:eastAsia="Times New Roman" w:hAnsi="Times New Roman"/>
          <w:sz w:val="16"/>
          <w:szCs w:val="16"/>
          <w:color w:val="auto"/>
        </w:rPr>
        <w:t>Cash used in operating activities for the year ended December 31, 2020 was $9.7 million. The net loss of $34.9 million includes non-cash charges of $13.0 million of stock-based compensation expense, $7.9 million of depreciation and amortization, which includes $5.1 million of intangible asset amortization, a $1.1 million write-down of supplies, noncash lease expense of $1.0 million, impairment loss of $1.0 million and a $1.5 million expense for the revaluation of the contingent consideration related to the NanoString transaction. Cash used as a result of changes in operating assets and liabilities was $0.5 million, primarily comprised of a decrease in accrued liabilities of $0.9 million, a decrease in operating lease liability of $1.4 million, and an increase in prepaid expense and other current assets of $1.0 million, partially offset by a decrease in accounts receivable of $1.0 million, and an increase in accounts payable of $0.7 million and a decrease in supplies of $1.1 million.</w:t>
      </w:r>
    </w:p>
    <w:p>
      <w:pPr>
        <w:spacing w:after="0" w:line="190"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Cash used in operating activities for the year ended December 31, 2019 was $3.2 million. The net loss of $12.6 million includes non-cash charges of $9.8 million of stock-based compensation expense and $4.1 million of depreciation and amortization, which includes $1.4 million of intangible asset amortization, noncash lease expense of $1.0 million, and $0.2 million of end-of-term debt obligation accruals. Cash used as a result of changes in operating assets and liabilities was $5.9 million, primarily comprised of an increase in accounts receivable of $6.2 million, an increase in supplies of $3.4 million, a decrease in operating lease liability of $1.2 million and an increase in other assets of $0.4 million, partially offset by an increase in accrued liabilities and deferred rent of $5.2 million.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6" w:name="page87"/>
    <w:bookmarkEnd w:id="86"/>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Cash used in operating activities for the year ended December 31, 2018 was $13.5 million. The net loss of $23.0 million includes non-cash charges of $6.0 million of stock-based compensation expense and $3.9 million of depreciation and amortization, which includes $1.1 million of intangible asset amortization. It also includes $0.3 million of end-of-term debt obligation accruals. Cash used as a result of changes in operating assets and liabilities of $0.7 million was primarily due to a decrease in accounts payable of $1.6 million, an increase in other assets of $0.8 million and increases in prepaid expenses and other current assets and accounts receivable of $0.9 million, partially offset by a decrease in supplies of $1.9 million and an increase in accrued liabilities and deferred rent of $0.7 million.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Investing Activities</w:t>
      </w:r>
    </w:p>
    <w:p>
      <w:pPr>
        <w:spacing w:after="0" w:line="231"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Cash used in investing activities for the year ended December 31, 2020 was $2.8 million for the acquisition of property and equipment and $1.0 million for the purchase of equity securities of MAVIDx, Inc.</w:t>
      </w:r>
    </w:p>
    <w:p>
      <w:pPr>
        <w:spacing w:after="0" w:line="184" w:lineRule="exact"/>
        <w:rPr>
          <w:sz w:val="20"/>
          <w:szCs w:val="20"/>
          <w:color w:val="auto"/>
        </w:rPr>
      </w:pPr>
    </w:p>
    <w:p>
      <w:pPr>
        <w:jc w:val="both"/>
        <w:ind w:firstLine="375"/>
        <w:spacing w:after="0" w:line="302" w:lineRule="auto"/>
        <w:rPr>
          <w:sz w:val="20"/>
          <w:szCs w:val="20"/>
          <w:color w:val="auto"/>
        </w:rPr>
      </w:pPr>
      <w:r>
        <w:rPr>
          <w:rFonts w:ascii="Times New Roman" w:cs="Times New Roman" w:eastAsia="Times New Roman" w:hAnsi="Times New Roman"/>
          <w:sz w:val="16"/>
          <w:szCs w:val="16"/>
          <w:color w:val="auto"/>
        </w:rPr>
        <w:t>Cash used in investing activities for the year ended December 31, 2019 was $42.7 million, consisting of $40.0 million for the acquisition of NanoString Technologies, Inc.'s diagnostics business, and $2.7 million for the acquisition of property and equipment, net of proceeds from the disposal of property and equipment.</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Cash used in investing activities for the year ended December 31, 2018 was $1.9 million for the acquisition of property and equipment.</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Financing Activities</w:t>
      </w:r>
    </w:p>
    <w:p>
      <w:pPr>
        <w:spacing w:after="0" w:line="231"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Cash provided by financing activities for the year ended December 31, 2020 was $203.6 million, consisting of $193.8 million in net proceeds from the issuance of common stock in a public offering in August 2020, $13.7 million in proceeds from the exercise of options to purchase our common stock and purchase of stock under our Employee Stock Purchase Plan, or ESPP, partially offset by $3.8 million in tax payments during the period related to the vesting of restricted stock units granted to employees.</w:t>
      </w:r>
    </w:p>
    <w:p>
      <w:pPr>
        <w:spacing w:after="0" w:line="199"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Cash provided by financing activities for the year ended December 31, 2019 was $127.3 million, consisting of $137.8 million in net proceeds from the issuance of common stock in a public offering in May 2019 and $15.6 million in proceeds from the exercise of options to purchase our common stock and purchase of stock under our ESPP, during the year, partially offset by $24.9 million of loan principal repayments, $1.0 million in tax payments during the period related to the vesting of restricted stock units granted to employees and finance lease payments of $0.3 million.</w:t>
      </w:r>
    </w:p>
    <w:p>
      <w:pPr>
        <w:spacing w:after="0" w:line="199"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Cash provided by financing activities for the year ended December 31, 2018 was $59.5 million, consisting of $55.0 million in net proceeds from the issuance of common stock in a public offering in the second quarter of 2018, $4.4 million in proceeds from the exercise of options to purchase our common stock and purchases under our ESPP and $0.4 million in proceeds from a legal settlement, partially offset by capital lease payments of $0.3 million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7" w:name="page88"/>
    <w:bookmarkEnd w:id="87"/>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Contractual Obligations</w:t>
      </w:r>
    </w:p>
    <w:p>
      <w:pPr>
        <w:spacing w:after="0" w:line="2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table summarizes certain contractual obligations as of December 31, 2020 (in thousands of dollars):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rPr>
              <w:t>Payments Due by Period</w:t>
            </w: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Fiscal Year 2021</w:t>
            </w:r>
          </w:p>
        </w:tc>
        <w:tc>
          <w:tcPr>
            <w:tcW w:w="118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rPr>
              <w:t>Fiscal Year 2022 to</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4"/>
          </w:tcPr>
          <w:p>
            <w:pPr>
              <w:jc w:val="center"/>
              <w:ind w:right="120"/>
              <w:spacing w:after="0" w:line="123" w:lineRule="exact"/>
              <w:rPr>
                <w:sz w:val="20"/>
                <w:szCs w:val="20"/>
                <w:color w:val="auto"/>
              </w:rPr>
            </w:pPr>
            <w:r>
              <w:rPr>
                <w:rFonts w:ascii="Times New Roman" w:cs="Times New Roman" w:eastAsia="Times New Roman" w:hAnsi="Times New Roman"/>
                <w:sz w:val="13"/>
                <w:szCs w:val="13"/>
                <w:b w:val="1"/>
                <w:bCs w:val="1"/>
                <w:color w:val="auto"/>
              </w:rPr>
              <w:t>Fiscal Year 2024 to</w:t>
            </w:r>
          </w:p>
        </w:tc>
        <w:tc>
          <w:tcPr>
            <w:tcW w:w="100" w:type="dxa"/>
            <w:vAlign w:val="bottom"/>
          </w:tcPr>
          <w:p>
            <w:pPr>
              <w:spacing w:after="0"/>
              <w:rPr>
                <w:sz w:val="10"/>
                <w:szCs w:val="10"/>
                <w:color w:val="auto"/>
              </w:rPr>
            </w:pPr>
          </w:p>
        </w:tc>
        <w:tc>
          <w:tcPr>
            <w:tcW w:w="1180" w:type="dxa"/>
            <w:vAlign w:val="bottom"/>
            <w:gridSpan w:val="2"/>
          </w:tcPr>
          <w:p>
            <w:pPr>
              <w:jc w:val="center"/>
              <w:ind w:right="220"/>
              <w:spacing w:after="0" w:line="123" w:lineRule="exact"/>
              <w:rPr>
                <w:sz w:val="20"/>
                <w:szCs w:val="20"/>
                <w:color w:val="auto"/>
              </w:rPr>
            </w:pPr>
            <w:r>
              <w:rPr>
                <w:rFonts w:ascii="Times New Roman" w:cs="Times New Roman" w:eastAsia="Times New Roman" w:hAnsi="Times New Roman"/>
                <w:sz w:val="13"/>
                <w:szCs w:val="13"/>
                <w:b w:val="1"/>
                <w:bCs w:val="1"/>
                <w:color w:val="auto"/>
                <w:w w:val="99"/>
              </w:rPr>
              <w:t>Fiscal Year 2026</w:t>
            </w:r>
          </w:p>
        </w:tc>
        <w:tc>
          <w:tcPr>
            <w:tcW w:w="280" w:type="dxa"/>
            <w:vAlign w:val="bottom"/>
          </w:tcPr>
          <w:p>
            <w:pPr>
              <w:spacing w:after="0"/>
              <w:rPr>
                <w:sz w:val="10"/>
                <w:szCs w:val="10"/>
                <w:color w:val="auto"/>
              </w:rPr>
            </w:pPr>
          </w:p>
        </w:tc>
        <w:tc>
          <w:tcPr>
            <w:tcW w:w="920" w:type="dxa"/>
            <w:vAlign w:val="bottom"/>
            <w:vMerge w:val="restart"/>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5"/>
        </w:trPr>
        <w:tc>
          <w:tcPr>
            <w:tcW w:w="4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and Beyond</w:t>
            </w:r>
          </w:p>
        </w:tc>
        <w:tc>
          <w:tcPr>
            <w:tcW w:w="2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obligations (1)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2,401</w:t>
            </w: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5,015</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5,299</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1,542</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14,257</w:t>
            </w:r>
          </w:p>
        </w:tc>
        <w:tc>
          <w:tcPr>
            <w:tcW w:w="0" w:type="dxa"/>
            <w:vAlign w:val="bottom"/>
          </w:tcPr>
          <w:p>
            <w:pPr>
              <w:spacing w:after="0"/>
              <w:rPr>
                <w:sz w:val="1"/>
                <w:szCs w:val="1"/>
                <w:color w:val="auto"/>
              </w:rPr>
            </w:pPr>
          </w:p>
        </w:tc>
      </w:tr>
      <w:tr>
        <w:trPr>
          <w:trHeight w:val="212"/>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 obligations (2)</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1,188</w:t>
            </w: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Supplies purchase commitments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4,769</w:t>
            </w:r>
          </w:p>
        </w:tc>
        <w:tc>
          <w:tcPr>
            <w:tcW w:w="0" w:type="dxa"/>
            <w:vAlign w:val="bottom"/>
          </w:tcPr>
          <w:p>
            <w:pPr>
              <w:spacing w:after="0"/>
              <w:rPr>
                <w:sz w:val="1"/>
                <w:szCs w:val="1"/>
                <w:color w:val="auto"/>
              </w:rPr>
            </w:pPr>
          </w:p>
        </w:tc>
      </w:tr>
      <w:tr>
        <w:trPr>
          <w:trHeight w:val="205"/>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6,350</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7,023</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5,299</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1,542</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20,214</w:t>
            </w:r>
          </w:p>
        </w:tc>
        <w:tc>
          <w:tcPr>
            <w:tcW w:w="0" w:type="dxa"/>
            <w:vAlign w:val="bottom"/>
          </w:tcPr>
          <w:p>
            <w:pPr>
              <w:spacing w:after="0"/>
              <w:rPr>
                <w:sz w:val="1"/>
                <w:szCs w:val="1"/>
                <w:color w:val="auto"/>
              </w:rPr>
            </w:pPr>
          </w:p>
        </w:tc>
      </w:tr>
    </w:tbl>
    <w:p>
      <w:pPr>
        <w:ind w:left="260" w:hanging="244"/>
        <w:spacing w:after="0" w:line="231" w:lineRule="auto"/>
        <w:tabs>
          <w:tab w:leader="none" w:pos="2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minimum operating lease payments under operating leases for facilities.</w:t>
      </w:r>
    </w:p>
    <w:p>
      <w:pPr>
        <w:ind w:left="20" w:right="400" w:hanging="4"/>
        <w:spacing w:after="0" w:line="221" w:lineRule="auto"/>
        <w:tabs>
          <w:tab w:leader="none" w:pos="25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Debt obligations include principal, estimate of variable rate interest and end-of-term debt obligation. In January 2019, May 2019 and August 2020, we paid off $12.5 million, $12.4 million and $0.1 million of principal from our Loan and Security Agreement,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-339725</wp:posOffset>
            </wp:positionV>
            <wp:extent cx="7110730" cy="3409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10730" cy="340995"/>
                    </a:xfrm>
                    <a:prstGeom prst="rect">
                      <a:avLst/>
                    </a:prstGeom>
                    <a:noFill/>
                  </pic:spPr>
                </pic:pic>
              </a:graphicData>
            </a:graphic>
          </wp:anchor>
        </w:drawing>
      </w:r>
    </w:p>
    <w:p>
      <w:pPr>
        <w:spacing w:after="0" w:line="2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In February 2021, we entered into an agreement to acquire Decipher for $600 million in cash which is expected to close by April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We have not entered into any off-balance sheet arrangements.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31" w:lineRule="exact"/>
        <w:rPr>
          <w:sz w:val="20"/>
          <w:szCs w:val="20"/>
          <w:color w:val="auto"/>
        </w:rPr>
      </w:pPr>
    </w:p>
    <w:p>
      <w:pPr>
        <w:jc w:val="both"/>
        <w:ind w:firstLine="375"/>
        <w:spacing w:after="0" w:line="236" w:lineRule="auto"/>
        <w:rPr>
          <w:sz w:val="20"/>
          <w:szCs w:val="20"/>
          <w:color w:val="auto"/>
        </w:rPr>
      </w:pPr>
      <w:r>
        <w:rPr>
          <w:rFonts w:ascii="Times New Roman" w:cs="Times New Roman" w:eastAsia="Times New Roman" w:hAnsi="Times New Roman"/>
          <w:sz w:val="17"/>
          <w:szCs w:val="17"/>
          <w:color w:val="auto"/>
        </w:rPr>
        <w:t xml:space="preserve">In June 2016, the FASB issued ASU No. 2016-13, </w:t>
      </w:r>
      <w:r>
        <w:rPr>
          <w:rFonts w:ascii="Times New Roman" w:cs="Times New Roman" w:eastAsia="Times New Roman" w:hAnsi="Times New Roman"/>
          <w:sz w:val="17"/>
          <w:szCs w:val="17"/>
          <w:i w:val="1"/>
          <w:iCs w:val="1"/>
          <w:color w:val="auto"/>
        </w:rPr>
        <w:t>Financial Instruments—Credit Losses (Topic 326): Measurement of Credit Losses on Financial Instruments</w:t>
      </w:r>
      <w:r>
        <w:rPr>
          <w:rFonts w:ascii="Times New Roman" w:cs="Times New Roman" w:eastAsia="Times New Roman" w:hAnsi="Times New Roman"/>
          <w:sz w:val="17"/>
          <w:szCs w:val="17"/>
          <w:color w:val="auto"/>
        </w:rPr>
        <w:t>. This ASU requires entities to estimate an expected lifetime credit loss on financial assets ranging from short-term trade accounts receivable to long-term financings and report credit losses using an expected losses model rather than the incurred losses model that was previously used, and establishes additional disclosures related to credit risks. This guidance became effective for us beginning January 1, 2020. Based on the composition of our trade receivables, investment portfolio and other financial assets, current economic conditions and historical credit loss activity, the adoption of this standard did not have a material impact on our consolidated financial statements and related disclosures.</w:t>
      </w:r>
    </w:p>
    <w:p>
      <w:pPr>
        <w:spacing w:after="0" w:line="195" w:lineRule="exact"/>
        <w:rPr>
          <w:sz w:val="20"/>
          <w:szCs w:val="20"/>
          <w:color w:val="auto"/>
        </w:rPr>
      </w:pPr>
    </w:p>
    <w:p>
      <w:pPr>
        <w:jc w:val="both"/>
        <w:ind w:firstLine="375"/>
        <w:spacing w:after="0" w:line="272" w:lineRule="auto"/>
        <w:rPr>
          <w:sz w:val="20"/>
          <w:szCs w:val="20"/>
          <w:color w:val="auto"/>
        </w:rPr>
      </w:pPr>
      <w:r>
        <w:rPr>
          <w:rFonts w:ascii="Times New Roman" w:cs="Times New Roman" w:eastAsia="Times New Roman" w:hAnsi="Times New Roman"/>
          <w:sz w:val="16"/>
          <w:szCs w:val="16"/>
          <w:color w:val="auto"/>
        </w:rPr>
        <w:t xml:space="preserve">In August 2018 the FASB issued ASU No. 2018-15, </w:t>
      </w:r>
      <w:r>
        <w:rPr>
          <w:rFonts w:ascii="Times New Roman" w:cs="Times New Roman" w:eastAsia="Times New Roman" w:hAnsi="Times New Roman"/>
          <w:sz w:val="16"/>
          <w:szCs w:val="16"/>
          <w:i w:val="1"/>
          <w:iCs w:val="1"/>
          <w:color w:val="auto"/>
        </w:rPr>
        <w:t>Intangibles—Goodwill and Other—Internal-Use Software (Subtopic 350-40): Customer’s Accounting for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Implementation Costs Incurred in a Cloud Computing Arrangement That Is a Service Contract</w:t>
      </w:r>
      <w:r>
        <w:rPr>
          <w:rFonts w:ascii="Times New Roman" w:cs="Times New Roman" w:eastAsia="Times New Roman" w:hAnsi="Times New Roman"/>
          <w:sz w:val="16"/>
          <w:szCs w:val="16"/>
          <w:color w:val="auto"/>
        </w:rPr>
        <w:t>. This standard clarifies the accounting for implementation costs in cloud</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computing arrangements by aligning the accounting for costs incurred to implement a cloud computing arrangement that is a service arrangement with the guidance on capitalizing costs associated with developing or obtaining internal-use software. This standard became effective for us on January 1, 2020 and was adopted on a prospective basis with no material impact on our consolidated financial statements.</w:t>
      </w:r>
    </w:p>
    <w:p>
      <w:pPr>
        <w:spacing w:after="0" w:line="202"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 xml:space="preserve">In August 2018, the FASB issued ASU No. 2018-13, </w:t>
      </w:r>
      <w:r>
        <w:rPr>
          <w:rFonts w:ascii="Times New Roman" w:cs="Times New Roman" w:eastAsia="Times New Roman" w:hAnsi="Times New Roman"/>
          <w:sz w:val="17"/>
          <w:szCs w:val="17"/>
          <w:i w:val="1"/>
          <w:iCs w:val="1"/>
          <w:color w:val="auto"/>
        </w:rPr>
        <w:t>Fair Value Measurement (Topic 820), Disclosure Framework—Changes to the Disclosure Requirements for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Fair Value Measurement</w:t>
      </w:r>
      <w:r>
        <w:rPr>
          <w:rFonts w:ascii="Times New Roman" w:cs="Times New Roman" w:eastAsia="Times New Roman" w:hAnsi="Times New Roman"/>
          <w:sz w:val="17"/>
          <w:szCs w:val="17"/>
          <w:color w:val="auto"/>
        </w:rPr>
        <w:t>, or ASU 2018-13. ASU 2018-13 removed the following disclosure requirements: (1) the amount of and reasons for transfers between Level 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Level 2 of the fair value hierarchy; (2) the policy for timing of transfers between levels; and (3) the valuation processes for Level 3 fair value measurements. Additionally, this update added the following disclosure requirements: (1) the changes in unrealized gains and losses for the period included in other comprehensive income and loss for recurring Level 3 fair value measurements held at the end of the reporting period; (2) the range and weighted average of significant unobservable inputs used to develop Level 3 fair value measurements. For certain unobservable inputs, an entity may disclose other quantitative information (such as the median or arithmetic average) in lieu of the weighted average if the entity determines that other quantitative information would be a more reasonable and rational method to reflect the distribution of unobservable inputs used to develop Level 3 fair value measurements. ASU 2018-13 became effective for us beginning January 1, 2020 and the adoption of ASU 2018-13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8" w:name="page89"/>
    <w:bookmarkEnd w:id="88"/>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7A.</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33" w:lineRule="exact"/>
        <w:rPr>
          <w:sz w:val="20"/>
          <w:szCs w:val="20"/>
          <w:color w:val="auto"/>
        </w:rPr>
      </w:pPr>
    </w:p>
    <w:p>
      <w:pPr>
        <w:jc w:val="both"/>
        <w:ind w:firstLine="412"/>
        <w:spacing w:after="0" w:line="281" w:lineRule="auto"/>
        <w:rPr>
          <w:sz w:val="20"/>
          <w:szCs w:val="20"/>
          <w:color w:val="auto"/>
        </w:rPr>
      </w:pPr>
      <w:r>
        <w:rPr>
          <w:rFonts w:ascii="Times New Roman" w:cs="Times New Roman" w:eastAsia="Times New Roman" w:hAnsi="Times New Roman"/>
          <w:sz w:val="16"/>
          <w:szCs w:val="16"/>
          <w:color w:val="auto"/>
        </w:rPr>
        <w:t>We are exposed to market risks in the ordinary course of our business. These risks primarily relate to interest rates. We had cash and cash equivalents of $349.4 million as of December 31, 2020 which consisted of bank deposits and money market funds. Such interest-bearing instruments carry a degree of risk; however, a hypothetical 10% change in interest rates during any of the periods presented would not have had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9" w:name="page90"/>
    <w:bookmarkEnd w:id="89"/>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STATEMENTS AND SUPPLEMENTARY DATA</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3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1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3"/>
                <w:szCs w:val="13"/>
                <w:b w:val="1"/>
                <w:bCs w:val="1"/>
                <w:color w:val="auto"/>
              </w:rPr>
              <w:t>Page No.</w:t>
            </w:r>
          </w:p>
        </w:tc>
      </w:tr>
      <w:tr>
        <w:trPr>
          <w:trHeight w:val="208"/>
        </w:trPr>
        <w:tc>
          <w:tcPr>
            <w:tcW w:w="10100" w:type="dxa"/>
            <w:vAlign w:val="bottom"/>
            <w:gridSpan w:val="7"/>
          </w:tcPr>
          <w:p>
            <w:pPr>
              <w:spacing w:after="0"/>
              <w:rPr>
                <w:rFonts w:ascii="Times New Roman" w:cs="Times New Roman" w:eastAsia="Times New Roman" w:hAnsi="Times New Roman"/>
                <w:sz w:val="17"/>
                <w:szCs w:val="17"/>
                <w:u w:val="single" w:color="auto"/>
                <w:color w:val="0000FF"/>
              </w:rPr>
            </w:pPr>
            <w:hyperlink w:anchor="page90">
              <w:r>
                <w:rPr>
                  <w:rFonts w:ascii="Times New Roman" w:cs="Times New Roman" w:eastAsia="Times New Roman" w:hAnsi="Times New Roman"/>
                  <w:sz w:val="17"/>
                  <w:szCs w:val="17"/>
                  <w:u w:val="single" w:color="auto"/>
                  <w:color w:val="0000FF"/>
                </w:rPr>
                <w:t>REPORT OF INDEPENDENT REGISTERED ACCOUNTING FIRM</w:t>
              </w:r>
            </w:hyperlink>
          </w:p>
        </w:tc>
        <w:tc>
          <w:tcPr>
            <w:tcW w:w="1100" w:type="dxa"/>
            <w:vAlign w:val="bottom"/>
          </w:tcPr>
          <w:p>
            <w:pPr>
              <w:jc w:val="right"/>
              <w:spacing w:after="0"/>
              <w:rPr>
                <w:rFonts w:ascii="Times New Roman" w:cs="Times New Roman" w:eastAsia="Times New Roman" w:hAnsi="Times New Roman"/>
                <w:sz w:val="17"/>
                <w:szCs w:val="17"/>
                <w:u w:val="single" w:color="auto"/>
                <w:color w:val="0000FF"/>
              </w:rPr>
            </w:pPr>
            <w:hyperlink w:anchor="page90">
              <w:r>
                <w:rPr>
                  <w:rFonts w:ascii="Times New Roman" w:cs="Times New Roman" w:eastAsia="Times New Roman" w:hAnsi="Times New Roman"/>
                  <w:sz w:val="17"/>
                  <w:szCs w:val="17"/>
                  <w:u w:val="single" w:color="auto"/>
                  <w:color w:val="0000FF"/>
                </w:rPr>
                <w:t>88</w:t>
              </w:r>
            </w:hyperlink>
          </w:p>
        </w:tc>
      </w:tr>
      <w:tr>
        <w:trPr>
          <w:trHeight w:val="179"/>
        </w:trPr>
        <w:tc>
          <w:tcPr>
            <w:tcW w:w="10100" w:type="dxa"/>
            <w:vAlign w:val="bottom"/>
            <w:gridSpan w:val="7"/>
          </w:tcPr>
          <w:p>
            <w:pPr>
              <w:spacing w:after="0" w:line="179" w:lineRule="exact"/>
              <w:rPr>
                <w:rFonts w:ascii="Times New Roman" w:cs="Times New Roman" w:eastAsia="Times New Roman" w:hAnsi="Times New Roman"/>
                <w:sz w:val="17"/>
                <w:szCs w:val="17"/>
                <w:color w:val="0000FF"/>
              </w:rPr>
            </w:pPr>
            <w:hyperlink w:anchor="page92">
              <w:r>
                <w:rPr>
                  <w:rFonts w:ascii="Times New Roman" w:cs="Times New Roman" w:eastAsia="Times New Roman" w:hAnsi="Times New Roman"/>
                  <w:sz w:val="17"/>
                  <w:szCs w:val="17"/>
                  <w:u w:val="single" w:color="auto"/>
                  <w:color w:val="0000FF"/>
                </w:rPr>
                <w:t>Consolidated Balance Sheets as of December 31,</w:t>
              </w:r>
              <w:r>
                <w:rPr>
                  <w:rFonts w:ascii="Times New Roman" w:cs="Times New Roman" w:eastAsia="Times New Roman" w:hAnsi="Times New Roman"/>
                  <w:sz w:val="17"/>
                  <w:szCs w:val="17"/>
                  <w:color w:val="0000FF"/>
                </w:rPr>
                <w:t xml:space="preserve"> 2020 and 2019</w:t>
              </w:r>
            </w:hyperlink>
          </w:p>
        </w:tc>
        <w:tc>
          <w:tcPr>
            <w:tcW w:w="1100" w:type="dxa"/>
            <w:vAlign w:val="bottom"/>
          </w:tcPr>
          <w:p>
            <w:pPr>
              <w:jc w:val="right"/>
              <w:spacing w:after="0" w:line="179" w:lineRule="exact"/>
              <w:rPr>
                <w:rFonts w:ascii="Times New Roman" w:cs="Times New Roman" w:eastAsia="Times New Roman" w:hAnsi="Times New Roman"/>
                <w:sz w:val="17"/>
                <w:szCs w:val="17"/>
                <w:u w:val="single" w:color="auto"/>
                <w:color w:val="0000FF"/>
              </w:rPr>
            </w:pPr>
            <w:hyperlink w:anchor="page92">
              <w:r>
                <w:rPr>
                  <w:rFonts w:ascii="Times New Roman" w:cs="Times New Roman" w:eastAsia="Times New Roman" w:hAnsi="Times New Roman"/>
                  <w:sz w:val="17"/>
                  <w:szCs w:val="17"/>
                  <w:u w:val="single" w:color="auto"/>
                  <w:color w:val="0000FF"/>
                </w:rPr>
                <w:t>90</w:t>
              </w:r>
            </w:hyperlink>
          </w:p>
        </w:tc>
      </w:tr>
      <w:tr>
        <w:trPr>
          <w:trHeight w:val="20"/>
        </w:trPr>
        <w:tc>
          <w:tcPr>
            <w:tcW w:w="34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6"/>
        </w:trPr>
        <w:tc>
          <w:tcPr>
            <w:tcW w:w="10100" w:type="dxa"/>
            <w:vAlign w:val="bottom"/>
            <w:gridSpan w:val="7"/>
          </w:tcPr>
          <w:p>
            <w:pPr>
              <w:spacing w:after="0"/>
              <w:rPr>
                <w:rFonts w:ascii="Times New Roman" w:cs="Times New Roman" w:eastAsia="Times New Roman" w:hAnsi="Times New Roman"/>
                <w:sz w:val="17"/>
                <w:szCs w:val="17"/>
                <w:u w:val="single" w:color="auto"/>
                <w:color w:val="0000FF"/>
              </w:rPr>
            </w:pPr>
            <w:hyperlink w:anchor="page93">
              <w:r>
                <w:rPr>
                  <w:rFonts w:ascii="Times New Roman" w:cs="Times New Roman" w:eastAsia="Times New Roman" w:hAnsi="Times New Roman"/>
                  <w:sz w:val="17"/>
                  <w:szCs w:val="17"/>
                  <w:u w:val="single" w:color="auto"/>
                  <w:color w:val="0000FF"/>
                </w:rPr>
                <w:t>Consolidated Statements of Operations and Comprehensive Loss for the Years Ended December 31, 2020, 2019, and 2018</w:t>
              </w:r>
            </w:hyperlink>
          </w:p>
        </w:tc>
        <w:tc>
          <w:tcPr>
            <w:tcW w:w="1100" w:type="dxa"/>
            <w:vAlign w:val="bottom"/>
          </w:tcPr>
          <w:p>
            <w:pPr>
              <w:jc w:val="right"/>
              <w:spacing w:after="0"/>
              <w:rPr>
                <w:rFonts w:ascii="Times New Roman" w:cs="Times New Roman" w:eastAsia="Times New Roman" w:hAnsi="Times New Roman"/>
                <w:sz w:val="17"/>
                <w:szCs w:val="17"/>
                <w:u w:val="single" w:color="auto"/>
                <w:color w:val="0000FF"/>
              </w:rPr>
            </w:pPr>
            <w:hyperlink w:anchor="page93">
              <w:r>
                <w:rPr>
                  <w:rFonts w:ascii="Times New Roman" w:cs="Times New Roman" w:eastAsia="Times New Roman" w:hAnsi="Times New Roman"/>
                  <w:sz w:val="17"/>
                  <w:szCs w:val="17"/>
                  <w:u w:val="single" w:color="auto"/>
                  <w:color w:val="0000FF"/>
                </w:rPr>
                <w:t>91</w:t>
              </w:r>
            </w:hyperlink>
          </w:p>
        </w:tc>
      </w:tr>
      <w:tr>
        <w:trPr>
          <w:trHeight w:val="179"/>
        </w:trPr>
        <w:tc>
          <w:tcPr>
            <w:tcW w:w="10100" w:type="dxa"/>
            <w:vAlign w:val="bottom"/>
            <w:gridSpan w:val="7"/>
          </w:tcPr>
          <w:p>
            <w:pPr>
              <w:spacing w:after="0" w:line="179" w:lineRule="exact"/>
              <w:rPr>
                <w:rFonts w:ascii="Times New Roman" w:cs="Times New Roman" w:eastAsia="Times New Roman" w:hAnsi="Times New Roman"/>
                <w:sz w:val="17"/>
                <w:szCs w:val="17"/>
                <w:color w:val="0000FF"/>
              </w:rPr>
            </w:pPr>
            <w:hyperlink w:anchor="page94">
              <w:r>
                <w:rPr>
                  <w:rFonts w:ascii="Times New Roman" w:cs="Times New Roman" w:eastAsia="Times New Roman" w:hAnsi="Times New Roman"/>
                  <w:sz w:val="17"/>
                  <w:szCs w:val="17"/>
                  <w:u w:val="single" w:color="auto"/>
                  <w:color w:val="0000FF"/>
                </w:rPr>
                <w:t xml:space="preserve">Consolidated Statements of Stockholders' Equity for the Years Ended December 31, </w:t>
              </w:r>
            </w:hyperlink>
            <w:r>
              <w:rPr>
                <w:rFonts w:ascii="Times New Roman" w:cs="Times New Roman" w:eastAsia="Times New Roman" w:hAnsi="Times New Roman"/>
                <w:sz w:val="17"/>
                <w:szCs w:val="17"/>
                <w:color w:val="0000FF"/>
              </w:rPr>
              <w:t xml:space="preserve">2020, </w:t>
            </w:r>
            <w:hyperlink w:anchor="page94">
              <w:r>
                <w:rPr>
                  <w:rFonts w:ascii="Times New Roman" w:cs="Times New Roman" w:eastAsia="Times New Roman" w:hAnsi="Times New Roman"/>
                  <w:sz w:val="17"/>
                  <w:szCs w:val="17"/>
                  <w:color w:val="0000FF"/>
                </w:rPr>
                <w:t>2019 and 2018</w:t>
              </w:r>
            </w:hyperlink>
          </w:p>
        </w:tc>
        <w:tc>
          <w:tcPr>
            <w:tcW w:w="1100" w:type="dxa"/>
            <w:vAlign w:val="bottom"/>
          </w:tcPr>
          <w:p>
            <w:pPr>
              <w:jc w:val="right"/>
              <w:spacing w:after="0" w:line="179" w:lineRule="exact"/>
              <w:rPr>
                <w:rFonts w:ascii="Times New Roman" w:cs="Times New Roman" w:eastAsia="Times New Roman" w:hAnsi="Times New Roman"/>
                <w:sz w:val="17"/>
                <w:szCs w:val="17"/>
                <w:u w:val="single" w:color="auto"/>
                <w:color w:val="0000FF"/>
              </w:rPr>
            </w:pPr>
            <w:hyperlink w:anchor="page94">
              <w:r>
                <w:rPr>
                  <w:rFonts w:ascii="Times New Roman" w:cs="Times New Roman" w:eastAsia="Times New Roman" w:hAnsi="Times New Roman"/>
                  <w:sz w:val="17"/>
                  <w:szCs w:val="17"/>
                  <w:u w:val="single" w:color="auto"/>
                  <w:color w:val="0000FF"/>
                </w:rPr>
                <w:t>92</w:t>
              </w:r>
            </w:hyperlink>
          </w:p>
        </w:tc>
      </w:tr>
      <w:tr>
        <w:trPr>
          <w:trHeight w:val="20"/>
        </w:trPr>
        <w:tc>
          <w:tcPr>
            <w:tcW w:w="57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2"/>
        </w:trPr>
        <w:tc>
          <w:tcPr>
            <w:tcW w:w="10100" w:type="dxa"/>
            <w:vAlign w:val="bottom"/>
            <w:gridSpan w:val="7"/>
          </w:tcPr>
          <w:p>
            <w:pPr>
              <w:spacing w:after="0" w:line="193" w:lineRule="exact"/>
              <w:rPr>
                <w:rFonts w:ascii="Times New Roman" w:cs="Times New Roman" w:eastAsia="Times New Roman" w:hAnsi="Times New Roman"/>
                <w:sz w:val="17"/>
                <w:szCs w:val="17"/>
                <w:color w:val="0000FF"/>
              </w:rPr>
            </w:pPr>
            <w:hyperlink w:anchor="page95">
              <w:r>
                <w:rPr>
                  <w:rFonts w:ascii="Times New Roman" w:cs="Times New Roman" w:eastAsia="Times New Roman" w:hAnsi="Times New Roman"/>
                  <w:sz w:val="17"/>
                  <w:szCs w:val="17"/>
                  <w:u w:val="single" w:color="auto"/>
                  <w:color w:val="0000FF"/>
                </w:rPr>
                <w:t xml:space="preserve">Consolidated Statements of Cash Flows for the Years Ended December 31, </w:t>
              </w:r>
            </w:hyperlink>
            <w:r>
              <w:rPr>
                <w:rFonts w:ascii="Times New Roman" w:cs="Times New Roman" w:eastAsia="Times New Roman" w:hAnsi="Times New Roman"/>
                <w:sz w:val="17"/>
                <w:szCs w:val="17"/>
                <w:color w:val="0000FF"/>
              </w:rPr>
              <w:t xml:space="preserve">2020, </w:t>
            </w:r>
            <w:hyperlink w:anchor="page95">
              <w:r>
                <w:rPr>
                  <w:rFonts w:ascii="Times New Roman" w:cs="Times New Roman" w:eastAsia="Times New Roman" w:hAnsi="Times New Roman"/>
                  <w:sz w:val="17"/>
                  <w:szCs w:val="17"/>
                  <w:color w:val="0000FF"/>
                </w:rPr>
                <w:t>2019 and 2018</w:t>
              </w:r>
            </w:hyperlink>
          </w:p>
        </w:tc>
        <w:tc>
          <w:tcPr>
            <w:tcW w:w="1100" w:type="dxa"/>
            <w:vAlign w:val="bottom"/>
          </w:tcPr>
          <w:p>
            <w:pPr>
              <w:jc w:val="right"/>
              <w:spacing w:after="0" w:line="193" w:lineRule="exact"/>
              <w:rPr>
                <w:rFonts w:ascii="Times New Roman" w:cs="Times New Roman" w:eastAsia="Times New Roman" w:hAnsi="Times New Roman"/>
                <w:sz w:val="17"/>
                <w:szCs w:val="17"/>
                <w:u w:val="single" w:color="auto"/>
                <w:color w:val="0000FF"/>
              </w:rPr>
            </w:pPr>
            <w:hyperlink w:anchor="page95">
              <w:r>
                <w:rPr>
                  <w:rFonts w:ascii="Times New Roman" w:cs="Times New Roman" w:eastAsia="Times New Roman" w:hAnsi="Times New Roman"/>
                  <w:sz w:val="17"/>
                  <w:szCs w:val="17"/>
                  <w:u w:val="single" w:color="auto"/>
                  <w:color w:val="0000FF"/>
                </w:rPr>
                <w:t>93</w:t>
              </w:r>
            </w:hyperlink>
          </w:p>
        </w:tc>
      </w:tr>
      <w:tr>
        <w:trPr>
          <w:trHeight w:val="230"/>
        </w:trPr>
        <w:tc>
          <w:tcPr>
            <w:tcW w:w="5700" w:type="dxa"/>
            <w:vAlign w:val="bottom"/>
            <w:gridSpan w:val="3"/>
          </w:tcPr>
          <w:p>
            <w:pPr>
              <w:spacing w:after="0"/>
              <w:rPr>
                <w:rFonts w:ascii="Times New Roman" w:cs="Times New Roman" w:eastAsia="Times New Roman" w:hAnsi="Times New Roman"/>
                <w:sz w:val="17"/>
                <w:szCs w:val="17"/>
                <w:u w:val="single" w:color="auto"/>
                <w:color w:val="0000FF"/>
              </w:rPr>
            </w:pPr>
            <w:hyperlink w:anchor="page97">
              <w:r>
                <w:rPr>
                  <w:rFonts w:ascii="Times New Roman" w:cs="Times New Roman" w:eastAsia="Times New Roman" w:hAnsi="Times New Roman"/>
                  <w:sz w:val="17"/>
                  <w:szCs w:val="17"/>
                  <w:u w:val="single" w:color="auto"/>
                  <w:color w:val="0000FF"/>
                </w:rPr>
                <w:t>Notes to Consolidated Financial Statements</w:t>
              </w:r>
            </w:hyperlink>
          </w:p>
        </w:tc>
        <w:tc>
          <w:tcPr>
            <w:tcW w:w="740" w:type="dxa"/>
            <w:vAlign w:val="bottom"/>
            <w:tcBorders>
              <w:top w:val="single" w:sz="8" w:color="0000FF"/>
            </w:tcBorders>
            <w:gridSpan w:val="2"/>
          </w:tcPr>
          <w:p>
            <w:pPr>
              <w:spacing w:after="0"/>
              <w:rPr>
                <w:sz w:val="19"/>
                <w:szCs w:val="19"/>
                <w:color w:val="auto"/>
              </w:rPr>
            </w:pPr>
          </w:p>
        </w:tc>
        <w:tc>
          <w:tcPr>
            <w:tcW w:w="3660" w:type="dxa"/>
            <w:vAlign w:val="bottom"/>
            <w:gridSpan w:val="2"/>
          </w:tcPr>
          <w:p>
            <w:pPr>
              <w:spacing w:after="0"/>
              <w:rPr>
                <w:sz w:val="19"/>
                <w:szCs w:val="19"/>
                <w:color w:val="auto"/>
              </w:rPr>
            </w:pPr>
          </w:p>
        </w:tc>
        <w:tc>
          <w:tcPr>
            <w:tcW w:w="1100" w:type="dxa"/>
            <w:vAlign w:val="bottom"/>
          </w:tcPr>
          <w:p>
            <w:pPr>
              <w:jc w:val="right"/>
              <w:spacing w:after="0"/>
              <w:rPr>
                <w:rFonts w:ascii="Times New Roman" w:cs="Times New Roman" w:eastAsia="Times New Roman" w:hAnsi="Times New Roman"/>
                <w:sz w:val="17"/>
                <w:szCs w:val="17"/>
                <w:u w:val="single" w:color="auto"/>
                <w:color w:val="0000FF"/>
              </w:rPr>
            </w:pPr>
            <w:hyperlink w:anchor="page97">
              <w:r>
                <w:rPr>
                  <w:rFonts w:ascii="Times New Roman" w:cs="Times New Roman" w:eastAsia="Times New Roman" w:hAnsi="Times New Roman"/>
                  <w:sz w:val="17"/>
                  <w:szCs w:val="17"/>
                  <w:u w:val="single" w:color="auto"/>
                  <w:color w:val="0000FF"/>
                </w:rPr>
                <w:t>95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90" w:name="page91"/>
    <w:bookmarkEnd w:id="90"/>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Veracyte,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7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Veracyte, Inc. (the Company) as of December 31, 2020 and 2019, the related consolidated statements of operations and comprehensive loss, stockholders'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22, 2021 expressed an unqualified opinion thereon.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1" w:name="page92"/>
    <w:bookmarkEnd w:id="91"/>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b w:val="1"/>
          <w:bCs w:val="1"/>
          <w:i w:val="1"/>
          <w:iCs w:val="1"/>
          <w:color w:val="auto"/>
        </w:rPr>
        <w:t>Revenue from diagnostic services</w:t>
      </w:r>
    </w:p>
    <w:p>
      <w:pPr>
        <w:spacing w:after="0" w:line="6" w:lineRule="exact"/>
        <w:rPr>
          <w:sz w:val="20"/>
          <w:szCs w:val="20"/>
          <w:color w:val="auto"/>
        </w:rPr>
      </w:pPr>
    </w:p>
    <w:p>
      <w:pPr>
        <w:ind w:left="920"/>
        <w:spacing w:after="0"/>
        <w:tabs>
          <w:tab w:leader="none" w:pos="2560" w:val="left"/>
        </w:tabs>
        <w:rPr>
          <w:sz w:val="20"/>
          <w:szCs w:val="20"/>
          <w:color w:val="auto"/>
        </w:rPr>
      </w:pPr>
      <w:r>
        <w:rPr>
          <w:rFonts w:ascii="Times New Roman" w:cs="Times New Roman" w:eastAsia="Times New Roman" w:hAnsi="Times New Roman"/>
          <w:sz w:val="17"/>
          <w:szCs w:val="17"/>
          <w:i w:val="1"/>
          <w:iCs w:val="1"/>
          <w:color w:val="auto"/>
        </w:rPr>
        <w:t>Description of the</w:t>
      </w:r>
      <w:r>
        <w:rPr>
          <w:sz w:val="20"/>
          <w:szCs w:val="20"/>
          <w:color w:val="auto"/>
        </w:rPr>
        <w:tab/>
      </w:r>
      <w:r>
        <w:rPr>
          <w:rFonts w:ascii="Times New Roman" w:cs="Times New Roman" w:eastAsia="Times New Roman" w:hAnsi="Times New Roman"/>
          <w:sz w:val="17"/>
          <w:szCs w:val="17"/>
          <w:color w:val="auto"/>
        </w:rPr>
        <w:t>During the year ended December 31, 2020, the Company’s revenue from diagnostic services was approximately</w:t>
      </w:r>
    </w:p>
    <w:p>
      <w:pPr>
        <w:jc w:val="both"/>
        <w:ind w:left="2580" w:hanging="1659"/>
        <w:spacing w:after="0" w:line="213" w:lineRule="auto"/>
        <w:tabs>
          <w:tab w:leader="none" w:pos="2560" w:val="left"/>
        </w:tabs>
        <w:rPr>
          <w:sz w:val="20"/>
          <w:szCs w:val="20"/>
          <w:color w:val="auto"/>
        </w:rPr>
      </w:pPr>
      <w:r>
        <w:rPr>
          <w:rFonts w:ascii="Times New Roman" w:cs="Times New Roman" w:eastAsia="Times New Roman" w:hAnsi="Times New Roman"/>
          <w:sz w:val="17"/>
          <w:szCs w:val="17"/>
          <w:i w:val="1"/>
          <w:iCs w:val="1"/>
          <w:color w:val="auto"/>
        </w:rPr>
        <w:t>Matter</w:t>
      </w:r>
      <w:r>
        <w:rPr>
          <w:sz w:val="20"/>
          <w:szCs w:val="20"/>
          <w:color w:val="auto"/>
        </w:rPr>
        <w:tab/>
      </w:r>
      <w:r>
        <w:rPr>
          <w:rFonts w:ascii="Times New Roman" w:cs="Times New Roman" w:eastAsia="Times New Roman" w:hAnsi="Times New Roman"/>
          <w:sz w:val="17"/>
          <w:szCs w:val="17"/>
          <w:color w:val="auto"/>
        </w:rPr>
        <w:t>$102.0 million. As discussed in Note 2, the Company’s diagnostic services revenue is recognized upon the delivery of test results to the prescribing physician, at which time the Company bills for its services. The Company recognizes revenue related to billings based on estimates of the amount that will ultimately be realized.</w:t>
      </w:r>
    </w:p>
    <w:p>
      <w:pPr>
        <w:spacing w:after="0" w:line="173" w:lineRule="exact"/>
        <w:rPr>
          <w:sz w:val="20"/>
          <w:szCs w:val="20"/>
          <w:color w:val="auto"/>
        </w:rPr>
      </w:pPr>
    </w:p>
    <w:p>
      <w:pPr>
        <w:jc w:val="both"/>
        <w:ind w:left="2580"/>
        <w:spacing w:after="0" w:line="208" w:lineRule="auto"/>
        <w:rPr>
          <w:sz w:val="20"/>
          <w:szCs w:val="20"/>
          <w:color w:val="auto"/>
        </w:rPr>
      </w:pPr>
      <w:r>
        <w:rPr>
          <w:rFonts w:ascii="Times New Roman" w:cs="Times New Roman" w:eastAsia="Times New Roman" w:hAnsi="Times New Roman"/>
          <w:sz w:val="17"/>
          <w:szCs w:val="17"/>
          <w:color w:val="auto"/>
        </w:rPr>
        <w:t>Auditing the measurement of the Company’s diagnostic services revenue was complex due to the judgments used in estimating the amount to be realized per test. In determining the amount to recognize for a delivered test the Company considers factors such as payment history, amount collected per test, payer coverage, and whether there is a reimbursement contract between the payer and the Company. The Company also considers whether historical collections per test are indicative of future collections or if there are any current or expected developments or changes that could affect reimbursement rates, which is an estimate that requires significant judgment by the Company.</w:t>
      </w:r>
    </w:p>
    <w:p>
      <w:pPr>
        <w:spacing w:after="0" w:line="4" w:lineRule="exact"/>
        <w:rPr>
          <w:sz w:val="20"/>
          <w:szCs w:val="20"/>
          <w:color w:val="auto"/>
        </w:rPr>
      </w:pPr>
    </w:p>
    <w:p>
      <w:pPr>
        <w:jc w:val="right"/>
        <w:ind w:left="920"/>
        <w:spacing w:after="0" w:line="204" w:lineRule="auto"/>
        <w:rPr>
          <w:sz w:val="20"/>
          <w:szCs w:val="20"/>
          <w:color w:val="auto"/>
        </w:rPr>
      </w:pPr>
      <w:r>
        <w:rPr>
          <w:rFonts w:ascii="Times New Roman" w:cs="Times New Roman" w:eastAsia="Times New Roman" w:hAnsi="Times New Roman"/>
          <w:sz w:val="17"/>
          <w:szCs w:val="17"/>
          <w:i w:val="1"/>
          <w:iCs w:val="1"/>
          <w:color w:val="auto"/>
        </w:rPr>
        <w:t xml:space="preserve">How We Addressed the  </w:t>
      </w:r>
      <w:r>
        <w:rPr>
          <w:rFonts w:ascii="Times New Roman" w:cs="Times New Roman" w:eastAsia="Times New Roman" w:hAnsi="Times New Roman"/>
          <w:sz w:val="17"/>
          <w:szCs w:val="17"/>
          <w:color w:val="auto"/>
        </w:rPr>
        <w:t>We obtained an understanding, evaluated the design, and tested the operating effectiveness of controls used by</w:t>
      </w:r>
      <w:r>
        <w:rPr>
          <w:rFonts w:ascii="Times New Roman" w:cs="Times New Roman" w:eastAsia="Times New Roman" w:hAnsi="Times New Roman"/>
          <w:sz w:val="17"/>
          <w:szCs w:val="17"/>
          <w:i w:val="1"/>
          <w:iCs w:val="1"/>
          <w:color w:val="auto"/>
        </w:rPr>
        <w:t xml:space="preserve"> Matter in Our Audit    </w:t>
      </w:r>
      <w:r>
        <w:rPr>
          <w:rFonts w:ascii="Times New Roman" w:cs="Times New Roman" w:eastAsia="Times New Roman" w:hAnsi="Times New Roman"/>
          <w:sz w:val="17"/>
          <w:szCs w:val="17"/>
          <w:color w:val="auto"/>
        </w:rPr>
        <w:t>management in making this estimate. For example, we tested controls over management’s review of changes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collection trends, payer rates, contract terms, and payer behavior and expectations of how those changes are</w:t>
      </w:r>
    </w:p>
    <w:p>
      <w:pPr>
        <w:spacing w:after="0" w:line="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color w:val="auto"/>
        </w:rPr>
        <w:t>expected to impact future collections and the amount of revenue to be recognized per test.</w:t>
      </w:r>
    </w:p>
    <w:p>
      <w:pPr>
        <w:spacing w:after="0" w:line="174" w:lineRule="exact"/>
        <w:rPr>
          <w:sz w:val="20"/>
          <w:szCs w:val="20"/>
          <w:color w:val="auto"/>
        </w:rPr>
      </w:pPr>
    </w:p>
    <w:p>
      <w:pPr>
        <w:jc w:val="both"/>
        <w:ind w:left="2580"/>
        <w:spacing w:after="0" w:line="205" w:lineRule="auto"/>
        <w:rPr>
          <w:sz w:val="20"/>
          <w:szCs w:val="20"/>
          <w:color w:val="auto"/>
        </w:rPr>
      </w:pPr>
      <w:r>
        <w:rPr>
          <w:rFonts w:ascii="Times New Roman" w:cs="Times New Roman" w:eastAsia="Times New Roman" w:hAnsi="Times New Roman"/>
          <w:sz w:val="17"/>
          <w:szCs w:val="17"/>
          <w:color w:val="auto"/>
        </w:rPr>
        <w:t>To test management’s estimate of the amount of revenue to be recognized per test delivered our audit procedures included, among others, evaluating the methodology used, understanding and testing the significant assumptions discussed above, and testing the underlying data used by the Company (including the completeness and accuracy of historical data). We tested payment history and amount collected per test on a sample basis, including agreeing selections to supporting documentation such as physician requisition, cash collected, write-offs of receivables, and proof of delivery, as applicable. We evaluated and tested management’s assessment of changes in payer trends, behaviors, and contract terms and how those changes will impact future cash collections as well as management’s consideration of any contrary factors. We also assessed and tested management’s review of differences between prior period accrual rates and actual cash collections and how those differences were factored into management’s estimate of current period accrual rates.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Redwood City, California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320"/>
          </w:cols>
          <w:pgMar w:left="320" w:top="120" w:right="1259" w:bottom="1440" w:gutter="0" w:footer="0" w:header="0"/>
        </w:sectPr>
      </w:pPr>
    </w:p>
    <w:bookmarkStart w:id="92" w:name="page93"/>
    <w:bookmarkEnd w:id="92"/>
    <w:p>
      <w:pPr>
        <w:ind w:left="20"/>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22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22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4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3"/>
                <w:szCs w:val="13"/>
                <w:b w:val="1"/>
                <w:bCs w:val="1"/>
                <w:color w:val="auto"/>
              </w:rPr>
              <w:t>2020</w:t>
            </w: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b w:val="1"/>
                <w:bCs w:val="1"/>
                <w:color w:val="auto"/>
              </w:rPr>
              <w:t>2019</w:t>
            </w:r>
          </w:p>
        </w:tc>
        <w:tc>
          <w:tcPr>
            <w:tcW w:w="0" w:type="dxa"/>
            <w:vAlign w:val="bottom"/>
          </w:tcPr>
          <w:p>
            <w:pPr>
              <w:spacing w:after="0"/>
              <w:rPr>
                <w:sz w:val="1"/>
                <w:szCs w:val="1"/>
                <w:color w:val="auto"/>
              </w:rPr>
            </w:pPr>
          </w:p>
        </w:tc>
      </w:tr>
      <w:tr>
        <w:trPr>
          <w:trHeight w:val="192"/>
        </w:trPr>
        <w:tc>
          <w:tcPr>
            <w:tcW w:w="8020" w:type="dxa"/>
            <w:vAlign w:val="bottom"/>
            <w:gridSpan w:val="2"/>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349,364</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159,317</w:t>
            </w:r>
          </w:p>
        </w:tc>
        <w:tc>
          <w:tcPr>
            <w:tcW w:w="0" w:type="dxa"/>
            <w:vAlign w:val="bottom"/>
          </w:tcPr>
          <w:p>
            <w:pPr>
              <w:spacing w:after="0"/>
              <w:rPr>
                <w:sz w:val="1"/>
                <w:szCs w:val="1"/>
                <w:color w:val="auto"/>
              </w:rPr>
            </w:pPr>
          </w:p>
        </w:tc>
      </w:tr>
      <w:tr>
        <w:trPr>
          <w:trHeight w:val="212"/>
        </w:trPr>
        <w:tc>
          <w:tcPr>
            <w:tcW w:w="140" w:type="dxa"/>
            <w:vAlign w:val="bottom"/>
          </w:tcPr>
          <w:p>
            <w:pPr>
              <w:spacing w:after="0"/>
              <w:rPr>
                <w:sz w:val="18"/>
                <w:szCs w:val="18"/>
                <w:color w:val="auto"/>
              </w:rPr>
            </w:pPr>
          </w:p>
        </w:tc>
        <w:tc>
          <w:tcPr>
            <w:tcW w:w="7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receivable</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18,461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19,329</w:t>
            </w:r>
          </w:p>
        </w:tc>
        <w:tc>
          <w:tcPr>
            <w:tcW w:w="0" w:type="dxa"/>
            <w:vAlign w:val="bottom"/>
          </w:tcPr>
          <w:p>
            <w:pPr>
              <w:spacing w:after="0"/>
              <w:rPr>
                <w:sz w:val="1"/>
                <w:szCs w:val="1"/>
                <w:color w:val="auto"/>
              </w:rPr>
            </w:pPr>
          </w:p>
        </w:tc>
      </w:tr>
      <w:tr>
        <w:trPr>
          <w:trHeight w:val="212"/>
        </w:trPr>
        <w:tc>
          <w:tcPr>
            <w:tcW w:w="14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Supplies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6,806</w:t>
            </w:r>
          </w:p>
        </w:tc>
        <w:tc>
          <w:tcPr>
            <w:tcW w:w="0" w:type="dxa"/>
            <w:vAlign w:val="bottom"/>
          </w:tcPr>
          <w:p>
            <w:pPr>
              <w:spacing w:after="0"/>
              <w:rPr>
                <w:sz w:val="1"/>
                <w:szCs w:val="1"/>
                <w:color w:val="auto"/>
              </w:rPr>
            </w:pPr>
          </w:p>
        </w:tc>
      </w:tr>
      <w:tr>
        <w:trPr>
          <w:trHeight w:val="212"/>
        </w:trPr>
        <w:tc>
          <w:tcPr>
            <w:tcW w:w="140" w:type="dxa"/>
            <w:vAlign w:val="bottom"/>
          </w:tcPr>
          <w:p>
            <w:pPr>
              <w:spacing w:after="0"/>
              <w:rPr>
                <w:sz w:val="18"/>
                <w:szCs w:val="18"/>
                <w:color w:val="auto"/>
              </w:rPr>
            </w:pPr>
          </w:p>
        </w:tc>
        <w:tc>
          <w:tcPr>
            <w:tcW w:w="7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3,197</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2,235</w:t>
            </w:r>
          </w:p>
        </w:tc>
        <w:tc>
          <w:tcPr>
            <w:tcW w:w="0" w:type="dxa"/>
            <w:vAlign w:val="bottom"/>
          </w:tcPr>
          <w:p>
            <w:pPr>
              <w:spacing w:after="0"/>
              <w:rPr>
                <w:sz w:val="1"/>
                <w:szCs w:val="1"/>
                <w:color w:val="auto"/>
              </w:rPr>
            </w:pPr>
          </w:p>
        </w:tc>
      </w:tr>
      <w:tr>
        <w:trPr>
          <w:trHeight w:val="205"/>
        </w:trPr>
        <w:tc>
          <w:tcPr>
            <w:tcW w:w="140" w:type="dxa"/>
            <w:vAlign w:val="bottom"/>
          </w:tcPr>
          <w:p>
            <w:pPr>
              <w:spacing w:after="0"/>
              <w:rPr>
                <w:sz w:val="17"/>
                <w:szCs w:val="17"/>
                <w:color w:val="auto"/>
              </w:rPr>
            </w:pPr>
          </w:p>
        </w:tc>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current assets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375,679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187,687</w:t>
            </w:r>
          </w:p>
        </w:tc>
        <w:tc>
          <w:tcPr>
            <w:tcW w:w="0" w:type="dxa"/>
            <w:vAlign w:val="bottom"/>
          </w:tcPr>
          <w:p>
            <w:pPr>
              <w:spacing w:after="0"/>
              <w:rPr>
                <w:sz w:val="1"/>
                <w:szCs w:val="1"/>
                <w:color w:val="auto"/>
              </w:rPr>
            </w:pPr>
          </w:p>
        </w:tc>
      </w:tr>
      <w:tr>
        <w:trPr>
          <w:trHeight w:val="212"/>
        </w:trPr>
        <w:tc>
          <w:tcPr>
            <w:tcW w:w="14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8,990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8,933</w:t>
            </w:r>
          </w:p>
        </w:tc>
        <w:tc>
          <w:tcPr>
            <w:tcW w:w="0" w:type="dxa"/>
            <w:vAlign w:val="bottom"/>
          </w:tcPr>
          <w:p>
            <w:pPr>
              <w:spacing w:after="0"/>
              <w:rPr>
                <w:sz w:val="1"/>
                <w:szCs w:val="1"/>
                <w:color w:val="auto"/>
              </w:rPr>
            </w:pPr>
          </w:p>
        </w:tc>
      </w:tr>
      <w:tr>
        <w:trPr>
          <w:trHeight w:val="212"/>
        </w:trPr>
        <w:tc>
          <w:tcPr>
            <w:tcW w:w="8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Right-of-use assets - operating lease</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8,808</w:t>
            </w:r>
          </w:p>
        </w:tc>
        <w:tc>
          <w:tcPr>
            <w:tcW w:w="0" w:type="dxa"/>
            <w:vAlign w:val="bottom"/>
          </w:tcPr>
          <w:p>
            <w:pPr>
              <w:spacing w:after="0"/>
              <w:rPr>
                <w:sz w:val="1"/>
                <w:szCs w:val="1"/>
                <w:color w:val="auto"/>
              </w:rPr>
            </w:pPr>
          </w:p>
        </w:tc>
      </w:tr>
      <w:tr>
        <w:trPr>
          <w:trHeight w:val="212"/>
        </w:trPr>
        <w:tc>
          <w:tcPr>
            <w:tcW w:w="8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Finite-lived intangible assets, net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65,019</w:t>
            </w:r>
          </w:p>
        </w:tc>
        <w:tc>
          <w:tcPr>
            <w:tcW w:w="0" w:type="dxa"/>
            <w:vAlign w:val="bottom"/>
          </w:tcPr>
          <w:p>
            <w:pPr>
              <w:spacing w:after="0"/>
              <w:rPr>
                <w:sz w:val="1"/>
                <w:szCs w:val="1"/>
                <w:color w:val="auto"/>
              </w:rPr>
            </w:pPr>
          </w:p>
        </w:tc>
      </w:tr>
      <w:tr>
        <w:trPr>
          <w:trHeight w:val="212"/>
        </w:trPr>
        <w:tc>
          <w:tcPr>
            <w:tcW w:w="14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2,725</w:t>
            </w:r>
          </w:p>
        </w:tc>
        <w:tc>
          <w:tcPr>
            <w:tcW w:w="0" w:type="dxa"/>
            <w:vAlign w:val="bottom"/>
          </w:tcPr>
          <w:p>
            <w:pPr>
              <w:spacing w:after="0"/>
              <w:rPr>
                <w:sz w:val="1"/>
                <w:szCs w:val="1"/>
                <w:color w:val="auto"/>
              </w:rPr>
            </w:pPr>
          </w:p>
        </w:tc>
      </w:tr>
      <w:tr>
        <w:trPr>
          <w:trHeight w:val="212"/>
        </w:trPr>
        <w:tc>
          <w:tcPr>
            <w:tcW w:w="14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w:t>
            </w:r>
          </w:p>
        </w:tc>
        <w:tc>
          <w:tcPr>
            <w:tcW w:w="0" w:type="dxa"/>
            <w:vAlign w:val="bottom"/>
          </w:tcPr>
          <w:p>
            <w:pPr>
              <w:spacing w:after="0"/>
              <w:rPr>
                <w:sz w:val="1"/>
                <w:szCs w:val="1"/>
                <w:color w:val="auto"/>
              </w:rPr>
            </w:pPr>
          </w:p>
        </w:tc>
      </w:tr>
      <w:tr>
        <w:trPr>
          <w:trHeight w:val="212"/>
        </w:trPr>
        <w:tc>
          <w:tcPr>
            <w:tcW w:w="8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8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1,399</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1,437</w:t>
            </w:r>
          </w:p>
        </w:tc>
        <w:tc>
          <w:tcPr>
            <w:tcW w:w="0" w:type="dxa"/>
            <w:vAlign w:val="bottom"/>
          </w:tcPr>
          <w:p>
            <w:pPr>
              <w:spacing w:after="0"/>
              <w:rPr>
                <w:sz w:val="1"/>
                <w:szCs w:val="1"/>
                <w:color w:val="auto"/>
              </w:rPr>
            </w:pPr>
          </w:p>
        </w:tc>
      </w:tr>
      <w:tr>
        <w:trPr>
          <w:trHeight w:val="205"/>
        </w:trPr>
        <w:tc>
          <w:tcPr>
            <w:tcW w:w="140" w:type="dxa"/>
            <w:vAlign w:val="bottom"/>
          </w:tcPr>
          <w:p>
            <w:pPr>
              <w:spacing w:after="0"/>
              <w:rPr>
                <w:sz w:val="17"/>
                <w:szCs w:val="17"/>
                <w:color w:val="auto"/>
              </w:rPr>
            </w:pPr>
          </w:p>
        </w:tc>
        <w:tc>
          <w:tcPr>
            <w:tcW w:w="7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457,163</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275,212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8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0" w:type="dxa"/>
            <w:vAlign w:val="bottom"/>
          </w:tcPr>
          <w:p>
            <w:pPr>
              <w:spacing w:after="0"/>
              <w:rPr>
                <w:sz w:val="15"/>
                <w:szCs w:val="15"/>
                <w:color w:val="auto"/>
              </w:rPr>
            </w:pPr>
          </w:p>
        </w:tc>
        <w:tc>
          <w:tcPr>
            <w:tcW w:w="78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8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3,116</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2,328</w:t>
            </w:r>
          </w:p>
        </w:tc>
        <w:tc>
          <w:tcPr>
            <w:tcW w:w="0" w:type="dxa"/>
            <w:vAlign w:val="bottom"/>
          </w:tcPr>
          <w:p>
            <w:pPr>
              <w:spacing w:after="0"/>
              <w:rPr>
                <w:sz w:val="1"/>
                <w:szCs w:val="1"/>
                <w:color w:val="auto"/>
              </w:rPr>
            </w:pPr>
          </w:p>
        </w:tc>
      </w:tr>
      <w:tr>
        <w:trPr>
          <w:trHeight w:val="212"/>
        </w:trPr>
        <w:tc>
          <w:tcPr>
            <w:tcW w:w="14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Accrued liabilities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11,705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13,734</w:t>
            </w:r>
          </w:p>
        </w:tc>
        <w:tc>
          <w:tcPr>
            <w:tcW w:w="0" w:type="dxa"/>
            <w:vAlign w:val="bottom"/>
          </w:tcPr>
          <w:p>
            <w:pPr>
              <w:spacing w:after="0"/>
              <w:rPr>
                <w:sz w:val="1"/>
                <w:szCs w:val="1"/>
                <w:color w:val="auto"/>
              </w:rPr>
            </w:pPr>
          </w:p>
        </w:tc>
      </w:tr>
      <w:tr>
        <w:trPr>
          <w:trHeight w:val="212"/>
        </w:trPr>
        <w:tc>
          <w:tcPr>
            <w:tcW w:w="14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portion of deferred revenue</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140" w:type="dxa"/>
            <w:vAlign w:val="bottom"/>
          </w:tcPr>
          <w:p>
            <w:pPr>
              <w:spacing w:after="0"/>
              <w:rPr>
                <w:sz w:val="18"/>
                <w:szCs w:val="18"/>
                <w:color w:val="auto"/>
              </w:rPr>
            </w:pPr>
          </w:p>
        </w:tc>
        <w:tc>
          <w:tcPr>
            <w:tcW w:w="7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Current portion of operating lease liability</w:t>
            </w:r>
          </w:p>
        </w:tc>
        <w:tc>
          <w:tcPr>
            <w:tcW w:w="1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1,407</w:t>
            </w:r>
          </w:p>
        </w:tc>
        <w:tc>
          <w:tcPr>
            <w:tcW w:w="0" w:type="dxa"/>
            <w:vAlign w:val="bottom"/>
          </w:tcPr>
          <w:p>
            <w:pPr>
              <w:spacing w:after="0"/>
              <w:rPr>
                <w:sz w:val="1"/>
                <w:szCs w:val="1"/>
                <w:color w:val="auto"/>
              </w:rPr>
            </w:pPr>
          </w:p>
        </w:tc>
      </w:tr>
      <w:tr>
        <w:trPr>
          <w:trHeight w:val="205"/>
        </w:trPr>
        <w:tc>
          <w:tcPr>
            <w:tcW w:w="140" w:type="dxa"/>
            <w:vAlign w:val="bottom"/>
          </w:tcPr>
          <w:p>
            <w:pPr>
              <w:spacing w:after="0"/>
              <w:rPr>
                <w:sz w:val="17"/>
                <w:szCs w:val="17"/>
                <w:color w:val="auto"/>
              </w:rPr>
            </w:pPr>
          </w:p>
        </w:tc>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17,469</w:t>
            </w:r>
          </w:p>
        </w:tc>
        <w:tc>
          <w:tcPr>
            <w:tcW w:w="0" w:type="dxa"/>
            <w:vAlign w:val="bottom"/>
          </w:tcPr>
          <w:p>
            <w:pPr>
              <w:spacing w:after="0"/>
              <w:rPr>
                <w:sz w:val="1"/>
                <w:szCs w:val="1"/>
                <w:color w:val="auto"/>
              </w:rPr>
            </w:pPr>
          </w:p>
        </w:tc>
      </w:tr>
      <w:tr>
        <w:trPr>
          <w:trHeight w:val="212"/>
        </w:trPr>
        <w:tc>
          <w:tcPr>
            <w:tcW w:w="8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Long-term debt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694</w:t>
            </w:r>
          </w:p>
        </w:tc>
        <w:tc>
          <w:tcPr>
            <w:tcW w:w="0" w:type="dxa"/>
            <w:vAlign w:val="bottom"/>
          </w:tcPr>
          <w:p>
            <w:pPr>
              <w:spacing w:after="0"/>
              <w:rPr>
                <w:sz w:val="1"/>
                <w:szCs w:val="1"/>
                <w:color w:val="auto"/>
              </w:rPr>
            </w:pPr>
          </w:p>
        </w:tc>
      </w:tr>
      <w:tr>
        <w:trPr>
          <w:trHeight w:val="212"/>
        </w:trPr>
        <w:tc>
          <w:tcPr>
            <w:tcW w:w="14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revenue, net of current portion</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14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Acquisition related contingent consideration</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6,088</w:t>
            </w:r>
          </w:p>
        </w:tc>
        <w:tc>
          <w:tcPr>
            <w:tcW w:w="0" w:type="dxa"/>
            <w:vAlign w:val="bottom"/>
          </w:tcPr>
          <w:p>
            <w:pPr>
              <w:spacing w:after="0"/>
              <w:rPr>
                <w:sz w:val="1"/>
                <w:szCs w:val="1"/>
                <w:color w:val="auto"/>
              </w:rPr>
            </w:pPr>
          </w:p>
        </w:tc>
      </w:tr>
      <w:tr>
        <w:trPr>
          <w:trHeight w:val="212"/>
        </w:trPr>
        <w:tc>
          <w:tcPr>
            <w:tcW w:w="14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liability, net of current portion</w:t>
            </w:r>
          </w:p>
        </w:tc>
        <w:tc>
          <w:tcPr>
            <w:tcW w:w="18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9,917</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11,506</w:t>
            </w:r>
          </w:p>
        </w:tc>
        <w:tc>
          <w:tcPr>
            <w:tcW w:w="0" w:type="dxa"/>
            <w:vAlign w:val="bottom"/>
          </w:tcPr>
          <w:p>
            <w:pPr>
              <w:spacing w:after="0"/>
              <w:rPr>
                <w:sz w:val="1"/>
                <w:szCs w:val="1"/>
                <w:color w:val="auto"/>
              </w:rPr>
            </w:pPr>
          </w:p>
        </w:tc>
      </w:tr>
      <w:tr>
        <w:trPr>
          <w:trHeight w:val="205"/>
        </w:trPr>
        <w:tc>
          <w:tcPr>
            <w:tcW w:w="140" w:type="dxa"/>
            <w:vAlign w:val="bottom"/>
          </w:tcPr>
          <w:p>
            <w:pPr>
              <w:spacing w:after="0"/>
              <w:rPr>
                <w:sz w:val="17"/>
                <w:szCs w:val="17"/>
                <w:color w:val="auto"/>
              </w:rPr>
            </w:pPr>
          </w:p>
        </w:tc>
        <w:tc>
          <w:tcPr>
            <w:tcW w:w="78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Total liabilities</w:t>
            </w:r>
          </w:p>
        </w:tc>
        <w:tc>
          <w:tcPr>
            <w:tcW w:w="18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35,931</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35,757</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78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Commitments and contingencies</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4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7880" w:type="dxa"/>
            <w:vAlign w:val="bottom"/>
            <w:shd w:val="clear" w:color="auto" w:fill="CCEEFF"/>
          </w:tcPr>
          <w:p>
            <w:pPr>
              <w:ind w:left="80"/>
              <w:spacing w:after="0" w:line="163" w:lineRule="exact"/>
              <w:rPr>
                <w:sz w:val="20"/>
                <w:szCs w:val="20"/>
                <w:color w:val="auto"/>
              </w:rPr>
            </w:pPr>
            <w:r>
              <w:rPr>
                <w:rFonts w:ascii="Times New Roman" w:cs="Times New Roman" w:eastAsia="Times New Roman" w:hAnsi="Times New Roman"/>
                <w:sz w:val="17"/>
                <w:szCs w:val="17"/>
                <w:color w:val="auto"/>
                <w:w w:val="98"/>
              </w:rPr>
              <w:t>Preferred stock, $0.001 par value; 5,000,000 shares authorized, no shares issued and outstanding as of December 31,</w:t>
            </w:r>
          </w:p>
        </w:tc>
        <w:tc>
          <w:tcPr>
            <w:tcW w:w="18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140" w:type="dxa"/>
            <w:vAlign w:val="bottom"/>
          </w:tcPr>
          <w:p>
            <w:pPr>
              <w:spacing w:after="0"/>
              <w:rPr>
                <w:sz w:val="18"/>
                <w:szCs w:val="18"/>
                <w:color w:val="auto"/>
              </w:rPr>
            </w:pPr>
          </w:p>
        </w:tc>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2020 and 2019</w:t>
            </w:r>
          </w:p>
        </w:tc>
        <w:tc>
          <w:tcPr>
            <w:tcW w:w="18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7880" w:type="dxa"/>
            <w:vAlign w:val="bottom"/>
          </w:tcPr>
          <w:p>
            <w:pPr>
              <w:ind w:left="80"/>
              <w:spacing w:after="0" w:line="163" w:lineRule="exact"/>
              <w:rPr>
                <w:sz w:val="20"/>
                <w:szCs w:val="20"/>
                <w:color w:val="auto"/>
              </w:rPr>
            </w:pPr>
            <w:r>
              <w:rPr>
                <w:rFonts w:ascii="Times New Roman" w:cs="Times New Roman" w:eastAsia="Times New Roman" w:hAnsi="Times New Roman"/>
                <w:sz w:val="17"/>
                <w:szCs w:val="17"/>
                <w:color w:val="auto"/>
              </w:rPr>
              <w:t>Common stock, $0.001 par value; 125,000,000 shares authorized, 58,200,526 and 49,625,341 shares issued and</w:t>
            </w:r>
          </w:p>
        </w:tc>
        <w:tc>
          <w:tcPr>
            <w:tcW w:w="18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12"/>
        </w:trPr>
        <w:tc>
          <w:tcPr>
            <w:tcW w:w="140" w:type="dxa"/>
            <w:vAlign w:val="bottom"/>
          </w:tcPr>
          <w:p>
            <w:pPr>
              <w:spacing w:after="0"/>
              <w:rPr>
                <w:sz w:val="18"/>
                <w:szCs w:val="18"/>
                <w:color w:val="auto"/>
              </w:rPr>
            </w:pPr>
          </w:p>
        </w:tc>
        <w:tc>
          <w:tcPr>
            <w:tcW w:w="78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outstanding as of December 31, 2020 and 2019, respectively</w:t>
            </w:r>
          </w:p>
        </w:tc>
        <w:tc>
          <w:tcPr>
            <w:tcW w:w="1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702,768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486,090</w:t>
            </w:r>
          </w:p>
        </w:tc>
        <w:tc>
          <w:tcPr>
            <w:tcW w:w="0" w:type="dxa"/>
            <w:vAlign w:val="bottom"/>
          </w:tcPr>
          <w:p>
            <w:pPr>
              <w:spacing w:after="0"/>
              <w:rPr>
                <w:sz w:val="1"/>
                <w:szCs w:val="1"/>
                <w:color w:val="auto"/>
              </w:rPr>
            </w:pPr>
          </w:p>
        </w:tc>
      </w:tr>
      <w:tr>
        <w:trPr>
          <w:trHeight w:val="212"/>
        </w:trPr>
        <w:tc>
          <w:tcPr>
            <w:tcW w:w="14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180" w:type="dxa"/>
            <w:vAlign w:val="bottom"/>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(281,594)</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(246,685)</w:t>
            </w:r>
          </w:p>
        </w:tc>
        <w:tc>
          <w:tcPr>
            <w:tcW w:w="0" w:type="dxa"/>
            <w:vAlign w:val="bottom"/>
          </w:tcPr>
          <w:p>
            <w:pPr>
              <w:spacing w:after="0"/>
              <w:rPr>
                <w:sz w:val="1"/>
                <w:szCs w:val="1"/>
                <w:color w:val="auto"/>
              </w:rPr>
            </w:pPr>
          </w:p>
        </w:tc>
      </w:tr>
      <w:tr>
        <w:trPr>
          <w:trHeight w:val="205"/>
        </w:trPr>
        <w:tc>
          <w:tcPr>
            <w:tcW w:w="8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8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421,232</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239,455</w:t>
            </w:r>
          </w:p>
        </w:tc>
        <w:tc>
          <w:tcPr>
            <w:tcW w:w="0" w:type="dxa"/>
            <w:vAlign w:val="bottom"/>
          </w:tcPr>
          <w:p>
            <w:pPr>
              <w:spacing w:after="0"/>
              <w:rPr>
                <w:sz w:val="1"/>
                <w:szCs w:val="1"/>
                <w:color w:val="auto"/>
              </w:rPr>
            </w:pPr>
          </w:p>
        </w:tc>
      </w:tr>
      <w:tr>
        <w:trPr>
          <w:trHeight w:val="205"/>
        </w:trPr>
        <w:tc>
          <w:tcPr>
            <w:tcW w:w="8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457,163</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275,212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-4882515</wp:posOffset>
            </wp:positionV>
            <wp:extent cx="6960235" cy="134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60235" cy="134620"/>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-3796665</wp:posOffset>
            </wp:positionV>
            <wp:extent cx="6960235" cy="134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60235" cy="134620"/>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-3257550</wp:posOffset>
            </wp:positionV>
            <wp:extent cx="6960235" cy="134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60235" cy="134620"/>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-316230</wp:posOffset>
            </wp:positionV>
            <wp:extent cx="6960235" cy="142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60235" cy="142875"/>
                    </a:xfrm>
                    <a:prstGeom prst="rect">
                      <a:avLst/>
                    </a:prstGeom>
                    <a:noFill/>
                  </pic:spPr>
                </pic:pic>
              </a:graphicData>
            </a:graphic>
          </wp:anchor>
        </w:drawing>
      </w:r>
    </w:p>
    <w:p>
      <w:pPr>
        <w:spacing w:after="0" w:line="2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76835</wp:posOffset>
            </wp:positionV>
            <wp:extent cx="7142480" cy="1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100"/>
          </w:cols>
          <w:pgMar w:left="300" w:top="120" w:right="499" w:bottom="1440" w:gutter="0" w:footer="0" w:header="0"/>
        </w:sectPr>
      </w:pPr>
    </w:p>
    <w:bookmarkStart w:id="93" w:name="page94"/>
    <w:bookmarkEnd w:id="93"/>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and Comprehensive Loss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gridSpan w:val="4"/>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r>
      <w:tr>
        <w:trPr>
          <w:trHeight w:val="172"/>
        </w:trPr>
        <w:tc>
          <w:tcPr>
            <w:tcW w:w="67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192"/>
        </w:trPr>
        <w:tc>
          <w:tcPr>
            <w:tcW w:w="676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17"/>
                <w:szCs w:val="17"/>
                <w:color w:val="auto"/>
              </w:rPr>
              <w:t>Revenue:</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2"/>
        </w:trPr>
        <w:tc>
          <w:tcPr>
            <w:tcW w:w="6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Testing revenue</w:t>
            </w:r>
          </w:p>
        </w:tc>
        <w:tc>
          <w:tcPr>
            <w:tcW w:w="34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101,970</w:t>
            </w:r>
          </w:p>
        </w:tc>
        <w:tc>
          <w:tcPr>
            <w:tcW w:w="440" w:type="dxa"/>
            <w:vAlign w:val="bottom"/>
            <w:gridSpan w:val="2"/>
          </w:tcPr>
          <w:p>
            <w:pPr>
              <w:jc w:val="right"/>
              <w:ind w:right="157"/>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107,355</w:t>
            </w:r>
          </w:p>
        </w:tc>
        <w:tc>
          <w:tcPr>
            <w:tcW w:w="100" w:type="dxa"/>
            <w:vAlign w:val="bottom"/>
          </w:tcPr>
          <w:p>
            <w:pPr>
              <w:spacing w:after="0"/>
              <w:rPr>
                <w:sz w:val="18"/>
                <w:szCs w:val="18"/>
                <w:color w:val="auto"/>
              </w:rPr>
            </w:pPr>
          </w:p>
        </w:tc>
        <w:tc>
          <w:tcPr>
            <w:tcW w:w="34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91,058</w:t>
            </w:r>
          </w:p>
        </w:tc>
      </w:tr>
      <w:tr>
        <w:trPr>
          <w:trHeight w:val="212"/>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Product revenue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6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Biopharmaceutical revenue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w:t>
            </w:r>
          </w:p>
        </w:tc>
      </w:tr>
      <w:tr>
        <w:trPr>
          <w:trHeight w:val="212"/>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Collaboration revenue</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67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revenue</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117,483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120,368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92,008</w:t>
            </w:r>
          </w:p>
        </w:tc>
      </w:tr>
      <w:tr>
        <w:trPr>
          <w:trHeight w:val="230"/>
        </w:trPr>
        <w:tc>
          <w:tcPr>
            <w:tcW w:w="6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testing revenue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33,078</w:t>
            </w:r>
          </w:p>
        </w:tc>
      </w:tr>
      <w:tr>
        <w:trPr>
          <w:trHeight w:val="212"/>
        </w:trPr>
        <w:tc>
          <w:tcPr>
            <w:tcW w:w="6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Cost of product revenue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biopharmaceutical revenue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6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14,820</w:t>
            </w:r>
          </w:p>
        </w:tc>
      </w:tr>
      <w:tr>
        <w:trPr>
          <w:trHeight w:val="21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Selling and marketing</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41,313</w:t>
            </w:r>
          </w:p>
        </w:tc>
      </w:tr>
      <w:tr>
        <w:trPr>
          <w:trHeight w:val="212"/>
        </w:trPr>
        <w:tc>
          <w:tcPr>
            <w:tcW w:w="6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23,963</w:t>
            </w:r>
          </w:p>
        </w:tc>
      </w:tr>
      <w:tr>
        <w:trPr>
          <w:trHeight w:val="212"/>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Intangible asset amortization</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w:t>
            </w:r>
          </w:p>
        </w:tc>
      </w:tr>
      <w:tr>
        <w:trPr>
          <w:trHeight w:val="205"/>
        </w:trPr>
        <w:tc>
          <w:tcPr>
            <w:tcW w:w="67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152,872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135,495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114,241</w:t>
            </w:r>
          </w:p>
        </w:tc>
      </w:tr>
      <w:tr>
        <w:trPr>
          <w:trHeight w:val="20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(35,389)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(15,127)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(22,233)</w:t>
            </w:r>
          </w:p>
        </w:tc>
      </w:tr>
      <w:tr>
        <w:trPr>
          <w:trHeight w:val="21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(1,963)</w:t>
            </w:r>
          </w:p>
        </w:tc>
      </w:tr>
      <w:tr>
        <w:trPr>
          <w:trHeight w:val="21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1,197</w:t>
            </w:r>
          </w:p>
        </w:tc>
      </w:tr>
      <w:tr>
        <w:trPr>
          <w:trHeight w:val="205"/>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and comprehensive loss</w:t>
            </w:r>
          </w:p>
        </w:tc>
        <w:tc>
          <w:tcPr>
            <w:tcW w:w="3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(34,909)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(12,599)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(22,999)</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7"/>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common share, basic and diluted</w:t>
            </w: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82"/>
        </w:trPr>
        <w:tc>
          <w:tcPr>
            <w:tcW w:w="6760" w:type="dxa"/>
            <w:vAlign w:val="bottom"/>
          </w:tcPr>
          <w:p>
            <w:pPr>
              <w:ind w:left="20"/>
              <w:spacing w:after="0" w:line="182" w:lineRule="exact"/>
              <w:rPr>
                <w:sz w:val="20"/>
                <w:szCs w:val="20"/>
                <w:color w:val="auto"/>
              </w:rPr>
            </w:pPr>
            <w:r>
              <w:rPr>
                <w:rFonts w:ascii="Times New Roman" w:cs="Times New Roman" w:eastAsia="Times New Roman" w:hAnsi="Times New Roman"/>
                <w:sz w:val="17"/>
                <w:szCs w:val="17"/>
                <w:color w:val="auto"/>
              </w:rPr>
              <w:t>Shares used to compute net loss per common share, basic and diluted</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7"/>
                <w:szCs w:val="17"/>
                <w:color w:val="auto"/>
              </w:rPr>
              <w:t>53,239,231</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7"/>
                <w:szCs w:val="17"/>
                <w:color w:val="auto"/>
              </w:rPr>
              <w:t>46,138,177</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7"/>
                <w:szCs w:val="17"/>
                <w:color w:val="auto"/>
              </w:rPr>
              <w:t>37,020,246</w:t>
            </w: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94" w:name="page95"/>
    <w:bookmarkEnd w:id="94"/>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00" w:lineRule="exact"/>
        <w:rPr>
          <w:sz w:val="20"/>
          <w:szCs w:val="20"/>
          <w:color w:val="auto"/>
        </w:rPr>
      </w:pP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400" w:type="dxa"/>
            <w:vAlign w:val="bottom"/>
          </w:tcPr>
          <w:p>
            <w:pPr>
              <w:spacing w:after="0"/>
              <w:rPr>
                <w:sz w:val="12"/>
                <w:szCs w:val="12"/>
                <w:color w:val="auto"/>
              </w:rPr>
            </w:pPr>
          </w:p>
        </w:tc>
        <w:tc>
          <w:tcPr>
            <w:tcW w:w="1860" w:type="dxa"/>
            <w:vAlign w:val="bottom"/>
            <w:gridSpan w:val="3"/>
            <w:vMerge w:val="restart"/>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90"/>
        </w:trPr>
        <w:tc>
          <w:tcPr>
            <w:tcW w:w="5400" w:type="dxa"/>
            <w:vAlign w:val="bottom"/>
          </w:tcPr>
          <w:p>
            <w:pPr>
              <w:spacing w:after="0"/>
              <w:rPr>
                <w:sz w:val="7"/>
                <w:szCs w:val="7"/>
                <w:color w:val="auto"/>
              </w:rPr>
            </w:pPr>
          </w:p>
        </w:tc>
        <w:tc>
          <w:tcPr>
            <w:tcW w:w="186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2"/>
            <w:vMerge w:val="restart"/>
          </w:tcPr>
          <w:p>
            <w:pPr>
              <w:jc w:val="center"/>
              <w:ind w:right="260"/>
              <w:spacing w:after="0" w:line="12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7"/>
                <w:szCs w:val="7"/>
                <w:color w:val="auto"/>
              </w:rPr>
            </w:pPr>
          </w:p>
        </w:tc>
        <w:tc>
          <w:tcPr>
            <w:tcW w:w="1120" w:type="dxa"/>
            <w:vAlign w:val="bottom"/>
            <w:gridSpan w:val="2"/>
            <w:vMerge w:val="restart"/>
          </w:tcPr>
          <w:p>
            <w:pPr>
              <w:ind w:left="60"/>
              <w:spacing w:after="0" w:line="12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7"/>
                <w:szCs w:val="7"/>
                <w:color w:val="auto"/>
              </w:rPr>
            </w:pPr>
          </w:p>
        </w:tc>
        <w:tc>
          <w:tcPr>
            <w:tcW w:w="1060" w:type="dxa"/>
            <w:vAlign w:val="bottom"/>
            <w:vMerge w:val="restart"/>
          </w:tcPr>
          <w:p>
            <w:pPr>
              <w:jc w:val="center"/>
              <w:ind w:right="93"/>
              <w:spacing w:after="0" w:line="12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35"/>
        </w:trPr>
        <w:tc>
          <w:tcPr>
            <w:tcW w:w="5400" w:type="dxa"/>
            <w:vAlign w:val="bottom"/>
          </w:tcPr>
          <w:p>
            <w:pPr>
              <w:spacing w:after="0"/>
              <w:rPr>
                <w:sz w:val="3"/>
                <w:szCs w:val="3"/>
                <w:color w:val="auto"/>
              </w:rPr>
            </w:pPr>
          </w:p>
        </w:tc>
        <w:tc>
          <w:tcPr>
            <w:tcW w:w="1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54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5"/>
                <w:szCs w:val="15"/>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5"/>
                <w:szCs w:val="15"/>
                <w:color w:val="auto"/>
              </w:rPr>
            </w:pPr>
          </w:p>
        </w:tc>
        <w:tc>
          <w:tcPr>
            <w:tcW w:w="1060" w:type="dxa"/>
            <w:vAlign w:val="bottom"/>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66"/>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December 31, 2017</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34,210</w:t>
            </w:r>
          </w:p>
        </w:tc>
        <w:tc>
          <w:tcPr>
            <w:tcW w:w="100" w:type="dxa"/>
            <w:vAlign w:val="bottom"/>
          </w:tcPr>
          <w:p>
            <w:pPr>
              <w:spacing w:after="0"/>
              <w:rPr>
                <w:sz w:val="14"/>
                <w:szCs w:val="14"/>
                <w:color w:val="auto"/>
              </w:rPr>
            </w:pPr>
          </w:p>
        </w:tc>
        <w:tc>
          <w:tcPr>
            <w:tcW w:w="780" w:type="dxa"/>
            <w:vAlign w:val="bottom"/>
            <w:tcBorders>
              <w:top w:val="single" w:sz="8" w:color="auto"/>
            </w:tcBorders>
          </w:tcPr>
          <w:p>
            <w:pPr>
              <w:jc w:val="right"/>
              <w:ind w:right="633"/>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248,278</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(211,087)</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37,225</w:t>
            </w:r>
          </w:p>
        </w:tc>
        <w:tc>
          <w:tcPr>
            <w:tcW w:w="0" w:type="dxa"/>
            <w:vAlign w:val="bottom"/>
          </w:tcPr>
          <w:p>
            <w:pPr>
              <w:spacing w:after="0"/>
              <w:rPr>
                <w:sz w:val="1"/>
                <w:szCs w:val="1"/>
                <w:color w:val="auto"/>
              </w:rPr>
            </w:pPr>
          </w:p>
        </w:tc>
      </w:tr>
      <w:tr>
        <w:trPr>
          <w:trHeight w:val="17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Sale of common stock in a public offering, net of offering costs of $3,890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55,038</w:t>
            </w:r>
          </w:p>
        </w:tc>
        <w:tc>
          <w:tcPr>
            <w:tcW w:w="0" w:type="dxa"/>
            <w:vAlign w:val="bottom"/>
          </w:tcPr>
          <w:p>
            <w:pPr>
              <w:spacing w:after="0"/>
              <w:rPr>
                <w:sz w:val="1"/>
                <w:szCs w:val="1"/>
                <w:color w:val="auto"/>
              </w:rPr>
            </w:pPr>
          </w:p>
        </w:tc>
      </w:tr>
      <w:tr>
        <w:trPr>
          <w:trHeight w:val="174"/>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on exercise of stock options and vesting of restricted stock units</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3,463</w:t>
            </w:r>
          </w:p>
        </w:tc>
        <w:tc>
          <w:tcPr>
            <w:tcW w:w="0" w:type="dxa"/>
            <w:vAlign w:val="bottom"/>
          </w:tcPr>
          <w:p>
            <w:pPr>
              <w:spacing w:after="0"/>
              <w:rPr>
                <w:sz w:val="1"/>
                <w:szCs w:val="1"/>
                <w:color w:val="auto"/>
              </w:rPr>
            </w:pPr>
          </w:p>
        </w:tc>
      </w:tr>
      <w:tr>
        <w:trPr>
          <w:trHeight w:val="17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employee stock purchase plan (ESPP)</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790</w:t>
            </w:r>
          </w:p>
        </w:tc>
        <w:tc>
          <w:tcPr>
            <w:tcW w:w="0" w:type="dxa"/>
            <w:vAlign w:val="bottom"/>
          </w:tcPr>
          <w:p>
            <w:pPr>
              <w:spacing w:after="0"/>
              <w:rPr>
                <w:sz w:val="1"/>
                <w:szCs w:val="1"/>
                <w:color w:val="auto"/>
              </w:rPr>
            </w:pPr>
          </w:p>
        </w:tc>
      </w:tr>
      <w:tr>
        <w:trPr>
          <w:trHeight w:val="174"/>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 portion of vested restricted stock units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7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 (employee)</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5,602</w:t>
            </w:r>
          </w:p>
        </w:tc>
        <w:tc>
          <w:tcPr>
            <w:tcW w:w="0" w:type="dxa"/>
            <w:vAlign w:val="bottom"/>
          </w:tcPr>
          <w:p>
            <w:pPr>
              <w:spacing w:after="0"/>
              <w:rPr>
                <w:sz w:val="1"/>
                <w:szCs w:val="1"/>
                <w:color w:val="auto"/>
              </w:rPr>
            </w:pPr>
          </w:p>
        </w:tc>
      </w:tr>
      <w:tr>
        <w:trPr>
          <w:trHeight w:val="174"/>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 (non-employee)</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7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 (ESPP)</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332</w:t>
            </w:r>
          </w:p>
        </w:tc>
        <w:tc>
          <w:tcPr>
            <w:tcW w:w="0" w:type="dxa"/>
            <w:vAlign w:val="bottom"/>
          </w:tcPr>
          <w:p>
            <w:pPr>
              <w:spacing w:after="0"/>
              <w:rPr>
                <w:sz w:val="1"/>
                <w:szCs w:val="1"/>
                <w:color w:val="auto"/>
              </w:rPr>
            </w:pPr>
          </w:p>
        </w:tc>
      </w:tr>
      <w:tr>
        <w:trPr>
          <w:trHeight w:val="174"/>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Legal settlement from short-swing profits, net of tax</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310</w:t>
            </w:r>
          </w:p>
        </w:tc>
        <w:tc>
          <w:tcPr>
            <w:tcW w:w="0" w:type="dxa"/>
            <w:vAlign w:val="bottom"/>
          </w:tcPr>
          <w:p>
            <w:pPr>
              <w:spacing w:after="0"/>
              <w:rPr>
                <w:sz w:val="1"/>
                <w:szCs w:val="1"/>
                <w:color w:val="auto"/>
              </w:rPr>
            </w:pPr>
          </w:p>
        </w:tc>
      </w:tr>
      <w:tr>
        <w:trPr>
          <w:trHeight w:val="17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and comprehensive loss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(22,999)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(22,999)</w:t>
            </w:r>
          </w:p>
        </w:tc>
        <w:tc>
          <w:tcPr>
            <w:tcW w:w="0" w:type="dxa"/>
            <w:vAlign w:val="bottom"/>
          </w:tcPr>
          <w:p>
            <w:pPr>
              <w:spacing w:after="0"/>
              <w:rPr>
                <w:sz w:val="1"/>
                <w:szCs w:val="1"/>
                <w:color w:val="auto"/>
              </w:rPr>
            </w:pPr>
          </w:p>
        </w:tc>
      </w:tr>
      <w:tr>
        <w:trPr>
          <w:trHeight w:val="166"/>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December 31, 2018</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40,863</w:t>
            </w: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313,800</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(234,086)</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79,755</w:t>
            </w:r>
          </w:p>
        </w:tc>
        <w:tc>
          <w:tcPr>
            <w:tcW w:w="0" w:type="dxa"/>
            <w:vAlign w:val="bottom"/>
          </w:tcPr>
          <w:p>
            <w:pPr>
              <w:spacing w:after="0"/>
              <w:rPr>
                <w:sz w:val="1"/>
                <w:szCs w:val="1"/>
                <w:color w:val="auto"/>
              </w:rPr>
            </w:pPr>
          </w:p>
        </w:tc>
      </w:tr>
      <w:tr>
        <w:trPr>
          <w:trHeight w:val="17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Sale of common stock in a public offering, net of offering costs of $9,208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6,325</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137,842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137,848</w:t>
            </w:r>
          </w:p>
        </w:tc>
        <w:tc>
          <w:tcPr>
            <w:tcW w:w="0" w:type="dxa"/>
            <w:vAlign w:val="bottom"/>
          </w:tcPr>
          <w:p>
            <w:pPr>
              <w:spacing w:after="0"/>
              <w:rPr>
                <w:sz w:val="1"/>
                <w:szCs w:val="1"/>
                <w:color w:val="auto"/>
              </w:rPr>
            </w:pPr>
          </w:p>
        </w:tc>
      </w:tr>
      <w:tr>
        <w:trPr>
          <w:trHeight w:val="174"/>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on exercise of stock options and vesting of restricted stock units</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1,924</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14,355</w:t>
            </w:r>
          </w:p>
        </w:tc>
        <w:tc>
          <w:tcPr>
            <w:tcW w:w="0" w:type="dxa"/>
            <w:vAlign w:val="bottom"/>
          </w:tcPr>
          <w:p>
            <w:pPr>
              <w:spacing w:after="0"/>
              <w:rPr>
                <w:sz w:val="1"/>
                <w:szCs w:val="1"/>
                <w:color w:val="auto"/>
              </w:rPr>
            </w:pPr>
          </w:p>
        </w:tc>
      </w:tr>
      <w:tr>
        <w:trPr>
          <w:trHeight w:val="17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ESPP</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1,266</w:t>
            </w:r>
          </w:p>
        </w:tc>
        <w:tc>
          <w:tcPr>
            <w:tcW w:w="0" w:type="dxa"/>
            <w:vAlign w:val="bottom"/>
          </w:tcPr>
          <w:p>
            <w:pPr>
              <w:spacing w:after="0"/>
              <w:rPr>
                <w:sz w:val="1"/>
                <w:szCs w:val="1"/>
                <w:color w:val="auto"/>
              </w:rPr>
            </w:pPr>
          </w:p>
        </w:tc>
      </w:tr>
      <w:tr>
        <w:trPr>
          <w:trHeight w:val="174"/>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for acquisition</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9,999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10,000</w:t>
            </w:r>
          </w:p>
        </w:tc>
        <w:tc>
          <w:tcPr>
            <w:tcW w:w="0" w:type="dxa"/>
            <w:vAlign w:val="bottom"/>
          </w:tcPr>
          <w:p>
            <w:pPr>
              <w:spacing w:after="0"/>
              <w:rPr>
                <w:sz w:val="1"/>
                <w:szCs w:val="1"/>
                <w:color w:val="auto"/>
              </w:rPr>
            </w:pPr>
          </w:p>
        </w:tc>
      </w:tr>
      <w:tr>
        <w:trPr>
          <w:trHeight w:val="17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 portion of vested restricted stock units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(977)</w:t>
            </w:r>
          </w:p>
        </w:tc>
        <w:tc>
          <w:tcPr>
            <w:tcW w:w="0" w:type="dxa"/>
            <w:vAlign w:val="bottom"/>
          </w:tcPr>
          <w:p>
            <w:pPr>
              <w:spacing w:after="0"/>
              <w:rPr>
                <w:sz w:val="1"/>
                <w:szCs w:val="1"/>
                <w:color w:val="auto"/>
              </w:rPr>
            </w:pPr>
          </w:p>
        </w:tc>
      </w:tr>
      <w:tr>
        <w:trPr>
          <w:trHeight w:val="174"/>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 (employee)</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8,883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8,883</w:t>
            </w:r>
          </w:p>
        </w:tc>
        <w:tc>
          <w:tcPr>
            <w:tcW w:w="0" w:type="dxa"/>
            <w:vAlign w:val="bottom"/>
          </w:tcPr>
          <w:p>
            <w:pPr>
              <w:spacing w:after="0"/>
              <w:rPr>
                <w:sz w:val="1"/>
                <w:szCs w:val="1"/>
                <w:color w:val="auto"/>
              </w:rPr>
            </w:pPr>
          </w:p>
        </w:tc>
      </w:tr>
      <w:tr>
        <w:trPr>
          <w:trHeight w:val="17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 (non-employee)</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181</w:t>
            </w:r>
          </w:p>
        </w:tc>
        <w:tc>
          <w:tcPr>
            <w:tcW w:w="0" w:type="dxa"/>
            <w:vAlign w:val="bottom"/>
          </w:tcPr>
          <w:p>
            <w:pPr>
              <w:spacing w:after="0"/>
              <w:rPr>
                <w:sz w:val="1"/>
                <w:szCs w:val="1"/>
                <w:color w:val="auto"/>
              </w:rPr>
            </w:pPr>
          </w:p>
        </w:tc>
      </w:tr>
      <w:tr>
        <w:trPr>
          <w:trHeight w:val="174"/>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 (ESPP)</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743</w:t>
            </w:r>
          </w:p>
        </w:tc>
        <w:tc>
          <w:tcPr>
            <w:tcW w:w="0" w:type="dxa"/>
            <w:vAlign w:val="bottom"/>
          </w:tcPr>
          <w:p>
            <w:pPr>
              <w:spacing w:after="0"/>
              <w:rPr>
                <w:sz w:val="1"/>
                <w:szCs w:val="1"/>
                <w:color w:val="auto"/>
              </w:rPr>
            </w:pPr>
          </w:p>
        </w:tc>
      </w:tr>
      <w:tr>
        <w:trPr>
          <w:trHeight w:val="17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and comprehensive loss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(12,599)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(12,599)</w:t>
            </w:r>
          </w:p>
        </w:tc>
        <w:tc>
          <w:tcPr>
            <w:tcW w:w="0" w:type="dxa"/>
            <w:vAlign w:val="bottom"/>
          </w:tcPr>
          <w:p>
            <w:pPr>
              <w:spacing w:after="0"/>
              <w:rPr>
                <w:sz w:val="1"/>
                <w:szCs w:val="1"/>
                <w:color w:val="auto"/>
              </w:rPr>
            </w:pPr>
          </w:p>
        </w:tc>
      </w:tr>
      <w:tr>
        <w:trPr>
          <w:trHeight w:val="166"/>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December 31, 2019</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49,625</w:t>
            </w: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486,090</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(246,685)</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239,455</w:t>
            </w:r>
          </w:p>
        </w:tc>
        <w:tc>
          <w:tcPr>
            <w:tcW w:w="0" w:type="dxa"/>
            <w:vAlign w:val="bottom"/>
          </w:tcPr>
          <w:p>
            <w:pPr>
              <w:spacing w:after="0"/>
              <w:rPr>
                <w:sz w:val="1"/>
                <w:szCs w:val="1"/>
                <w:color w:val="auto"/>
              </w:rPr>
            </w:pPr>
          </w:p>
        </w:tc>
      </w:tr>
      <w:tr>
        <w:trPr>
          <w:trHeight w:val="17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Sale of common stock in a public offering, net of offering costs of $13,169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193,824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193,831</w:t>
            </w:r>
          </w:p>
        </w:tc>
        <w:tc>
          <w:tcPr>
            <w:tcW w:w="0" w:type="dxa"/>
            <w:vAlign w:val="bottom"/>
          </w:tcPr>
          <w:p>
            <w:pPr>
              <w:spacing w:after="0"/>
              <w:rPr>
                <w:sz w:val="1"/>
                <w:szCs w:val="1"/>
                <w:color w:val="auto"/>
              </w:rPr>
            </w:pPr>
          </w:p>
        </w:tc>
      </w:tr>
      <w:tr>
        <w:trPr>
          <w:trHeight w:val="174"/>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on exercise of stock options and vesting of restricted stock units</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1,573</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11,667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11,668</w:t>
            </w:r>
          </w:p>
        </w:tc>
        <w:tc>
          <w:tcPr>
            <w:tcW w:w="0" w:type="dxa"/>
            <w:vAlign w:val="bottom"/>
          </w:tcPr>
          <w:p>
            <w:pPr>
              <w:spacing w:after="0"/>
              <w:rPr>
                <w:sz w:val="1"/>
                <w:szCs w:val="1"/>
                <w:color w:val="auto"/>
              </w:rPr>
            </w:pPr>
          </w:p>
        </w:tc>
      </w:tr>
      <w:tr>
        <w:trPr>
          <w:trHeight w:val="17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ESPP</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2,037</w:t>
            </w:r>
          </w:p>
        </w:tc>
        <w:tc>
          <w:tcPr>
            <w:tcW w:w="0" w:type="dxa"/>
            <w:vAlign w:val="bottom"/>
          </w:tcPr>
          <w:p>
            <w:pPr>
              <w:spacing w:after="0"/>
              <w:rPr>
                <w:sz w:val="1"/>
                <w:szCs w:val="1"/>
                <w:color w:val="auto"/>
              </w:rPr>
            </w:pPr>
          </w:p>
        </w:tc>
      </w:tr>
      <w:tr>
        <w:trPr>
          <w:trHeight w:val="174"/>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 portion of vested restricted stock units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(3,845)</w:t>
            </w:r>
          </w:p>
        </w:tc>
        <w:tc>
          <w:tcPr>
            <w:tcW w:w="0" w:type="dxa"/>
            <w:vAlign w:val="bottom"/>
          </w:tcPr>
          <w:p>
            <w:pPr>
              <w:spacing w:after="0"/>
              <w:rPr>
                <w:sz w:val="1"/>
                <w:szCs w:val="1"/>
                <w:color w:val="auto"/>
              </w:rPr>
            </w:pPr>
          </w:p>
        </w:tc>
      </w:tr>
      <w:tr>
        <w:trPr>
          <w:trHeight w:val="17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 (employee)</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12,017</w:t>
            </w:r>
          </w:p>
        </w:tc>
        <w:tc>
          <w:tcPr>
            <w:tcW w:w="0" w:type="dxa"/>
            <w:vAlign w:val="bottom"/>
          </w:tcPr>
          <w:p>
            <w:pPr>
              <w:spacing w:after="0"/>
              <w:rPr>
                <w:sz w:val="1"/>
                <w:szCs w:val="1"/>
                <w:color w:val="auto"/>
              </w:rPr>
            </w:pPr>
          </w:p>
        </w:tc>
      </w:tr>
      <w:tr>
        <w:trPr>
          <w:trHeight w:val="174"/>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 (non-employee)</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17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 (ESPP)</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927</w:t>
            </w:r>
          </w:p>
        </w:tc>
        <w:tc>
          <w:tcPr>
            <w:tcW w:w="0" w:type="dxa"/>
            <w:vAlign w:val="bottom"/>
          </w:tcPr>
          <w:p>
            <w:pPr>
              <w:spacing w:after="0"/>
              <w:rPr>
                <w:sz w:val="1"/>
                <w:szCs w:val="1"/>
                <w:color w:val="auto"/>
              </w:rPr>
            </w:pPr>
          </w:p>
        </w:tc>
      </w:tr>
      <w:tr>
        <w:trPr>
          <w:trHeight w:val="174"/>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and comprehensive loss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(34,909)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(34,909)</w:t>
            </w:r>
          </w:p>
        </w:tc>
        <w:tc>
          <w:tcPr>
            <w:tcW w:w="0" w:type="dxa"/>
            <w:vAlign w:val="bottom"/>
          </w:tcPr>
          <w:p>
            <w:pPr>
              <w:spacing w:after="0"/>
              <w:rPr>
                <w:sz w:val="1"/>
                <w:szCs w:val="1"/>
                <w:color w:val="auto"/>
              </w:rPr>
            </w:pPr>
          </w:p>
        </w:tc>
      </w:tr>
      <w:tr>
        <w:trPr>
          <w:trHeight w:val="193"/>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2020</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58,201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702,768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(281,594)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421,232</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95" w:name="page96"/>
    <w:bookmarkEnd w:id="95"/>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dollars)</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67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72"/>
        </w:trPr>
        <w:tc>
          <w:tcPr>
            <w:tcW w:w="6740" w:type="dxa"/>
            <w:vAlign w:val="bottom"/>
            <w:tcBorders>
              <w:bottom w:val="single" w:sz="8" w:color="BFE4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BFE4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BFE4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167"/>
        </w:trPr>
        <w:tc>
          <w:tcPr>
            <w:tcW w:w="6740" w:type="dxa"/>
            <w:vAlign w:val="bottom"/>
            <w:shd w:val="clear" w:color="auto" w:fill="BFE4FF"/>
          </w:tcPr>
          <w:p>
            <w:pPr>
              <w:spacing w:after="0"/>
              <w:rPr>
                <w:sz w:val="20"/>
                <w:szCs w:val="20"/>
                <w:color w:val="auto"/>
              </w:rPr>
            </w:pPr>
            <w:r>
              <w:rPr>
                <w:rFonts w:ascii="Times New Roman" w:cs="Times New Roman" w:eastAsia="Times New Roman" w:hAnsi="Times New Roman"/>
                <w:sz w:val="13"/>
                <w:szCs w:val="13"/>
                <w:b w:val="1"/>
                <w:bCs w:val="1"/>
                <w:color w:val="auto"/>
              </w:rPr>
              <w:t>Operating activities</w:t>
            </w:r>
          </w:p>
        </w:tc>
        <w:tc>
          <w:tcPr>
            <w:tcW w:w="900" w:type="dxa"/>
            <w:vAlign w:val="bottom"/>
            <w:shd w:val="clear" w:color="auto" w:fill="BFE4FF"/>
          </w:tcPr>
          <w:p>
            <w:pPr>
              <w:spacing w:after="0"/>
              <w:rPr>
                <w:sz w:val="14"/>
                <w:szCs w:val="14"/>
                <w:color w:val="auto"/>
              </w:rPr>
            </w:pPr>
          </w:p>
        </w:tc>
        <w:tc>
          <w:tcPr>
            <w:tcW w:w="52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340" w:type="dxa"/>
            <w:vAlign w:val="bottom"/>
            <w:shd w:val="clear" w:color="auto" w:fill="BFE4FF"/>
          </w:tcPr>
          <w:p>
            <w:pPr>
              <w:spacing w:after="0"/>
              <w:rPr>
                <w:sz w:val="14"/>
                <w:szCs w:val="14"/>
                <w:color w:val="auto"/>
              </w:rPr>
            </w:pPr>
          </w:p>
        </w:tc>
        <w:tc>
          <w:tcPr>
            <w:tcW w:w="110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320" w:type="dxa"/>
            <w:vAlign w:val="bottom"/>
            <w:shd w:val="clear" w:color="auto" w:fill="BFE4FF"/>
          </w:tcPr>
          <w:p>
            <w:pPr>
              <w:spacing w:after="0"/>
              <w:rPr>
                <w:sz w:val="14"/>
                <w:szCs w:val="14"/>
                <w:color w:val="auto"/>
              </w:rPr>
            </w:pPr>
          </w:p>
        </w:tc>
        <w:tc>
          <w:tcPr>
            <w:tcW w:w="1100" w:type="dxa"/>
            <w:vAlign w:val="bottom"/>
            <w:shd w:val="clear" w:color="auto" w:fill="BFE4FF"/>
          </w:tcPr>
          <w:p>
            <w:pPr>
              <w:spacing w:after="0"/>
              <w:rPr>
                <w:sz w:val="14"/>
                <w:szCs w:val="14"/>
                <w:color w:val="auto"/>
              </w:rPr>
            </w:pPr>
          </w:p>
        </w:tc>
      </w:tr>
      <w:tr>
        <w:trPr>
          <w:trHeight w:val="174"/>
        </w:trPr>
        <w:tc>
          <w:tcPr>
            <w:tcW w:w="674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900" w:type="dxa"/>
            <w:vAlign w:val="bottom"/>
          </w:tcPr>
          <w:p>
            <w:pPr>
              <w:jc w:val="right"/>
              <w:ind w:right="753"/>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(34,909)</w:t>
            </w:r>
          </w:p>
        </w:tc>
        <w:tc>
          <w:tcPr>
            <w:tcW w:w="440" w:type="dxa"/>
            <w:vAlign w:val="bottom"/>
            <w:gridSpan w:val="2"/>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(12,599)</w:t>
            </w:r>
          </w:p>
        </w:tc>
        <w:tc>
          <w:tcPr>
            <w:tcW w:w="100" w:type="dxa"/>
            <w:vAlign w:val="bottom"/>
          </w:tcPr>
          <w:p>
            <w:pPr>
              <w:spacing w:after="0"/>
              <w:rPr>
                <w:sz w:val="15"/>
                <w:szCs w:val="15"/>
                <w:color w:val="auto"/>
              </w:rPr>
            </w:pPr>
          </w:p>
        </w:tc>
        <w:tc>
          <w:tcPr>
            <w:tcW w:w="32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(22,999)</w:t>
            </w:r>
          </w:p>
        </w:tc>
      </w:tr>
      <w:tr>
        <w:trPr>
          <w:trHeight w:val="176"/>
        </w:trPr>
        <w:tc>
          <w:tcPr>
            <w:tcW w:w="6740" w:type="dxa"/>
            <w:vAlign w:val="bottom"/>
            <w:shd w:val="clear" w:color="auto" w:fill="BFE4FF"/>
          </w:tcPr>
          <w:p>
            <w:pPr>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900" w:type="dxa"/>
            <w:vAlign w:val="bottom"/>
            <w:shd w:val="clear" w:color="auto" w:fill="BFE4FF"/>
          </w:tcPr>
          <w:p>
            <w:pPr>
              <w:spacing w:after="0"/>
              <w:rPr>
                <w:sz w:val="15"/>
                <w:szCs w:val="15"/>
                <w:color w:val="auto"/>
              </w:rPr>
            </w:pPr>
          </w:p>
        </w:tc>
        <w:tc>
          <w:tcPr>
            <w:tcW w:w="52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100" w:type="dxa"/>
            <w:vAlign w:val="bottom"/>
            <w:shd w:val="clear" w:color="auto" w:fill="BFE4FF"/>
          </w:tcPr>
          <w:p>
            <w:pPr>
              <w:spacing w:after="0"/>
              <w:rPr>
                <w:sz w:val="15"/>
                <w:szCs w:val="15"/>
                <w:color w:val="auto"/>
              </w:rPr>
            </w:pPr>
          </w:p>
        </w:tc>
      </w:tr>
      <w:tr>
        <w:trPr>
          <w:trHeight w:val="174"/>
        </w:trPr>
        <w:tc>
          <w:tcPr>
            <w:tcW w:w="6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7,944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3,920</w:t>
            </w:r>
          </w:p>
        </w:tc>
      </w:tr>
      <w:tr>
        <w:trPr>
          <w:trHeight w:val="176"/>
        </w:trPr>
        <w:tc>
          <w:tcPr>
            <w:tcW w:w="6740" w:type="dxa"/>
            <w:vAlign w:val="bottom"/>
            <w:shd w:val="clear" w:color="auto" w:fill="BFE4FF"/>
          </w:tcPr>
          <w:p>
            <w:pPr>
              <w:ind w:left="120"/>
              <w:spacing w:after="0"/>
              <w:rPr>
                <w:sz w:val="20"/>
                <w:szCs w:val="20"/>
                <w:color w:val="auto"/>
              </w:rPr>
            </w:pPr>
            <w:r>
              <w:rPr>
                <w:rFonts w:ascii="Times New Roman" w:cs="Times New Roman" w:eastAsia="Times New Roman" w:hAnsi="Times New Roman"/>
                <w:sz w:val="13"/>
                <w:szCs w:val="13"/>
                <w:color w:val="auto"/>
              </w:rPr>
              <w:t>Gain on disposal of property and equipment</w:t>
            </w:r>
          </w:p>
        </w:tc>
        <w:tc>
          <w:tcPr>
            <w:tcW w:w="900" w:type="dxa"/>
            <w:vAlign w:val="bottom"/>
            <w:shd w:val="clear" w:color="auto" w:fill="BFE4FF"/>
          </w:tcPr>
          <w:p>
            <w:pPr>
              <w:spacing w:after="0"/>
              <w:rPr>
                <w:sz w:val="15"/>
                <w:szCs w:val="15"/>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4"/>
        </w:trPr>
        <w:tc>
          <w:tcPr>
            <w:tcW w:w="6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12,995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9,807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5,958</w:t>
            </w:r>
          </w:p>
        </w:tc>
      </w:tr>
      <w:tr>
        <w:trPr>
          <w:trHeight w:val="176"/>
        </w:trPr>
        <w:tc>
          <w:tcPr>
            <w:tcW w:w="6740" w:type="dxa"/>
            <w:vAlign w:val="bottom"/>
            <w:shd w:val="clear" w:color="auto" w:fill="BFE4FF"/>
          </w:tcPr>
          <w:p>
            <w:pPr>
              <w:ind w:left="120"/>
              <w:spacing w:after="0"/>
              <w:rPr>
                <w:sz w:val="20"/>
                <w:szCs w:val="20"/>
                <w:color w:val="auto"/>
              </w:rPr>
            </w:pPr>
            <w:r>
              <w:rPr>
                <w:rFonts w:ascii="Times New Roman" w:cs="Times New Roman" w:eastAsia="Times New Roman" w:hAnsi="Times New Roman"/>
                <w:sz w:val="13"/>
                <w:szCs w:val="13"/>
                <w:color w:val="auto"/>
              </w:rPr>
              <w:t>Other income</w:t>
            </w:r>
          </w:p>
        </w:tc>
        <w:tc>
          <w:tcPr>
            <w:tcW w:w="900" w:type="dxa"/>
            <w:vAlign w:val="bottom"/>
            <w:shd w:val="clear" w:color="auto" w:fill="BFE4FF"/>
          </w:tcPr>
          <w:p>
            <w:pPr>
              <w:spacing w:after="0"/>
              <w:rPr>
                <w:sz w:val="15"/>
                <w:szCs w:val="15"/>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20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74"/>
        </w:trPr>
        <w:tc>
          <w:tcPr>
            <w:tcW w:w="6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Amortization and write-off of debt discount and issuance costs</w:t>
            </w: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76"/>
        </w:trPr>
        <w:tc>
          <w:tcPr>
            <w:tcW w:w="6740" w:type="dxa"/>
            <w:vAlign w:val="bottom"/>
            <w:shd w:val="clear" w:color="auto" w:fill="BFE4FF"/>
          </w:tcPr>
          <w:p>
            <w:pPr>
              <w:ind w:left="120"/>
              <w:spacing w:after="0"/>
              <w:rPr>
                <w:sz w:val="20"/>
                <w:szCs w:val="20"/>
                <w:color w:val="auto"/>
              </w:rPr>
            </w:pPr>
            <w:r>
              <w:rPr>
                <w:rFonts w:ascii="Times New Roman" w:cs="Times New Roman" w:eastAsia="Times New Roman" w:hAnsi="Times New Roman"/>
                <w:sz w:val="13"/>
                <w:szCs w:val="13"/>
                <w:color w:val="auto"/>
              </w:rPr>
              <w:t>Interest on end-of-term debt obligation</w:t>
            </w:r>
          </w:p>
        </w:tc>
        <w:tc>
          <w:tcPr>
            <w:tcW w:w="900" w:type="dxa"/>
            <w:vAlign w:val="bottom"/>
            <w:shd w:val="clear" w:color="auto" w:fill="BFE4FF"/>
          </w:tcPr>
          <w:p>
            <w:pPr>
              <w:spacing w:after="0"/>
              <w:rPr>
                <w:sz w:val="15"/>
                <w:szCs w:val="15"/>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0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312</w:t>
            </w:r>
          </w:p>
        </w:tc>
      </w:tr>
      <w:tr>
        <w:trPr>
          <w:trHeight w:val="174"/>
        </w:trPr>
        <w:tc>
          <w:tcPr>
            <w:tcW w:w="6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Write-down of excess supplies</w:t>
            </w: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6740" w:type="dxa"/>
            <w:vAlign w:val="bottom"/>
            <w:shd w:val="clear" w:color="auto" w:fill="BFE4FF"/>
          </w:tcPr>
          <w:p>
            <w:pPr>
              <w:ind w:left="100"/>
              <w:spacing w:after="0"/>
              <w:rPr>
                <w:sz w:val="20"/>
                <w:szCs w:val="20"/>
                <w:color w:val="auto"/>
              </w:rPr>
            </w:pPr>
            <w:r>
              <w:rPr>
                <w:rFonts w:ascii="Times New Roman" w:cs="Times New Roman" w:eastAsia="Times New Roman" w:hAnsi="Times New Roman"/>
                <w:sz w:val="13"/>
                <w:szCs w:val="13"/>
                <w:color w:val="auto"/>
              </w:rPr>
              <w:t>Noncash lease expense</w:t>
            </w:r>
          </w:p>
        </w:tc>
        <w:tc>
          <w:tcPr>
            <w:tcW w:w="900" w:type="dxa"/>
            <w:vAlign w:val="bottom"/>
            <w:shd w:val="clear" w:color="auto" w:fill="BFE4FF"/>
          </w:tcPr>
          <w:p>
            <w:pPr>
              <w:spacing w:after="0"/>
              <w:rPr>
                <w:sz w:val="15"/>
                <w:szCs w:val="15"/>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964</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1,034</w:t>
            </w:r>
          </w:p>
        </w:tc>
        <w:tc>
          <w:tcPr>
            <w:tcW w:w="10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4"/>
        </w:trPr>
        <w:tc>
          <w:tcPr>
            <w:tcW w:w="6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Revaluation of acquisition-related contingent consideration</w:t>
            </w: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6740" w:type="dxa"/>
            <w:vAlign w:val="bottom"/>
            <w:shd w:val="clear" w:color="auto" w:fill="BFE4FF"/>
          </w:tcPr>
          <w:p>
            <w:pPr>
              <w:ind w:left="100"/>
              <w:spacing w:after="0"/>
              <w:rPr>
                <w:sz w:val="20"/>
                <w:szCs w:val="20"/>
                <w:color w:val="auto"/>
              </w:rPr>
            </w:pPr>
            <w:r>
              <w:rPr>
                <w:rFonts w:ascii="Times New Roman" w:cs="Times New Roman" w:eastAsia="Times New Roman" w:hAnsi="Times New Roman"/>
                <w:sz w:val="13"/>
                <w:szCs w:val="13"/>
                <w:color w:val="auto"/>
              </w:rPr>
              <w:t>Impairment loss</w:t>
            </w:r>
          </w:p>
        </w:tc>
        <w:tc>
          <w:tcPr>
            <w:tcW w:w="900" w:type="dxa"/>
            <w:vAlign w:val="bottom"/>
            <w:shd w:val="clear" w:color="auto" w:fill="BFE4FF"/>
          </w:tcPr>
          <w:p>
            <w:pPr>
              <w:spacing w:after="0"/>
              <w:rPr>
                <w:sz w:val="15"/>
                <w:szCs w:val="15"/>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20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4"/>
        </w:trPr>
        <w:tc>
          <w:tcPr>
            <w:tcW w:w="6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Effect of foreign currency on operations</w:t>
            </w: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6740" w:type="dxa"/>
            <w:vAlign w:val="bottom"/>
            <w:shd w:val="clear" w:color="auto" w:fill="BFE4FF"/>
          </w:tcPr>
          <w:p>
            <w:pPr>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900" w:type="dxa"/>
            <w:vAlign w:val="bottom"/>
            <w:shd w:val="clear" w:color="auto" w:fill="BFE4FF"/>
          </w:tcPr>
          <w:p>
            <w:pPr>
              <w:spacing w:after="0"/>
              <w:rPr>
                <w:sz w:val="15"/>
                <w:szCs w:val="15"/>
                <w:color w:val="auto"/>
              </w:rPr>
            </w:pPr>
          </w:p>
        </w:tc>
        <w:tc>
          <w:tcPr>
            <w:tcW w:w="52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100" w:type="dxa"/>
            <w:vAlign w:val="bottom"/>
            <w:shd w:val="clear" w:color="auto" w:fill="BFE4FF"/>
          </w:tcPr>
          <w:p>
            <w:pPr>
              <w:spacing w:after="0"/>
              <w:rPr>
                <w:sz w:val="15"/>
                <w:szCs w:val="15"/>
                <w:color w:val="auto"/>
              </w:rPr>
            </w:pPr>
          </w:p>
        </w:tc>
      </w:tr>
      <w:tr>
        <w:trPr>
          <w:trHeight w:val="174"/>
        </w:trPr>
        <w:tc>
          <w:tcPr>
            <w:tcW w:w="6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receivable</w:t>
            </w: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w:t>
            </w:r>
          </w:p>
        </w:tc>
      </w:tr>
      <w:tr>
        <w:trPr>
          <w:trHeight w:val="176"/>
        </w:trPr>
        <w:tc>
          <w:tcPr>
            <w:tcW w:w="6740" w:type="dxa"/>
            <w:vAlign w:val="bottom"/>
            <w:shd w:val="clear" w:color="auto" w:fill="BFE4FF"/>
          </w:tcPr>
          <w:p>
            <w:pPr>
              <w:ind w:left="120"/>
              <w:spacing w:after="0"/>
              <w:rPr>
                <w:sz w:val="20"/>
                <w:szCs w:val="20"/>
                <w:color w:val="auto"/>
              </w:rPr>
            </w:pPr>
            <w:r>
              <w:rPr>
                <w:rFonts w:ascii="Times New Roman" w:cs="Times New Roman" w:eastAsia="Times New Roman" w:hAnsi="Times New Roman"/>
                <w:sz w:val="13"/>
                <w:szCs w:val="13"/>
                <w:color w:val="auto"/>
              </w:rPr>
              <w:t>Supplies</w:t>
            </w:r>
          </w:p>
        </w:tc>
        <w:tc>
          <w:tcPr>
            <w:tcW w:w="900" w:type="dxa"/>
            <w:vAlign w:val="bottom"/>
            <w:shd w:val="clear" w:color="auto" w:fill="BFE4FF"/>
          </w:tcPr>
          <w:p>
            <w:pPr>
              <w:spacing w:after="0"/>
              <w:rPr>
                <w:sz w:val="15"/>
                <w:szCs w:val="15"/>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1,061</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(3,404)</w:t>
            </w:r>
          </w:p>
        </w:tc>
        <w:tc>
          <w:tcPr>
            <w:tcW w:w="10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1,922</w:t>
            </w:r>
          </w:p>
        </w:tc>
      </w:tr>
      <w:tr>
        <w:trPr>
          <w:trHeight w:val="174"/>
        </w:trPr>
        <w:tc>
          <w:tcPr>
            <w:tcW w:w="6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w:t>
            </w:r>
          </w:p>
        </w:tc>
      </w:tr>
      <w:tr>
        <w:trPr>
          <w:trHeight w:val="176"/>
        </w:trPr>
        <w:tc>
          <w:tcPr>
            <w:tcW w:w="6740" w:type="dxa"/>
            <w:vAlign w:val="bottom"/>
            <w:shd w:val="clear" w:color="auto" w:fill="BFE4FF"/>
          </w:tcPr>
          <w:p>
            <w:pPr>
              <w:ind w:left="120"/>
              <w:spacing w:after="0"/>
              <w:rPr>
                <w:sz w:val="20"/>
                <w:szCs w:val="20"/>
                <w:color w:val="auto"/>
              </w:rPr>
            </w:pPr>
            <w:r>
              <w:rPr>
                <w:rFonts w:ascii="Times New Roman" w:cs="Times New Roman" w:eastAsia="Times New Roman" w:hAnsi="Times New Roman"/>
                <w:sz w:val="13"/>
                <w:szCs w:val="13"/>
                <w:color w:val="auto"/>
              </w:rPr>
              <w:t>Other assets</w:t>
            </w:r>
          </w:p>
        </w:tc>
        <w:tc>
          <w:tcPr>
            <w:tcW w:w="900" w:type="dxa"/>
            <w:vAlign w:val="bottom"/>
            <w:shd w:val="clear" w:color="auto" w:fill="BFE4FF"/>
          </w:tcPr>
          <w:p>
            <w:pPr>
              <w:spacing w:after="0"/>
              <w:rPr>
                <w:sz w:val="15"/>
                <w:szCs w:val="15"/>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10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(760)</w:t>
            </w:r>
          </w:p>
        </w:tc>
      </w:tr>
      <w:tr>
        <w:trPr>
          <w:trHeight w:val="174"/>
        </w:trPr>
        <w:tc>
          <w:tcPr>
            <w:tcW w:w="6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Operating lease liability</w:t>
            </w: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6740" w:type="dxa"/>
            <w:vAlign w:val="bottom"/>
            <w:shd w:val="clear" w:color="auto" w:fill="BFE4FF"/>
          </w:tcPr>
          <w:p>
            <w:pPr>
              <w:ind w:left="120"/>
              <w:spacing w:after="0"/>
              <w:rPr>
                <w:sz w:val="20"/>
                <w:szCs w:val="20"/>
                <w:color w:val="auto"/>
              </w:rPr>
            </w:pPr>
            <w:r>
              <w:rPr>
                <w:rFonts w:ascii="Times New Roman" w:cs="Times New Roman" w:eastAsia="Times New Roman" w:hAnsi="Times New Roman"/>
                <w:sz w:val="13"/>
                <w:szCs w:val="13"/>
                <w:color w:val="auto"/>
              </w:rPr>
              <w:t>Accounts payable</w:t>
            </w:r>
          </w:p>
        </w:tc>
        <w:tc>
          <w:tcPr>
            <w:tcW w:w="900" w:type="dxa"/>
            <w:vAlign w:val="bottom"/>
            <w:shd w:val="clear" w:color="auto" w:fill="BFE4FF"/>
          </w:tcPr>
          <w:p>
            <w:pPr>
              <w:spacing w:after="0"/>
              <w:rPr>
                <w:sz w:val="15"/>
                <w:szCs w:val="15"/>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711</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10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(1,568)</w:t>
            </w:r>
          </w:p>
        </w:tc>
      </w:tr>
      <w:tr>
        <w:trPr>
          <w:trHeight w:val="174"/>
        </w:trPr>
        <w:tc>
          <w:tcPr>
            <w:tcW w:w="6740" w:type="dxa"/>
            <w:vAlign w:val="bottom"/>
            <w:tcBorders>
              <w:bottom w:val="single" w:sz="8" w:color="BFE4FF"/>
            </w:tcBorders>
          </w:tcPr>
          <w:p>
            <w:pPr>
              <w:ind w:left="120"/>
              <w:spacing w:after="0"/>
              <w:rPr>
                <w:sz w:val="20"/>
                <w:szCs w:val="20"/>
                <w:color w:val="auto"/>
              </w:rPr>
            </w:pPr>
            <w:r>
              <w:rPr>
                <w:rFonts w:ascii="Times New Roman" w:cs="Times New Roman" w:eastAsia="Times New Roman" w:hAnsi="Times New Roman"/>
                <w:sz w:val="13"/>
                <w:szCs w:val="13"/>
                <w:color w:val="auto"/>
              </w:rPr>
              <w:t>Accrued liabilities, deferred revenue and deferred rent</w:t>
            </w:r>
          </w:p>
        </w:tc>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(868)</w:t>
            </w:r>
          </w:p>
        </w:tc>
        <w:tc>
          <w:tcPr>
            <w:tcW w:w="100" w:type="dxa"/>
            <w:vAlign w:val="bottom"/>
            <w:tcBorders>
              <w:bottom w:val="single" w:sz="8" w:color="BFE4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5,228</w:t>
            </w:r>
          </w:p>
        </w:tc>
        <w:tc>
          <w:tcPr>
            <w:tcW w:w="100" w:type="dxa"/>
            <w:vAlign w:val="bottom"/>
            <w:tcBorders>
              <w:bottom w:val="single" w:sz="8" w:color="BFE4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724</w:t>
            </w:r>
          </w:p>
        </w:tc>
      </w:tr>
      <w:tr>
        <w:trPr>
          <w:trHeight w:val="168"/>
        </w:trPr>
        <w:tc>
          <w:tcPr>
            <w:tcW w:w="6740" w:type="dxa"/>
            <w:vAlign w:val="bottom"/>
            <w:shd w:val="clear" w:color="auto" w:fill="BFE4FF"/>
          </w:tcPr>
          <w:p>
            <w:pPr>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900" w:type="dxa"/>
            <w:vAlign w:val="bottom"/>
            <w:tcBorders>
              <w:bottom w:val="single" w:sz="8" w:color="auto"/>
            </w:tcBorders>
            <w:shd w:val="clear" w:color="auto" w:fill="BFE4FF"/>
          </w:tcPr>
          <w:p>
            <w:pPr>
              <w:spacing w:after="0"/>
              <w:rPr>
                <w:sz w:val="14"/>
                <w:szCs w:val="14"/>
                <w:color w:val="auto"/>
              </w:rPr>
            </w:pPr>
          </w:p>
        </w:tc>
        <w:tc>
          <w:tcPr>
            <w:tcW w:w="5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(9,711)</w:t>
            </w:r>
          </w:p>
        </w:tc>
        <w:tc>
          <w:tcPr>
            <w:tcW w:w="100" w:type="dxa"/>
            <w:vAlign w:val="bottom"/>
            <w:shd w:val="clear" w:color="auto" w:fill="BFE4FF"/>
          </w:tcPr>
          <w:p>
            <w:pPr>
              <w:spacing w:after="0"/>
              <w:rPr>
                <w:sz w:val="14"/>
                <w:szCs w:val="14"/>
                <w:color w:val="auto"/>
              </w:rPr>
            </w:pPr>
          </w:p>
        </w:tc>
        <w:tc>
          <w:tcPr>
            <w:tcW w:w="340" w:type="dxa"/>
            <w:vAlign w:val="bottom"/>
            <w:tcBorders>
              <w:bottom w:val="single" w:sz="8" w:color="auto"/>
            </w:tcBorders>
            <w:shd w:val="clear" w:color="auto" w:fill="BFE4FF"/>
          </w:tcPr>
          <w:p>
            <w:pPr>
              <w:spacing w:after="0"/>
              <w:rPr>
                <w:sz w:val="14"/>
                <w:szCs w:val="14"/>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(3,232)</w:t>
            </w:r>
          </w:p>
        </w:tc>
        <w:tc>
          <w:tcPr>
            <w:tcW w:w="100" w:type="dxa"/>
            <w:vAlign w:val="bottom"/>
            <w:shd w:val="clear" w:color="auto" w:fill="BFE4FF"/>
          </w:tcPr>
          <w:p>
            <w:pPr>
              <w:spacing w:after="0"/>
              <w:rPr>
                <w:sz w:val="14"/>
                <w:szCs w:val="14"/>
                <w:color w:val="auto"/>
              </w:rPr>
            </w:pPr>
          </w:p>
        </w:tc>
        <w:tc>
          <w:tcPr>
            <w:tcW w:w="320" w:type="dxa"/>
            <w:vAlign w:val="bottom"/>
            <w:tcBorders>
              <w:bottom w:val="single" w:sz="8" w:color="auto"/>
            </w:tcBorders>
            <w:shd w:val="clear" w:color="auto" w:fill="BFE4FF"/>
          </w:tcPr>
          <w:p>
            <w:pPr>
              <w:spacing w:after="0"/>
              <w:rPr>
                <w:sz w:val="14"/>
                <w:szCs w:val="14"/>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(13,521)</w:t>
            </w:r>
          </w:p>
        </w:tc>
      </w:tr>
      <w:tr>
        <w:trPr>
          <w:trHeight w:val="162"/>
        </w:trPr>
        <w:tc>
          <w:tcPr>
            <w:tcW w:w="6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0"/>
        </w:trPr>
        <w:tc>
          <w:tcPr>
            <w:tcW w:w="6740" w:type="dxa"/>
            <w:vAlign w:val="bottom"/>
            <w:shd w:val="clear" w:color="auto" w:fill="BFE4FF"/>
          </w:tcPr>
          <w:p>
            <w:pPr>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900" w:type="dxa"/>
            <w:vAlign w:val="bottom"/>
            <w:shd w:val="clear" w:color="auto" w:fill="BFE4FF"/>
          </w:tcPr>
          <w:p>
            <w:pPr>
              <w:spacing w:after="0"/>
              <w:rPr>
                <w:sz w:val="15"/>
                <w:szCs w:val="15"/>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(2,837)</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(2,756)</w:t>
            </w:r>
          </w:p>
        </w:tc>
        <w:tc>
          <w:tcPr>
            <w:tcW w:w="10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(1,874)</w:t>
            </w:r>
          </w:p>
        </w:tc>
      </w:tr>
      <w:tr>
        <w:trPr>
          <w:trHeight w:val="174"/>
        </w:trPr>
        <w:tc>
          <w:tcPr>
            <w:tcW w:w="6740" w:type="dxa"/>
            <w:vAlign w:val="bottom"/>
          </w:tcPr>
          <w:p>
            <w:pPr>
              <w:spacing w:after="0"/>
              <w:rPr>
                <w:sz w:val="20"/>
                <w:szCs w:val="20"/>
                <w:color w:val="auto"/>
              </w:rPr>
            </w:pPr>
            <w:r>
              <w:rPr>
                <w:rFonts w:ascii="Times New Roman" w:cs="Times New Roman" w:eastAsia="Times New Roman" w:hAnsi="Times New Roman"/>
                <w:sz w:val="13"/>
                <w:szCs w:val="13"/>
                <w:color w:val="auto"/>
              </w:rPr>
              <w:t>Purchase of equity securities</w:t>
            </w: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6740" w:type="dxa"/>
            <w:vAlign w:val="bottom"/>
            <w:shd w:val="clear" w:color="auto" w:fill="BFE4FF"/>
          </w:tcPr>
          <w:p>
            <w:pPr>
              <w:spacing w:after="0"/>
              <w:rPr>
                <w:sz w:val="20"/>
                <w:szCs w:val="20"/>
                <w:color w:val="auto"/>
              </w:rPr>
            </w:pPr>
            <w:r>
              <w:rPr>
                <w:rFonts w:ascii="Times New Roman" w:cs="Times New Roman" w:eastAsia="Times New Roman" w:hAnsi="Times New Roman"/>
                <w:sz w:val="13"/>
                <w:szCs w:val="13"/>
                <w:color w:val="auto"/>
              </w:rPr>
              <w:t>Cash paid for acquisition</w:t>
            </w:r>
          </w:p>
        </w:tc>
        <w:tc>
          <w:tcPr>
            <w:tcW w:w="900" w:type="dxa"/>
            <w:vAlign w:val="bottom"/>
            <w:shd w:val="clear" w:color="auto" w:fill="BFE4FF"/>
          </w:tcPr>
          <w:p>
            <w:pPr>
              <w:spacing w:after="0"/>
              <w:rPr>
                <w:sz w:val="15"/>
                <w:szCs w:val="15"/>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10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4"/>
        </w:trPr>
        <w:tc>
          <w:tcPr>
            <w:tcW w:w="6740" w:type="dxa"/>
            <w:vAlign w:val="bottom"/>
            <w:tcBorders>
              <w:bottom w:val="single" w:sz="8" w:color="BFE4FF"/>
            </w:tcBorders>
          </w:tcPr>
          <w:p>
            <w:pPr>
              <w:spacing w:after="0"/>
              <w:rPr>
                <w:sz w:val="20"/>
                <w:szCs w:val="20"/>
                <w:color w:val="auto"/>
              </w:rPr>
            </w:pPr>
            <w:r>
              <w:rPr>
                <w:rFonts w:ascii="Times New Roman" w:cs="Times New Roman" w:eastAsia="Times New Roman" w:hAnsi="Times New Roman"/>
                <w:sz w:val="13"/>
                <w:szCs w:val="13"/>
                <w:color w:val="auto"/>
              </w:rPr>
              <w:t>Proceeds from the sale of property and equipment</w:t>
            </w:r>
          </w:p>
        </w:tc>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BFE4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Borders>
              <w:bottom w:val="single" w:sz="8" w:color="BFE4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740" w:type="dxa"/>
            <w:vAlign w:val="bottom"/>
            <w:shd w:val="clear" w:color="auto" w:fill="BFE4FF"/>
          </w:tcPr>
          <w:p>
            <w:pPr>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900" w:type="dxa"/>
            <w:vAlign w:val="bottom"/>
            <w:tcBorders>
              <w:bottom w:val="single" w:sz="8" w:color="auto"/>
            </w:tcBorders>
            <w:shd w:val="clear" w:color="auto" w:fill="BFE4FF"/>
          </w:tcPr>
          <w:p>
            <w:pPr>
              <w:spacing w:after="0"/>
              <w:rPr>
                <w:sz w:val="14"/>
                <w:szCs w:val="14"/>
                <w:color w:val="auto"/>
              </w:rPr>
            </w:pPr>
          </w:p>
        </w:tc>
        <w:tc>
          <w:tcPr>
            <w:tcW w:w="5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(3,837)</w:t>
            </w:r>
          </w:p>
        </w:tc>
        <w:tc>
          <w:tcPr>
            <w:tcW w:w="100" w:type="dxa"/>
            <w:vAlign w:val="bottom"/>
            <w:shd w:val="clear" w:color="auto" w:fill="BFE4FF"/>
          </w:tcPr>
          <w:p>
            <w:pPr>
              <w:spacing w:after="0"/>
              <w:rPr>
                <w:sz w:val="14"/>
                <w:szCs w:val="14"/>
                <w:color w:val="auto"/>
              </w:rPr>
            </w:pPr>
          </w:p>
        </w:tc>
        <w:tc>
          <w:tcPr>
            <w:tcW w:w="340" w:type="dxa"/>
            <w:vAlign w:val="bottom"/>
            <w:tcBorders>
              <w:bottom w:val="single" w:sz="8" w:color="auto"/>
            </w:tcBorders>
            <w:shd w:val="clear" w:color="auto" w:fill="BFE4FF"/>
          </w:tcPr>
          <w:p>
            <w:pPr>
              <w:spacing w:after="0"/>
              <w:rPr>
                <w:sz w:val="14"/>
                <w:szCs w:val="14"/>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(42,733)</w:t>
            </w:r>
          </w:p>
        </w:tc>
        <w:tc>
          <w:tcPr>
            <w:tcW w:w="100" w:type="dxa"/>
            <w:vAlign w:val="bottom"/>
            <w:shd w:val="clear" w:color="auto" w:fill="BFE4FF"/>
          </w:tcPr>
          <w:p>
            <w:pPr>
              <w:spacing w:after="0"/>
              <w:rPr>
                <w:sz w:val="14"/>
                <w:szCs w:val="14"/>
                <w:color w:val="auto"/>
              </w:rPr>
            </w:pPr>
          </w:p>
        </w:tc>
        <w:tc>
          <w:tcPr>
            <w:tcW w:w="320" w:type="dxa"/>
            <w:vAlign w:val="bottom"/>
            <w:tcBorders>
              <w:bottom w:val="single" w:sz="8" w:color="auto"/>
            </w:tcBorders>
            <w:shd w:val="clear" w:color="auto" w:fill="BFE4FF"/>
          </w:tcPr>
          <w:p>
            <w:pPr>
              <w:spacing w:after="0"/>
              <w:rPr>
                <w:sz w:val="14"/>
                <w:szCs w:val="14"/>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(1,874)</w:t>
            </w:r>
          </w:p>
        </w:tc>
      </w:tr>
      <w:tr>
        <w:trPr>
          <w:trHeight w:val="162"/>
        </w:trPr>
        <w:tc>
          <w:tcPr>
            <w:tcW w:w="6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0"/>
        </w:trPr>
        <w:tc>
          <w:tcPr>
            <w:tcW w:w="6740" w:type="dxa"/>
            <w:vAlign w:val="bottom"/>
            <w:shd w:val="clear" w:color="auto" w:fill="BFE4FF"/>
          </w:tcPr>
          <w:p>
            <w:pPr>
              <w:spacing w:after="0"/>
              <w:rPr>
                <w:sz w:val="20"/>
                <w:szCs w:val="20"/>
                <w:color w:val="auto"/>
              </w:rPr>
            </w:pPr>
            <w:r>
              <w:rPr>
                <w:rFonts w:ascii="Times New Roman" w:cs="Times New Roman" w:eastAsia="Times New Roman" w:hAnsi="Times New Roman"/>
                <w:sz w:val="13"/>
                <w:szCs w:val="13"/>
                <w:color w:val="auto"/>
              </w:rPr>
              <w:t>Proceeds from issuance of common stock in a public offering, net of issuance costs</w:t>
            </w:r>
          </w:p>
        </w:tc>
        <w:tc>
          <w:tcPr>
            <w:tcW w:w="900" w:type="dxa"/>
            <w:vAlign w:val="bottom"/>
            <w:shd w:val="clear" w:color="auto" w:fill="BFE4FF"/>
          </w:tcPr>
          <w:p>
            <w:pPr>
              <w:spacing w:after="0"/>
              <w:rPr>
                <w:sz w:val="15"/>
                <w:szCs w:val="15"/>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193,831</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137,848</w:t>
            </w:r>
          </w:p>
        </w:tc>
        <w:tc>
          <w:tcPr>
            <w:tcW w:w="10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55,038</w:t>
            </w:r>
          </w:p>
        </w:tc>
      </w:tr>
      <w:tr>
        <w:trPr>
          <w:trHeight w:val="174"/>
        </w:trPr>
        <w:tc>
          <w:tcPr>
            <w:tcW w:w="6740" w:type="dxa"/>
            <w:vAlign w:val="bottom"/>
          </w:tcPr>
          <w:p>
            <w:pPr>
              <w:spacing w:after="0"/>
              <w:rPr>
                <w:sz w:val="20"/>
                <w:szCs w:val="20"/>
                <w:color w:val="auto"/>
              </w:rPr>
            </w:pPr>
            <w:r>
              <w:rPr>
                <w:rFonts w:ascii="Times New Roman" w:cs="Times New Roman" w:eastAsia="Times New Roman" w:hAnsi="Times New Roman"/>
                <w:sz w:val="13"/>
                <w:szCs w:val="13"/>
                <w:color w:val="auto"/>
              </w:rPr>
              <w:t>Payment of long-term debt</w:t>
            </w: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(24,900)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6740" w:type="dxa"/>
            <w:vAlign w:val="bottom"/>
            <w:shd w:val="clear" w:color="auto" w:fill="BFE4FF"/>
          </w:tcPr>
          <w:p>
            <w:pPr>
              <w:spacing w:after="0"/>
              <w:rPr>
                <w:sz w:val="20"/>
                <w:szCs w:val="20"/>
                <w:color w:val="auto"/>
              </w:rPr>
            </w:pPr>
            <w:r>
              <w:rPr>
                <w:rFonts w:ascii="Times New Roman" w:cs="Times New Roman" w:eastAsia="Times New Roman" w:hAnsi="Times New Roman"/>
                <w:sz w:val="13"/>
                <w:szCs w:val="13"/>
                <w:color w:val="auto"/>
              </w:rPr>
              <w:t>Proceeds from legal settlement regarding short-swing profits</w:t>
            </w:r>
          </w:p>
        </w:tc>
        <w:tc>
          <w:tcPr>
            <w:tcW w:w="900" w:type="dxa"/>
            <w:vAlign w:val="bottom"/>
            <w:shd w:val="clear" w:color="auto" w:fill="BFE4FF"/>
          </w:tcPr>
          <w:p>
            <w:pPr>
              <w:spacing w:after="0"/>
              <w:rPr>
                <w:sz w:val="15"/>
                <w:szCs w:val="15"/>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20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403</w:t>
            </w:r>
          </w:p>
        </w:tc>
      </w:tr>
      <w:tr>
        <w:trPr>
          <w:trHeight w:val="174"/>
        </w:trPr>
        <w:tc>
          <w:tcPr>
            <w:tcW w:w="6740" w:type="dxa"/>
            <w:vAlign w:val="bottom"/>
          </w:tcPr>
          <w:p>
            <w:pPr>
              <w:spacing w:after="0"/>
              <w:rPr>
                <w:sz w:val="20"/>
                <w:szCs w:val="20"/>
                <w:color w:val="auto"/>
              </w:rPr>
            </w:pPr>
            <w:r>
              <w:rPr>
                <w:rFonts w:ascii="Times New Roman" w:cs="Times New Roman" w:eastAsia="Times New Roman" w:hAnsi="Times New Roman"/>
                <w:sz w:val="13"/>
                <w:szCs w:val="13"/>
                <w:color w:val="auto"/>
              </w:rPr>
              <w:t>Payment of financial lease liability</w:t>
            </w: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w:t>
            </w:r>
          </w:p>
        </w:tc>
      </w:tr>
      <w:tr>
        <w:trPr>
          <w:trHeight w:val="176"/>
        </w:trPr>
        <w:tc>
          <w:tcPr>
            <w:tcW w:w="6740" w:type="dxa"/>
            <w:vAlign w:val="bottom"/>
            <w:shd w:val="clear" w:color="auto" w:fill="BFE4FF"/>
          </w:tcPr>
          <w:p>
            <w:pPr>
              <w:spacing w:after="0"/>
              <w:rPr>
                <w:sz w:val="20"/>
                <w:szCs w:val="20"/>
                <w:color w:val="auto"/>
              </w:rPr>
            </w:pPr>
            <w:r>
              <w:rPr>
                <w:rFonts w:ascii="Times New Roman" w:cs="Times New Roman" w:eastAsia="Times New Roman" w:hAnsi="Times New Roman"/>
                <w:sz w:val="13"/>
                <w:szCs w:val="13"/>
                <w:color w:val="auto"/>
              </w:rPr>
              <w:t>Payment of taxes on vested restricted stock units</w:t>
            </w:r>
          </w:p>
        </w:tc>
        <w:tc>
          <w:tcPr>
            <w:tcW w:w="900" w:type="dxa"/>
            <w:vAlign w:val="bottom"/>
            <w:shd w:val="clear" w:color="auto" w:fill="BFE4FF"/>
          </w:tcPr>
          <w:p>
            <w:pPr>
              <w:spacing w:after="0"/>
              <w:rPr>
                <w:sz w:val="15"/>
                <w:szCs w:val="15"/>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(3,845)</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(977)</w:t>
            </w:r>
          </w:p>
        </w:tc>
        <w:tc>
          <w:tcPr>
            <w:tcW w:w="10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74"/>
        </w:trPr>
        <w:tc>
          <w:tcPr>
            <w:tcW w:w="6740" w:type="dxa"/>
            <w:vAlign w:val="bottom"/>
            <w:tcBorders>
              <w:bottom w:val="single" w:sz="8" w:color="BFE4FF"/>
            </w:tcBorders>
          </w:tcPr>
          <w:p>
            <w:pPr>
              <w:spacing w:after="0"/>
              <w:rPr>
                <w:sz w:val="20"/>
                <w:szCs w:val="20"/>
                <w:color w:val="auto"/>
              </w:rPr>
            </w:pPr>
            <w:r>
              <w:rPr>
                <w:rFonts w:ascii="Times New Roman" w:cs="Times New Roman" w:eastAsia="Times New Roman" w:hAnsi="Times New Roman"/>
                <w:sz w:val="13"/>
                <w:szCs w:val="13"/>
                <w:color w:val="auto"/>
              </w:rPr>
              <w:t>Proceeds from the exercise of common stock options and employee stock purchases</w:t>
            </w:r>
          </w:p>
        </w:tc>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13,709</w:t>
            </w:r>
          </w:p>
        </w:tc>
        <w:tc>
          <w:tcPr>
            <w:tcW w:w="100" w:type="dxa"/>
            <w:vAlign w:val="bottom"/>
            <w:tcBorders>
              <w:bottom w:val="single" w:sz="8" w:color="BFE4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15,624</w:t>
            </w:r>
          </w:p>
        </w:tc>
        <w:tc>
          <w:tcPr>
            <w:tcW w:w="100" w:type="dxa"/>
            <w:vAlign w:val="bottom"/>
            <w:tcBorders>
              <w:bottom w:val="single" w:sz="8" w:color="BFE4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4,380</w:t>
            </w:r>
          </w:p>
        </w:tc>
      </w:tr>
      <w:tr>
        <w:trPr>
          <w:trHeight w:val="168"/>
        </w:trPr>
        <w:tc>
          <w:tcPr>
            <w:tcW w:w="6740" w:type="dxa"/>
            <w:vAlign w:val="bottom"/>
            <w:shd w:val="clear" w:color="auto" w:fill="BFE4FF"/>
          </w:tcPr>
          <w:p>
            <w:pPr>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900" w:type="dxa"/>
            <w:vAlign w:val="bottom"/>
            <w:tcBorders>
              <w:bottom w:val="single" w:sz="8" w:color="auto"/>
            </w:tcBorders>
            <w:shd w:val="clear" w:color="auto" w:fill="BFE4FF"/>
          </w:tcPr>
          <w:p>
            <w:pPr>
              <w:spacing w:after="0"/>
              <w:rPr>
                <w:sz w:val="14"/>
                <w:szCs w:val="14"/>
                <w:color w:val="auto"/>
              </w:rPr>
            </w:pPr>
          </w:p>
        </w:tc>
        <w:tc>
          <w:tcPr>
            <w:tcW w:w="5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203,595</w:t>
            </w:r>
          </w:p>
        </w:tc>
        <w:tc>
          <w:tcPr>
            <w:tcW w:w="100" w:type="dxa"/>
            <w:vAlign w:val="bottom"/>
            <w:shd w:val="clear" w:color="auto" w:fill="BFE4FF"/>
          </w:tcPr>
          <w:p>
            <w:pPr>
              <w:spacing w:after="0"/>
              <w:rPr>
                <w:sz w:val="14"/>
                <w:szCs w:val="14"/>
                <w:color w:val="auto"/>
              </w:rPr>
            </w:pPr>
          </w:p>
        </w:tc>
        <w:tc>
          <w:tcPr>
            <w:tcW w:w="340" w:type="dxa"/>
            <w:vAlign w:val="bottom"/>
            <w:tcBorders>
              <w:bottom w:val="single" w:sz="8" w:color="auto"/>
            </w:tcBorders>
            <w:shd w:val="clear" w:color="auto" w:fill="BFE4FF"/>
          </w:tcPr>
          <w:p>
            <w:pPr>
              <w:spacing w:after="0"/>
              <w:rPr>
                <w:sz w:val="14"/>
                <w:szCs w:val="14"/>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127,287</w:t>
            </w:r>
          </w:p>
        </w:tc>
        <w:tc>
          <w:tcPr>
            <w:tcW w:w="100" w:type="dxa"/>
            <w:vAlign w:val="bottom"/>
            <w:shd w:val="clear" w:color="auto" w:fill="BFE4FF"/>
          </w:tcPr>
          <w:p>
            <w:pPr>
              <w:spacing w:after="0"/>
              <w:rPr>
                <w:sz w:val="14"/>
                <w:szCs w:val="14"/>
                <w:color w:val="auto"/>
              </w:rPr>
            </w:pPr>
          </w:p>
        </w:tc>
        <w:tc>
          <w:tcPr>
            <w:tcW w:w="320" w:type="dxa"/>
            <w:vAlign w:val="bottom"/>
            <w:tcBorders>
              <w:bottom w:val="single" w:sz="8" w:color="auto"/>
            </w:tcBorders>
            <w:shd w:val="clear" w:color="auto" w:fill="BFE4FF"/>
          </w:tcPr>
          <w:p>
            <w:pPr>
              <w:spacing w:after="0"/>
              <w:rPr>
                <w:sz w:val="14"/>
                <w:szCs w:val="14"/>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59,499</w:t>
            </w:r>
          </w:p>
        </w:tc>
      </w:tr>
      <w:tr>
        <w:trPr>
          <w:trHeight w:val="166"/>
        </w:trPr>
        <w:tc>
          <w:tcPr>
            <w:tcW w:w="6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increase in cash, cash equivalents and restricted cash</w:t>
            </w: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190,047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44,104</w:t>
            </w:r>
          </w:p>
        </w:tc>
      </w:tr>
      <w:tr>
        <w:trPr>
          <w:trHeight w:val="176"/>
        </w:trPr>
        <w:tc>
          <w:tcPr>
            <w:tcW w:w="6740" w:type="dxa"/>
            <w:vAlign w:val="bottom"/>
            <w:shd w:val="clear" w:color="auto" w:fill="BFE4FF"/>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beginning of year</w:t>
            </w:r>
          </w:p>
        </w:tc>
        <w:tc>
          <w:tcPr>
            <w:tcW w:w="900" w:type="dxa"/>
            <w:vAlign w:val="bottom"/>
            <w:tcBorders>
              <w:bottom w:val="single" w:sz="8" w:color="auto"/>
            </w:tcBorders>
            <w:shd w:val="clear" w:color="auto" w:fill="BFE4FF"/>
          </w:tcPr>
          <w:p>
            <w:pPr>
              <w:spacing w:after="0"/>
              <w:rPr>
                <w:sz w:val="15"/>
                <w:szCs w:val="15"/>
                <w:color w:val="auto"/>
              </w:rPr>
            </w:pPr>
          </w:p>
        </w:tc>
        <w:tc>
          <w:tcPr>
            <w:tcW w:w="5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159,920</w:t>
            </w:r>
          </w:p>
        </w:tc>
        <w:tc>
          <w:tcPr>
            <w:tcW w:w="100" w:type="dxa"/>
            <w:vAlign w:val="bottom"/>
            <w:shd w:val="clear" w:color="auto" w:fill="BFE4FF"/>
          </w:tcPr>
          <w:p>
            <w:pPr>
              <w:spacing w:after="0"/>
              <w:rPr>
                <w:sz w:val="15"/>
                <w:szCs w:val="15"/>
                <w:color w:val="auto"/>
              </w:rPr>
            </w:pPr>
          </w:p>
        </w:tc>
        <w:tc>
          <w:tcPr>
            <w:tcW w:w="340" w:type="dxa"/>
            <w:vAlign w:val="bottom"/>
            <w:tcBorders>
              <w:bottom w:val="single" w:sz="8" w:color="auto"/>
            </w:tcBorders>
            <w:shd w:val="clear" w:color="auto" w:fill="BFE4FF"/>
          </w:tcPr>
          <w:p>
            <w:pPr>
              <w:spacing w:after="0"/>
              <w:rPr>
                <w:sz w:val="15"/>
                <w:szCs w:val="15"/>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78,598</w:t>
            </w:r>
          </w:p>
        </w:tc>
        <w:tc>
          <w:tcPr>
            <w:tcW w:w="100" w:type="dxa"/>
            <w:vAlign w:val="bottom"/>
            <w:shd w:val="clear" w:color="auto" w:fill="BFE4FF"/>
          </w:tcPr>
          <w:p>
            <w:pPr>
              <w:spacing w:after="0"/>
              <w:rPr>
                <w:sz w:val="15"/>
                <w:szCs w:val="15"/>
                <w:color w:val="auto"/>
              </w:rPr>
            </w:pPr>
          </w:p>
        </w:tc>
        <w:tc>
          <w:tcPr>
            <w:tcW w:w="320" w:type="dxa"/>
            <w:vAlign w:val="bottom"/>
            <w:tcBorders>
              <w:bottom w:val="single" w:sz="8" w:color="auto"/>
            </w:tcBorders>
            <w:shd w:val="clear" w:color="auto" w:fill="BFE4FF"/>
          </w:tcPr>
          <w:p>
            <w:pPr>
              <w:spacing w:after="0"/>
              <w:rPr>
                <w:sz w:val="15"/>
                <w:szCs w:val="15"/>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34,494</w:t>
            </w:r>
          </w:p>
        </w:tc>
      </w:tr>
      <w:tr>
        <w:trPr>
          <w:trHeight w:val="167"/>
        </w:trPr>
        <w:tc>
          <w:tcPr>
            <w:tcW w:w="6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year</w:t>
            </w:r>
          </w:p>
        </w:tc>
        <w:tc>
          <w:tcPr>
            <w:tcW w:w="90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349,967</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159,920</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78,598</w:t>
            </w:r>
          </w:p>
        </w:tc>
      </w:tr>
      <w:tr>
        <w:trPr>
          <w:trHeight w:val="20"/>
        </w:trPr>
        <w:tc>
          <w:tcPr>
            <w:tcW w:w="6740" w:type="dxa"/>
            <w:vAlign w:val="bottom"/>
            <w:tcBorders>
              <w:bottom w:val="single" w:sz="8" w:color="BFE4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15"/>
        </w:trPr>
        <w:tc>
          <w:tcPr>
            <w:tcW w:w="6740" w:type="dxa"/>
            <w:vAlign w:val="bottom"/>
            <w:shd w:val="clear" w:color="auto" w:fill="BFE4FF"/>
          </w:tcPr>
          <w:p>
            <w:pPr>
              <w:spacing w:after="0"/>
              <w:rPr>
                <w:sz w:val="9"/>
                <w:szCs w:val="9"/>
                <w:color w:val="auto"/>
              </w:rPr>
            </w:pPr>
          </w:p>
        </w:tc>
        <w:tc>
          <w:tcPr>
            <w:tcW w:w="900" w:type="dxa"/>
            <w:vAlign w:val="bottom"/>
            <w:shd w:val="clear" w:color="auto" w:fill="BFE4FF"/>
          </w:tcPr>
          <w:p>
            <w:pPr>
              <w:spacing w:after="0"/>
              <w:rPr>
                <w:sz w:val="9"/>
                <w:szCs w:val="9"/>
                <w:color w:val="auto"/>
              </w:rPr>
            </w:pPr>
          </w:p>
        </w:tc>
        <w:tc>
          <w:tcPr>
            <w:tcW w:w="520" w:type="dxa"/>
            <w:vAlign w:val="bottom"/>
            <w:shd w:val="clear" w:color="auto" w:fill="BFE4FF"/>
          </w:tcPr>
          <w:p>
            <w:pPr>
              <w:spacing w:after="0"/>
              <w:rPr>
                <w:sz w:val="9"/>
                <w:szCs w:val="9"/>
                <w:color w:val="auto"/>
              </w:rPr>
            </w:pPr>
          </w:p>
        </w:tc>
        <w:tc>
          <w:tcPr>
            <w:tcW w:w="100" w:type="dxa"/>
            <w:vAlign w:val="bottom"/>
            <w:shd w:val="clear" w:color="auto" w:fill="BFE4FF"/>
          </w:tcPr>
          <w:p>
            <w:pPr>
              <w:spacing w:after="0"/>
              <w:rPr>
                <w:sz w:val="9"/>
                <w:szCs w:val="9"/>
                <w:color w:val="auto"/>
              </w:rPr>
            </w:pPr>
          </w:p>
        </w:tc>
        <w:tc>
          <w:tcPr>
            <w:tcW w:w="340" w:type="dxa"/>
            <w:vAlign w:val="bottom"/>
            <w:shd w:val="clear" w:color="auto" w:fill="BFE4FF"/>
          </w:tcPr>
          <w:p>
            <w:pPr>
              <w:spacing w:after="0"/>
              <w:rPr>
                <w:sz w:val="9"/>
                <w:szCs w:val="9"/>
                <w:color w:val="auto"/>
              </w:rPr>
            </w:pPr>
          </w:p>
        </w:tc>
        <w:tc>
          <w:tcPr>
            <w:tcW w:w="1100" w:type="dxa"/>
            <w:vAlign w:val="bottom"/>
            <w:shd w:val="clear" w:color="auto" w:fill="BFE4FF"/>
          </w:tcPr>
          <w:p>
            <w:pPr>
              <w:spacing w:after="0"/>
              <w:rPr>
                <w:sz w:val="9"/>
                <w:szCs w:val="9"/>
                <w:color w:val="auto"/>
              </w:rPr>
            </w:pPr>
          </w:p>
        </w:tc>
        <w:tc>
          <w:tcPr>
            <w:tcW w:w="100" w:type="dxa"/>
            <w:vAlign w:val="bottom"/>
            <w:shd w:val="clear" w:color="auto" w:fill="BFE4FF"/>
          </w:tcPr>
          <w:p>
            <w:pPr>
              <w:spacing w:after="0"/>
              <w:rPr>
                <w:sz w:val="9"/>
                <w:szCs w:val="9"/>
                <w:color w:val="auto"/>
              </w:rPr>
            </w:pPr>
          </w:p>
        </w:tc>
        <w:tc>
          <w:tcPr>
            <w:tcW w:w="320" w:type="dxa"/>
            <w:vAlign w:val="bottom"/>
            <w:shd w:val="clear" w:color="auto" w:fill="BFE4FF"/>
          </w:tcPr>
          <w:p>
            <w:pPr>
              <w:spacing w:after="0"/>
              <w:rPr>
                <w:sz w:val="9"/>
                <w:szCs w:val="9"/>
                <w:color w:val="auto"/>
              </w:rPr>
            </w:pPr>
          </w:p>
        </w:tc>
        <w:tc>
          <w:tcPr>
            <w:tcW w:w="1100" w:type="dxa"/>
            <w:vAlign w:val="bottom"/>
            <w:shd w:val="clear" w:color="auto" w:fill="BFE4FF"/>
          </w:tcPr>
          <w:p>
            <w:pPr>
              <w:spacing w:after="0"/>
              <w:rPr>
                <w:sz w:val="9"/>
                <w:szCs w:val="9"/>
                <w:color w:val="auto"/>
              </w:rPr>
            </w:pPr>
          </w:p>
        </w:tc>
      </w:tr>
      <w:tr>
        <w:trPr>
          <w:trHeight w:val="175"/>
        </w:trPr>
        <w:tc>
          <w:tcPr>
            <w:tcW w:w="6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Supplementary cash flow information of non-cash investing and financing activities:</w:t>
            </w: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6740" w:type="dxa"/>
            <w:vAlign w:val="bottom"/>
            <w:shd w:val="clear" w:color="auto" w:fill="BFE4FF"/>
          </w:tcPr>
          <w:p>
            <w:pPr>
              <w:spacing w:after="0"/>
              <w:rPr>
                <w:sz w:val="20"/>
                <w:szCs w:val="20"/>
                <w:color w:val="auto"/>
              </w:rPr>
            </w:pPr>
            <w:r>
              <w:rPr>
                <w:rFonts w:ascii="Times New Roman" w:cs="Times New Roman" w:eastAsia="Times New Roman" w:hAnsi="Times New Roman"/>
                <w:sz w:val="13"/>
                <w:szCs w:val="13"/>
                <w:color w:val="auto"/>
              </w:rPr>
              <w:t>Shares issued for purchase consideration for a business combination</w:t>
            </w:r>
          </w:p>
        </w:tc>
        <w:tc>
          <w:tcPr>
            <w:tcW w:w="900" w:type="dxa"/>
            <w:vAlign w:val="bottom"/>
            <w:shd w:val="clear" w:color="auto" w:fill="BFE4FF"/>
          </w:tcPr>
          <w:p>
            <w:pPr>
              <w:jc w:val="right"/>
              <w:ind w:right="753"/>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BFE4FF"/>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00" w:type="dxa"/>
            <w:vAlign w:val="bottom"/>
            <w:shd w:val="clear" w:color="auto" w:fill="BFE4FF"/>
          </w:tcPr>
          <w:p>
            <w:pPr>
              <w:spacing w:after="0"/>
              <w:rPr>
                <w:sz w:val="15"/>
                <w:szCs w:val="15"/>
                <w:color w:val="auto"/>
              </w:rPr>
            </w:pPr>
          </w:p>
        </w:tc>
        <w:tc>
          <w:tcPr>
            <w:tcW w:w="320" w:type="dxa"/>
            <w:vAlign w:val="bottom"/>
            <w:shd w:val="clear" w:color="auto" w:fill="BFE4FF"/>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4"/>
        </w:trPr>
        <w:tc>
          <w:tcPr>
            <w:tcW w:w="6740" w:type="dxa"/>
            <w:vAlign w:val="bottom"/>
          </w:tcPr>
          <w:p>
            <w:pPr>
              <w:spacing w:after="0"/>
              <w:rPr>
                <w:sz w:val="20"/>
                <w:szCs w:val="20"/>
                <w:color w:val="auto"/>
              </w:rPr>
            </w:pPr>
            <w:r>
              <w:rPr>
                <w:rFonts w:ascii="Times New Roman" w:cs="Times New Roman" w:eastAsia="Times New Roman" w:hAnsi="Times New Roman"/>
                <w:sz w:val="13"/>
                <w:szCs w:val="13"/>
                <w:color w:val="auto"/>
              </w:rPr>
              <w:t>Deferred purchase consideration for a business combination</w:t>
            </w: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6740" w:type="dxa"/>
            <w:vAlign w:val="bottom"/>
            <w:shd w:val="clear" w:color="auto" w:fill="BFE4FF"/>
          </w:tcPr>
          <w:p>
            <w:pPr>
              <w:spacing w:after="0"/>
              <w:rPr>
                <w:sz w:val="20"/>
                <w:szCs w:val="20"/>
                <w:color w:val="auto"/>
              </w:rPr>
            </w:pPr>
            <w:r>
              <w:rPr>
                <w:rFonts w:ascii="Times New Roman" w:cs="Times New Roman" w:eastAsia="Times New Roman" w:hAnsi="Times New Roman"/>
                <w:sz w:val="13"/>
                <w:szCs w:val="13"/>
                <w:color w:val="auto"/>
              </w:rPr>
              <w:t>Purchases of property and equipment included in accounts payable and accrued liabilities</w:t>
            </w:r>
          </w:p>
        </w:tc>
        <w:tc>
          <w:tcPr>
            <w:tcW w:w="900" w:type="dxa"/>
            <w:vAlign w:val="bottom"/>
            <w:shd w:val="clear" w:color="auto" w:fill="BFE4FF"/>
          </w:tcPr>
          <w:p>
            <w:pPr>
              <w:spacing w:after="0"/>
              <w:rPr>
                <w:sz w:val="15"/>
                <w:szCs w:val="15"/>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10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273</w:t>
            </w:r>
          </w:p>
        </w:tc>
      </w:tr>
      <w:tr>
        <w:trPr>
          <w:trHeight w:val="175"/>
        </w:trPr>
        <w:tc>
          <w:tcPr>
            <w:tcW w:w="6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Supplementary cash flow information:</w:t>
            </w: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6740" w:type="dxa"/>
            <w:vAlign w:val="bottom"/>
            <w:shd w:val="clear" w:color="auto" w:fill="BFE4FF"/>
          </w:tcPr>
          <w:p>
            <w:pPr>
              <w:spacing w:after="0"/>
              <w:rPr>
                <w:sz w:val="20"/>
                <w:szCs w:val="20"/>
                <w:color w:val="auto"/>
              </w:rPr>
            </w:pPr>
            <w:r>
              <w:rPr>
                <w:rFonts w:ascii="Times New Roman" w:cs="Times New Roman" w:eastAsia="Times New Roman" w:hAnsi="Times New Roman"/>
                <w:sz w:val="13"/>
                <w:szCs w:val="13"/>
                <w:color w:val="auto"/>
              </w:rPr>
              <w:t>Cash paid for interest on debt</w:t>
            </w:r>
          </w:p>
        </w:tc>
        <w:tc>
          <w:tcPr>
            <w:tcW w:w="900" w:type="dxa"/>
            <w:vAlign w:val="bottom"/>
            <w:shd w:val="clear" w:color="auto" w:fill="BFE4FF"/>
          </w:tcPr>
          <w:p>
            <w:pPr>
              <w:spacing w:after="0"/>
              <w:rPr>
                <w:sz w:val="15"/>
                <w:szCs w:val="15"/>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332</w:t>
            </w:r>
          </w:p>
        </w:tc>
        <w:tc>
          <w:tcPr>
            <w:tcW w:w="10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1,547</w:t>
            </w:r>
          </w:p>
        </w:tc>
      </w:tr>
      <w:tr>
        <w:trPr>
          <w:trHeight w:val="173"/>
        </w:trPr>
        <w:tc>
          <w:tcPr>
            <w:tcW w:w="6740" w:type="dxa"/>
            <w:vAlign w:val="bottom"/>
          </w:tcPr>
          <w:p>
            <w:pPr>
              <w:spacing w:after="0"/>
              <w:rPr>
                <w:sz w:val="20"/>
                <w:szCs w:val="20"/>
                <w:color w:val="auto"/>
              </w:rPr>
            </w:pPr>
            <w:r>
              <w:rPr>
                <w:rFonts w:ascii="Times New Roman" w:cs="Times New Roman" w:eastAsia="Times New Roman" w:hAnsi="Times New Roman"/>
                <w:sz w:val="13"/>
                <w:szCs w:val="13"/>
                <w:color w:val="auto"/>
              </w:rPr>
              <w:t>Cash paid for tax</w:t>
            </w: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6" w:name="page97"/>
    <w:bookmarkEnd w:id="96"/>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w:t>
      </w:r>
      <w:r>
        <w:rPr>
          <w:rFonts w:ascii="Times New Roman" w:cs="Times New Roman" w:eastAsia="Times New Roman" w:hAnsi="Times New Roman"/>
          <w:sz w:val="17"/>
          <w:szCs w:val="17"/>
          <w:color w:val="auto"/>
        </w:rPr>
        <w:t>:</w:t>
      </w:r>
    </w:p>
    <w:p>
      <w:pPr>
        <w:spacing w:after="0" w:line="127" w:lineRule="exact"/>
        <w:rPr>
          <w:sz w:val="20"/>
          <w:szCs w:val="20"/>
          <w:color w:val="auto"/>
        </w:rPr>
      </w:pPr>
    </w:p>
    <w:tbl>
      <w:tblPr>
        <w:tblLayout w:type="fixed"/>
        <w:tblInd w:w="340" w:type="dxa"/>
        <w:tblCellMar>
          <w:top w:w="0" w:type="dxa"/>
          <w:left w:w="0" w:type="dxa"/>
          <w:bottom w:w="0" w:type="dxa"/>
          <w:right w:w="0" w:type="dxa"/>
        </w:tblCellMar>
      </w:tblPr>
      <w:tr>
        <w:trPr>
          <w:trHeight w:val="180"/>
        </w:trPr>
        <w:tc>
          <w:tcPr>
            <w:tcW w:w="61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72"/>
        </w:trPr>
        <w:tc>
          <w:tcPr>
            <w:tcW w:w="6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2019</w:t>
            </w:r>
          </w:p>
        </w:tc>
        <w:tc>
          <w:tcPr>
            <w:tcW w:w="1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166"/>
        </w:trPr>
        <w:tc>
          <w:tcPr>
            <w:tcW w:w="61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349,364</w:t>
            </w:r>
          </w:p>
        </w:tc>
        <w:tc>
          <w:tcPr>
            <w:tcW w:w="100" w:type="dxa"/>
            <w:vAlign w:val="bottom"/>
          </w:tcPr>
          <w:p>
            <w:pPr>
              <w:spacing w:after="0"/>
              <w:rPr>
                <w:sz w:val="14"/>
                <w:szCs w:val="14"/>
                <w:color w:val="auto"/>
              </w:rPr>
            </w:pPr>
          </w:p>
        </w:tc>
        <w:tc>
          <w:tcPr>
            <w:tcW w:w="4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159,317</w:t>
            </w:r>
          </w:p>
        </w:tc>
        <w:tc>
          <w:tcPr>
            <w:tcW w:w="14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77,995</w:t>
            </w:r>
          </w:p>
        </w:tc>
      </w:tr>
      <w:tr>
        <w:trPr>
          <w:trHeight w:val="175"/>
        </w:trPr>
        <w:tc>
          <w:tcPr>
            <w:tcW w:w="6160" w:type="dxa"/>
            <w:vAlign w:val="bottom"/>
            <w:shd w:val="clear" w:color="auto" w:fill="BFE4FF"/>
          </w:tcPr>
          <w:p>
            <w:pPr>
              <w:ind w:left="320"/>
              <w:spacing w:after="0"/>
              <w:rPr>
                <w:sz w:val="20"/>
                <w:szCs w:val="20"/>
                <w:color w:val="auto"/>
              </w:rPr>
            </w:pPr>
            <w:r>
              <w:rPr>
                <w:rFonts w:ascii="Times New Roman" w:cs="Times New Roman" w:eastAsia="Times New Roman" w:hAnsi="Times New Roman"/>
                <w:sz w:val="13"/>
                <w:szCs w:val="13"/>
                <w:color w:val="auto"/>
              </w:rPr>
              <w:t>Restricted cash</w:t>
            </w:r>
          </w:p>
        </w:tc>
        <w:tc>
          <w:tcPr>
            <w:tcW w:w="560" w:type="dxa"/>
            <w:vAlign w:val="bottom"/>
            <w:tcBorders>
              <w:bottom w:val="single" w:sz="8" w:color="auto"/>
            </w:tcBorders>
            <w:shd w:val="clear" w:color="auto" w:fill="BFE4FF"/>
          </w:tcPr>
          <w:p>
            <w:pPr>
              <w:spacing w:after="0"/>
              <w:rPr>
                <w:sz w:val="15"/>
                <w:szCs w:val="15"/>
                <w:color w:val="auto"/>
              </w:rPr>
            </w:pPr>
          </w:p>
        </w:tc>
        <w:tc>
          <w:tcPr>
            <w:tcW w:w="9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100" w:type="dxa"/>
            <w:vAlign w:val="bottom"/>
            <w:shd w:val="clear" w:color="auto" w:fill="BFE4FF"/>
          </w:tcPr>
          <w:p>
            <w:pPr>
              <w:spacing w:after="0"/>
              <w:rPr>
                <w:sz w:val="15"/>
                <w:szCs w:val="15"/>
                <w:color w:val="auto"/>
              </w:rPr>
            </w:pPr>
          </w:p>
        </w:tc>
        <w:tc>
          <w:tcPr>
            <w:tcW w:w="460" w:type="dxa"/>
            <w:vAlign w:val="bottom"/>
            <w:tcBorders>
              <w:bottom w:val="single" w:sz="8" w:color="auto"/>
            </w:tcBorders>
            <w:shd w:val="clear" w:color="auto" w:fill="BFE4FF"/>
          </w:tcPr>
          <w:p>
            <w:pPr>
              <w:spacing w:after="0"/>
              <w:rPr>
                <w:sz w:val="15"/>
                <w:szCs w:val="15"/>
                <w:color w:val="auto"/>
              </w:rPr>
            </w:pPr>
          </w:p>
        </w:tc>
        <w:tc>
          <w:tcPr>
            <w:tcW w:w="104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140" w:type="dxa"/>
            <w:vAlign w:val="bottom"/>
            <w:shd w:val="clear" w:color="auto" w:fill="BFE4FF"/>
          </w:tcPr>
          <w:p>
            <w:pPr>
              <w:spacing w:after="0"/>
              <w:rPr>
                <w:sz w:val="15"/>
                <w:szCs w:val="15"/>
                <w:color w:val="auto"/>
              </w:rPr>
            </w:pPr>
          </w:p>
        </w:tc>
        <w:tc>
          <w:tcPr>
            <w:tcW w:w="560" w:type="dxa"/>
            <w:vAlign w:val="bottom"/>
            <w:tcBorders>
              <w:bottom w:val="single" w:sz="8" w:color="auto"/>
            </w:tcBorders>
            <w:shd w:val="clear" w:color="auto" w:fill="BFE4FF"/>
          </w:tcPr>
          <w:p>
            <w:pPr>
              <w:spacing w:after="0"/>
              <w:rPr>
                <w:sz w:val="15"/>
                <w:szCs w:val="15"/>
                <w:color w:val="auto"/>
              </w:rPr>
            </w:pPr>
          </w:p>
        </w:tc>
        <w:tc>
          <w:tcPr>
            <w:tcW w:w="9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603</w:t>
            </w:r>
          </w:p>
        </w:tc>
      </w:tr>
      <w:tr>
        <w:trPr>
          <w:trHeight w:val="168"/>
        </w:trPr>
        <w:tc>
          <w:tcPr>
            <w:tcW w:w="61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Total cash, cash equivalents and restricted cash</w:t>
            </w:r>
          </w:p>
        </w:tc>
        <w:tc>
          <w:tcPr>
            <w:tcW w:w="5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349,967</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159,920</w:t>
            </w:r>
          </w:p>
        </w:tc>
        <w:tc>
          <w:tcPr>
            <w:tcW w:w="140" w:type="dxa"/>
            <w:vAlign w:val="bottom"/>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78,598</w:t>
            </w:r>
          </w:p>
        </w:tc>
      </w:tr>
      <w:tr>
        <w:trPr>
          <w:trHeight w:val="20"/>
        </w:trPr>
        <w:tc>
          <w:tcPr>
            <w:tcW w:w="6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00"/>
          </w:cols>
          <w:pgMar w:left="320" w:top="120" w:right="379" w:bottom="1440" w:gutter="0" w:footer="0" w:header="0"/>
        </w:sectPr>
      </w:pPr>
    </w:p>
    <w:bookmarkStart w:id="97" w:name="page98"/>
    <w:bookmarkEnd w:id="97"/>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and Description of Business</w:t>
      </w:r>
    </w:p>
    <w:p>
      <w:pPr>
        <w:spacing w:after="0" w:line="233" w:lineRule="exact"/>
        <w:rPr>
          <w:sz w:val="20"/>
          <w:szCs w:val="20"/>
          <w:color w:val="auto"/>
        </w:rPr>
      </w:pPr>
    </w:p>
    <w:p>
      <w:pPr>
        <w:jc w:val="both"/>
        <w:ind w:firstLine="412"/>
        <w:spacing w:after="0" w:line="251" w:lineRule="auto"/>
        <w:rPr>
          <w:sz w:val="20"/>
          <w:szCs w:val="20"/>
          <w:color w:val="auto"/>
        </w:rPr>
      </w:pPr>
      <w:r>
        <w:rPr>
          <w:rFonts w:ascii="Times New Roman" w:cs="Times New Roman" w:eastAsia="Times New Roman" w:hAnsi="Times New Roman"/>
          <w:sz w:val="17"/>
          <w:szCs w:val="17"/>
          <w:color w:val="auto"/>
        </w:rPr>
        <w:t>Veracyte, Inc. (“Veracyte” or the “Company”) is a global genomic diagnostics company that improves patient care by providing answers to clinical questions to inform diagnosis and treatment decisions throughout the patient journey in cancer and other diseases. The Company’s growing menu of genomic tests leverage advances in genomic science and technology to change care for patients, enabling them to avoid risky, costly procedures and quicken time to appropriate treatment. With Veracyte’s exclusive global access to the nCounter Analysis System, the Company is positioned to deliver its tests to patients worldwide through laboratories and hospitals that can perform the tests locally.</w:t>
      </w:r>
    </w:p>
    <w:p>
      <w:pPr>
        <w:spacing w:after="0" w:line="201" w:lineRule="exact"/>
        <w:rPr>
          <w:sz w:val="20"/>
          <w:szCs w:val="20"/>
          <w:color w:val="auto"/>
        </w:rPr>
      </w:pPr>
    </w:p>
    <w:p>
      <w:pPr>
        <w:jc w:val="both"/>
        <w:ind w:firstLine="412"/>
        <w:spacing w:after="0" w:line="257" w:lineRule="auto"/>
        <w:rPr>
          <w:sz w:val="20"/>
          <w:szCs w:val="20"/>
          <w:color w:val="auto"/>
        </w:rPr>
      </w:pPr>
      <w:r>
        <w:rPr>
          <w:rFonts w:ascii="Times New Roman" w:cs="Times New Roman" w:eastAsia="Times New Roman" w:hAnsi="Times New Roman"/>
          <w:sz w:val="17"/>
          <w:szCs w:val="17"/>
          <w:color w:val="auto"/>
        </w:rPr>
        <w:t>Veracyte was incorporated in the state of Delaware on August 15, 2006 as Calderome, Inc. Calderome operated as an incubator until early 2008. On March 4, 2008, the Company changed its name to Veracyte, Inc. The Company’s operations are based in South San Francisco, California and Austin, Texas, and it operates in one segment.</w:t>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Company offers genomic tests in four disease areas: thyroid cancer; lung cancer; idiopathic pulmonary fibrosis, or IPF, and breast cancer.</w:t>
      </w:r>
    </w:p>
    <w:p>
      <w:pPr>
        <w:spacing w:after="0" w:line="225" w:lineRule="exact"/>
        <w:rPr>
          <w:sz w:val="20"/>
          <w:szCs w:val="20"/>
          <w:color w:val="auto"/>
        </w:rPr>
      </w:pPr>
    </w:p>
    <w:p>
      <w:pPr>
        <w:jc w:val="both"/>
        <w:ind w:left="740"/>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 xml:space="preserve">Thyroid Cancer - Afirma Genomic Sequencing Classifier and Xpression Atlas. </w:t>
      </w:r>
      <w:r>
        <w:rPr>
          <w:rFonts w:ascii="Times New Roman" w:cs="Times New Roman" w:eastAsia="Times New Roman" w:hAnsi="Times New Roman"/>
          <w:sz w:val="17"/>
          <w:szCs w:val="17"/>
          <w:color w:val="auto"/>
        </w:rPr>
        <w:t>The Company's Afirma offerings comprise the Afirma GSC and Xpression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Atlas, or Afirma XA, which help guide next steps for patients with potentially cancerous thyroid nodules. The offerings are intended to provide physicians with clinically actionable results from a single fine needle aspiration, or FNA, biopsy. The Afirma GSC was developed with RNA whole-transcriptome sequencing and machine learning, and is used to identify patients with benign thyroid nodules among those with indeterminate cytopathology results in order to rule out unnecessary thyroid surgery.</w:t>
      </w:r>
    </w:p>
    <w:p>
      <w:pPr>
        <w:spacing w:after="0" w:line="201" w:lineRule="exact"/>
        <w:rPr>
          <w:sz w:val="20"/>
          <w:szCs w:val="20"/>
          <w:color w:val="auto"/>
        </w:rPr>
      </w:pPr>
    </w:p>
    <w:p>
      <w:pPr>
        <w:jc w:val="both"/>
        <w:ind w:left="740"/>
        <w:spacing w:after="0" w:line="257" w:lineRule="auto"/>
        <w:rPr>
          <w:sz w:val="20"/>
          <w:szCs w:val="20"/>
          <w:color w:val="auto"/>
        </w:rPr>
      </w:pPr>
      <w:r>
        <w:rPr>
          <w:rFonts w:ascii="Times New Roman" w:cs="Times New Roman" w:eastAsia="Times New Roman" w:hAnsi="Times New Roman"/>
          <w:sz w:val="17"/>
          <w:szCs w:val="17"/>
          <w:color w:val="auto"/>
        </w:rPr>
        <w:t>The Afirma XA complements the Afirma GSC by providing genomic alteration content from the same FNA samples used in Afirma GSC testing to help physicians decide with greater confidence on the surgical or therapeutic pathway for their patients. The Company commercially launched the Afirma XA in 2018 and in April 2020 introduced an expanded version of the test, which includes significantly more genomic content.</w:t>
      </w:r>
    </w:p>
    <w:p>
      <w:pPr>
        <w:spacing w:after="0" w:line="192" w:lineRule="exact"/>
        <w:rPr>
          <w:sz w:val="20"/>
          <w:szCs w:val="20"/>
          <w:color w:val="auto"/>
        </w:rPr>
      </w:pPr>
    </w:p>
    <w:p>
      <w:pPr>
        <w:jc w:val="both"/>
        <w:ind w:left="740"/>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Lung Cancer - Percepta Genomic Sequencing Classifier. </w:t>
      </w:r>
      <w:r>
        <w:rPr>
          <w:rFonts w:ascii="Times New Roman" w:cs="Times New Roman" w:eastAsia="Times New Roman" w:hAnsi="Times New Roman"/>
          <w:sz w:val="17"/>
          <w:szCs w:val="17"/>
          <w:color w:val="auto"/>
        </w:rPr>
        <w:t>The Percepta classifier improves lung cancer diagnosis when diagnostic bronchoscopy results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inconclusive. This second-generation test was developed using the Company's RNA whole-transcriptome sequencing and machine learning platform and was commercially introduced in June 2019. The Percepta classifier identifies patients with lung nodules who are at low risk of cancer and may avoid further, invasive procedures as well as patients at high risk of cancer so they may obtain faster diagnosis and treatment. The test is built upon foundational "field of injury" science - through which genomic changes associated with lung cancer in current and former smokers can be identified with a simple brushing of a person's airway - without the need to sample the often hard-to-reach nodule directly.</w:t>
      </w:r>
    </w:p>
    <w:p>
      <w:pPr>
        <w:spacing w:after="0" w:line="197" w:lineRule="exact"/>
        <w:rPr>
          <w:sz w:val="20"/>
          <w:szCs w:val="20"/>
          <w:color w:val="auto"/>
        </w:rPr>
      </w:pPr>
    </w:p>
    <w:p>
      <w:pPr>
        <w:jc w:val="both"/>
        <w:ind w:left="740"/>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IPF - Envisia Genomic Classifier. </w:t>
      </w:r>
      <w:r>
        <w:rPr>
          <w:rFonts w:ascii="Times New Roman" w:cs="Times New Roman" w:eastAsia="Times New Roman" w:hAnsi="Times New Roman"/>
          <w:sz w:val="17"/>
          <w:szCs w:val="17"/>
          <w:color w:val="auto"/>
        </w:rPr>
        <w:t>The Envisia classifier improves diagnosis of IPF by helping physicians better differentiate IPF from other interstitial lung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diseases, or ILDs, without the need for surgery. The test identifies the genomic pattern of usual interstitial pneumonia, or UIP, a hallmark of IPF, with high accuracy on patient samples that are obtained through transbronchial biopsy, a nonsurgical procedure that is commonly used in lung evaluation.</w:t>
      </w:r>
    </w:p>
    <w:p>
      <w:pPr>
        <w:spacing w:after="0" w:line="189" w:lineRule="exact"/>
        <w:rPr>
          <w:sz w:val="20"/>
          <w:szCs w:val="20"/>
          <w:color w:val="auto"/>
        </w:rPr>
      </w:pPr>
    </w:p>
    <w:p>
      <w:pPr>
        <w:jc w:val="both"/>
        <w:ind w:left="740"/>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Breast Cancer - Prosigna Breast Cancer Prognostic Gene Signature Assay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Prosigna test, acquired in December 2019 through the Company's strategic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transaction with NanoString Technologies, Inc., or NanoString, uses advanced genomic technology to inform next steps for patients with early-stage breast cancer, based on the genomic make-up of their disease. The test uses a set of 50 genes known as the PAM50 gene signature and can provide a breast cancer patient and physician with a prognostic score that indicates the probability of cancer recurrence over ten years. Physicians use Prosigna to help guide therapeutic decisions so that patients receive a therapeutic intervention, such as chemotherapy, only if clinically warranted. Patient test results outside of the United States include intrinsic breast cancer subtypes to complement the risk-of-recurrence score.</w:t>
      </w:r>
    </w:p>
    <w:p>
      <w:pPr>
        <w:spacing w:after="0" w:line="201" w:lineRule="exact"/>
        <w:rPr>
          <w:sz w:val="20"/>
          <w:szCs w:val="20"/>
          <w:color w:val="auto"/>
        </w:rPr>
      </w:pPr>
    </w:p>
    <w:p>
      <w:pPr>
        <w:ind w:firstLine="450"/>
        <w:spacing w:after="0" w:line="270" w:lineRule="auto"/>
        <w:rPr>
          <w:sz w:val="20"/>
          <w:szCs w:val="20"/>
          <w:color w:val="auto"/>
        </w:rPr>
      </w:pPr>
      <w:r>
        <w:rPr>
          <w:rFonts w:ascii="Times New Roman" w:cs="Times New Roman" w:eastAsia="Times New Roman" w:hAnsi="Times New Roman"/>
          <w:sz w:val="17"/>
          <w:szCs w:val="17"/>
          <w:color w:val="auto"/>
        </w:rPr>
        <w:t>The Company performs its genomic tests for thyroid cancer, lung cancer and IPF in its CLIA-certified laboratory in South San Francisco, California. In December 2019, the Company acquired from NanoString the exclusive global diagnostics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8" w:name="page99"/>
    <w:bookmarkEnd w:id="98"/>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license to the nCounter Analysis System and the Prosigna breast cancer prognostic gene signature assay, which is commercially available, and the LymphMark lymphoma subtyping assay, which is in development. Both tests are designed for use on the nCounter Analysis System. The Prosigna test kits and associated products are sold to laboratories and hospitals in global markets.</w:t>
      </w:r>
    </w:p>
    <w:p>
      <w:pPr>
        <w:spacing w:after="0" w:line="196"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7"/>
          <w:szCs w:val="17"/>
          <w:color w:val="auto"/>
        </w:rPr>
        <w:t>The Company’s approach also provides multiple opportunities for partnerships with biopharmaceutical and diagnostic testing companies. In developing its products, the Company has built or gained access to unique biorepositories, proprietary technology and bioinformatics that it believes are important to the development of new targeted therapies, determining clinical trial eligibility and guiding treatment selection. Additionally, the Company believes that the nCounter Analysis System provides an attractive distributed platform for other diagnostic companies seeking to make their genomic tests available to global markets.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233" w:lineRule="exact"/>
        <w:rPr>
          <w:sz w:val="20"/>
          <w:szCs w:val="20"/>
          <w:color w:val="auto"/>
        </w:rPr>
      </w:pPr>
    </w:p>
    <w:p>
      <w:pPr>
        <w:jc w:val="both"/>
        <w:ind w:firstLine="412"/>
        <w:spacing w:after="0" w:line="253" w:lineRule="auto"/>
        <w:rPr>
          <w:sz w:val="20"/>
          <w:szCs w:val="20"/>
          <w:color w:val="auto"/>
        </w:rPr>
      </w:pPr>
      <w:r>
        <w:rPr>
          <w:rFonts w:ascii="Times New Roman" w:cs="Times New Roman" w:eastAsia="Times New Roman" w:hAnsi="Times New Roman"/>
          <w:sz w:val="17"/>
          <w:szCs w:val="17"/>
          <w:color w:val="auto"/>
        </w:rPr>
        <w:t>The Company's consolidated financial statements have been prepared in accordance with accounting principles generally accepted in the United States ("U.S. GAAP"). The consolidated financial statements include the accounts of the Company and its wholly-owned subsidiary, which was created in 2019 to process certain administrative functions associated with the business combination in Note 4. Business Combination. All intercompany accounts and transactions have been eliminated in consolidation.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Reclassifications</w:t>
      </w:r>
    </w:p>
    <w:p>
      <w:pPr>
        <w:spacing w:after="0" w:line="233" w:lineRule="exact"/>
        <w:rPr>
          <w:sz w:val="20"/>
          <w:szCs w:val="20"/>
          <w:color w:val="auto"/>
        </w:rPr>
      </w:pPr>
    </w:p>
    <w:p>
      <w:pPr>
        <w:jc w:val="both"/>
        <w:ind w:firstLine="412"/>
        <w:spacing w:after="0" w:line="253" w:lineRule="auto"/>
        <w:rPr>
          <w:sz w:val="20"/>
          <w:szCs w:val="20"/>
          <w:color w:val="auto"/>
        </w:rPr>
      </w:pPr>
      <w:r>
        <w:rPr>
          <w:rFonts w:ascii="Times New Roman" w:cs="Times New Roman" w:eastAsia="Times New Roman" w:hAnsi="Times New Roman"/>
          <w:sz w:val="17"/>
          <w:szCs w:val="17"/>
          <w:color w:val="auto"/>
        </w:rPr>
        <w:t>Certain prior period balances have been reclassified to conform to current period presentation of the Company’s consolidated financial statements and accompanying notes. Such reclassifications have no effect on previously reported results of operations, accumulated deficit, subtotals of operating, investing or financing cash flows or consolidated balance sheet totals; however, for the year ended December 31, 2019, the Company reclassified $1.0 million of changes in operating assets and liabilities to noncash lease expense in the statement of cash flows.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33" w:lineRule="exact"/>
        <w:rPr>
          <w:sz w:val="20"/>
          <w:szCs w:val="20"/>
          <w:color w:val="auto"/>
        </w:rPr>
      </w:pPr>
    </w:p>
    <w:p>
      <w:pPr>
        <w:jc w:val="both"/>
        <w:ind w:firstLine="412"/>
        <w:spacing w:after="0" w:line="248"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U.S. GAAP requires management to make estimates and assumptions that affect the reported amounts of assets and liabilities and disclosure of contingent liabilities as of the date of the consolidated financial statements and the reported amounts of revenue and expenses during the reporting period. Significant items subject to such estimates include: revenue recognition; write-down of supplies; the useful lives of property and equipment; the recoverability of long-lived assets; the incremental borrowing rate for leases; the estimation of the fair value of intangible assets and contingent consideration; variable interest entity assessment; impairment of equity investment, at cost; stock options; income tax uncertainties, including a valuation allowance for deferred tax assets; reserve on accounts receivable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recognized revenue and expenses that are not readily apparent from other sources. Actual results could differ from those estimates and assumptions.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w:t>
      </w:r>
    </w:p>
    <w:p>
      <w:pPr>
        <w:spacing w:after="0" w:line="233" w:lineRule="exact"/>
        <w:rPr>
          <w:sz w:val="20"/>
          <w:szCs w:val="20"/>
          <w:color w:val="auto"/>
        </w:rPr>
      </w:pPr>
    </w:p>
    <w:p>
      <w:pPr>
        <w:jc w:val="both"/>
        <w:ind w:firstLine="412"/>
        <w:spacing w:after="0" w:line="257" w:lineRule="auto"/>
        <w:rPr>
          <w:sz w:val="20"/>
          <w:szCs w:val="20"/>
          <w:color w:val="auto"/>
        </w:rPr>
      </w:pPr>
      <w:r>
        <w:rPr>
          <w:rFonts w:ascii="Times New Roman" w:cs="Times New Roman" w:eastAsia="Times New Roman" w:hAnsi="Times New Roman"/>
          <w:sz w:val="17"/>
          <w:szCs w:val="17"/>
          <w:color w:val="auto"/>
        </w:rPr>
        <w:t>The Company has incurred net losses since its inception and as of December 31, 2020, the Company had an accumulated deficit of $281.6 million. The Company believes its cash and cash equivalents of $349.4 million as of December 31, 2020, its February 2021 equity offering, and its revenue from sales in 2021 will be sufficient to meet its anticipated cash requirements through at least February 2022.</w:t>
      </w:r>
    </w:p>
    <w:p>
      <w:pPr>
        <w:spacing w:after="0" w:line="196" w:lineRule="exact"/>
        <w:rPr>
          <w:sz w:val="20"/>
          <w:szCs w:val="20"/>
          <w:color w:val="auto"/>
        </w:rPr>
      </w:pPr>
    </w:p>
    <w:p>
      <w:pPr>
        <w:jc w:val="both"/>
        <w:ind w:firstLine="412"/>
        <w:spacing w:after="0" w:line="270" w:lineRule="auto"/>
        <w:rPr>
          <w:sz w:val="20"/>
          <w:szCs w:val="20"/>
          <w:color w:val="auto"/>
        </w:rPr>
      </w:pPr>
      <w:r>
        <w:rPr>
          <w:rFonts w:ascii="Times New Roman" w:cs="Times New Roman" w:eastAsia="Times New Roman" w:hAnsi="Times New Roman"/>
          <w:sz w:val="17"/>
          <w:szCs w:val="17"/>
          <w:color w:val="auto"/>
        </w:rPr>
        <w:t>In February 2021, we entered into an agreement to acquire Decipher Biosciences, Inc., or Decipher, for $600 million in cash. See Note 15. Subsequent Events for more information on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9" w:name="page100"/>
    <w:bookmarkEnd w:id="99"/>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95"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On February 9, 2021, the Company issued and sold 8,547,297 shares of common stock in a registered public offering, including 1,114,864 shares issued and sold upon the underwriters' exercise in full of their option to purchase additional shares, at a price to the public of $74.00 per share. The Company's net proceeds from the offering were $593.8 million, after deducting underwriting commissions and offering expenses of $38.7 million.</w:t>
      </w:r>
    </w:p>
    <w:p>
      <w:pPr>
        <w:spacing w:after="0" w:line="196"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In August 2020, the Company issued and sold 6,900,000 shares of common stock in a registered public offering, including 900,000 shares issued and sold upon the underwriters' exercise in full of their option to purchase additional shares, at a price to the public of $30.00 per share. The Company's net proceeds from the offering were approximately $193.8 million, after deducting underwriting commissions and offering expenses of $13.2 million.</w:t>
      </w:r>
    </w:p>
    <w:p>
      <w:pPr>
        <w:spacing w:after="0" w:line="196" w:lineRule="exact"/>
        <w:rPr>
          <w:sz w:val="20"/>
          <w:szCs w:val="20"/>
          <w:color w:val="auto"/>
        </w:rPr>
      </w:pPr>
    </w:p>
    <w:p>
      <w:pPr>
        <w:jc w:val="both"/>
        <w:ind w:firstLine="412"/>
        <w:spacing w:after="0" w:line="257" w:lineRule="auto"/>
        <w:rPr>
          <w:sz w:val="20"/>
          <w:szCs w:val="20"/>
          <w:color w:val="auto"/>
        </w:rPr>
      </w:pPr>
      <w:r>
        <w:rPr>
          <w:rFonts w:ascii="Times New Roman" w:cs="Times New Roman" w:eastAsia="Times New Roman" w:hAnsi="Times New Roman"/>
          <w:sz w:val="17"/>
          <w:szCs w:val="17"/>
          <w:color w:val="auto"/>
        </w:rPr>
        <w:t>In May 2019, the Company issued and sold 6,325,000 shares of common stock in a registered public offering, including 825,000 shares issued and sold upon the underwriters' exercise in full of their option to purchase additional shares, at a price to the public of $23.25 per share. The Company's net proceeds from the offering were approximately $137.8 million, after deducting underwriting commissions and offering expenses of $9.2 million.</w:t>
      </w:r>
    </w:p>
    <w:p>
      <w:pPr>
        <w:spacing w:after="0" w:line="196" w:lineRule="exact"/>
        <w:rPr>
          <w:sz w:val="20"/>
          <w:szCs w:val="20"/>
          <w:color w:val="auto"/>
        </w:rPr>
      </w:pPr>
    </w:p>
    <w:p>
      <w:pPr>
        <w:jc w:val="both"/>
        <w:ind w:firstLine="412"/>
        <w:spacing w:after="0" w:line="257" w:lineRule="auto"/>
        <w:rPr>
          <w:sz w:val="20"/>
          <w:szCs w:val="20"/>
          <w:color w:val="auto"/>
        </w:rPr>
      </w:pPr>
      <w:r>
        <w:rPr>
          <w:rFonts w:ascii="Times New Roman" w:cs="Times New Roman" w:eastAsia="Times New Roman" w:hAnsi="Times New Roman"/>
          <w:sz w:val="17"/>
          <w:szCs w:val="17"/>
          <w:color w:val="auto"/>
        </w:rPr>
        <w:t>In July 2018, the Company issued and sold 5,750,000 shares of common stock in a registered public offering, including 750,000 shares issued and sold upon the underwriters' exercise in full of their option to purchase additional shares, at a price to the public of $10.25 per share. The Company's net proceeds from the offering were approximately $55.0 million, after deducting underwriting commissions and offering expenses of $3.9 million.</w:t>
      </w:r>
    </w:p>
    <w:p>
      <w:pPr>
        <w:spacing w:after="0" w:line="196" w:lineRule="exact"/>
        <w:rPr>
          <w:sz w:val="20"/>
          <w:szCs w:val="20"/>
          <w:color w:val="auto"/>
        </w:rPr>
      </w:pPr>
    </w:p>
    <w:p>
      <w:pPr>
        <w:jc w:val="both"/>
        <w:ind w:firstLine="412"/>
        <w:spacing w:after="0" w:line="270" w:lineRule="auto"/>
        <w:rPr>
          <w:sz w:val="20"/>
          <w:szCs w:val="20"/>
          <w:color w:val="auto"/>
        </w:rPr>
      </w:pPr>
      <w:r>
        <w:rPr>
          <w:rFonts w:ascii="Times New Roman" w:cs="Times New Roman" w:eastAsia="Times New Roman" w:hAnsi="Times New Roman"/>
          <w:sz w:val="17"/>
          <w:szCs w:val="17"/>
          <w:color w:val="auto"/>
        </w:rPr>
        <w:t>In November 2017, the Company entered into a Loan and Security Agreement and drew down a term loan advance of $25.0 million of which the entire amount was used to pay the outstanding balance of the Company's previous long-term debt as discussed in Note 8. Debt.</w:t>
      </w:r>
    </w:p>
    <w:p>
      <w:pPr>
        <w:spacing w:after="0" w:line="184" w:lineRule="exact"/>
        <w:rPr>
          <w:sz w:val="20"/>
          <w:szCs w:val="20"/>
          <w:color w:val="auto"/>
        </w:rPr>
      </w:pPr>
    </w:p>
    <w:p>
      <w:pPr>
        <w:jc w:val="both"/>
        <w:ind w:firstLine="412"/>
        <w:spacing w:after="0" w:line="251" w:lineRule="auto"/>
        <w:rPr>
          <w:sz w:val="20"/>
          <w:szCs w:val="20"/>
          <w:color w:val="auto"/>
        </w:rPr>
      </w:pPr>
      <w:r>
        <w:rPr>
          <w:rFonts w:ascii="Times New Roman" w:cs="Times New Roman" w:eastAsia="Times New Roman" w:hAnsi="Times New Roman"/>
          <w:sz w:val="17"/>
          <w:szCs w:val="17"/>
          <w:color w:val="auto"/>
        </w:rPr>
        <w:t>If the Company is not able to generate cash proceeds from revenue sufficient to satisfy its cash obligations, the Company will need to finance future cash needs primarily through public or private equity offerings, debt financings, borrowings or strategic collaborations or licensing arrangements. If the Company is not able to secure additional funding when needed, on acceptable terms, it may have to delay, reduce the scope of or eliminate one or more research and development programs or selling and marketing initiatives which may have a material adverse effect on the Company's business, results of operations, financial condition and/or its ability to fund its scheduled obligations on a timely basis or at all.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Credit Risk and Other Risks and Uncertainties</w:t>
      </w:r>
    </w:p>
    <w:p>
      <w:pPr>
        <w:spacing w:after="0" w:line="233" w:lineRule="exact"/>
        <w:rPr>
          <w:sz w:val="20"/>
          <w:szCs w:val="20"/>
          <w:color w:val="auto"/>
        </w:rPr>
      </w:pPr>
    </w:p>
    <w:p>
      <w:pPr>
        <w:jc w:val="both"/>
        <w:ind w:firstLine="412"/>
        <w:spacing w:after="0" w:line="251" w:lineRule="auto"/>
        <w:rPr>
          <w:sz w:val="20"/>
          <w:szCs w:val="20"/>
          <w:color w:val="auto"/>
        </w:rPr>
      </w:pPr>
      <w:r>
        <w:rPr>
          <w:rFonts w:ascii="Times New Roman" w:cs="Times New Roman" w:eastAsia="Times New Roman" w:hAnsi="Times New Roman"/>
          <w:sz w:val="17"/>
          <w:szCs w:val="17"/>
          <w:color w:val="auto"/>
        </w:rPr>
        <w:t>The worldwide spread of coronavirus, or COVID-19, has created significant uncertainty in the global economy. There have been no comparable recent events that provide guidance as to the effect the spread of COVID-19 as a global pandemic may have, and, as a result, the ultimate impact of COVID-19 and the extent to which COVID-19 impacts the Company’s business, results of operations and financial condition will depend on future developments, which are highly uncertain and difficult to predict. If the financial markets or the overall economy are impacted for an extended period, the Company’s liquidity, revenues, supplies, goodwill and intangibles may be adversely affected. The Company considers the effects of the COVID-19 pandemic in developing our estimates.</w:t>
      </w:r>
    </w:p>
    <w:p>
      <w:pPr>
        <w:spacing w:after="0" w:line="201" w:lineRule="exact"/>
        <w:rPr>
          <w:sz w:val="20"/>
          <w:szCs w:val="20"/>
          <w:color w:val="auto"/>
        </w:rPr>
      </w:pPr>
    </w:p>
    <w:p>
      <w:pPr>
        <w:jc w:val="both"/>
        <w:ind w:firstLine="412"/>
        <w:spacing w:after="0" w:line="270" w:lineRule="auto"/>
        <w:rPr>
          <w:sz w:val="20"/>
          <w:szCs w:val="20"/>
          <w:color w:val="auto"/>
        </w:rPr>
      </w:pPr>
      <w:r>
        <w:rPr>
          <w:rFonts w:ascii="Times New Roman" w:cs="Times New Roman" w:eastAsia="Times New Roman" w:hAnsi="Times New Roman"/>
          <w:sz w:val="17"/>
          <w:szCs w:val="17"/>
          <w:color w:val="auto"/>
        </w:rPr>
        <w:t>The majority of the Company's cash and cash equivalents are deposited with one major financial institution in the United States. Deposits in this institution may exceed the amount of insurance provided on such deposits. The Company has not experienced any losses on its deposits of cash and cash equivalents.</w:t>
      </w:r>
    </w:p>
    <w:p>
      <w:pPr>
        <w:spacing w:after="0" w:line="184" w:lineRule="exact"/>
        <w:rPr>
          <w:sz w:val="20"/>
          <w:szCs w:val="20"/>
          <w:color w:val="auto"/>
        </w:rPr>
      </w:pPr>
    </w:p>
    <w:p>
      <w:pPr>
        <w:jc w:val="both"/>
        <w:ind w:firstLine="412"/>
        <w:spacing w:after="0" w:line="257" w:lineRule="auto"/>
        <w:rPr>
          <w:sz w:val="20"/>
          <w:szCs w:val="20"/>
          <w:color w:val="auto"/>
        </w:rPr>
      </w:pPr>
      <w:r>
        <w:rPr>
          <w:rFonts w:ascii="Times New Roman" w:cs="Times New Roman" w:eastAsia="Times New Roman" w:hAnsi="Times New Roman"/>
          <w:sz w:val="17"/>
          <w:szCs w:val="17"/>
          <w:color w:val="auto"/>
        </w:rPr>
        <w:t>Several of the components of the Company's sample collection kit and test reagents, and its nCounter Analysis Systems and related test kits are obtained from single-source suppliers. If these single-source suppliers fail to satisfy the Company's requirements on a timely basis, it could suffer delays in being able to deliver its diagnostic solutions, a possible loss of revenue, or incur higher costs, any of which could adversely affect its operating results.</w:t>
      </w:r>
    </w:p>
    <w:p>
      <w:pPr>
        <w:spacing w:after="0" w:line="196" w:lineRule="exact"/>
        <w:rPr>
          <w:sz w:val="20"/>
          <w:szCs w:val="20"/>
          <w:color w:val="auto"/>
        </w:rPr>
      </w:pPr>
    </w:p>
    <w:p>
      <w:pPr>
        <w:jc w:val="both"/>
        <w:ind w:firstLine="412"/>
        <w:spacing w:after="0" w:line="281" w:lineRule="auto"/>
        <w:rPr>
          <w:sz w:val="20"/>
          <w:szCs w:val="20"/>
          <w:color w:val="auto"/>
        </w:rPr>
      </w:pPr>
      <w:r>
        <w:rPr>
          <w:rFonts w:ascii="Times New Roman" w:cs="Times New Roman" w:eastAsia="Times New Roman" w:hAnsi="Times New Roman"/>
          <w:sz w:val="16"/>
          <w:szCs w:val="16"/>
          <w:color w:val="auto"/>
        </w:rPr>
        <w:t>The Company is also subject to credit risk from its accounts receivable related to its sales. Credit risk for accounts receivable from testing revenue is incorporated in testing revenue accrual rates as the Company assesses historical collection rates and current developments to determine accrual rates and amounts the Company will ultimately collect. The Company generally does not perform evaluations of customers’ financial condition for testing revenue and generally does not require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0" w:name="page101"/>
    <w:bookmarkEnd w:id="100"/>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collateral. The Company assesses credit risk and the amount of accounts receivable the Company will ultimately collect for product, biopharmaceutical and collaboration revenue based on collection history, current developments and credit worthiness of the customer. The estimate of credit losses is not material at December 31, 2020.</w:t>
      </w:r>
    </w:p>
    <w:p>
      <w:pPr>
        <w:spacing w:after="0" w:line="196" w:lineRule="exact"/>
        <w:rPr>
          <w:sz w:val="20"/>
          <w:szCs w:val="20"/>
          <w:color w:val="auto"/>
        </w:rPr>
      </w:pPr>
    </w:p>
    <w:p>
      <w:pPr>
        <w:jc w:val="both"/>
        <w:ind w:firstLine="412"/>
        <w:spacing w:after="0" w:line="257" w:lineRule="auto"/>
        <w:rPr>
          <w:sz w:val="20"/>
          <w:szCs w:val="20"/>
          <w:color w:val="auto"/>
        </w:rPr>
      </w:pPr>
      <w:r>
        <w:rPr>
          <w:rFonts w:ascii="Times New Roman" w:cs="Times New Roman" w:eastAsia="Times New Roman" w:hAnsi="Times New Roman"/>
          <w:sz w:val="17"/>
          <w:szCs w:val="17"/>
          <w:color w:val="auto"/>
        </w:rPr>
        <w:t>Through December 31, 2020, most of the Company's revenue have been derived from the sale of Afirma. To date, Afirma has been delivered primarily to physicians in the United States. The Company's third-party payers and other customers in excess of 10% of revenue and their related revenue as a percentage of total revenue were as follows: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500" w:type="dxa"/>
            <w:vAlign w:val="bottom"/>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500" w:type="dxa"/>
            <w:vAlign w:val="bottom"/>
            <w:tcBorders>
              <w:bottom w:val="single" w:sz="8" w:color="auto"/>
            </w:tcBorders>
          </w:tcPr>
          <w:p>
            <w:pPr>
              <w:spacing w:after="0"/>
              <w:rPr>
                <w:sz w:val="15"/>
                <w:szCs w:val="15"/>
                <w:color w:val="auto"/>
              </w:rPr>
            </w:pPr>
          </w:p>
        </w:tc>
      </w:tr>
      <w:tr>
        <w:trPr>
          <w:trHeight w:val="172"/>
        </w:trPr>
        <w:tc>
          <w:tcPr>
            <w:tcW w:w="650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205"/>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Medicare</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26 %</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29 %</w:t>
            </w:r>
          </w:p>
        </w:tc>
      </w:tr>
      <w:tr>
        <w:trPr>
          <w:trHeight w:val="212"/>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UnitedHealthcare</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12 %</w:t>
            </w:r>
          </w:p>
        </w:tc>
      </w:tr>
      <w:tr>
        <w:trPr>
          <w:trHeight w:val="230"/>
        </w:trPr>
        <w:tc>
          <w:tcPr>
            <w:tcW w:w="65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37 %</w:t>
            </w: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12"/>
        <w:spacing w:after="0" w:line="270" w:lineRule="auto"/>
        <w:rPr>
          <w:sz w:val="20"/>
          <w:szCs w:val="20"/>
          <w:color w:val="auto"/>
        </w:rPr>
      </w:pPr>
      <w:r>
        <w:rPr>
          <w:rFonts w:ascii="Times New Roman" w:cs="Times New Roman" w:eastAsia="Times New Roman" w:hAnsi="Times New Roman"/>
          <w:sz w:val="17"/>
          <w:szCs w:val="17"/>
          <w:color w:val="auto"/>
        </w:rPr>
        <w:t>The Company's significant third-party payers and other customers in excess of 10% of total accounts receivable and their related accounts receivable balance as a percentage of total accounts receivable were as follows:</w:t>
      </w:r>
    </w:p>
    <w:p>
      <w:pPr>
        <w:spacing w:after="0" w:line="341"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3"/>
          <w:szCs w:val="13"/>
          <w:b w:val="1"/>
          <w:bCs w:val="1"/>
          <w:color w:val="auto"/>
        </w:rPr>
        <w:t>As of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06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2020</w:t>
            </w:r>
          </w:p>
        </w:tc>
        <w:tc>
          <w:tcPr>
            <w:tcW w:w="5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54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13"/>
                <w:szCs w:val="13"/>
                <w:b w:val="1"/>
                <w:bCs w:val="1"/>
                <w:color w:val="auto"/>
              </w:rPr>
              <w:t>2019</w:t>
            </w:r>
          </w:p>
        </w:tc>
      </w:tr>
      <w:tr>
        <w:trPr>
          <w:trHeight w:val="205"/>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Medicare</w:t>
            </w: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r>
      <w:tr>
        <w:trPr>
          <w:trHeight w:val="212"/>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UnitedHealthcare</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9 %</w:t>
            </w:r>
          </w:p>
        </w:tc>
      </w:tr>
      <w:tr>
        <w:trPr>
          <w:trHeight w:val="212"/>
        </w:trPr>
        <w:tc>
          <w:tcPr>
            <w:tcW w:w="9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Johnson and Johnson Services, Inc.</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16"/>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less than 10%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Equivalents</w:t>
      </w:r>
    </w:p>
    <w:p>
      <w:pPr>
        <w:spacing w:after="0" w:line="233" w:lineRule="exact"/>
        <w:rPr>
          <w:sz w:val="20"/>
          <w:szCs w:val="20"/>
          <w:color w:val="auto"/>
        </w:rPr>
      </w:pPr>
    </w:p>
    <w:p>
      <w:pPr>
        <w:jc w:val="both"/>
        <w:ind w:firstLine="412"/>
        <w:spacing w:after="0" w:line="250" w:lineRule="auto"/>
        <w:rPr>
          <w:sz w:val="20"/>
          <w:szCs w:val="20"/>
          <w:color w:val="auto"/>
        </w:rPr>
      </w:pPr>
      <w:r>
        <w:rPr>
          <w:rFonts w:ascii="Times New Roman" w:cs="Times New Roman" w:eastAsia="Times New Roman" w:hAnsi="Times New Roman"/>
          <w:sz w:val="17"/>
          <w:szCs w:val="17"/>
          <w:color w:val="auto"/>
        </w:rPr>
        <w:t>Cash equivalents consist of short-term, highly liquid investments with original maturities of three months or less from the date of purchase. Cash equivalents consist of amounts invested in a money market account primarily consisting of U.S. Treasury reserves, and overnight reverse repurchase agreements which are tri-party repurchase agreements and are collateralized by U.S. Treasury and agency securities of at least 102% of the principal amount. In a tri-party repurchase agreement, a third-party custodian bank functions as an independent intermediary to facilitate transfer of cash and holding the collateral on behalf of the underlying investor for the term of the agreement thereby minimizing risk and exposure to both parties. These overnight reverse repurchase agreements are included within cash equivalents due to their high liquidity and relatively low risk.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Cash</w:t>
      </w:r>
    </w:p>
    <w:p>
      <w:pPr>
        <w:spacing w:after="0" w:line="233" w:lineRule="exact"/>
        <w:rPr>
          <w:sz w:val="20"/>
          <w:szCs w:val="20"/>
          <w:color w:val="auto"/>
        </w:rPr>
      </w:pPr>
    </w:p>
    <w:p>
      <w:pPr>
        <w:jc w:val="both"/>
        <w:ind w:firstLine="412"/>
        <w:spacing w:after="0" w:line="270" w:lineRule="auto"/>
        <w:rPr>
          <w:sz w:val="20"/>
          <w:szCs w:val="20"/>
          <w:color w:val="auto"/>
        </w:rPr>
      </w:pPr>
      <w:r>
        <w:rPr>
          <w:rFonts w:ascii="Times New Roman" w:cs="Times New Roman" w:eastAsia="Times New Roman" w:hAnsi="Times New Roman"/>
          <w:sz w:val="17"/>
          <w:szCs w:val="17"/>
          <w:color w:val="auto"/>
        </w:rPr>
        <w:t>The Company had deposits of $603,000 included in long-term assets as of December 31, 2020 and December 31, 2019, restricted from withdrawal and held by a bank in the form of collateral for an irrevocable standby letter of credit held as security for the lease of the Company's South San Francisco facility.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Acquisitions</w:t>
      </w:r>
    </w:p>
    <w:p>
      <w:pPr>
        <w:spacing w:after="0" w:line="233"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The Company first determines whether a set of assets acquired and liabilities assumed constitute a business and should be accounted for as a business combination. If the assets acquired are not a business, the Company accounts for the transaction as an asset acquisition. Business combinations are accounted for by using the acquisition method of accounting. Under the acquisition method, assets acquired, and liabilities assumed are recorded at their respective fair values as of the acquisition date in our consolidated financial statements. The excess of the fair value of consideration transferred over the fair value of the net assets acquired is recorded as goodwill. Contingent consideration obligations incurred in connection with a business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1" w:name="page102"/>
    <w:bookmarkEnd w:id="101"/>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9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combination are recorded at fair value on the acquisition date and remeasured at each subsequent reporting period until the related contingencies are resolved, with the resulting changes in fair value recorded in earnings.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 and Allowance for Doubtful Accounts for Product Sales</w:t>
      </w:r>
    </w:p>
    <w:p>
      <w:pPr>
        <w:spacing w:after="0" w:line="233"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Accounts receivable are stated at the amount management expects to collect from customers based on their outstanding invoices. Management reviews accounts receivable regularly to determine if any receivable will potentially be uncollectible and to estimate the amount of allowance for doubtful accounts necessary to reduce accounts receivable to its estimated net realizable value by analyzing the status of significant past due receivables. Product sales commenced in December 2019 and there was no allowance for doubtful accounts at either December 31, 2020 or 2019.</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Investment</w:t>
      </w:r>
    </w:p>
    <w:p>
      <w:pPr>
        <w:spacing w:after="0" w:line="233" w:lineRule="exact"/>
        <w:rPr>
          <w:sz w:val="20"/>
          <w:szCs w:val="20"/>
          <w:color w:val="auto"/>
        </w:rPr>
      </w:pPr>
    </w:p>
    <w:p>
      <w:pPr>
        <w:jc w:val="both"/>
        <w:ind w:firstLine="412"/>
        <w:spacing w:after="0" w:line="248" w:lineRule="auto"/>
        <w:rPr>
          <w:sz w:val="20"/>
          <w:szCs w:val="20"/>
          <w:color w:val="auto"/>
        </w:rPr>
      </w:pPr>
      <w:r>
        <w:rPr>
          <w:rFonts w:ascii="Times New Roman" w:cs="Times New Roman" w:eastAsia="Times New Roman" w:hAnsi="Times New Roman"/>
          <w:sz w:val="17"/>
          <w:szCs w:val="17"/>
          <w:color w:val="auto"/>
        </w:rPr>
        <w:t xml:space="preserve">In July 2020, the Company invested $1.0 million in the preferred stock of MAVIDx, Inc., or MAVIDx, a company developing a diagnostic platform for infectious diseases testing. MAVIDx is a variable interest entity, or VIE, and the Company's investment is a variable interest. The Company has determined that it is not the primary beneficiary of the VIE due to the fact that the Company does not have the power to direct the activities that impact the economic performance of MAVIDx or the obligation to fund its operations with ongoing financial support or contributions. MAVIDx is a private company and its equity securities are not traded or quoted in any securities exchange or in the over-the-counter market, and therefore does not have a readily determinable fair value. As such, the Company has elected to measure its investment in the preferred stock at cost, less any impairment, plus or minus changes resulting from observable price changes in orderly transactions for an identical or similar equity financings of MAVIDx, in accordance with Accounting Standards Codification, or ASC 321, </w:t>
      </w:r>
      <w:r>
        <w:rPr>
          <w:rFonts w:ascii="Times New Roman" w:cs="Times New Roman" w:eastAsia="Times New Roman" w:hAnsi="Times New Roman"/>
          <w:sz w:val="17"/>
          <w:szCs w:val="17"/>
          <w:i w:val="1"/>
          <w:iCs w:val="1"/>
          <w:color w:val="auto"/>
        </w:rPr>
        <w:t>Investments—Equity Securities</w:t>
      </w:r>
      <w:r>
        <w:rPr>
          <w:rFonts w:ascii="Times New Roman" w:cs="Times New Roman" w:eastAsia="Times New Roman" w:hAnsi="Times New Roman"/>
          <w:sz w:val="17"/>
          <w:szCs w:val="17"/>
          <w:color w:val="auto"/>
        </w:rPr>
        <w:t>. Based on the recent fourth quarter operating performance of MAVIDx and the volatile nature of the market in which it operates, the Company determined that the investment in MAVIDx is fully impaired as of December 31, 2020. As a result, an impairment loss of $1.0 million was recorded in the fourth quarter of 2020 and is included in general and administrative expense in the consolidated statements of operations and comprehensive loss.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w:t>
      </w:r>
    </w:p>
    <w:p>
      <w:pPr>
        <w:spacing w:after="0" w:line="233" w:lineRule="exact"/>
        <w:rPr>
          <w:sz w:val="20"/>
          <w:szCs w:val="20"/>
          <w:color w:val="auto"/>
        </w:rPr>
      </w:pPr>
    </w:p>
    <w:p>
      <w:pPr>
        <w:jc w:val="both"/>
        <w:ind w:firstLine="412"/>
        <w:spacing w:after="0" w:line="251" w:lineRule="auto"/>
        <w:rPr>
          <w:sz w:val="20"/>
          <w:szCs w:val="20"/>
          <w:color w:val="auto"/>
        </w:rPr>
      </w:pPr>
      <w:r>
        <w:rPr>
          <w:rFonts w:ascii="Times New Roman" w:cs="Times New Roman" w:eastAsia="Times New Roman" w:hAnsi="Times New Roman"/>
          <w:sz w:val="17"/>
          <w:szCs w:val="17"/>
          <w:color w:val="auto"/>
        </w:rPr>
        <w:t>Property and equipment are stated at cost less accumulated depreciation and amortization. Depreciation is computed using the straight-line method over the estimated useful lives of the assets, generally between three and five years. Leasehold improvements are amortized using the straight-line method over the shorter of the estimated useful life of the asset or the term of the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the statements of operations and comprehensive loss in the period realized.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Finite-lived Intangible Assets</w:t>
      </w:r>
    </w:p>
    <w:p>
      <w:pPr>
        <w:spacing w:after="0" w:line="233" w:lineRule="exact"/>
        <w:rPr>
          <w:sz w:val="20"/>
          <w:szCs w:val="20"/>
          <w:color w:val="auto"/>
        </w:rPr>
      </w:pPr>
    </w:p>
    <w:p>
      <w:pPr>
        <w:jc w:val="both"/>
        <w:ind w:firstLine="412"/>
        <w:spacing w:after="0" w:line="253" w:lineRule="auto"/>
        <w:rPr>
          <w:sz w:val="20"/>
          <w:szCs w:val="20"/>
          <w:color w:val="auto"/>
        </w:rPr>
      </w:pPr>
      <w:r>
        <w:rPr>
          <w:rFonts w:ascii="Times New Roman" w:cs="Times New Roman" w:eastAsia="Times New Roman" w:hAnsi="Times New Roman"/>
          <w:sz w:val="17"/>
          <w:szCs w:val="17"/>
          <w:color w:val="auto"/>
        </w:rPr>
        <w:t>Finite-lived intangible assets consist of intangible assets acquired as part of business combinations. The Company amortizes finite-lived intangible assets using the straight-line method over their estimated useful lives of 5 to 15 years, based on management's estimate of the period over which their economic benefits will be realized, product life and patent life. The Company tests these finite-lived intangible assets for impairment when events or circumstances indicate a reduction in the fair value below their carrying amounts. There was no impairment for the years ended December 31, 2020, 2019 or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2" w:name="page103"/>
    <w:bookmarkEnd w:id="102"/>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233" w:lineRule="exact"/>
        <w:rPr>
          <w:sz w:val="20"/>
          <w:szCs w:val="20"/>
          <w:color w:val="auto"/>
        </w:rPr>
      </w:pPr>
    </w:p>
    <w:p>
      <w:pPr>
        <w:jc w:val="both"/>
        <w:ind w:firstLine="412"/>
        <w:spacing w:after="0" w:line="248" w:lineRule="auto"/>
        <w:rPr>
          <w:sz w:val="20"/>
          <w:szCs w:val="20"/>
          <w:color w:val="auto"/>
        </w:rPr>
      </w:pPr>
      <w:r>
        <w:rPr>
          <w:rFonts w:ascii="Times New Roman" w:cs="Times New Roman" w:eastAsia="Times New Roman" w:hAnsi="Times New Roman"/>
          <w:sz w:val="17"/>
          <w:szCs w:val="17"/>
          <w:color w:val="auto"/>
        </w:rPr>
        <w:t>Goodwill, derived from the Company's acquisition of Allegro Diagnostics Corp. in September 2014 and the exclusive global diagnostics license to the NanoString nCounter Analysis System and Prosigna and LymphMark assays in December 2019, is reviewed for impairment on an annual basis or more frequently if events or circumstances indicate that it may be impaired. The Company's goodwill evaluation is done annually on October 31 and is based on both qualitative and quantitative assessments regarding the fair value of goodwill relative to its carrying value. The Company has determined that it operates in a single segment and has a single reporting unit associated with the development and commercialization of diagnostic products. In the event the Company determines that it is more likely than not the carrying value of the reporting unit is higher than its fair value, quantitative testing is performed comparing recorded values to estimated fair values. If impairment is present, the impairment loss is measured as the excess of the recorded goodwill over its implied fair value. There was no impairment for the years ended December 31, 2020, 2019 or 2018.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233" w:lineRule="exact"/>
        <w:rPr>
          <w:sz w:val="20"/>
          <w:szCs w:val="20"/>
          <w:color w:val="auto"/>
        </w:rPr>
      </w:pPr>
    </w:p>
    <w:p>
      <w:pPr>
        <w:jc w:val="both"/>
        <w:ind w:firstLine="412"/>
        <w:spacing w:after="0" w:line="270" w:lineRule="auto"/>
        <w:rPr>
          <w:sz w:val="20"/>
          <w:szCs w:val="20"/>
          <w:color w:val="auto"/>
        </w:rPr>
      </w:pPr>
      <w:r>
        <w:rPr>
          <w:rFonts w:ascii="Times New Roman" w:cs="Times New Roman" w:eastAsia="Times New Roman" w:hAnsi="Times New Roman"/>
          <w:sz w:val="17"/>
          <w:szCs w:val="17"/>
          <w:color w:val="auto"/>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See Note 6. Fair Value Measurements for further information on the fair value of the Company’s 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Testing Revenue</w:t>
      </w:r>
    </w:p>
    <w:p>
      <w:pPr>
        <w:spacing w:after="0" w:line="231" w:lineRule="exact"/>
        <w:rPr>
          <w:sz w:val="20"/>
          <w:szCs w:val="20"/>
          <w:color w:val="auto"/>
        </w:rPr>
      </w:pPr>
    </w:p>
    <w:p>
      <w:pPr>
        <w:jc w:val="both"/>
        <w:ind w:firstLine="375"/>
        <w:spacing w:after="0" w:line="249" w:lineRule="auto"/>
        <w:rPr>
          <w:sz w:val="20"/>
          <w:szCs w:val="20"/>
          <w:color w:val="auto"/>
        </w:rPr>
      </w:pPr>
      <w:r>
        <w:rPr>
          <w:rFonts w:ascii="Times New Roman" w:cs="Times New Roman" w:eastAsia="Times New Roman" w:hAnsi="Times New Roman"/>
          <w:sz w:val="17"/>
          <w:szCs w:val="17"/>
          <w:color w:val="auto"/>
        </w:rPr>
        <w:t xml:space="preserve">The Company recognizes testing revenue in accordance with the provisions of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or ASC 606. Most of the Company’s revenue is generated from the provision of testing services. These services are completed upon the delivery of test results to the prescribing physician, at which time the Company bills for the services. The Company recognizes revenue related to billings based on estimates of the amount that will ultimately be realized. In determining the amount to accrue for a delivered test, the Company considers factors such as payment history, payer coverage, whether there is a reimbursement contract between the payer and the Company, payment as a percentage of agreed upon rate (if applicable), amount paid per test and any current developments or changes that could impact reimbursement. These estimates require significant judgment by management.</w:t>
      </w:r>
    </w:p>
    <w:p>
      <w:pPr>
        <w:jc w:val="both"/>
        <w:ind w:firstLine="375"/>
        <w:spacing w:after="0" w:line="247" w:lineRule="auto"/>
        <w:rPr>
          <w:sz w:val="20"/>
          <w:szCs w:val="20"/>
          <w:color w:val="auto"/>
        </w:rPr>
      </w:pPr>
      <w:r>
        <w:rPr>
          <w:rFonts w:ascii="Times New Roman" w:cs="Times New Roman" w:eastAsia="Times New Roman" w:hAnsi="Times New Roman"/>
          <w:sz w:val="17"/>
          <w:szCs w:val="17"/>
          <w:color w:val="auto"/>
        </w:rPr>
        <w:t>During 2020, the Company changed its testing revenue estimates due to actual and anticipated cash collections for tests delivered in 2019 or prior years and recognized additional revenue of $1.5 million, which resulted in a decrease in the Company's loss from operations of $1.5 million and a decrease in loss per share of $0.02 for the year ended December 31, 2020.</w:t>
      </w:r>
    </w:p>
    <w:p>
      <w:pPr>
        <w:spacing w:after="0" w:line="204"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During 2019, the Company changed its testing revenue estimates due to actual and anticipated cash collections for tests delivered in 2018 or prior years and recognized additional revenue of $1.6 million, which resulted in a decrease in the Company's loss from operations of $1.6 million and a decrease in loss per share of $0.04 for the year ended December 31, 2019.</w:t>
      </w:r>
    </w:p>
    <w:p>
      <w:pPr>
        <w:spacing w:after="0" w:line="196"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During 2018, the Company changed its testing revenue estimates due to actual and anticipated cash collections for tests delivered in 2017 or prior years and recognized additional revenue of $1.4 million, which resulted in a decrease in the Company's loss from operations of $1.4 million and a decrease in loss per share of $0.04 for the year ended December 31, 2018.</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 Revenue</w:t>
      </w:r>
    </w:p>
    <w:p>
      <w:pPr>
        <w:spacing w:after="0" w:line="233"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The Company began recognizing product revenue in December 2019, when the Company executed an agreement with NanoString for the exclusive global license to the nCounter Analysis System for diagnostic use. More details on this agreement are in Note 4. Business Combination.</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3" w:name="page104"/>
    <w:bookmarkEnd w:id="103"/>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Product revenue from instruments and diagnostic kits is recognized generally upon shipment or when the instrument is ready for use by the end customer, which is when title of the product has been transferred to the customer.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the Company has transferred control of a product to the customer, meaning the customer has the ability to use and obtain the benefit of the product. The Company recognizes product revenue for satisfied performance obligations only when there are no uncertainties regarding payment terms or transfer of control. Shipping and handling costs incurred for product shipments are charged to the Company's customers and included in product revenue. Revenues are presented net of the taxes that are collected from customers and remitted to governmental authorities. There was no revenue from instrument sales for the years ended December 31, 2020, 2019 or 2018.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Biopharmaceutical and Collaboration Revenue</w:t>
      </w:r>
    </w:p>
    <w:p>
      <w:pPr>
        <w:spacing w:after="0" w:line="233" w:lineRule="exact"/>
        <w:rPr>
          <w:sz w:val="20"/>
          <w:szCs w:val="20"/>
          <w:color w:val="auto"/>
        </w:rPr>
      </w:pPr>
    </w:p>
    <w:p>
      <w:pPr>
        <w:jc w:val="both"/>
        <w:ind w:firstLine="375"/>
        <w:spacing w:after="0" w:line="249" w:lineRule="auto"/>
        <w:rPr>
          <w:sz w:val="20"/>
          <w:szCs w:val="20"/>
          <w:color w:val="auto"/>
        </w:rPr>
      </w:pPr>
      <w:r>
        <w:rPr>
          <w:rFonts w:ascii="Times New Roman" w:cs="Times New Roman" w:eastAsia="Times New Roman" w:hAnsi="Times New Roman"/>
          <w:sz w:val="17"/>
          <w:szCs w:val="17"/>
          <w:color w:val="auto"/>
        </w:rPr>
        <w:t xml:space="preserve">From time to time, the Company enters into arrangements for research and development and/or commercialization services. Such arrangements may require the Company to deliver various rights, services and/or samples, including intellectual property rights/licenses, R&amp;D services, and/or commercialization services. The underlying terms of these arrangements generally provide for consideration to the Company in the form of nonrefundable upfront license fees, development and commercial performance milestone payments, royalty payments, and/or profit sharing. Net sales of data or other services to customers are recognized in accordance with ASC 606 and are classified under biopharmaceutical revenue. Certain milestone payments fall under the scope of ASC Topic 808, </w:t>
      </w:r>
      <w:r>
        <w:rPr>
          <w:rFonts w:ascii="Times New Roman" w:cs="Times New Roman" w:eastAsia="Times New Roman" w:hAnsi="Times New Roman"/>
          <w:sz w:val="17"/>
          <w:szCs w:val="17"/>
          <w:i w:val="1"/>
          <w:iCs w:val="1"/>
          <w:color w:val="auto"/>
        </w:rPr>
        <w:t>Collaborative Arrangements</w:t>
      </w:r>
      <w:r>
        <w:rPr>
          <w:rFonts w:ascii="Times New Roman" w:cs="Times New Roman" w:eastAsia="Times New Roman" w:hAnsi="Times New Roman"/>
          <w:sz w:val="17"/>
          <w:szCs w:val="17"/>
          <w:color w:val="auto"/>
        </w:rPr>
        <w:t>, or ASC 808, and are classified under collaboration revenue. Payments received that are not sales or services to a customer or collaboration revenue are recorded as offsets against research and development expense in the Company's consolidated statements of operations and comprehensive loss.</w:t>
      </w:r>
    </w:p>
    <w:p>
      <w:pPr>
        <w:spacing w:after="0" w:line="203"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In arrangements involving more than one performance obligation,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 or using an adjusted market assessment approach if selling price on a stand-alone basis is not available.</w:t>
      </w:r>
    </w:p>
    <w:p>
      <w:pPr>
        <w:spacing w:after="0" w:line="201"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The consideration allocated to each distinct performance obligation is recognized as revenue when control of the related goods is transferred or services are performed. Consideration associated with at-risk substantive performance milestones is recognized as revenue when it is probable that a significant reversal of the cumulative revenue recognized will not occur. Should there be royalties, the Company utilizes the sales and usage-based royalty exception in arrangements that resulted from the license of intellectual property, recognizing revenues generated from royalties or profit sharing as the underlying sales occur.</w:t>
      </w:r>
    </w:p>
    <w:p>
      <w:pPr>
        <w:spacing w:after="0" w:line="199" w:lineRule="exact"/>
        <w:rPr>
          <w:sz w:val="20"/>
          <w:szCs w:val="20"/>
          <w:color w:val="auto"/>
        </w:rPr>
      </w:pPr>
    </w:p>
    <w:p>
      <w:pPr>
        <w:jc w:val="both"/>
        <w:ind w:firstLine="375"/>
        <w:spacing w:after="0" w:line="249" w:lineRule="auto"/>
        <w:rPr>
          <w:sz w:val="20"/>
          <w:szCs w:val="20"/>
          <w:color w:val="auto"/>
        </w:rPr>
      </w:pPr>
      <w:r>
        <w:rPr>
          <w:rFonts w:ascii="Times New Roman" w:cs="Times New Roman" w:eastAsia="Times New Roman" w:hAnsi="Times New Roman"/>
          <w:sz w:val="17"/>
          <w:szCs w:val="17"/>
          <w:color w:val="auto"/>
        </w:rPr>
        <w:t>As part of the accounting for these arrangements, the Company must develop estimates and assumptions that require judgment to determine the underlying stand-alone selling price for each performance obligation which determines how the transaction price is allocated among the performance obligations. Generally, the estimation of the stand-alone selling price may include such estimates as independent evidence of market price, forecasted revenues or costs, development timelines, discount rates, and probabilities of technical and regulatory success. The Company evaluates each performance obligation to determine if they can be satisfied at a point in time or over time, and it measures the services delivered to the collaborative partner which are periodically reviewed based on the progress of the related program. The effect of any change made to an estimated input component and, therefore revenue or expense recognized, would be recorded as a change in estimate. In addition, variable consideration must be evaluated to determine if it is constrained and, therefore, excluded from the transaction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4" w:name="page105"/>
    <w:bookmarkEnd w:id="104"/>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93" w:lineRule="exact"/>
        <w:rPr>
          <w:sz w:val="20"/>
          <w:szCs w:val="20"/>
          <w:color w:val="auto"/>
        </w:rPr>
      </w:pPr>
    </w:p>
    <w:p>
      <w:pPr>
        <w:jc w:val="both"/>
        <w:ind w:firstLine="375"/>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Up-front Fees: </w:t>
      </w:r>
      <w:r>
        <w:rPr>
          <w:rFonts w:ascii="Times New Roman" w:cs="Times New Roman" w:eastAsia="Times New Roman" w:hAnsi="Times New Roman"/>
          <w:sz w:val="17"/>
          <w:szCs w:val="17"/>
          <w:color w:val="auto"/>
        </w:rPr>
        <w:t>If a license to the Company’s intellectual property is determined to be distinct from the other performance obligations identified in the arrangement,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recognizes revenues from the transaction price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w:t>
      </w:r>
    </w:p>
    <w:p>
      <w:pPr>
        <w:spacing w:after="0" w:line="196" w:lineRule="exact"/>
        <w:rPr>
          <w:sz w:val="20"/>
          <w:szCs w:val="20"/>
          <w:color w:val="auto"/>
        </w:rPr>
      </w:pPr>
    </w:p>
    <w:p>
      <w:pPr>
        <w:jc w:val="both"/>
        <w:ind w:firstLine="375"/>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Milestone Payments: </w:t>
      </w:r>
      <w:r>
        <w:rPr>
          <w:rFonts w:ascii="Times New Roman" w:cs="Times New Roman" w:eastAsia="Times New Roman" w:hAnsi="Times New Roman"/>
          <w:sz w:val="16"/>
          <w:szCs w:val="16"/>
          <w:color w:val="auto"/>
        </w:rPr>
        <w:t>At the inception of each arrangement that includes milestone payments (variable consideration), the Company evaluates whether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collaborative partner’s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its or the collaborative partner’s control, such as operational developmental milestones and any related constraint, and if necessary, adjusts its estimate of the overall transaction price. Any such adjustments are recorded on a cumulative catch-up basis, which would affect collaboration revenues and earnings in the period of adjustment. Revisions to the Company’s estimate of the transaction price may also result in negative collaboration revenues and earnings in the period of adjustment.</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Diagnostic Development Agreements with Johnson &amp; Johnson</w:t>
      </w:r>
    </w:p>
    <w:p>
      <w:pPr>
        <w:spacing w:after="0" w:line="233"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The Company has entered into contracts with the Lung Cancer Initiative at Johnson &amp; Johnson to cooperate on the development of clinical data, to provide data generated by the Company and to license the right to use data under the Company's intellectual property rights. Under the terms of the agreements, the Company will provide data in exchange for up to $18.0 million in payments from Johnson &amp; Johnson. The Company is also entitled to additional payments of up to $13.0 million, conditioned upon the achievement of certain milestones.</w:t>
      </w:r>
    </w:p>
    <w:p>
      <w:pPr>
        <w:spacing w:after="0" w:line="199"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The agreements are considered to be within the scope of ASC 808 with respect to the milestone payments, as the parties are active participants and exposed to the risks and rewards of the collaborative activity. The delivery of data under the collaborative arrangement, which the Company believes is a distinct service for which Johnson &amp; Johnson meets the definition of a customer is within the scope of ASC 606. Using the concepts of ASC 606, the Company has identified the delivery of data as its only performance obligation. The grant of the license is not distinct from other performance obligations as the customer receives benefit only when other performance obligations are met. The Company further determined that the transaction prices under the arrangements are the $18.0 million in payments which was allocated to the obligation to deliver data. The $13.0 million in future potential payments is considered variable consideration because the Company determined that the potential payments are contingent upon regulatory and commercialization milestones that are uncertain to occur and, as such, were not included in the transaction price, and will be recognized accordingly as each potential payment becomes probable.</w:t>
      </w:r>
    </w:p>
    <w:p>
      <w:pPr>
        <w:spacing w:after="0" w:line="207" w:lineRule="exact"/>
        <w:rPr>
          <w:sz w:val="20"/>
          <w:szCs w:val="20"/>
          <w:color w:val="auto"/>
        </w:rPr>
      </w:pPr>
    </w:p>
    <w:p>
      <w:pPr>
        <w:jc w:val="both"/>
        <w:ind w:firstLine="375"/>
        <w:spacing w:after="0" w:line="250" w:lineRule="auto"/>
        <w:rPr>
          <w:sz w:val="20"/>
          <w:szCs w:val="20"/>
          <w:color w:val="auto"/>
        </w:rPr>
      </w:pPr>
      <w:r>
        <w:rPr>
          <w:rFonts w:ascii="Times New Roman" w:cs="Times New Roman" w:eastAsia="Times New Roman" w:hAnsi="Times New Roman"/>
          <w:sz w:val="17"/>
          <w:szCs w:val="17"/>
          <w:color w:val="auto"/>
        </w:rPr>
        <w:t>The Company recognized revenue of $1.5 million and $7.0 million for the years ended December 31, 2020 and 2019, respectively, for the provision of data classified under biopharmaceutical revenue. The Company recognized revenue of zero and $4.0 million for the years ended December 31, 2020 and 2019, respectively, for the fulfillment of obligations relating to development milestones classified under collaboration revenue in the consolidated statement of operations and comprehensive loss. Accounts receivable from these contracts was zero and $2.0 million at December 31, 2020 and 2019, respectively. A payment of $950,000 received by the Company was classified as deferred revenue in the consolidated balance sheet at December 31, 2020. There was no deferred revenue related to these agreements at December 31, 2019.</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Other Collaboration and Service Agreements</w:t>
      </w:r>
    </w:p>
    <w:p>
      <w:pPr>
        <w:spacing w:after="0" w:line="2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Company has entered into agreements with biopharmaceutical companies and other diagnostic companies to provide them with data, development services</w:t>
      </w:r>
    </w:p>
    <w:p>
      <w:pPr>
        <w:spacing w:after="0" w:line="4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and the right to develop tests on the nCounter Analysis System. For the year ended December 31, 2020 the Company recognized biopharmaceutical revenue of $1.0 million for the sale of commercial and development rights and $2.8 million for development services. For the year ended December 31, 2019 the Company recognized biopharmaceutical revenue of $1.0 million for development services and $0.1 million for the delivery of data. For the year ended December 31, 2018 the Company recognized biopharmaceutical revenue of $0.5 million for development services and $0.5 million for the delivery of data. Accounts receivable from these contracts was $0.4 million and zero at December 31, 2020</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5" w:name="page106"/>
    <w:bookmarkEnd w:id="105"/>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2019, respectively. As of December 31, 2020, the Company had received a payment of $0.3 million related to these contracts which is included in deferred revenue.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Testing Revenue</w:t>
      </w:r>
    </w:p>
    <w:p>
      <w:pPr>
        <w:spacing w:after="0" w:line="233"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The components of the Company's cost of testing services are laboratory expenses, sample collection expenses, compensation expense, license fees and royalties, depreciation and amortization, other expenses such as equipment and laboratory supplies, and allocations of facility and information technology expenses. Costs associated with performing tests are expensed as the test is processed regardless of whether and when revenue is recognized with respect to that test. Cost of testing revenue for the year ended December 31, 2020 included a $1.1 million write-down of supplies for the expiration of reagents due to an anticipated decline in volumes resulting from the COVID-19 pandemic.</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Product Revenue</w:t>
      </w:r>
    </w:p>
    <w:p>
      <w:pPr>
        <w:spacing w:after="0" w:line="233" w:lineRule="exact"/>
        <w:rPr>
          <w:sz w:val="20"/>
          <w:szCs w:val="20"/>
          <w:color w:val="auto"/>
        </w:rPr>
      </w:pPr>
    </w:p>
    <w:p>
      <w:pPr>
        <w:jc w:val="both"/>
        <w:ind w:firstLine="375"/>
        <w:spacing w:after="0" w:line="238" w:lineRule="auto"/>
        <w:rPr>
          <w:sz w:val="20"/>
          <w:szCs w:val="20"/>
          <w:color w:val="auto"/>
        </w:rPr>
      </w:pPr>
      <w:r>
        <w:rPr>
          <w:rFonts w:ascii="Times New Roman" w:cs="Times New Roman" w:eastAsia="Times New Roman" w:hAnsi="Times New Roman"/>
          <w:sz w:val="17"/>
          <w:szCs w:val="17"/>
          <w:color w:val="auto"/>
        </w:rPr>
        <w:t>Cost of product revenue consists primarily of costs of purchasing instruments and diagnostic kits from third-party contract manufacturers, installation, service and packaging and delivery costs. In addition, cost of product includes royalty costs for licensed technologies included in the Company’s products and labor expenses. Cost of product revenue for instruments and diagnostic kits is recognized in the period the related revenue is recognized. Shipping and handling costs incurred for product shipments are included in cost of product in the consolidated statements of operations and comprehensive loss.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Biopharmaceutical Revenue</w:t>
      </w:r>
    </w:p>
    <w:p>
      <w:pPr>
        <w:spacing w:after="0" w:line="233"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Cost of biopharmaceutical revenue consists of costs of performing activities under arrangements that require the Company to perform research and development services on behalf of a customer pursuant to a biopharmaceutical service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233"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Research and development expenses include expenses incurred to develop the Company's technology, collect clinical samples and conduct clinical studies to develop and support its products. These expenses consist of compensation expenses, direct research and development expenses such as prototype materials, laboratory supplies and costs associated with setting up and conducting clinical studies at domestic and international sites, professional fees, depreciation and amortization, other miscellaneous expenses and allocation of facility and information technology expenses. The Company expenses all research and development costs in the periods in which they are incurred.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33"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spacing w:after="0" w:line="196" w:lineRule="exact"/>
        <w:rPr>
          <w:sz w:val="20"/>
          <w:szCs w:val="20"/>
          <w:color w:val="auto"/>
        </w:rPr>
      </w:pPr>
    </w:p>
    <w:p>
      <w:pPr>
        <w:jc w:val="both"/>
        <w:ind w:firstLine="375"/>
        <w:spacing w:after="0" w:line="265" w:lineRule="auto"/>
        <w:rPr>
          <w:sz w:val="20"/>
          <w:szCs w:val="20"/>
          <w:color w:val="auto"/>
        </w:rPr>
      </w:pPr>
      <w:r>
        <w:rPr>
          <w:rFonts w:ascii="Times New Roman" w:cs="Times New Roman" w:eastAsia="Times New Roman" w:hAnsi="Times New Roman"/>
          <w:sz w:val="16"/>
          <w:szCs w:val="16"/>
          <w:color w:val="auto"/>
        </w:rPr>
        <w:t>The Company assesses all material positions taken in any income tax return, including all significant uncertain positions, in all tax years that are still subject to assessment or challenge by relevant taxing authorities. The Company's assessment of an uncertain tax position begins with the initial determination of the position's sustainability and is measured at the largest amount of benefit that is more-likely-than-not of being realized upon ultimate settlement. As of each balance sheet date, unresolved uncertain tax positions must be reassessed, and the Company will determine whether (i) the factors underlying the sustainability assertion have changed and</w:t>
      </w:r>
    </w:p>
    <w:p>
      <w:pPr>
        <w:spacing w:after="0" w:line="3" w:lineRule="exact"/>
        <w:rPr>
          <w:sz w:val="20"/>
          <w:szCs w:val="20"/>
          <w:color w:val="auto"/>
        </w:rPr>
      </w:pPr>
    </w:p>
    <w:p>
      <w:pPr>
        <w:spacing w:after="0" w:line="250" w:lineRule="auto"/>
        <w:tabs>
          <w:tab w:leader="none" w:pos="252"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the recognized tax benefit is still appropriate. The recognition and measurement of tax benefits requires significant judgment. Judgments concerning the recognition and measurement of a tax benefit may change as new information becomes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6" w:name="page107"/>
    <w:bookmarkEnd w:id="106"/>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33" w:lineRule="exact"/>
        <w:rPr>
          <w:sz w:val="20"/>
          <w:szCs w:val="20"/>
          <w:color w:val="auto"/>
        </w:rPr>
      </w:pPr>
    </w:p>
    <w:p>
      <w:pPr>
        <w:jc w:val="both"/>
        <w:ind w:firstLine="412"/>
        <w:spacing w:after="0" w:line="271" w:lineRule="auto"/>
        <w:rPr>
          <w:sz w:val="20"/>
          <w:szCs w:val="20"/>
          <w:color w:val="auto"/>
        </w:rPr>
      </w:pPr>
      <w:r>
        <w:rPr>
          <w:rFonts w:ascii="Times New Roman" w:cs="Times New Roman" w:eastAsia="Times New Roman" w:hAnsi="Times New Roman"/>
          <w:sz w:val="16"/>
          <w:szCs w:val="16"/>
          <w:color w:val="auto"/>
        </w:rPr>
        <w:t>Stock-based compensation expense for stock options issued to employees is measured based on the grant-date fair value of the award. The fair value of each employee stock option is estimated on the date of grant using the Black-Scholes option-pricing model. Stock-based compensation expense for stock units is measured based on the fair value of the award, which is determined based upon the closing price of the Company’s common stock on the date of the grant. The Company grants performance-based stock units to certain employees which vest upon the achievement of certain performance conditions, subject to the employees’ continued service with the Company. The probability of vesting is assessed at each reporting period and compensation cost is adjusted based on this probability assessment.</w:t>
      </w:r>
    </w:p>
    <w:p>
      <w:pPr>
        <w:spacing w:after="0" w:line="185" w:lineRule="exact"/>
        <w:rPr>
          <w:sz w:val="20"/>
          <w:szCs w:val="20"/>
          <w:color w:val="auto"/>
        </w:rPr>
      </w:pPr>
    </w:p>
    <w:p>
      <w:pPr>
        <w:jc w:val="both"/>
        <w:ind w:firstLine="412"/>
        <w:spacing w:after="0" w:line="257" w:lineRule="auto"/>
        <w:rPr>
          <w:sz w:val="20"/>
          <w:szCs w:val="20"/>
          <w:color w:val="auto"/>
        </w:rPr>
      </w:pPr>
      <w:r>
        <w:rPr>
          <w:rFonts w:ascii="Times New Roman" w:cs="Times New Roman" w:eastAsia="Times New Roman" w:hAnsi="Times New Roman"/>
          <w:sz w:val="17"/>
          <w:szCs w:val="17"/>
          <w:color w:val="auto"/>
        </w:rPr>
        <w:t>The Company recognizes compensation costs on a straight-line basis for all employee stock-based compensation awards that are expected to vest over the requisite service period of the awards, which is generally the awards' vesting period. Forfeitures are required to be estimated at the time of grant and revised, if necessary, in subsequent periods if actual forfeitures differ from those estimates.</w:t>
      </w:r>
    </w:p>
    <w:p>
      <w:pPr>
        <w:spacing w:after="0" w:line="194" w:lineRule="exact"/>
        <w:rPr>
          <w:sz w:val="20"/>
          <w:szCs w:val="20"/>
          <w:color w:val="auto"/>
        </w:rPr>
      </w:pPr>
    </w:p>
    <w:p>
      <w:pPr>
        <w:jc w:val="both"/>
        <w:ind w:firstLine="412"/>
        <w:spacing w:after="0" w:line="254" w:lineRule="auto"/>
        <w:rPr>
          <w:sz w:val="20"/>
          <w:szCs w:val="20"/>
          <w:color w:val="auto"/>
        </w:rPr>
      </w:pPr>
      <w:r>
        <w:rPr>
          <w:rFonts w:ascii="Times New Roman" w:cs="Times New Roman" w:eastAsia="Times New Roman" w:hAnsi="Times New Roman"/>
          <w:sz w:val="17"/>
          <w:szCs w:val="17"/>
          <w:color w:val="auto"/>
        </w:rPr>
        <w:t xml:space="preserve">Following the adoption of ASU No. 2018-07, </w:t>
      </w:r>
      <w:r>
        <w:rPr>
          <w:rFonts w:ascii="Times New Roman" w:cs="Times New Roman" w:eastAsia="Times New Roman" w:hAnsi="Times New Roman"/>
          <w:sz w:val="17"/>
          <w:szCs w:val="17"/>
          <w:i w:val="1"/>
          <w:iCs w:val="1"/>
          <w:color w:val="auto"/>
        </w:rPr>
        <w:t>Compensation - Stock Compensation (Topic 718): Improvements to Nonemployee Share Based Payment Accounting</w:t>
      </w:r>
      <w:r>
        <w:rPr>
          <w:rFonts w:ascii="Times New Roman" w:cs="Times New Roman" w:eastAsia="Times New Roman" w:hAnsi="Times New Roman"/>
          <w:sz w:val="17"/>
          <w:szCs w:val="17"/>
          <w:color w:val="auto"/>
        </w:rPr>
        <w:t xml:space="preserve"> by the Company on October 1, 2018, stock-based compensation expense for equity instruments issued to non-employees is also measured based on the grant-date fair value of the awards using the Black-Scholes option-pricing model. Prior to this, the fair value of such awards was subject to re-measurement as the underlying equity awards vest.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Loss per Common Share</w:t>
      </w:r>
    </w:p>
    <w:p>
      <w:pPr>
        <w:spacing w:after="0" w:line="233" w:lineRule="exact"/>
        <w:rPr>
          <w:sz w:val="20"/>
          <w:szCs w:val="20"/>
          <w:color w:val="auto"/>
        </w:rPr>
      </w:pPr>
    </w:p>
    <w:p>
      <w:pPr>
        <w:jc w:val="both"/>
        <w:ind w:firstLine="412"/>
        <w:spacing w:after="0" w:line="250" w:lineRule="auto"/>
        <w:rPr>
          <w:sz w:val="20"/>
          <w:szCs w:val="20"/>
          <w:color w:val="auto"/>
        </w:rPr>
      </w:pPr>
      <w:r>
        <w:rPr>
          <w:rFonts w:ascii="Times New Roman" w:cs="Times New Roman" w:eastAsia="Times New Roman" w:hAnsi="Times New Roman"/>
          <w:sz w:val="17"/>
          <w:szCs w:val="17"/>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Potentially dilutive securities consisting of options to purchase common stock, restricted stock units and shares subject to purchase under our employee stock purchase plan are considered to be common stock equivalents and were excluded from the calculation of diluted net loss per common share because their effect would be anti-dilutive for all periods presented.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Reporting</w:t>
      </w:r>
    </w:p>
    <w:p>
      <w:pPr>
        <w:spacing w:after="0" w:line="233" w:lineRule="exact"/>
        <w:rPr>
          <w:sz w:val="20"/>
          <w:szCs w:val="20"/>
          <w:color w:val="auto"/>
        </w:rPr>
      </w:pPr>
    </w:p>
    <w:p>
      <w:pPr>
        <w:jc w:val="both"/>
        <w:ind w:firstLine="412"/>
        <w:spacing w:after="0" w:line="257" w:lineRule="auto"/>
        <w:rPr>
          <w:sz w:val="20"/>
          <w:szCs w:val="20"/>
          <w:color w:val="auto"/>
        </w:rPr>
      </w:pPr>
      <w:r>
        <w:rPr>
          <w:rFonts w:ascii="Times New Roman" w:cs="Times New Roman" w:eastAsia="Times New Roman" w:hAnsi="Times New Roman"/>
          <w:sz w:val="17"/>
          <w:szCs w:val="17"/>
          <w:color w:val="auto"/>
        </w:rPr>
        <w:t>The chief operating decision maker for the Company is the Chief Executive Officer, who reviews financial information presented on a consolidated basis for purposes of allocating resources and assessing financial performance. The Company has a single reporting unit associated with the development and commercialization of diagnostic products.</w:t>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Revenue by geographic region based on the customer billing address was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72"/>
        </w:trPr>
        <w:tc>
          <w:tcPr>
            <w:tcW w:w="67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20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109,614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119,153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91,773</w:t>
            </w:r>
          </w:p>
        </w:tc>
      </w:tr>
      <w:tr>
        <w:trPr>
          <w:trHeight w:val="212"/>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International</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7,869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w:t>
            </w:r>
          </w:p>
        </w:tc>
      </w:tr>
      <w:tr>
        <w:trPr>
          <w:trHeight w:val="230"/>
        </w:trPr>
        <w:tc>
          <w:tcPr>
            <w:tcW w:w="6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revenue</w:t>
            </w: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117,483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120,368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92,008</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All of the Company’s long-lived assets were located in the United States as of December 31, 2020 and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231" w:lineRule="exact"/>
        <w:rPr>
          <w:sz w:val="20"/>
          <w:szCs w:val="20"/>
          <w:color w:val="auto"/>
        </w:rPr>
      </w:pPr>
    </w:p>
    <w:p>
      <w:pPr>
        <w:jc w:val="both"/>
        <w:ind w:firstLine="599"/>
        <w:spacing w:after="0" w:line="266" w:lineRule="auto"/>
        <w:rPr>
          <w:sz w:val="20"/>
          <w:szCs w:val="20"/>
          <w:color w:val="auto"/>
        </w:rPr>
      </w:pPr>
      <w:r>
        <w:rPr>
          <w:rFonts w:ascii="Times New Roman" w:cs="Times New Roman" w:eastAsia="Times New Roman" w:hAnsi="Times New Roman"/>
          <w:sz w:val="16"/>
          <w:szCs w:val="16"/>
          <w:color w:val="auto"/>
        </w:rPr>
        <w:t xml:space="preserve">In June 2016, the FASB issued ASU No. 2016-13, </w:t>
      </w:r>
      <w:r>
        <w:rPr>
          <w:rFonts w:ascii="Times New Roman" w:cs="Times New Roman" w:eastAsia="Times New Roman" w:hAnsi="Times New Roman"/>
          <w:sz w:val="16"/>
          <w:szCs w:val="16"/>
          <w:i w:val="1"/>
          <w:iCs w:val="1"/>
          <w:color w:val="auto"/>
        </w:rPr>
        <w:t>Financial Instruments—Credit Losses (Topic 326): Measurement of Credit Losses on Financial Instruments</w:t>
      </w:r>
      <w:r>
        <w:rPr>
          <w:rFonts w:ascii="Times New Roman" w:cs="Times New Roman" w:eastAsia="Times New Roman" w:hAnsi="Times New Roman"/>
          <w:sz w:val="16"/>
          <w:szCs w:val="16"/>
          <w:color w:val="auto"/>
        </w:rPr>
        <w:t>. This ASU requires entities to estimate an expected lifetime credit loss on financial assets ranging from short-term trade accounts receivable to long-term financings and report credit losses using an expected losses model rather than the incurred losses model that was previously used, and establishes additional disclosures related to</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7" w:name="page108"/>
    <w:bookmarkEnd w:id="107"/>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9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credit risks. This guidance became effective for the Company beginning January 1, 2020. Based on the composition of its trade receivables, investment portfolio and other financial assets, current economic conditions and historical credit loss activity, the adoption of this standard did not have a material impact on the Company's consolidated financial statements and related disclosures.</w:t>
      </w:r>
    </w:p>
    <w:p>
      <w:pPr>
        <w:spacing w:after="0" w:line="193" w:lineRule="exact"/>
        <w:rPr>
          <w:sz w:val="20"/>
          <w:szCs w:val="20"/>
          <w:color w:val="auto"/>
        </w:rPr>
      </w:pPr>
    </w:p>
    <w:p>
      <w:pPr>
        <w:jc w:val="both"/>
        <w:ind w:firstLine="375"/>
        <w:spacing w:after="0" w:line="272" w:lineRule="auto"/>
        <w:rPr>
          <w:sz w:val="20"/>
          <w:szCs w:val="20"/>
          <w:color w:val="auto"/>
        </w:rPr>
      </w:pPr>
      <w:r>
        <w:rPr>
          <w:rFonts w:ascii="Times New Roman" w:cs="Times New Roman" w:eastAsia="Times New Roman" w:hAnsi="Times New Roman"/>
          <w:sz w:val="16"/>
          <w:szCs w:val="16"/>
          <w:color w:val="auto"/>
        </w:rPr>
        <w:t xml:space="preserve">In August 2018 the FASB issued ASU No. 2018-15, </w:t>
      </w:r>
      <w:r>
        <w:rPr>
          <w:rFonts w:ascii="Times New Roman" w:cs="Times New Roman" w:eastAsia="Times New Roman" w:hAnsi="Times New Roman"/>
          <w:sz w:val="16"/>
          <w:szCs w:val="16"/>
          <w:i w:val="1"/>
          <w:iCs w:val="1"/>
          <w:color w:val="auto"/>
        </w:rPr>
        <w:t>Intangibles—Goodwill and Other—Internal-Use Software (Subtopic 350-40): Customer’s Accounting for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Implementation Costs Incurred in a Cloud Computing Arrangement That Is a Service Contract</w:t>
      </w:r>
      <w:r>
        <w:rPr>
          <w:rFonts w:ascii="Times New Roman" w:cs="Times New Roman" w:eastAsia="Times New Roman" w:hAnsi="Times New Roman"/>
          <w:sz w:val="16"/>
          <w:szCs w:val="16"/>
          <w:color w:val="auto"/>
        </w:rPr>
        <w:t>. This standard clarifies the accounting for implementation costs in cloud</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computing arrangements by aligning the accounting for costs incurred to implement a cloud computing arrangement that is a service arrangement with the guidance on capitalizing costs associated with developing or obtaining internal-use software. This standard became effective for the Company on January 1, 2020 and was adopted on a prospective basis with no material impact on the Company's consolidated financial statements.</w:t>
      </w:r>
    </w:p>
    <w:p>
      <w:pPr>
        <w:spacing w:after="0" w:line="202" w:lineRule="exact"/>
        <w:rPr>
          <w:sz w:val="20"/>
          <w:szCs w:val="20"/>
          <w:color w:val="auto"/>
        </w:rPr>
      </w:pPr>
    </w:p>
    <w:p>
      <w:pPr>
        <w:jc w:val="both"/>
        <w:ind w:firstLine="375"/>
        <w:spacing w:after="0" w:line="248" w:lineRule="auto"/>
        <w:rPr>
          <w:sz w:val="20"/>
          <w:szCs w:val="20"/>
          <w:color w:val="auto"/>
        </w:rPr>
      </w:pPr>
      <w:r>
        <w:rPr>
          <w:rFonts w:ascii="Times New Roman" w:cs="Times New Roman" w:eastAsia="Times New Roman" w:hAnsi="Times New Roman"/>
          <w:sz w:val="17"/>
          <w:szCs w:val="17"/>
          <w:color w:val="auto"/>
        </w:rPr>
        <w:t xml:space="preserve">In August 2018, the FASB issued ASU No. 2018-13, </w:t>
      </w:r>
      <w:r>
        <w:rPr>
          <w:rFonts w:ascii="Times New Roman" w:cs="Times New Roman" w:eastAsia="Times New Roman" w:hAnsi="Times New Roman"/>
          <w:sz w:val="17"/>
          <w:szCs w:val="17"/>
          <w:i w:val="1"/>
          <w:iCs w:val="1"/>
          <w:color w:val="auto"/>
        </w:rPr>
        <w:t>Fair Value Measurement (Topic 820), Disclosure Framework—Changes to the Disclosure Requirements for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Fair Value Measurement</w:t>
      </w:r>
      <w:r>
        <w:rPr>
          <w:rFonts w:ascii="Times New Roman" w:cs="Times New Roman" w:eastAsia="Times New Roman" w:hAnsi="Times New Roman"/>
          <w:sz w:val="17"/>
          <w:szCs w:val="17"/>
          <w:color w:val="auto"/>
        </w:rPr>
        <w:t>, or ASU 2018-13. ASU 2018-13 removed the following disclosure requirements: (1) the amount of and reasons for transfers between Level 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Level 2 of the fair value hierarchy; (2) the policy for timing of transfers between levels; and (3) the valuation processes for Level 3 fair value measurements. Additionally, this update added the following disclosure requirements: (1) the changes in unrealized gains and losses for the period included in other comprehensive income and loss for recurring Level 3 fair value measurements held at the end of the reporting period; (2) the range and weighted average of significant unobservable inputs used to develop Level 3 fair value measurements. For certain unobservable inputs, an entity may disclose other quantitative information (such as the median or arithmetic average) in lieu of the weighted average if the entity determines that other quantitative information would be a more reasonable and rational method to reflect the distribution of unobservable inputs used to develop Level 3 fair value measurements. ASU 2018-13 became effective for the Company beginning January 1, 2020 and the adoption of ASU 2018-13 did not have a material impact on the Company’s consolidated financial statements. For the disclosures regarding the Company’s Level 3 fair value measurements, see Note 6. Fair Value Measurements to these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Net Loss Per Share</w:t>
      </w:r>
    </w:p>
    <w:p>
      <w:pPr>
        <w:spacing w:after="0" w:line="233"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The following outstanding common stock equivalents have been excluded from diluted net loss per common share for the years ended December 31, 2020, 2019 and 2018 because their inclusion would be anti-dilutive:</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6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420" w:type="dxa"/>
            <w:vAlign w:val="bottom"/>
            <w:tcBorders>
              <w:bottom w:val="single" w:sz="8" w:color="auto"/>
            </w:tcBorders>
          </w:tcPr>
          <w:p>
            <w:pPr>
              <w:spacing w:after="0"/>
              <w:rPr>
                <w:sz w:val="15"/>
                <w:szCs w:val="15"/>
                <w:color w:val="auto"/>
              </w:rPr>
            </w:pPr>
          </w:p>
        </w:tc>
      </w:tr>
      <w:tr>
        <w:trPr>
          <w:trHeight w:val="172"/>
        </w:trPr>
        <w:tc>
          <w:tcPr>
            <w:tcW w:w="6760" w:type="dxa"/>
            <w:vAlign w:val="bottom"/>
          </w:tcPr>
          <w:p>
            <w:pPr>
              <w:spacing w:after="0"/>
              <w:rPr>
                <w:sz w:val="14"/>
                <w:szCs w:val="14"/>
                <w:color w:val="auto"/>
              </w:rPr>
            </w:pPr>
          </w:p>
        </w:tc>
        <w:tc>
          <w:tcPr>
            <w:tcW w:w="1420" w:type="dxa"/>
            <w:vAlign w:val="bottom"/>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2020</w:t>
            </w:r>
          </w:p>
        </w:tc>
        <w:tc>
          <w:tcPr>
            <w:tcW w:w="1520" w:type="dxa"/>
            <w:vAlign w:val="bottom"/>
            <w:gridSpan w:val="2"/>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4"/>
                <w:szCs w:val="14"/>
                <w:color w:val="auto"/>
              </w:rPr>
            </w:pPr>
          </w:p>
        </w:tc>
        <w:tc>
          <w:tcPr>
            <w:tcW w:w="1420" w:type="dxa"/>
            <w:vAlign w:val="bottom"/>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205"/>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of common stock subject to outstanding options</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4,564,777</w:t>
            </w: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5,394,944</w:t>
            </w: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5,998,163</w:t>
            </w:r>
          </w:p>
        </w:tc>
      </w:tr>
      <w:tr>
        <w:trPr>
          <w:trHeight w:val="21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Employee stock purchase plan</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21,006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26,124</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34,869</w:t>
            </w:r>
          </w:p>
        </w:tc>
      </w:tr>
      <w:tr>
        <w:trPr>
          <w:trHeight w:val="21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913,562</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712,122</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384,691</w:t>
            </w:r>
          </w:p>
        </w:tc>
      </w:tr>
      <w:tr>
        <w:trPr>
          <w:trHeight w:val="205"/>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common stock equivalents</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5,499,345</w:t>
            </w:r>
          </w:p>
        </w:tc>
        <w:tc>
          <w:tcPr>
            <w:tcW w:w="100" w:type="dxa"/>
            <w:vAlign w:val="bottom"/>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6,133,190</w:t>
            </w:r>
          </w:p>
        </w:tc>
        <w:tc>
          <w:tcPr>
            <w:tcW w:w="100" w:type="dxa"/>
            <w:vAlign w:val="bottom"/>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6,417,723</w:t>
            </w:r>
          </w:p>
        </w:tc>
      </w:tr>
      <w:tr>
        <w:trPr>
          <w:trHeight w:val="20"/>
        </w:trPr>
        <w:tc>
          <w:tcPr>
            <w:tcW w:w="67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Business Combination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Exclusive License to NanoString Diagnostics Platform</w:t>
      </w:r>
    </w:p>
    <w:p>
      <w:pPr>
        <w:spacing w:after="0" w:line="233" w:lineRule="exact"/>
        <w:rPr>
          <w:sz w:val="20"/>
          <w:szCs w:val="20"/>
          <w:color w:val="auto"/>
        </w:rPr>
      </w:pPr>
    </w:p>
    <w:p>
      <w:pPr>
        <w:jc w:val="both"/>
        <w:ind w:firstLine="375"/>
        <w:spacing w:after="0" w:line="234" w:lineRule="auto"/>
        <w:rPr>
          <w:sz w:val="20"/>
          <w:szCs w:val="20"/>
          <w:color w:val="auto"/>
        </w:rPr>
      </w:pPr>
      <w:r>
        <w:rPr>
          <w:rFonts w:ascii="Times New Roman" w:cs="Times New Roman" w:eastAsia="Times New Roman" w:hAnsi="Times New Roman"/>
          <w:sz w:val="17"/>
          <w:szCs w:val="17"/>
          <w:color w:val="auto"/>
        </w:rPr>
        <w:t xml:space="preserve">On December 3, 2019, the Company executed an agreement with NanoString for the exclusive global diagnostics license to the nCounter Analysis System, the Prosigna breast cancer prognostic gene signature assay, and the LymphMark lymphoma subtyping assay. The strategic transaction positions the Company to expand its genomic diagnostics business globally, with the ability to deliver its advanced genomic tests to physicians and their patients via hospital and clinical laboratories throughout the European Union and other parts of the world. The Company has accounted for this agreement under ASC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Pursuant to the terms of the agreement, Veracyte paid NanoString $40.0 million in cash and $10.0 million in Veracyte common stock, and may pay up to an additional $10.0 million in cash, contingent upon the commercial launch of Veracyte diagnostic tests for use on the platform. This contingency was valued at $6.1 million as of the acquisition date, recorded as a liability, and will be remeasured to fair value at each reporting date until the contingent consideration is settled.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8" w:name="page109"/>
    <w:bookmarkEnd w:id="108"/>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As of December 31, 2020, this contingency was remeasured to $7.6 million with the corresponding change included in general and administrative expense in the Company's consolidated statements of operations and comprehensive loss.</w:t>
      </w:r>
    </w:p>
    <w:p>
      <w:pPr>
        <w:spacing w:after="0" w:line="184"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Assets acquired are recorded based on valuations derived from estimated fair value assessments and assumptions used by the Company. While the Company believes that its estimates and assumptions underlying the valuations are reasonable, different estimates and assumptions could result in different valuations assigned to the individual assets acquired and the resulting amount of goodwill. The following table summarizes the fair values of assets acquired and liabilities assumed at the date of acquisition (in thousands of dollars):</w:t>
      </w:r>
    </w:p>
    <w:p>
      <w:pPr>
        <w:spacing w:after="0" w:line="328" w:lineRule="exact"/>
        <w:rPr>
          <w:sz w:val="20"/>
          <w:szCs w:val="20"/>
          <w:color w:val="auto"/>
        </w:rPr>
      </w:pPr>
    </w:p>
    <w:tbl>
      <w:tblPr>
        <w:tblLayout w:type="fixed"/>
        <w:tblInd w:w="340" w:type="dxa"/>
        <w:tblCellMar>
          <w:top w:w="0" w:type="dxa"/>
          <w:left w:w="0" w:type="dxa"/>
          <w:bottom w:w="0" w:type="dxa"/>
          <w:right w:w="0" w:type="dxa"/>
        </w:tblCellMar>
      </w:tblPr>
      <w:tr>
        <w:trPr>
          <w:trHeight w:val="212"/>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Prosigna product technology</w:t>
            </w:r>
          </w:p>
        </w:tc>
        <w:tc>
          <w:tcPr>
            <w:tcW w:w="50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4,120</w:t>
            </w:r>
          </w:p>
        </w:tc>
      </w:tr>
      <w:tr>
        <w:trPr>
          <w:trHeight w:val="212"/>
        </w:trPr>
        <w:tc>
          <w:tcPr>
            <w:tcW w:w="9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Prosigna customer relationships</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2,430</w:t>
            </w:r>
          </w:p>
        </w:tc>
      </w:tr>
      <w:tr>
        <w:trPr>
          <w:trHeight w:val="212"/>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nCounter Dx license</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46,880</w:t>
            </w:r>
          </w:p>
        </w:tc>
      </w:tr>
      <w:tr>
        <w:trPr>
          <w:trHeight w:val="212"/>
        </w:trPr>
        <w:tc>
          <w:tcPr>
            <w:tcW w:w="9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LymphMark product technology</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990</w:t>
            </w:r>
          </w:p>
        </w:tc>
      </w:tr>
      <w:tr>
        <w:trPr>
          <w:trHeight w:val="205"/>
        </w:trPr>
        <w:tc>
          <w:tcPr>
            <w:tcW w:w="9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 identifiable intangible assets acquired</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54,420</w:t>
            </w:r>
          </w:p>
        </w:tc>
      </w:tr>
      <w:tr>
        <w:trPr>
          <w:trHeight w:val="212"/>
        </w:trPr>
        <w:tc>
          <w:tcPr>
            <w:tcW w:w="9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1,668</w:t>
            </w:r>
          </w:p>
        </w:tc>
      </w:tr>
      <w:tr>
        <w:trPr>
          <w:trHeight w:val="230"/>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assets acquired</w:t>
            </w:r>
          </w:p>
        </w:tc>
        <w:tc>
          <w:tcPr>
            <w:tcW w:w="500" w:type="dxa"/>
            <w:vAlign w:val="bottom"/>
            <w:tcBorders>
              <w:bottom w:val="single" w:sz="8" w:color="auto"/>
            </w:tcBorders>
            <w:shd w:val="clear" w:color="auto" w:fill="CCEEFF"/>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56,088</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375"/>
        <w:spacing w:after="0" w:line="270" w:lineRule="auto"/>
        <w:rPr>
          <w:sz w:val="20"/>
          <w:szCs w:val="20"/>
          <w:color w:val="auto"/>
        </w:rPr>
      </w:pPr>
      <w:r>
        <w:rPr>
          <w:rFonts w:ascii="Times New Roman" w:cs="Times New Roman" w:eastAsia="Times New Roman" w:hAnsi="Times New Roman"/>
          <w:sz w:val="17"/>
          <w:szCs w:val="17"/>
          <w:color w:val="auto"/>
        </w:rPr>
        <w:t>Identifiable acquisition-related intangibles included in the above table are finite-lived and are being amortized on a straight-line basis over their estimated lives, which approximates the pattern in which the economic benefits of the intangible assets are expected to be realized, as follows:</w:t>
      </w:r>
    </w:p>
    <w:p>
      <w:pPr>
        <w:spacing w:after="0" w:line="289"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7160" w:type="dxa"/>
            <w:vAlign w:val="bottom"/>
            <w:shd w:val="clear" w:color="auto" w:fill="CCEEFF"/>
          </w:tcPr>
          <w:p>
            <w:pPr>
              <w:spacing w:after="0"/>
              <w:rPr>
                <w:sz w:val="12"/>
                <w:szCs w:val="12"/>
                <w:color w:val="auto"/>
              </w:rPr>
            </w:pPr>
          </w:p>
        </w:tc>
        <w:tc>
          <w:tcPr>
            <w:tcW w:w="1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b w:val="1"/>
                <w:bCs w:val="1"/>
                <w:color w:val="auto"/>
              </w:rPr>
              <w:t>Estimated Useful life</w:t>
            </w:r>
          </w:p>
        </w:tc>
      </w:tr>
      <w:tr>
        <w:trPr>
          <w:trHeight w:val="175"/>
        </w:trPr>
        <w:tc>
          <w:tcPr>
            <w:tcW w:w="7160" w:type="dxa"/>
            <w:vAlign w:val="bottom"/>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3"/>
                <w:szCs w:val="13"/>
                <w:b w:val="1"/>
                <w:bCs w:val="1"/>
                <w:color w:val="auto"/>
              </w:rPr>
              <w:t>(In Years)</w:t>
            </w:r>
          </w:p>
        </w:tc>
      </w:tr>
      <w:tr>
        <w:trPr>
          <w:trHeight w:val="205"/>
        </w:trPr>
        <w:tc>
          <w:tcPr>
            <w:tcW w:w="71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Prosigna product technology</w:t>
            </w:r>
          </w:p>
        </w:tc>
        <w:tc>
          <w:tcPr>
            <w:tcW w:w="1740" w:type="dxa"/>
            <w:vAlign w:val="bottom"/>
          </w:tcPr>
          <w:p>
            <w:pPr>
              <w:jc w:val="center"/>
              <w:ind w:left="302"/>
              <w:spacing w:after="0"/>
              <w:rPr>
                <w:sz w:val="20"/>
                <w:szCs w:val="20"/>
                <w:color w:val="auto"/>
              </w:rPr>
            </w:pPr>
            <w:r>
              <w:rPr>
                <w:rFonts w:ascii="Times New Roman" w:cs="Times New Roman" w:eastAsia="Times New Roman" w:hAnsi="Times New Roman"/>
                <w:sz w:val="17"/>
                <w:szCs w:val="17"/>
                <w:color w:val="auto"/>
                <w:w w:val="93"/>
              </w:rPr>
              <w:t>15</w:t>
            </w:r>
          </w:p>
        </w:tc>
      </w:tr>
      <w:tr>
        <w:trPr>
          <w:trHeight w:val="212"/>
        </w:trPr>
        <w:tc>
          <w:tcPr>
            <w:tcW w:w="7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Prosigna customer relationships</w:t>
            </w:r>
          </w:p>
        </w:tc>
        <w:tc>
          <w:tcPr>
            <w:tcW w:w="1740" w:type="dxa"/>
            <w:vAlign w:val="bottom"/>
            <w:shd w:val="clear" w:color="auto" w:fill="CCEEFF"/>
          </w:tcPr>
          <w:p>
            <w:pPr>
              <w:jc w:val="center"/>
              <w:ind w:left="302"/>
              <w:spacing w:after="0"/>
              <w:rPr>
                <w:sz w:val="20"/>
                <w:szCs w:val="20"/>
                <w:color w:val="auto"/>
              </w:rPr>
            </w:pPr>
            <w:r>
              <w:rPr>
                <w:rFonts w:ascii="Times New Roman" w:cs="Times New Roman" w:eastAsia="Times New Roman" w:hAnsi="Times New Roman"/>
                <w:sz w:val="17"/>
                <w:szCs w:val="17"/>
                <w:color w:val="auto"/>
                <w:w w:val="93"/>
              </w:rPr>
              <w:t>5</w:t>
            </w:r>
          </w:p>
        </w:tc>
      </w:tr>
      <w:tr>
        <w:trPr>
          <w:trHeight w:val="212"/>
        </w:trPr>
        <w:tc>
          <w:tcPr>
            <w:tcW w:w="71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nCounter Dx license</w:t>
            </w:r>
          </w:p>
        </w:tc>
        <w:tc>
          <w:tcPr>
            <w:tcW w:w="1740" w:type="dxa"/>
            <w:vAlign w:val="bottom"/>
          </w:tcPr>
          <w:p>
            <w:pPr>
              <w:jc w:val="center"/>
              <w:ind w:left="302"/>
              <w:spacing w:after="0"/>
              <w:rPr>
                <w:sz w:val="20"/>
                <w:szCs w:val="20"/>
                <w:color w:val="auto"/>
              </w:rPr>
            </w:pPr>
            <w:r>
              <w:rPr>
                <w:rFonts w:ascii="Times New Roman" w:cs="Times New Roman" w:eastAsia="Times New Roman" w:hAnsi="Times New Roman"/>
                <w:sz w:val="17"/>
                <w:szCs w:val="17"/>
                <w:color w:val="auto"/>
                <w:w w:val="93"/>
              </w:rPr>
              <w:t>15</w:t>
            </w:r>
          </w:p>
        </w:tc>
      </w:tr>
      <w:tr>
        <w:trPr>
          <w:trHeight w:val="212"/>
        </w:trPr>
        <w:tc>
          <w:tcPr>
            <w:tcW w:w="7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LymphMark product technology</w:t>
            </w:r>
          </w:p>
        </w:tc>
        <w:tc>
          <w:tcPr>
            <w:tcW w:w="1740" w:type="dxa"/>
            <w:vAlign w:val="bottom"/>
            <w:shd w:val="clear" w:color="auto" w:fill="CCEEFF"/>
          </w:tcPr>
          <w:p>
            <w:pPr>
              <w:jc w:val="center"/>
              <w:ind w:left="302"/>
              <w:spacing w:after="0"/>
              <w:rPr>
                <w:sz w:val="20"/>
                <w:szCs w:val="20"/>
                <w:color w:val="auto"/>
              </w:rPr>
            </w:pPr>
            <w:r>
              <w:rPr>
                <w:rFonts w:ascii="Times New Roman" w:cs="Times New Roman" w:eastAsia="Times New Roman" w:hAnsi="Times New Roman"/>
                <w:sz w:val="17"/>
                <w:szCs w:val="17"/>
                <w:color w:val="auto"/>
                <w:w w:val="93"/>
              </w:rPr>
              <w:t>7</w:t>
            </w:r>
          </w:p>
        </w:tc>
      </w:tr>
    </w:tbl>
    <w:p>
      <w:pPr>
        <w:spacing w:after="0" w:line="296"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 xml:space="preserve">Goodwill represents the excess of the purchase price over the fair value of the net tangible and intangible assets acquired. This acquisition includes $1.7 million of goodwill which the Company believes consists principally of the organized workforce that will help the Company execute its strategic plans in relation to the assets acquired. In accordance with ASC 350, </w:t>
      </w:r>
      <w:r>
        <w:rPr>
          <w:rFonts w:ascii="Times New Roman" w:cs="Times New Roman" w:eastAsia="Times New Roman" w:hAnsi="Times New Roman"/>
          <w:sz w:val="17"/>
          <w:szCs w:val="17"/>
          <w:i w:val="1"/>
          <w:iCs w:val="1"/>
          <w:color w:val="auto"/>
        </w:rPr>
        <w:t>Intangibles—Goodwill and Other</w:t>
      </w:r>
      <w:r>
        <w:rPr>
          <w:rFonts w:ascii="Times New Roman" w:cs="Times New Roman" w:eastAsia="Times New Roman" w:hAnsi="Times New Roman"/>
          <w:sz w:val="17"/>
          <w:szCs w:val="17"/>
          <w:color w:val="auto"/>
        </w:rPr>
        <w:t>, goodwill will not be amortized but will be tested for impairment at least annually. As of December 31, 2020, goodwill is not deductible for tax purposes, however, if contingent consideration is paid at a future date, the portions of contingent consideration paid and allocated to the intangible assets for tax purposes will be tax deductible.</w:t>
      </w:r>
    </w:p>
    <w:p>
      <w:pPr>
        <w:spacing w:after="0" w:line="201" w:lineRule="exact"/>
        <w:rPr>
          <w:sz w:val="20"/>
          <w:szCs w:val="20"/>
          <w:color w:val="auto"/>
        </w:rPr>
      </w:pPr>
    </w:p>
    <w:p>
      <w:pPr>
        <w:jc w:val="both"/>
        <w:ind w:firstLine="375"/>
        <w:spacing w:after="0" w:line="251" w:lineRule="auto"/>
        <w:rPr>
          <w:sz w:val="20"/>
          <w:szCs w:val="20"/>
          <w:color w:val="auto"/>
        </w:rPr>
      </w:pPr>
      <w:r>
        <w:rPr>
          <w:rFonts w:ascii="Times New Roman" w:cs="Times New Roman" w:eastAsia="Times New Roman" w:hAnsi="Times New Roman"/>
          <w:sz w:val="17"/>
          <w:szCs w:val="17"/>
          <w:color w:val="auto"/>
        </w:rPr>
        <w:t>The unaudited pro forma financial information in the table below summarizes the combined revenue for the Company and acquired business from NanoString as though the acquisition had been executed as of January 1, 2018. The pro forma amounts have been adjusted in the table below. NanoString’s historical books and records did not contain the operating expense information to prepare the financial disclosures required in the pro forma table below. Thus, the pro forma financial disclosures are limited to revenue only. The unaudited pro forma revenue information is for informational purposes only and is not necessarily indicative of the revenue that would have been achieved if the acquisition had taken place as of January 1, 2018 (in thousands of dollars):</w:t>
      </w:r>
    </w:p>
    <w:p>
      <w:pPr>
        <w:spacing w:after="0" w:line="308" w:lineRule="exact"/>
        <w:rPr>
          <w:sz w:val="20"/>
          <w:szCs w:val="20"/>
          <w:color w:val="auto"/>
        </w:rPr>
      </w:pPr>
    </w:p>
    <w:p>
      <w:pPr>
        <w:jc w:val="center"/>
        <w:ind w:left="3440"/>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1656715</wp:posOffset>
            </wp:positionH>
            <wp:positionV relativeFrom="paragraph">
              <wp:posOffset>-88265</wp:posOffset>
            </wp:positionV>
            <wp:extent cx="3836670" cy="1187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36670" cy="118745"/>
                    </a:xfrm>
                    <a:prstGeom prst="rect">
                      <a:avLst/>
                    </a:prstGeom>
                    <a:noFill/>
                  </pic:spPr>
                </pic:pic>
              </a:graphicData>
            </a:graphic>
          </wp:anchor>
        </w:drawing>
      </w:r>
    </w:p>
    <w:p>
      <w:pPr>
        <w:spacing w:after="0" w:line="18" w:lineRule="exact"/>
        <w:rPr>
          <w:sz w:val="20"/>
          <w:szCs w:val="20"/>
          <w:color w:val="auto"/>
        </w:rPr>
      </w:pPr>
    </w:p>
    <w:p>
      <w:pPr>
        <w:ind w:left="6540"/>
        <w:spacing w:after="0"/>
        <w:tabs>
          <w:tab w:leader="none" w:pos="7880" w:val="left"/>
        </w:tabs>
        <w:rPr>
          <w:sz w:val="20"/>
          <w:szCs w:val="20"/>
          <w:color w:val="auto"/>
        </w:rPr>
      </w:pPr>
      <w:r>
        <w:rPr>
          <w:rFonts w:ascii="Times New Roman" w:cs="Times New Roman" w:eastAsia="Times New Roman" w:hAnsi="Times New Roman"/>
          <w:sz w:val="13"/>
          <w:szCs w:val="13"/>
          <w:b w:val="1"/>
          <w:bCs w:val="1"/>
          <w:color w:val="auto"/>
        </w:rPr>
        <w:t>2019</w:t>
      </w:r>
      <w:r>
        <w:rPr>
          <w:sz w:val="20"/>
          <w:szCs w:val="20"/>
          <w:color w:val="auto"/>
        </w:rPr>
        <w:tab/>
      </w:r>
      <w:r>
        <w:rPr>
          <w:rFonts w:ascii="Times New Roman" w:cs="Times New Roman" w:eastAsia="Times New Roman" w:hAnsi="Times New Roman"/>
          <w:sz w:val="13"/>
          <w:szCs w:val="13"/>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1656715</wp:posOffset>
            </wp:positionH>
            <wp:positionV relativeFrom="paragraph">
              <wp:posOffset>22225</wp:posOffset>
            </wp:positionV>
            <wp:extent cx="3836670" cy="142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36670" cy="142875"/>
                    </a:xfrm>
                    <a:prstGeom prst="rect">
                      <a:avLst/>
                    </a:prstGeom>
                    <a:noFill/>
                  </pic:spPr>
                </pic:pic>
              </a:graphicData>
            </a:graphic>
          </wp:anchor>
        </w:drawing>
      </w:r>
    </w:p>
    <w:p>
      <w:pPr>
        <w:spacing w:after="0" w:line="24" w:lineRule="exact"/>
        <w:rPr>
          <w:sz w:val="20"/>
          <w:szCs w:val="20"/>
          <w:color w:val="auto"/>
        </w:rPr>
      </w:pPr>
    </w:p>
    <w:p>
      <w:pPr>
        <w:ind w:left="2620"/>
        <w:spacing w:after="0"/>
        <w:tabs>
          <w:tab w:leader="none" w:pos="6060" w:val="left"/>
          <w:tab w:leader="none" w:pos="6760" w:val="left"/>
          <w:tab w:leader="none" w:pos="7400" w:val="left"/>
          <w:tab w:leader="none" w:pos="8100" w:val="left"/>
        </w:tabs>
        <w:rPr>
          <w:sz w:val="20"/>
          <w:szCs w:val="20"/>
          <w:color w:val="auto"/>
        </w:rPr>
      </w:pPr>
      <w:r>
        <w:rPr>
          <w:rFonts w:ascii="Times New Roman" w:cs="Times New Roman" w:eastAsia="Times New Roman" w:hAnsi="Times New Roman"/>
          <w:sz w:val="17"/>
          <w:szCs w:val="17"/>
          <w:color w:val="auto"/>
        </w:rPr>
        <w:t>Product revenue</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11,040</w:t>
        <w:tab/>
        <w:t>$</w:t>
      </w:r>
      <w:r>
        <w:rPr>
          <w:sz w:val="20"/>
          <w:szCs w:val="20"/>
          <w:color w:val="auto"/>
        </w:rPr>
        <w:tab/>
      </w:r>
      <w:r>
        <w:rPr>
          <w:rFonts w:ascii="Times New Roman" w:cs="Times New Roman" w:eastAsia="Times New Roman" w:hAnsi="Times New Roman"/>
          <w:sz w:val="16"/>
          <w:szCs w:val="16"/>
          <w:color w:val="auto"/>
        </w:rPr>
        <w:t>11,482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9" w:name="page110"/>
    <w:bookmarkEnd w:id="109"/>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14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Balance Sheet Components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Net</w:t>
      </w:r>
    </w:p>
    <w:p>
      <w:pPr>
        <w:spacing w:after="0" w:line="2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Property and equipment consisted of the following (in thousands of dollars):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960" w:type="dxa"/>
            <w:vAlign w:val="bottom"/>
            <w:tcBorders>
              <w:bottom w:val="single" w:sz="8" w:color="auto"/>
            </w:tcBorders>
          </w:tcPr>
          <w:p>
            <w:pPr>
              <w:spacing w:after="0"/>
              <w:rPr>
                <w:sz w:val="15"/>
                <w:szCs w:val="15"/>
                <w:color w:val="auto"/>
              </w:rPr>
            </w:pPr>
          </w:p>
        </w:tc>
      </w:tr>
      <w:tr>
        <w:trPr>
          <w:trHeight w:val="172"/>
        </w:trPr>
        <w:tc>
          <w:tcPr>
            <w:tcW w:w="82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3"/>
                <w:szCs w:val="13"/>
                <w:b w:val="1"/>
                <w:bCs w:val="1"/>
                <w:color w:val="auto"/>
              </w:rPr>
              <w:t>2019</w:t>
            </w:r>
          </w:p>
        </w:tc>
      </w:tr>
      <w:tr>
        <w:trPr>
          <w:trHeight w:val="20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3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6,863</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5,926</w:t>
            </w:r>
          </w:p>
        </w:tc>
      </w:tr>
      <w:tr>
        <w:trPr>
          <w:trHeight w:val="212"/>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Laboratory equipment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10,643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9,655</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1,709</w:t>
            </w:r>
          </w:p>
        </w:tc>
      </w:tr>
      <w:tr>
        <w:trPr>
          <w:trHeight w:val="212"/>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 including software developed for internal use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3,226</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1,482</w:t>
            </w:r>
          </w:p>
        </w:tc>
      </w:tr>
      <w:tr>
        <w:trPr>
          <w:trHeight w:val="212"/>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Construction-in-process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1,015</w:t>
            </w:r>
          </w:p>
        </w:tc>
      </w:tr>
      <w:tr>
        <w:trPr>
          <w:trHeight w:val="20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property and equipment, at cost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25,387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23,013</w:t>
            </w:r>
          </w:p>
        </w:tc>
      </w:tr>
      <w:tr>
        <w:trPr>
          <w:trHeight w:val="212"/>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Accumulated depreciation and amortization</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(16,397)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(14,080)</w:t>
            </w:r>
          </w:p>
        </w:tc>
      </w:tr>
      <w:tr>
        <w:trPr>
          <w:trHeight w:val="23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8,990</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8,933</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Depreciation and amortization expense was $2.8 million, $2.7 million and $2.9 million for the years ended December 31, 2020, 2019 and 2018, respectively.</w:t>
      </w:r>
    </w:p>
    <w:p>
      <w:pPr>
        <w:spacing w:after="0" w:line="229" w:lineRule="exact"/>
        <w:rPr>
          <w:sz w:val="20"/>
          <w:szCs w:val="20"/>
          <w:color w:val="auto"/>
        </w:rPr>
      </w:pPr>
    </w:p>
    <w:p>
      <w:pPr>
        <w:jc w:val="both"/>
        <w:ind w:right="100" w:firstLine="375"/>
        <w:spacing w:after="0" w:line="257" w:lineRule="auto"/>
        <w:rPr>
          <w:sz w:val="20"/>
          <w:szCs w:val="20"/>
          <w:color w:val="auto"/>
        </w:rPr>
      </w:pPr>
      <w:r>
        <w:rPr>
          <w:rFonts w:ascii="Times New Roman" w:cs="Times New Roman" w:eastAsia="Times New Roman" w:hAnsi="Times New Roman"/>
          <w:sz w:val="17"/>
          <w:szCs w:val="17"/>
          <w:color w:val="auto"/>
        </w:rPr>
        <w:t>The Company had a capital lease for laboratory equipment that went into service in 2017. The lease was paid off in 2019 and the cost of $1.2 million was included in Property and Equipment as of December 31, 2019. The laboratory equipment had accumulated depreciation of $600,000 and $367,000 at December 31, 2019 and 2018, respectively and depreciation of $233,000 and $232,000 for the years ended December 31, 2019 and 2018,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Finite-lived Intangible Assets, Net</w:t>
      </w:r>
    </w:p>
    <w:p>
      <w:pPr>
        <w:spacing w:after="0" w:line="2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Finite-live intangible assets consisted of the following (in thousands of dollars):</w:t>
      </w:r>
    </w:p>
    <w:p>
      <w:pPr>
        <w:spacing w:after="0" w:line="200" w:lineRule="exact"/>
        <w:rPr>
          <w:sz w:val="20"/>
          <w:szCs w:val="20"/>
          <w:color w:val="auto"/>
        </w:rPr>
      </w:pPr>
    </w:p>
    <w:p>
      <w:pPr>
        <w:spacing w:after="0" w:line="210" w:lineRule="exact"/>
        <w:rPr>
          <w:sz w:val="20"/>
          <w:szCs w:val="20"/>
          <w:color w:val="auto"/>
        </w:rPr>
      </w:pPr>
    </w:p>
    <w:tbl>
      <w:tblPr>
        <w:tblLayout w:type="fixed"/>
        <w:tblInd w:w="380" w:type="dxa"/>
        <w:tblCellMar>
          <w:top w:w="0" w:type="dxa"/>
          <w:left w:w="0" w:type="dxa"/>
          <w:bottom w:w="0" w:type="dxa"/>
          <w:right w:w="0" w:type="dxa"/>
        </w:tblCellMar>
      </w:tblPr>
      <w:tr>
        <w:trPr>
          <w:trHeight w:val="180"/>
        </w:trPr>
        <w:tc>
          <w:tcPr>
            <w:tcW w:w="12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3"/>
                <w:szCs w:val="13"/>
                <w:b w:val="1"/>
                <w:bCs w:val="1"/>
                <w:color w:val="auto"/>
              </w:rPr>
              <w:t>December 31, 2020</w:t>
            </w:r>
          </w:p>
        </w:tc>
        <w:tc>
          <w:tcPr>
            <w:tcW w:w="5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left="225"/>
              <w:spacing w:after="0"/>
              <w:rPr>
                <w:sz w:val="20"/>
                <w:szCs w:val="20"/>
                <w:color w:val="auto"/>
              </w:rPr>
            </w:pPr>
            <w:r>
              <w:rPr>
                <w:rFonts w:ascii="Times New Roman" w:cs="Times New Roman" w:eastAsia="Times New Roman" w:hAnsi="Times New Roman"/>
                <w:sz w:val="13"/>
                <w:szCs w:val="13"/>
                <w:b w:val="1"/>
                <w:bCs w:val="1"/>
                <w:color w:val="auto"/>
              </w:rPr>
              <w:t>December 31, 2019</w:t>
            </w: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47"/>
        </w:trPr>
        <w:tc>
          <w:tcPr>
            <w:tcW w:w="1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1260" w:type="dxa"/>
            <w:vAlign w:val="bottom"/>
          </w:tcPr>
          <w:p>
            <w:pPr>
              <w:spacing w:after="0"/>
              <w:rPr>
                <w:sz w:val="10"/>
                <w:szCs w:val="10"/>
                <w:color w:val="auto"/>
              </w:rPr>
            </w:pPr>
          </w:p>
        </w:tc>
        <w:tc>
          <w:tcPr>
            <w:tcW w:w="1440" w:type="dxa"/>
            <w:vAlign w:val="bottom"/>
            <w:gridSpan w:val="3"/>
            <w:vMerge w:val="restart"/>
          </w:tcPr>
          <w:p>
            <w:pPr>
              <w:ind w:left="420"/>
              <w:spacing w:after="0"/>
              <w:rPr>
                <w:sz w:val="20"/>
                <w:szCs w:val="20"/>
                <w:color w:val="auto"/>
              </w:rPr>
            </w:pPr>
            <w:r>
              <w:rPr>
                <w:rFonts w:ascii="Times New Roman" w:cs="Times New Roman" w:eastAsia="Times New Roman" w:hAnsi="Times New Roman"/>
                <w:sz w:val="13"/>
                <w:szCs w:val="13"/>
                <w:b w:val="1"/>
                <w:bCs w:val="1"/>
                <w:color w:val="auto"/>
              </w:rPr>
              <w:t>Gross Carrying</w:t>
            </w:r>
          </w:p>
        </w:tc>
        <w:tc>
          <w:tcPr>
            <w:tcW w:w="500" w:type="dxa"/>
            <w:vAlign w:val="bottom"/>
          </w:tcPr>
          <w:p>
            <w:pPr>
              <w:spacing w:after="0"/>
              <w:rPr>
                <w:sz w:val="10"/>
                <w:szCs w:val="10"/>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500" w:type="dxa"/>
            <w:vAlign w:val="bottom"/>
          </w:tcPr>
          <w:p>
            <w:pPr>
              <w:spacing w:after="0"/>
              <w:rPr>
                <w:sz w:val="10"/>
                <w:szCs w:val="10"/>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Net Carrying</w:t>
            </w:r>
          </w:p>
        </w:tc>
        <w:tc>
          <w:tcPr>
            <w:tcW w:w="1440" w:type="dxa"/>
            <w:vAlign w:val="bottom"/>
            <w:gridSpan w:val="3"/>
            <w:vMerge w:val="restart"/>
          </w:tcPr>
          <w:p>
            <w:pPr>
              <w:ind w:left="420"/>
              <w:spacing w:after="0"/>
              <w:rPr>
                <w:sz w:val="20"/>
                <w:szCs w:val="20"/>
                <w:color w:val="auto"/>
              </w:rPr>
            </w:pPr>
            <w:r>
              <w:rPr>
                <w:rFonts w:ascii="Times New Roman" w:cs="Times New Roman" w:eastAsia="Times New Roman" w:hAnsi="Times New Roman"/>
                <w:sz w:val="13"/>
                <w:szCs w:val="13"/>
                <w:b w:val="1"/>
                <w:bCs w:val="1"/>
                <w:color w:val="auto"/>
              </w:rPr>
              <w:t>Gross Carrying</w:t>
            </w:r>
          </w:p>
        </w:tc>
        <w:tc>
          <w:tcPr>
            <w:tcW w:w="480" w:type="dxa"/>
            <w:vAlign w:val="bottom"/>
          </w:tcPr>
          <w:p>
            <w:pPr>
              <w:spacing w:after="0"/>
              <w:rPr>
                <w:sz w:val="10"/>
                <w:szCs w:val="10"/>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480" w:type="dxa"/>
            <w:vAlign w:val="bottom"/>
          </w:tcPr>
          <w:p>
            <w:pPr>
              <w:spacing w:after="0"/>
              <w:rPr>
                <w:sz w:val="10"/>
                <w:szCs w:val="10"/>
                <w:color w:val="auto"/>
              </w:rPr>
            </w:pPr>
          </w:p>
        </w:tc>
        <w:tc>
          <w:tcPr>
            <w:tcW w:w="900" w:type="dxa"/>
            <w:vAlign w:val="bottom"/>
            <w:vMerge w:val="restart"/>
          </w:tcPr>
          <w:p>
            <w:pPr>
              <w:jc w:val="right"/>
              <w:ind w:right="39"/>
              <w:spacing w:after="0"/>
              <w:rPr>
                <w:sz w:val="20"/>
                <w:szCs w:val="20"/>
                <w:color w:val="auto"/>
              </w:rPr>
            </w:pPr>
            <w:r>
              <w:rPr>
                <w:rFonts w:ascii="Times New Roman" w:cs="Times New Roman" w:eastAsia="Times New Roman" w:hAnsi="Times New Roman"/>
                <w:sz w:val="13"/>
                <w:szCs w:val="13"/>
                <w:b w:val="1"/>
                <w:bCs w:val="1"/>
                <w:color w:val="auto"/>
              </w:rPr>
              <w:t>Net Carrying</w:t>
            </w:r>
          </w:p>
        </w:tc>
        <w:tc>
          <w:tcPr>
            <w:tcW w:w="60" w:type="dxa"/>
            <w:vAlign w:val="bottom"/>
          </w:tcPr>
          <w:p>
            <w:pPr>
              <w:spacing w:after="0"/>
              <w:rPr>
                <w:sz w:val="10"/>
                <w:szCs w:val="10"/>
                <w:color w:val="auto"/>
              </w:rPr>
            </w:pPr>
          </w:p>
        </w:tc>
        <w:tc>
          <w:tcPr>
            <w:tcW w:w="960" w:type="dxa"/>
            <w:vAlign w:val="bottom"/>
          </w:tcPr>
          <w:p>
            <w:pPr>
              <w:jc w:val="center"/>
              <w:spacing w:after="0" w:line="125"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0" w:type="dxa"/>
            <w:vAlign w:val="bottom"/>
          </w:tcPr>
          <w:p>
            <w:pPr>
              <w:spacing w:after="0"/>
              <w:rPr>
                <w:sz w:val="1"/>
                <w:szCs w:val="1"/>
                <w:color w:val="auto"/>
              </w:rPr>
            </w:pPr>
          </w:p>
        </w:tc>
      </w:tr>
      <w:tr>
        <w:trPr>
          <w:trHeight w:val="125"/>
        </w:trPr>
        <w:tc>
          <w:tcPr>
            <w:tcW w:w="126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jc w:val="center"/>
              <w:spacing w:after="0" w:line="125"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0" w:type="dxa"/>
            <w:vAlign w:val="bottom"/>
          </w:tcPr>
          <w:p>
            <w:pPr>
              <w:spacing w:after="0"/>
              <w:rPr>
                <w:sz w:val="1"/>
                <w:szCs w:val="1"/>
                <w:color w:val="auto"/>
              </w:rPr>
            </w:pPr>
          </w:p>
        </w:tc>
      </w:tr>
      <w:tr>
        <w:trPr>
          <w:trHeight w:val="175"/>
        </w:trPr>
        <w:tc>
          <w:tcPr>
            <w:tcW w:w="1260" w:type="dxa"/>
            <w:vAlign w:val="bottom"/>
          </w:tcPr>
          <w:p>
            <w:pPr>
              <w:spacing w:after="0"/>
              <w:rPr>
                <w:sz w:val="15"/>
                <w:szCs w:val="15"/>
                <w:color w:val="auto"/>
              </w:rPr>
            </w:pPr>
          </w:p>
        </w:tc>
        <w:tc>
          <w:tcPr>
            <w:tcW w:w="1440" w:type="dxa"/>
            <w:vAlign w:val="bottom"/>
            <w:gridSpan w:val="3"/>
          </w:tcPr>
          <w:p>
            <w:pPr>
              <w:ind w:left="4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520" w:type="dxa"/>
            <w:vAlign w:val="bottom"/>
            <w:gridSpan w:val="3"/>
          </w:tcPr>
          <w:p>
            <w:pPr>
              <w:ind w:left="34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460" w:type="dxa"/>
            <w:vAlign w:val="bottom"/>
            <w:gridSpan w:val="3"/>
          </w:tcPr>
          <w:p>
            <w:pPr>
              <w:ind w:left="4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40" w:type="dxa"/>
            <w:vAlign w:val="bottom"/>
            <w:gridSpan w:val="3"/>
          </w:tcPr>
          <w:p>
            <w:pPr>
              <w:ind w:left="4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40" w:type="dxa"/>
            <w:vAlign w:val="bottom"/>
            <w:gridSpan w:val="3"/>
          </w:tcPr>
          <w:p>
            <w:pPr>
              <w:ind w:left="30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380" w:type="dxa"/>
            <w:vAlign w:val="bottom"/>
            <w:gridSpan w:val="2"/>
          </w:tcPr>
          <w:p>
            <w:pPr>
              <w:jc w:val="right"/>
              <w:ind w:right="37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Period (Years)</w:t>
            </w:r>
          </w:p>
        </w:tc>
        <w:tc>
          <w:tcPr>
            <w:tcW w:w="0" w:type="dxa"/>
            <w:vAlign w:val="bottom"/>
          </w:tcPr>
          <w:p>
            <w:pPr>
              <w:spacing w:after="0"/>
              <w:rPr>
                <w:sz w:val="1"/>
                <w:szCs w:val="1"/>
                <w:color w:val="auto"/>
              </w:rPr>
            </w:pPr>
          </w:p>
        </w:tc>
      </w:tr>
      <w:tr>
        <w:trPr>
          <w:trHeight w:val="142"/>
        </w:trPr>
        <w:tc>
          <w:tcPr>
            <w:tcW w:w="1260" w:type="dxa"/>
            <w:vAlign w:val="bottom"/>
            <w:tcBorders>
              <w:top w:val="single" w:sz="8" w:color="CCEEFF"/>
            </w:tcBorders>
            <w:shd w:val="clear" w:color="auto" w:fill="CCEEFF"/>
          </w:tcPr>
          <w:p>
            <w:pPr>
              <w:ind w:left="380"/>
              <w:spacing w:after="0" w:line="142" w:lineRule="exact"/>
              <w:rPr>
                <w:sz w:val="20"/>
                <w:szCs w:val="20"/>
                <w:color w:val="auto"/>
              </w:rPr>
            </w:pPr>
            <w:r>
              <w:rPr>
                <w:rFonts w:ascii="Times New Roman" w:cs="Times New Roman" w:eastAsia="Times New Roman" w:hAnsi="Times New Roman"/>
                <w:sz w:val="16"/>
                <w:szCs w:val="16"/>
                <w:color w:val="auto"/>
              </w:rPr>
              <w:t>Percepta</w:t>
            </w:r>
          </w:p>
        </w:tc>
        <w:tc>
          <w:tcPr>
            <w:tcW w:w="6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product</w:t>
            </w:r>
          </w:p>
        </w:tc>
        <w:tc>
          <w:tcPr>
            <w:tcW w:w="660" w:type="dxa"/>
            <w:vAlign w:val="bottom"/>
            <w:vMerge w:val="restart"/>
            <w:shd w:val="clear" w:color="auto" w:fill="CCEEFF"/>
          </w:tcPr>
          <w:p>
            <w:pPr>
              <w:jc w:val="right"/>
              <w:ind w:right="12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w:t>
            </w:r>
          </w:p>
        </w:tc>
        <w:tc>
          <w:tcPr>
            <w:tcW w:w="8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(6,133)</w:t>
            </w:r>
          </w:p>
        </w:tc>
        <w:tc>
          <w:tcPr>
            <w:tcW w:w="6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9,867</w:t>
            </w:r>
          </w:p>
        </w:tc>
        <w:tc>
          <w:tcPr>
            <w:tcW w:w="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ind w:right="12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w:t>
            </w:r>
          </w:p>
        </w:tc>
        <w:tc>
          <w:tcPr>
            <w:tcW w:w="8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(5,067)</w:t>
            </w:r>
          </w:p>
        </w:tc>
        <w:tc>
          <w:tcPr>
            <w:tcW w:w="8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10,933</w:t>
            </w:r>
          </w:p>
        </w:tc>
        <w:tc>
          <w:tcPr>
            <w:tcW w:w="1020" w:type="dxa"/>
            <w:vAlign w:val="bottom"/>
            <w:gridSpan w:val="2"/>
            <w:vMerge w:val="restart"/>
            <w:shd w:val="clear" w:color="auto" w:fill="CCEEFF"/>
          </w:tcPr>
          <w:p>
            <w:pPr>
              <w:jc w:val="center"/>
              <w:ind w:left="377"/>
              <w:spacing w:after="0"/>
              <w:rPr>
                <w:sz w:val="20"/>
                <w:szCs w:val="20"/>
                <w:color w:val="auto"/>
              </w:rPr>
            </w:pPr>
            <w:r>
              <w:rPr>
                <w:rFonts w:ascii="Times New Roman" w:cs="Times New Roman" w:eastAsia="Times New Roman" w:hAnsi="Times New Roman"/>
                <w:sz w:val="17"/>
                <w:szCs w:val="17"/>
                <w:color w:val="auto"/>
                <w:w w:val="93"/>
              </w:rPr>
              <w:t>15</w:t>
            </w: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technology</w:t>
            </w:r>
          </w:p>
        </w:tc>
        <w:tc>
          <w:tcPr>
            <w:tcW w:w="6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380"/>
              <w:spacing w:after="0" w:line="163" w:lineRule="exact"/>
              <w:rPr>
                <w:sz w:val="20"/>
                <w:szCs w:val="20"/>
                <w:color w:val="auto"/>
              </w:rPr>
            </w:pPr>
            <w:r>
              <w:rPr>
                <w:rFonts w:ascii="Times New Roman" w:cs="Times New Roman" w:eastAsia="Times New Roman" w:hAnsi="Times New Roman"/>
                <w:sz w:val="17"/>
                <w:szCs w:val="17"/>
                <w:color w:val="auto"/>
              </w:rPr>
              <w:t>Prosigna</w:t>
            </w: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20"/>
              <w:spacing w:after="0" w:line="163" w:lineRule="exact"/>
              <w:rPr>
                <w:sz w:val="20"/>
                <w:szCs w:val="20"/>
                <w:color w:val="auto"/>
              </w:rPr>
            </w:pPr>
            <w:r>
              <w:rPr>
                <w:rFonts w:ascii="Times New Roman" w:cs="Times New Roman" w:eastAsia="Times New Roman" w:hAnsi="Times New Roman"/>
                <w:sz w:val="17"/>
                <w:szCs w:val="17"/>
                <w:color w:val="auto"/>
              </w:rPr>
              <w:t>product</w:t>
            </w:r>
          </w:p>
        </w:tc>
        <w:tc>
          <w:tcPr>
            <w:tcW w:w="6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4,120</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3,822</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4,120</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4,103</w:t>
            </w:r>
          </w:p>
        </w:tc>
        <w:tc>
          <w:tcPr>
            <w:tcW w:w="1020" w:type="dxa"/>
            <w:vAlign w:val="bottom"/>
            <w:gridSpan w:val="2"/>
            <w:vMerge w:val="restart"/>
          </w:tcPr>
          <w:p>
            <w:pPr>
              <w:jc w:val="center"/>
              <w:ind w:left="377"/>
              <w:spacing w:after="0"/>
              <w:rPr>
                <w:sz w:val="20"/>
                <w:szCs w:val="20"/>
                <w:color w:val="auto"/>
              </w:rPr>
            </w:pPr>
            <w:r>
              <w:rPr>
                <w:rFonts w:ascii="Times New Roman" w:cs="Times New Roman" w:eastAsia="Times New Roman" w:hAnsi="Times New Roman"/>
                <w:sz w:val="17"/>
                <w:szCs w:val="17"/>
                <w:color w:val="auto"/>
                <w:w w:val="93"/>
              </w:rPr>
              <w:t>15</w:t>
            </w:r>
          </w:p>
        </w:tc>
        <w:tc>
          <w:tcPr>
            <w:tcW w:w="0" w:type="dxa"/>
            <w:vAlign w:val="bottom"/>
          </w:tcPr>
          <w:p>
            <w:pPr>
              <w:spacing w:after="0"/>
              <w:rPr>
                <w:sz w:val="1"/>
                <w:szCs w:val="1"/>
                <w:color w:val="auto"/>
              </w:rPr>
            </w:pPr>
          </w:p>
        </w:tc>
      </w:tr>
      <w:tr>
        <w:trPr>
          <w:trHeight w:val="212"/>
        </w:trPr>
        <w:tc>
          <w:tcPr>
            <w:tcW w:w="1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technology</w:t>
            </w:r>
          </w:p>
        </w:tc>
        <w:tc>
          <w:tcPr>
            <w:tcW w:w="6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380"/>
              <w:spacing w:after="0" w:line="163" w:lineRule="exact"/>
              <w:rPr>
                <w:sz w:val="20"/>
                <w:szCs w:val="20"/>
                <w:color w:val="auto"/>
              </w:rPr>
            </w:pPr>
            <w:r>
              <w:rPr>
                <w:rFonts w:ascii="Times New Roman" w:cs="Times New Roman" w:eastAsia="Times New Roman" w:hAnsi="Times New Roman"/>
                <w:sz w:val="17"/>
                <w:szCs w:val="17"/>
                <w:color w:val="auto"/>
              </w:rPr>
              <w:t>Prosigna</w:t>
            </w:r>
          </w:p>
        </w:tc>
        <w:tc>
          <w:tcPr>
            <w:tcW w:w="6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customer</w:t>
            </w:r>
          </w:p>
        </w:tc>
        <w:tc>
          <w:tcPr>
            <w:tcW w:w="6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2,430</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1,904</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2,388</w:t>
            </w:r>
          </w:p>
        </w:tc>
        <w:tc>
          <w:tcPr>
            <w:tcW w:w="1020" w:type="dxa"/>
            <w:vAlign w:val="bottom"/>
            <w:gridSpan w:val="2"/>
            <w:vMerge w:val="restart"/>
            <w:shd w:val="clear" w:color="auto" w:fill="CCEEFF"/>
          </w:tcPr>
          <w:p>
            <w:pPr>
              <w:jc w:val="center"/>
              <w:ind w:left="377"/>
              <w:spacing w:after="0"/>
              <w:rPr>
                <w:sz w:val="20"/>
                <w:szCs w:val="20"/>
                <w:color w:val="auto"/>
              </w:rPr>
            </w:pPr>
            <w:r>
              <w:rPr>
                <w:rFonts w:ascii="Times New Roman" w:cs="Times New Roman" w:eastAsia="Times New Roman" w:hAnsi="Times New Roman"/>
                <w:sz w:val="17"/>
                <w:szCs w:val="17"/>
                <w:color w:val="auto"/>
                <w:w w:val="93"/>
              </w:rPr>
              <w:t>5</w:t>
            </w: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relationships</w:t>
            </w:r>
          </w:p>
        </w:tc>
        <w:tc>
          <w:tcPr>
            <w:tcW w:w="6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380"/>
              <w:spacing w:after="0" w:line="163" w:lineRule="exact"/>
              <w:rPr>
                <w:sz w:val="20"/>
                <w:szCs w:val="20"/>
                <w:color w:val="auto"/>
              </w:rPr>
            </w:pPr>
            <w:r>
              <w:rPr>
                <w:rFonts w:ascii="Times New Roman" w:cs="Times New Roman" w:eastAsia="Times New Roman" w:hAnsi="Times New Roman"/>
                <w:sz w:val="17"/>
                <w:szCs w:val="17"/>
                <w:color w:val="auto"/>
              </w:rPr>
              <w:t>nCounter</w:t>
            </w:r>
          </w:p>
        </w:tc>
        <w:tc>
          <w:tcPr>
            <w:tcW w:w="6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46,880</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(3,386)</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43,494</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46,880</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46,617</w:t>
            </w:r>
          </w:p>
        </w:tc>
        <w:tc>
          <w:tcPr>
            <w:tcW w:w="1020" w:type="dxa"/>
            <w:vAlign w:val="bottom"/>
            <w:gridSpan w:val="2"/>
            <w:vMerge w:val="restart"/>
          </w:tcPr>
          <w:p>
            <w:pPr>
              <w:jc w:val="center"/>
              <w:ind w:left="377"/>
              <w:spacing w:after="0"/>
              <w:rPr>
                <w:sz w:val="20"/>
                <w:szCs w:val="20"/>
                <w:color w:val="auto"/>
              </w:rPr>
            </w:pPr>
            <w:r>
              <w:rPr>
                <w:rFonts w:ascii="Times New Roman" w:cs="Times New Roman" w:eastAsia="Times New Roman" w:hAnsi="Times New Roman"/>
                <w:sz w:val="17"/>
                <w:szCs w:val="17"/>
                <w:color w:val="auto"/>
                <w:w w:val="93"/>
              </w:rPr>
              <w:t>15</w:t>
            </w:r>
          </w:p>
        </w:tc>
        <w:tc>
          <w:tcPr>
            <w:tcW w:w="0" w:type="dxa"/>
            <w:vAlign w:val="bottom"/>
          </w:tcPr>
          <w:p>
            <w:pPr>
              <w:spacing w:after="0"/>
              <w:rPr>
                <w:sz w:val="1"/>
                <w:szCs w:val="1"/>
                <w:color w:val="auto"/>
              </w:rPr>
            </w:pPr>
          </w:p>
        </w:tc>
      </w:tr>
      <w:tr>
        <w:trPr>
          <w:trHeight w:val="212"/>
        </w:trPr>
        <w:tc>
          <w:tcPr>
            <w:tcW w:w="1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Dx license</w:t>
            </w:r>
          </w:p>
        </w:tc>
        <w:tc>
          <w:tcPr>
            <w:tcW w:w="6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380"/>
              <w:spacing w:after="0" w:line="163" w:lineRule="exact"/>
              <w:rPr>
                <w:sz w:val="20"/>
                <w:szCs w:val="20"/>
                <w:color w:val="auto"/>
              </w:rPr>
            </w:pPr>
            <w:r>
              <w:rPr>
                <w:rFonts w:ascii="Times New Roman" w:cs="Times New Roman" w:eastAsia="Times New Roman" w:hAnsi="Times New Roman"/>
                <w:sz w:val="17"/>
                <w:szCs w:val="17"/>
                <w:color w:val="auto"/>
              </w:rPr>
              <w:t>LymphMark</w:t>
            </w:r>
          </w:p>
        </w:tc>
        <w:tc>
          <w:tcPr>
            <w:tcW w:w="6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product</w:t>
            </w:r>
          </w:p>
        </w:tc>
        <w:tc>
          <w:tcPr>
            <w:tcW w:w="6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w:t>
            </w:r>
          </w:p>
        </w:tc>
        <w:tc>
          <w:tcPr>
            <w:tcW w:w="1020" w:type="dxa"/>
            <w:vAlign w:val="bottom"/>
            <w:gridSpan w:val="2"/>
            <w:vMerge w:val="restart"/>
            <w:shd w:val="clear" w:color="auto" w:fill="CCEEFF"/>
          </w:tcPr>
          <w:p>
            <w:pPr>
              <w:jc w:val="center"/>
              <w:ind w:left="377"/>
              <w:spacing w:after="0"/>
              <w:rPr>
                <w:sz w:val="20"/>
                <w:szCs w:val="20"/>
                <w:color w:val="auto"/>
              </w:rPr>
            </w:pPr>
            <w:r>
              <w:rPr>
                <w:rFonts w:ascii="Times New Roman" w:cs="Times New Roman" w:eastAsia="Times New Roman" w:hAnsi="Times New Roman"/>
                <w:sz w:val="17"/>
                <w:szCs w:val="17"/>
                <w:color w:val="auto"/>
                <w:w w:val="93"/>
              </w:rPr>
              <w:t>7</w:t>
            </w: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technology</w:t>
            </w:r>
          </w:p>
        </w:tc>
        <w:tc>
          <w:tcPr>
            <w:tcW w:w="6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2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w:t>
            </w:r>
          </w:p>
        </w:tc>
        <w:tc>
          <w:tcPr>
            <w:tcW w:w="66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70,420</w:t>
            </w:r>
          </w:p>
        </w:tc>
        <w:tc>
          <w:tcPr>
            <w:tcW w:w="80" w:type="dxa"/>
            <w:vAlign w:val="bottom"/>
          </w:tcPr>
          <w:p>
            <w:pPr>
              <w:spacing w:after="0"/>
              <w:rPr>
                <w:sz w:val="17"/>
                <w:szCs w:val="17"/>
                <w:color w:val="auto"/>
              </w:rPr>
            </w:pPr>
          </w:p>
        </w:tc>
        <w:tc>
          <w:tcPr>
            <w:tcW w:w="5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(10,496)</w:t>
            </w:r>
          </w:p>
        </w:tc>
        <w:tc>
          <w:tcPr>
            <w:tcW w:w="60" w:type="dxa"/>
            <w:vAlign w:val="bottom"/>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59,924</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70,420</w:t>
            </w:r>
          </w:p>
        </w:tc>
        <w:tc>
          <w:tcPr>
            <w:tcW w:w="80" w:type="dxa"/>
            <w:vAlign w:val="bottom"/>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(5,401)</w:t>
            </w:r>
          </w:p>
        </w:tc>
        <w:tc>
          <w:tcPr>
            <w:tcW w:w="80" w:type="dxa"/>
            <w:vAlign w:val="bottom"/>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65,019</w:t>
            </w:r>
          </w:p>
        </w:tc>
        <w:tc>
          <w:tcPr>
            <w:tcW w:w="1020" w:type="dxa"/>
            <w:vAlign w:val="bottom"/>
            <w:gridSpan w:val="2"/>
          </w:tcPr>
          <w:p>
            <w:pPr>
              <w:jc w:val="center"/>
              <w:ind w:left="357"/>
              <w:spacing w:after="0"/>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right="100" w:firstLine="375"/>
        <w:spacing w:after="0" w:line="251" w:lineRule="auto"/>
        <w:rPr>
          <w:sz w:val="20"/>
          <w:szCs w:val="20"/>
          <w:color w:val="auto"/>
        </w:rPr>
      </w:pPr>
      <w:r>
        <w:rPr>
          <w:rFonts w:ascii="Times New Roman" w:cs="Times New Roman" w:eastAsia="Times New Roman" w:hAnsi="Times New Roman"/>
          <w:sz w:val="17"/>
          <w:szCs w:val="17"/>
          <w:color w:val="auto"/>
        </w:rPr>
        <w:t>Amortization of the Percepta product technology, which was acquired from the acquisition of Allegro in September 2014, began in April 2015 when research and development activities were deemed to be completed and is recognized on a straight-line basis. Amortization of the Prosigna product technology, Prosigna customer relationships, nCounter Dx license and LymphMark product technology, which were acquired under an agreement with NanoString, see Note 4. Business Combination, began in December 2019 and is recognized on a straight-line basis. Amortization of $5.1 million, $1.4 million and $1.1 million was recognized for the years ended December 31, 2020, 2019, and 2018, respectively.</w:t>
      </w:r>
    </w:p>
    <w:p>
      <w:pPr>
        <w:sectPr>
          <w:pgSz w:w="11900" w:h="16838" w:orient="portrait"/>
          <w:cols w:equalWidth="0" w:num="1">
            <w:col w:w="11340"/>
          </w:cols>
          <w:pgMar w:left="320" w:top="1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7142480" cy="15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340"/>
          </w:cols>
          <w:pgMar w:left="320" w:top="120" w:right="239" w:bottom="1440" w:gutter="0" w:footer="0" w:header="0"/>
          <w:type w:val="continuous"/>
        </w:sectPr>
      </w:pPr>
    </w:p>
    <w:bookmarkStart w:id="110" w:name="page111"/>
    <w:bookmarkEnd w:id="110"/>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estimated future aggregate amortization expense as of December 31, 2020 is as follows (in thousands of dollars):</w:t>
      </w:r>
    </w:p>
    <w:p>
      <w:pPr>
        <w:spacing w:after="0" w:line="123" w:lineRule="exact"/>
        <w:rPr>
          <w:sz w:val="20"/>
          <w:szCs w:val="20"/>
          <w:color w:val="auto"/>
        </w:rPr>
      </w:pPr>
    </w:p>
    <w:tbl>
      <w:tblPr>
        <w:tblLayout w:type="fixed"/>
        <w:tblInd w:w="380" w:type="dxa"/>
        <w:tblCellMar>
          <w:top w:w="0" w:type="dxa"/>
          <w:left w:w="0" w:type="dxa"/>
          <w:bottom w:w="0" w:type="dxa"/>
          <w:right w:w="0" w:type="dxa"/>
        </w:tblCellMar>
      </w:tblPr>
      <w:tr>
        <w:trPr>
          <w:trHeight w:val="180"/>
        </w:trPr>
        <w:tc>
          <w:tcPr>
            <w:tcW w:w="90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3"/>
                <w:szCs w:val="13"/>
                <w:b w:val="1"/>
                <w:bCs w:val="1"/>
                <w:color w:val="auto"/>
              </w:rPr>
              <w:t>Year Ending December 31,</w:t>
            </w:r>
          </w:p>
        </w:tc>
        <w:tc>
          <w:tcPr>
            <w:tcW w:w="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3"/>
                <w:szCs w:val="13"/>
                <w:b w:val="1"/>
                <w:bCs w:val="1"/>
                <w:color w:val="auto"/>
              </w:rPr>
              <w:t>Amounts</w:t>
            </w:r>
          </w:p>
        </w:tc>
      </w:tr>
      <w:tr>
        <w:trPr>
          <w:trHeight w:val="210"/>
        </w:trPr>
        <w:tc>
          <w:tcPr>
            <w:tcW w:w="9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2021</w:t>
            </w:r>
          </w:p>
        </w:tc>
        <w:tc>
          <w:tcPr>
            <w:tcW w:w="6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5,094</w:t>
            </w:r>
          </w:p>
        </w:tc>
      </w:tr>
      <w:tr>
        <w:trPr>
          <w:trHeight w:val="212"/>
        </w:trPr>
        <w:tc>
          <w:tcPr>
            <w:tcW w:w="90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2022</w:t>
            </w:r>
          </w:p>
        </w:tc>
        <w:tc>
          <w:tcPr>
            <w:tcW w:w="6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5,094</w:t>
            </w:r>
          </w:p>
        </w:tc>
      </w:tr>
      <w:tr>
        <w:trPr>
          <w:trHeight w:val="212"/>
        </w:trPr>
        <w:tc>
          <w:tcPr>
            <w:tcW w:w="9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2023</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5,094</w:t>
            </w:r>
          </w:p>
        </w:tc>
      </w:tr>
      <w:tr>
        <w:trPr>
          <w:trHeight w:val="212"/>
        </w:trPr>
        <w:tc>
          <w:tcPr>
            <w:tcW w:w="90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2024</w:t>
            </w:r>
          </w:p>
        </w:tc>
        <w:tc>
          <w:tcPr>
            <w:tcW w:w="6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5,054</w:t>
            </w:r>
          </w:p>
        </w:tc>
      </w:tr>
      <w:tr>
        <w:trPr>
          <w:trHeight w:val="212"/>
        </w:trPr>
        <w:tc>
          <w:tcPr>
            <w:tcW w:w="9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2025</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4,608</w:t>
            </w:r>
          </w:p>
        </w:tc>
      </w:tr>
      <w:tr>
        <w:trPr>
          <w:trHeight w:val="212"/>
        </w:trPr>
        <w:tc>
          <w:tcPr>
            <w:tcW w:w="90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7"/>
                <w:szCs w:val="17"/>
                <w:color w:val="auto"/>
              </w:rPr>
              <w:t>Thereafter</w:t>
            </w: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34,980</w:t>
            </w:r>
          </w:p>
        </w:tc>
      </w:tr>
      <w:tr>
        <w:trPr>
          <w:trHeight w:val="230"/>
        </w:trPr>
        <w:tc>
          <w:tcPr>
            <w:tcW w:w="9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Total</w:t>
            </w:r>
          </w:p>
        </w:tc>
        <w:tc>
          <w:tcPr>
            <w:tcW w:w="6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59,924</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Accrued Liabilities</w:t>
      </w:r>
    </w:p>
    <w:p>
      <w:pPr>
        <w:spacing w:after="0" w:line="2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Accrued liabilities consisted of the following (in thousands of dollars):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2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960" w:type="dxa"/>
            <w:vAlign w:val="bottom"/>
            <w:tcBorders>
              <w:bottom w:val="single" w:sz="8" w:color="auto"/>
            </w:tcBorders>
          </w:tcPr>
          <w:p>
            <w:pPr>
              <w:spacing w:after="0"/>
              <w:rPr>
                <w:sz w:val="15"/>
                <w:szCs w:val="15"/>
                <w:color w:val="auto"/>
              </w:rPr>
            </w:pPr>
          </w:p>
        </w:tc>
      </w:tr>
      <w:tr>
        <w:trPr>
          <w:trHeight w:val="172"/>
        </w:trPr>
        <w:tc>
          <w:tcPr>
            <w:tcW w:w="82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3"/>
                <w:szCs w:val="13"/>
                <w:b w:val="1"/>
                <w:bCs w:val="1"/>
                <w:color w:val="auto"/>
              </w:rPr>
              <w:t>2019</w:t>
            </w:r>
          </w:p>
        </w:tc>
      </w:tr>
      <w:tr>
        <w:trPr>
          <w:trHeight w:val="20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compensation expense</w:t>
            </w:r>
          </w:p>
        </w:tc>
        <w:tc>
          <w:tcPr>
            <w:tcW w:w="88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9,201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10,100</w:t>
            </w:r>
          </w:p>
        </w:tc>
      </w:tr>
      <w:tr>
        <w:trPr>
          <w:trHeight w:val="212"/>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Accrued other</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2,504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3,634</w:t>
            </w:r>
          </w:p>
        </w:tc>
      </w:tr>
      <w:tr>
        <w:trPr>
          <w:trHeight w:val="230"/>
        </w:trPr>
        <w:tc>
          <w:tcPr>
            <w:tcW w:w="8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accrued liabilities</w:t>
            </w: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98"/>
              </w:rPr>
              <w:t>11,705</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13,734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Fair Value Measurements</w:t>
      </w:r>
    </w:p>
    <w:p>
      <w:pPr>
        <w:spacing w:after="0" w:line="233" w:lineRule="exact"/>
        <w:rPr>
          <w:sz w:val="20"/>
          <w:szCs w:val="20"/>
          <w:color w:val="auto"/>
        </w:rPr>
      </w:pPr>
    </w:p>
    <w:p>
      <w:pPr>
        <w:jc w:val="both"/>
        <w:ind w:firstLine="412"/>
        <w:spacing w:after="0" w:line="248" w:lineRule="auto"/>
        <w:rPr>
          <w:sz w:val="20"/>
          <w:szCs w:val="20"/>
          <w:color w:val="auto"/>
        </w:rPr>
      </w:pPr>
      <w:r>
        <w:rPr>
          <w:rFonts w:ascii="Times New Roman" w:cs="Times New Roman" w:eastAsia="Times New Roman" w:hAnsi="Times New Roman"/>
          <w:sz w:val="17"/>
          <w:szCs w:val="17"/>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carrying value of the Company's debt approximates its fair value because the interest rate approximates market rates that the Company could obtain for debt with similar terms. The fair value of the Company’s debt is estimated using the net present value of the payments, discounted at an interest rate that is consistent with market interest rates, which is a Level II input.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207" w:lineRule="exact"/>
        <w:rPr>
          <w:sz w:val="20"/>
          <w:szCs w:val="20"/>
          <w:color w:val="auto"/>
        </w:rPr>
      </w:pPr>
    </w:p>
    <w:p>
      <w:pPr>
        <w:ind w:left="1200" w:hanging="601"/>
        <w:spacing w:after="0"/>
        <w:tabs>
          <w:tab w:leader="none" w:pos="12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I: Inputs which include quoted prices in active markets for identical assets and liabilities;</w:t>
      </w:r>
    </w:p>
    <w:p>
      <w:pPr>
        <w:spacing w:after="0" w:line="228" w:lineRule="exact"/>
        <w:rPr>
          <w:rFonts w:ascii="Times New Roman" w:cs="Times New Roman" w:eastAsia="Times New Roman" w:hAnsi="Times New Roman"/>
          <w:sz w:val="17"/>
          <w:szCs w:val="17"/>
          <w:color w:val="auto"/>
        </w:rPr>
      </w:pPr>
    </w:p>
    <w:p>
      <w:pPr>
        <w:jc w:val="both"/>
        <w:ind w:left="1200" w:hanging="601"/>
        <w:spacing w:after="0" w:line="257" w:lineRule="auto"/>
        <w:tabs>
          <w:tab w:leader="none" w:pos="119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195" w:lineRule="exact"/>
        <w:rPr>
          <w:rFonts w:ascii="Times New Roman" w:cs="Times New Roman" w:eastAsia="Times New Roman" w:hAnsi="Times New Roman"/>
          <w:sz w:val="17"/>
          <w:szCs w:val="17"/>
          <w:color w:val="auto"/>
        </w:rPr>
      </w:pPr>
    </w:p>
    <w:p>
      <w:pPr>
        <w:ind w:left="1200" w:hanging="601"/>
        <w:spacing w:after="0"/>
        <w:tabs>
          <w:tab w:leader="none" w:pos="12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III: Unobservable inputs that are supported by little or no market activity and that are significant to the fair value of the assets or liabilities.</w:t>
      </w:r>
    </w:p>
    <w:p>
      <w:pPr>
        <w:spacing w:after="0" w:line="229" w:lineRule="exact"/>
        <w:rPr>
          <w:sz w:val="20"/>
          <w:szCs w:val="20"/>
          <w:color w:val="auto"/>
        </w:rPr>
      </w:pPr>
    </w:p>
    <w:p>
      <w:pPr>
        <w:jc w:val="both"/>
        <w:ind w:firstLine="412"/>
        <w:spacing w:after="0" w:line="251" w:lineRule="auto"/>
        <w:rPr>
          <w:sz w:val="20"/>
          <w:szCs w:val="20"/>
          <w:color w:val="auto"/>
        </w:rPr>
      </w:pPr>
      <w:r>
        <w:rPr>
          <w:rFonts w:ascii="Times New Roman" w:cs="Times New Roman" w:eastAsia="Times New Roman" w:hAnsi="Times New Roman"/>
          <w:sz w:val="17"/>
          <w:szCs w:val="17"/>
          <w:color w:val="auto"/>
        </w:rPr>
        <w:t>The fair value of the Company's financial assets includes money market funds, overnight reverse repurchase agreements and a deposit for the lease of the Company's South San Francisco facility. Money market funds, included in cash and cash equivalents in the accompanying consolidated balance sheets, was $346.8 million and $57.6 million as of December 31, 2020 and 2019, respectively, and are Level I assets as described above. Overnight reverse repurchase agreements, included in cash and cash equivalents in the accompanying consolidated balance sheets, were zero and $100.0 million as of December 31, 2020 and 2019, respectively, and are Level II assets as described above. There were no unrealized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1" w:name="page112"/>
    <w:bookmarkEnd w:id="111"/>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gains or losses from overnight reverse repurchase agreements at December 31, 2020 and 2019. The deposit for the lease, included in restricted cash in the accompanying consolidated balance sheets, was $603,000 as of December 31, 2020 and 2019, and is a Level I asset as described above. There were no transfers between Levels 1, 2 or 3 for the years ended December 31, 2020, 2019, and 2018.</w:t>
      </w:r>
    </w:p>
    <w:p>
      <w:pPr>
        <w:spacing w:after="0" w:line="196" w:lineRule="exact"/>
        <w:rPr>
          <w:sz w:val="20"/>
          <w:szCs w:val="20"/>
          <w:color w:val="auto"/>
        </w:rPr>
      </w:pPr>
    </w:p>
    <w:p>
      <w:pPr>
        <w:jc w:val="both"/>
        <w:ind w:firstLine="412"/>
        <w:spacing w:after="0" w:line="248" w:lineRule="auto"/>
        <w:rPr>
          <w:sz w:val="20"/>
          <w:szCs w:val="20"/>
          <w:color w:val="auto"/>
        </w:rPr>
      </w:pPr>
      <w:r>
        <w:rPr>
          <w:rFonts w:ascii="Times New Roman" w:cs="Times New Roman" w:eastAsia="Times New Roman" w:hAnsi="Times New Roman"/>
          <w:sz w:val="17"/>
          <w:szCs w:val="17"/>
          <w:color w:val="auto"/>
        </w:rPr>
        <w:t>The fair value of the contingent consideration in Note 4. Business Combination, associated with the agreement with NanoString on December 3, 2019, includes inputs that are not observable in the market and thus represents a Level III financial liability. The estimation of the fair value of the contingent consideration is based on the present value of the expected payments calculated by assessing the likelihood of when the related milestones would be achieved, discounted using the Company's estimated borrowing rate. These estimates form the basis for making judgments about the carrying value of the contingent consideration that are not readily apparent from other sources. Changes to the forecasts for the achievement of the milestones and the estimates of the borrowing rate can significantly affect the estimated fair value of the contingent consideration. As of December 31, 2020, the achievement of the milestones is not forecasted to occur within the next 12 months. As a result, the contingent consideration is included in long term liabilities in the consolidated balance sheets. As of December 31, 2020, the Company calculated the estimated fair value of the milestones using the following significant unobservable inputs:</w:t>
      </w:r>
    </w:p>
    <w:p>
      <w:pPr>
        <w:spacing w:after="0" w:line="244" w:lineRule="exact"/>
        <w:rPr>
          <w:sz w:val="20"/>
          <w:szCs w:val="20"/>
          <w:color w:val="auto"/>
        </w:rPr>
      </w:pPr>
    </w:p>
    <w:tbl>
      <w:tblPr>
        <w:tblLayout w:type="fixed"/>
        <w:tblInd w:w="380" w:type="dxa"/>
        <w:tblCellMar>
          <w:top w:w="0" w:type="dxa"/>
          <w:left w:w="0" w:type="dxa"/>
          <w:bottom w:w="0" w:type="dxa"/>
          <w:right w:w="0" w:type="dxa"/>
        </w:tblCellMar>
      </w:tblPr>
      <w:tr>
        <w:trPr>
          <w:trHeight w:val="212"/>
        </w:trPr>
        <w:tc>
          <w:tcPr>
            <w:tcW w:w="6640" w:type="dxa"/>
            <w:vAlign w:val="bottom"/>
          </w:tcPr>
          <w:p>
            <w:pPr>
              <w:spacing w:after="0"/>
              <w:rPr>
                <w:sz w:val="18"/>
                <w:szCs w:val="18"/>
                <w:color w:val="auto"/>
              </w:rPr>
            </w:pPr>
          </w:p>
        </w:tc>
        <w:tc>
          <w:tcPr>
            <w:tcW w:w="3600" w:type="dxa"/>
            <w:vAlign w:val="bottom"/>
          </w:tcPr>
          <w:p>
            <w:pPr>
              <w:jc w:val="center"/>
              <w:ind w:left="1457"/>
              <w:spacing w:after="0"/>
              <w:rPr>
                <w:sz w:val="20"/>
                <w:szCs w:val="20"/>
                <w:color w:val="auto"/>
              </w:rPr>
            </w:pPr>
            <w:r>
              <w:rPr>
                <w:rFonts w:ascii="Times New Roman" w:cs="Times New Roman" w:eastAsia="Times New Roman" w:hAnsi="Times New Roman"/>
                <w:sz w:val="17"/>
                <w:szCs w:val="17"/>
                <w:color w:val="auto"/>
                <w:w w:val="95"/>
              </w:rPr>
              <w:t>Value or Range</w:t>
            </w:r>
          </w:p>
        </w:tc>
      </w:tr>
      <w:tr>
        <w:trPr>
          <w:trHeight w:val="216"/>
        </w:trPr>
        <w:tc>
          <w:tcPr>
            <w:tcW w:w="6640" w:type="dxa"/>
            <w:vAlign w:val="bottom"/>
            <w:tcBorders>
              <w:bottom w:val="single" w:sz="8" w:color="auto"/>
            </w:tcBorders>
          </w:tcPr>
          <w:p>
            <w:pPr>
              <w:ind w:left="3440"/>
              <w:spacing w:after="0"/>
              <w:rPr>
                <w:sz w:val="20"/>
                <w:szCs w:val="20"/>
                <w:color w:val="auto"/>
              </w:rPr>
            </w:pPr>
            <w:r>
              <w:rPr>
                <w:rFonts w:ascii="Times New Roman" w:cs="Times New Roman" w:eastAsia="Times New Roman" w:hAnsi="Times New Roman"/>
                <w:sz w:val="17"/>
                <w:szCs w:val="17"/>
                <w:color w:val="auto"/>
              </w:rPr>
              <w:t>Unobservable input</w:t>
            </w:r>
          </w:p>
        </w:tc>
        <w:tc>
          <w:tcPr>
            <w:tcW w:w="3600" w:type="dxa"/>
            <w:vAlign w:val="bottom"/>
            <w:tcBorders>
              <w:bottom w:val="single" w:sz="8" w:color="auto"/>
            </w:tcBorders>
          </w:tcPr>
          <w:p>
            <w:pPr>
              <w:jc w:val="center"/>
              <w:ind w:left="1457"/>
              <w:spacing w:after="0"/>
              <w:rPr>
                <w:sz w:val="20"/>
                <w:szCs w:val="20"/>
                <w:color w:val="auto"/>
              </w:rPr>
            </w:pPr>
            <w:r>
              <w:rPr>
                <w:rFonts w:ascii="Times New Roman" w:cs="Times New Roman" w:eastAsia="Times New Roman" w:hAnsi="Times New Roman"/>
                <w:sz w:val="17"/>
                <w:szCs w:val="17"/>
                <w:color w:val="auto"/>
                <w:w w:val="95"/>
              </w:rPr>
              <w:t>(Weighted-Average)</w:t>
            </w:r>
          </w:p>
        </w:tc>
      </w:tr>
      <w:tr>
        <w:trPr>
          <w:trHeight w:val="205"/>
        </w:trPr>
        <w:tc>
          <w:tcPr>
            <w:tcW w:w="6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Discount rate</w:t>
            </w:r>
          </w:p>
        </w:tc>
        <w:tc>
          <w:tcPr>
            <w:tcW w:w="360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7"/>
                <w:szCs w:val="17"/>
                <w:color w:val="auto"/>
              </w:rPr>
              <w:t>6.9%</w:t>
            </w:r>
          </w:p>
        </w:tc>
      </w:tr>
      <w:tr>
        <w:trPr>
          <w:trHeight w:val="216"/>
        </w:trPr>
        <w:tc>
          <w:tcPr>
            <w:tcW w:w="66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Probability of achievement</w:t>
            </w:r>
          </w:p>
        </w:tc>
        <w:tc>
          <w:tcPr>
            <w:tcW w:w="3600" w:type="dxa"/>
            <w:vAlign w:val="bottom"/>
          </w:tcPr>
          <w:p>
            <w:pPr>
              <w:jc w:val="right"/>
              <w:ind w:right="297"/>
              <w:spacing w:after="0"/>
              <w:rPr>
                <w:sz w:val="20"/>
                <w:szCs w:val="20"/>
                <w:color w:val="auto"/>
              </w:rPr>
            </w:pPr>
            <w:r>
              <w:rPr>
                <w:rFonts w:ascii="Times New Roman" w:cs="Times New Roman" w:eastAsia="Times New Roman" w:hAnsi="Times New Roman"/>
                <w:sz w:val="17"/>
                <w:szCs w:val="17"/>
                <w:color w:val="auto"/>
              </w:rPr>
              <w:t>70% - 100% (86%)</w:t>
            </w:r>
          </w:p>
        </w:tc>
      </w:tr>
    </w:tbl>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Leases</w:t>
      </w:r>
    </w:p>
    <w:p>
      <w:pPr>
        <w:spacing w:after="0" w:line="233" w:lineRule="exact"/>
        <w:rPr>
          <w:sz w:val="20"/>
          <w:szCs w:val="20"/>
          <w:color w:val="auto"/>
        </w:rPr>
      </w:pPr>
    </w:p>
    <w:p>
      <w:pPr>
        <w:jc w:val="both"/>
        <w:ind w:firstLine="412"/>
        <w:spacing w:after="0" w:line="251" w:lineRule="auto"/>
        <w:rPr>
          <w:sz w:val="20"/>
          <w:szCs w:val="20"/>
          <w:color w:val="auto"/>
        </w:rPr>
      </w:pPr>
      <w:r>
        <w:rPr>
          <w:rFonts w:ascii="Times New Roman" w:cs="Times New Roman" w:eastAsia="Times New Roman" w:hAnsi="Times New Roman"/>
          <w:sz w:val="17"/>
          <w:szCs w:val="17"/>
          <w:color w:val="auto"/>
        </w:rPr>
        <w:t>The Company leases its headquarters and laboratory facilities in South San Francisco, California under a non-cancelable lease agreement for approximately 59,000 square feet. The lease began in June 2015 and ends in March 2026 and contains extension of lease term and expansion options. In February 2017, the Company relinquished certain expansion rights for a nominal fee. The Company had deposits of $603,000 included in long-term assets as of December 31, 2020 and 2019, restricted from withdrawal and held by a bank in the form of collateral for an irrevocable standby letter of credit held as security for the lease of the South San Francisco facility.</w:t>
      </w:r>
    </w:p>
    <w:p>
      <w:pPr>
        <w:spacing w:after="0" w:line="201" w:lineRule="exact"/>
        <w:rPr>
          <w:sz w:val="20"/>
          <w:szCs w:val="20"/>
          <w:color w:val="auto"/>
        </w:rPr>
      </w:pPr>
    </w:p>
    <w:p>
      <w:pPr>
        <w:jc w:val="both"/>
        <w:ind w:firstLine="412"/>
        <w:spacing w:after="0" w:line="257" w:lineRule="auto"/>
        <w:rPr>
          <w:sz w:val="20"/>
          <w:szCs w:val="20"/>
          <w:color w:val="auto"/>
        </w:rPr>
      </w:pPr>
      <w:r>
        <w:rPr>
          <w:rFonts w:ascii="Times New Roman" w:cs="Times New Roman" w:eastAsia="Times New Roman" w:hAnsi="Times New Roman"/>
          <w:sz w:val="17"/>
          <w:szCs w:val="17"/>
          <w:color w:val="auto"/>
        </w:rPr>
        <w:t>The Company also leases laboratory and office space in Austin, Texas under a lease that expires in January 2029 and includes options for expansion and early termination in 2025. The Company provided a cash security deposit for this lease of $139,000, included in other assets in the Company's balance sheets as of December 31, 2020 and 2019.</w:t>
      </w:r>
    </w:p>
    <w:p>
      <w:pPr>
        <w:spacing w:after="0" w:line="196" w:lineRule="exact"/>
        <w:rPr>
          <w:sz w:val="20"/>
          <w:szCs w:val="20"/>
          <w:color w:val="auto"/>
        </w:rPr>
      </w:pPr>
    </w:p>
    <w:p>
      <w:pPr>
        <w:jc w:val="both"/>
        <w:ind w:firstLine="599"/>
        <w:spacing w:after="0" w:line="251" w:lineRule="auto"/>
        <w:rPr>
          <w:sz w:val="20"/>
          <w:szCs w:val="20"/>
          <w:color w:val="auto"/>
        </w:rPr>
      </w:pPr>
      <w:r>
        <w:rPr>
          <w:rFonts w:ascii="Times New Roman" w:cs="Times New Roman" w:eastAsia="Times New Roman" w:hAnsi="Times New Roman"/>
          <w:sz w:val="17"/>
          <w:szCs w:val="17"/>
          <w:color w:val="auto"/>
        </w:rPr>
        <w:t xml:space="preserve">The Company determined its operating lease liabilities for the two operating leases mentioned above using payments through their current expiration dates and a discount rate of 7.53% based on the rate that the Company would have to pay to borrow, on a collateralized basis, an amount equal to the lease payments in a similar economic environment. Operating lease liabilities along with the associated right-of-use assets are disclosed in the accompanying consolidated balance sheets. After the adoption of ASC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the Company classified its deferred rent for tenant improvements with its operating lease right-of-use assets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2" w:name="page113"/>
    <w:bookmarkEnd w:id="112"/>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820" w:type="dxa"/>
            <w:vAlign w:val="bottom"/>
          </w:tcPr>
          <w:p>
            <w:pPr>
              <w:ind w:left="4940"/>
              <w:spacing w:after="0"/>
              <w:rPr>
                <w:sz w:val="20"/>
                <w:szCs w:val="20"/>
                <w:color w:val="auto"/>
              </w:rPr>
            </w:pPr>
            <w:r>
              <w:rPr>
                <w:rFonts w:ascii="Times New Roman" w:cs="Times New Roman" w:eastAsia="Times New Roman" w:hAnsi="Times New Roman"/>
                <w:sz w:val="17"/>
                <w:szCs w:val="17"/>
                <w:b w:val="1"/>
                <w:bCs w:val="1"/>
                <w:color w:val="auto"/>
              </w:rPr>
              <w:t>VERACYTE, INC.</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37"/>
        </w:trPr>
        <w:tc>
          <w:tcPr>
            <w:tcW w:w="9820" w:type="dxa"/>
            <w:vAlign w:val="bottom"/>
          </w:tcPr>
          <w:p>
            <w:pPr>
              <w:ind w:left="362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87"/>
        </w:trPr>
        <w:tc>
          <w:tcPr>
            <w:tcW w:w="98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Future minimum lease payments under non-cancelable operating leases as of December 31, 2020 are as follows (in thousands of dollars):</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9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175"/>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Year Ending December 31,</w:t>
            </w:r>
          </w:p>
        </w:tc>
        <w:tc>
          <w:tcPr>
            <w:tcW w:w="2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378"/>
              <w:spacing w:after="0"/>
              <w:rPr>
                <w:sz w:val="20"/>
                <w:szCs w:val="20"/>
                <w:color w:val="auto"/>
              </w:rPr>
            </w:pPr>
            <w:r>
              <w:rPr>
                <w:rFonts w:ascii="Times New Roman" w:cs="Times New Roman" w:eastAsia="Times New Roman" w:hAnsi="Times New Roman"/>
                <w:sz w:val="13"/>
                <w:szCs w:val="13"/>
                <w:b w:val="1"/>
                <w:bCs w:val="1"/>
                <w:color w:val="auto"/>
              </w:rPr>
              <w:t>Amounts</w:t>
            </w:r>
          </w:p>
        </w:tc>
      </w:tr>
      <w:tr>
        <w:trPr>
          <w:trHeight w:val="205"/>
        </w:trPr>
        <w:tc>
          <w:tcPr>
            <w:tcW w:w="9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2021</w:t>
            </w: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2,401</w:t>
            </w:r>
          </w:p>
        </w:tc>
      </w:tr>
      <w:tr>
        <w:trPr>
          <w:trHeight w:val="212"/>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2,472</w:t>
            </w:r>
          </w:p>
        </w:tc>
      </w:tr>
      <w:tr>
        <w:trPr>
          <w:trHeight w:val="212"/>
        </w:trPr>
        <w:tc>
          <w:tcPr>
            <w:tcW w:w="9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2,543</w:t>
            </w:r>
          </w:p>
        </w:tc>
      </w:tr>
      <w:tr>
        <w:trPr>
          <w:trHeight w:val="212"/>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2,614</w:t>
            </w:r>
          </w:p>
        </w:tc>
      </w:tr>
      <w:tr>
        <w:trPr>
          <w:trHeight w:val="212"/>
        </w:trPr>
        <w:tc>
          <w:tcPr>
            <w:tcW w:w="9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2,685</w:t>
            </w:r>
          </w:p>
        </w:tc>
      </w:tr>
      <w:tr>
        <w:trPr>
          <w:trHeight w:val="212"/>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1,542</w:t>
            </w:r>
          </w:p>
        </w:tc>
      </w:tr>
      <w:tr>
        <w:trPr>
          <w:trHeight w:val="205"/>
        </w:trPr>
        <w:tc>
          <w:tcPr>
            <w:tcW w:w="9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future minimum lease payments</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14,257</w:t>
            </w:r>
          </w:p>
        </w:tc>
      </w:tr>
      <w:tr>
        <w:trPr>
          <w:trHeight w:val="212"/>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amount representing interest</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2,751</w:t>
            </w:r>
          </w:p>
        </w:tc>
      </w:tr>
      <w:tr>
        <w:trPr>
          <w:trHeight w:val="205"/>
        </w:trPr>
        <w:tc>
          <w:tcPr>
            <w:tcW w:w="9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Present value of future lease payments</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11,506</w:t>
            </w:r>
          </w:p>
        </w:tc>
      </w:tr>
      <w:tr>
        <w:trPr>
          <w:trHeight w:val="212"/>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short-term lease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1,589</w:t>
            </w:r>
          </w:p>
        </w:tc>
      </w:tr>
      <w:tr>
        <w:trPr>
          <w:trHeight w:val="205"/>
        </w:trPr>
        <w:tc>
          <w:tcPr>
            <w:tcW w:w="9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Long-term lease liabilities</w:t>
            </w: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9,917</w:t>
            </w:r>
          </w:p>
        </w:tc>
      </w:tr>
      <w:tr>
        <w:trPr>
          <w:trHeight w:val="20"/>
        </w:trPr>
        <w:tc>
          <w:tcPr>
            <w:tcW w:w="9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412"/>
        <w:spacing w:after="0" w:line="270" w:lineRule="auto"/>
        <w:rPr>
          <w:sz w:val="20"/>
          <w:szCs w:val="20"/>
          <w:color w:val="auto"/>
        </w:rPr>
      </w:pPr>
      <w:r>
        <w:rPr>
          <w:rFonts w:ascii="Times New Roman" w:cs="Times New Roman" w:eastAsia="Times New Roman" w:hAnsi="Times New Roman"/>
          <w:sz w:val="17"/>
          <w:szCs w:val="17"/>
          <w:color w:val="auto"/>
        </w:rPr>
        <w:t>The Company recognizes rent expense on a straight-line basis over the non-cancelable lease period. Rent expense was $1.9 million, $1.9 million, and $1.9 million for the years ended December 31, 2020, 2019 and 2018,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Supplies Purchase Commitments</w:t>
      </w:r>
    </w:p>
    <w:p>
      <w:pPr>
        <w:spacing w:after="0" w:line="233" w:lineRule="exact"/>
        <w:rPr>
          <w:sz w:val="20"/>
          <w:szCs w:val="20"/>
          <w:color w:val="auto"/>
        </w:rPr>
      </w:pPr>
    </w:p>
    <w:p>
      <w:pPr>
        <w:jc w:val="both"/>
        <w:ind w:firstLine="412"/>
        <w:spacing w:after="0" w:line="270" w:lineRule="auto"/>
        <w:rPr>
          <w:sz w:val="20"/>
          <w:szCs w:val="20"/>
          <w:color w:val="auto"/>
        </w:rPr>
      </w:pPr>
      <w:r>
        <w:rPr>
          <w:rFonts w:ascii="Times New Roman" w:cs="Times New Roman" w:eastAsia="Times New Roman" w:hAnsi="Times New Roman"/>
          <w:sz w:val="17"/>
          <w:szCs w:val="17"/>
          <w:color w:val="auto"/>
        </w:rPr>
        <w:t>The Company had non-cancelable purchase commitments with suppliers to purchase a minimum quantity of supplies for approximately $4.8 million at December 31, 2020.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Contingencies</w:t>
      </w:r>
    </w:p>
    <w:p>
      <w:pPr>
        <w:spacing w:after="0" w:line="233" w:lineRule="exact"/>
        <w:rPr>
          <w:sz w:val="20"/>
          <w:szCs w:val="20"/>
          <w:color w:val="auto"/>
        </w:rPr>
      </w:pPr>
    </w:p>
    <w:p>
      <w:pPr>
        <w:jc w:val="both"/>
        <w:ind w:firstLine="412"/>
        <w:spacing w:after="0" w:line="270" w:lineRule="auto"/>
        <w:rPr>
          <w:sz w:val="20"/>
          <w:szCs w:val="20"/>
          <w:color w:val="auto"/>
        </w:rPr>
      </w:pPr>
      <w:r>
        <w:rPr>
          <w:rFonts w:ascii="Times New Roman" w:cs="Times New Roman" w:eastAsia="Times New Roman" w:hAnsi="Times New Roman"/>
          <w:sz w:val="17"/>
          <w:szCs w:val="17"/>
          <w:color w:val="auto"/>
        </w:rPr>
        <w:t>From time to time, the Company may be involved in legal proceedings arising in the ordinary course of business. The Company believes there is no litigation pending that could have, either individually or in the aggregate, a material impact on the Company's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Loan and Security Agreement</w:t>
      </w:r>
    </w:p>
    <w:p>
      <w:pPr>
        <w:spacing w:after="0" w:line="233" w:lineRule="exact"/>
        <w:rPr>
          <w:sz w:val="20"/>
          <w:szCs w:val="20"/>
          <w:color w:val="auto"/>
        </w:rPr>
      </w:pPr>
    </w:p>
    <w:p>
      <w:pPr>
        <w:jc w:val="both"/>
        <w:ind w:firstLine="375"/>
        <w:spacing w:after="0" w:line="249" w:lineRule="auto"/>
        <w:rPr>
          <w:sz w:val="20"/>
          <w:szCs w:val="20"/>
          <w:color w:val="auto"/>
        </w:rPr>
      </w:pPr>
      <w:r>
        <w:rPr>
          <w:rFonts w:ascii="Times New Roman" w:cs="Times New Roman" w:eastAsia="Times New Roman" w:hAnsi="Times New Roman"/>
          <w:sz w:val="17"/>
          <w:szCs w:val="17"/>
          <w:color w:val="auto"/>
        </w:rPr>
        <w:t>On November 3, 2017, the Company entered into a loan and security agreement (the “Loan and Security Agreement”) with Silicon Valley Bank. The Loan and Security Agreement allows the Company to borrow up to $35.0 million, with a $25.0 million advance term loan (the “Term Loan Advance”) and a revolving line of credit of up to $10.0 million (the “Revolving Line of Credit”). The Term Loan Advance was advanced upon the closing of the Loan and Security Agreement and was used to pay the outstanding balance of the Company’s existing long-term debt, which was canceled at that date. The Company had not drawn on the Revolving Line of Credit as of December 31, 2020. Borrowings under the Loan and Security Agreement mature on October 1, 2022. Amounts may be borrowed and repaid under the Revolving Line of Credit up until the earliest of full repayment or maturity of the Loan and Security Agreement, termination of the Loan and Security Agreement, or October 1, 2022.</w:t>
      </w:r>
    </w:p>
    <w:p>
      <w:pPr>
        <w:spacing w:after="0" w:line="203"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The Term Loan Advance bears interest at a variable rate equal to (i) the thirty-day U.S. London Interbank Offer Rate (“LIBOR”) plus (ii) 4.20%, with a minimum rate of 5.43% per annum. Principal amounts outstanding under the Revolving Line of Credit bear interest at a variable rate equal to (i) LIBOR plus (ii) 3.50%, with a minimum rate of 4.70% per annum. The average Term Loan Advance interest rate for the year ended December 31, 2020 was 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3" w:name="page114"/>
    <w:bookmarkEnd w:id="113"/>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95"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The Company may prepay the outstanding principal amount under the Term Loan Advance plus accrued and unpaid interest and, if the Term Loan Advance is repaid in full, a prepayment premium of $250,000. In January 2019, May 2019 and August 2020, the Company prepaid $12.5 million, $12.4 million and $0.1 million, respectively, of the principal amount of the Term Loan Advance. These prepayments did not trigger any prepayment premium because they were partial, not full, repayments of the principal amount.</w:t>
      </w:r>
    </w:p>
    <w:p>
      <w:pPr>
        <w:spacing w:after="0" w:line="199" w:lineRule="exact"/>
        <w:rPr>
          <w:sz w:val="20"/>
          <w:szCs w:val="20"/>
          <w:color w:val="auto"/>
        </w:rPr>
      </w:pPr>
    </w:p>
    <w:p>
      <w:pPr>
        <w:jc w:val="both"/>
        <w:ind w:firstLine="375"/>
        <w:spacing w:after="0" w:line="253" w:lineRule="auto"/>
        <w:rPr>
          <w:sz w:val="20"/>
          <w:szCs w:val="20"/>
          <w:color w:val="auto"/>
        </w:rPr>
      </w:pPr>
      <w:r>
        <w:rPr>
          <w:rFonts w:ascii="Times New Roman" w:cs="Times New Roman" w:eastAsia="Times New Roman" w:hAnsi="Times New Roman"/>
          <w:sz w:val="17"/>
          <w:szCs w:val="17"/>
          <w:color w:val="auto"/>
        </w:rPr>
        <w:t>In addition, a final payment on the Term Loan Advance in the amount of $1.2 million is due upon the earlier of the maturity date of the Term Loan Advance or its payment in full. The Loan and Security Agreement contains customary representations, warranties, and events of default, as well as affirmative and negative covenants. As of December 31, 2020, the Company was in compliance with the loan covenants. The Company’s obligations under the Loan and Security Agreement are secured by substantially all of its assets (excluding intellectual property), subject to certain customary exceptions.</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As of December 31, 2020 and 2019, the net debt obligation for borrowings made under the Loan and Security Agreement was as follows (in thousands of dollars):</w:t>
      </w: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79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80" w:type="dxa"/>
            <w:vAlign w:val="bottom"/>
            <w:tcBorders>
              <w:bottom w:val="single" w:sz="8" w:color="auto"/>
            </w:tcBorders>
          </w:tcPr>
          <w:p>
            <w:pPr>
              <w:spacing w:after="0"/>
              <w:rPr>
                <w:sz w:val="15"/>
                <w:szCs w:val="15"/>
                <w:color w:val="auto"/>
              </w:rPr>
            </w:pPr>
          </w:p>
        </w:tc>
      </w:tr>
      <w:tr>
        <w:trPr>
          <w:trHeight w:val="172"/>
        </w:trPr>
        <w:tc>
          <w:tcPr>
            <w:tcW w:w="79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2020</w:t>
            </w: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3"/>
                <w:szCs w:val="13"/>
                <w:b w:val="1"/>
                <w:bCs w:val="1"/>
                <w:color w:val="auto"/>
              </w:rPr>
              <w:t>2019</w:t>
            </w:r>
          </w:p>
        </w:tc>
      </w:tr>
      <w:tr>
        <w:trPr>
          <w:trHeight w:val="20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principal</w:t>
            </w:r>
          </w:p>
        </w:tc>
        <w:tc>
          <w:tcPr>
            <w:tcW w:w="1040" w:type="dxa"/>
            <w:vAlign w:val="bottom"/>
            <w:shd w:val="clear" w:color="auto" w:fill="CCEEFF"/>
          </w:tcPr>
          <w:p>
            <w:pPr>
              <w:jc w:val="right"/>
              <w:ind w:right="862"/>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100</w:t>
            </w:r>
          </w:p>
        </w:tc>
      </w:tr>
      <w:tr>
        <w:trPr>
          <w:trHeight w:val="212"/>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End-of-term debt obligation</w:t>
            </w: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810</w:t>
            </w:r>
          </w:p>
        </w:tc>
        <w:tc>
          <w:tcPr>
            <w:tcW w:w="1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594</w:t>
            </w:r>
          </w:p>
        </w:tc>
      </w:tr>
      <w:tr>
        <w:trPr>
          <w:trHeight w:val="230"/>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debt obligation</w:t>
            </w:r>
          </w:p>
        </w:tc>
        <w:tc>
          <w:tcPr>
            <w:tcW w:w="1040" w:type="dxa"/>
            <w:vAlign w:val="bottom"/>
            <w:tcBorders>
              <w:bottom w:val="single" w:sz="8" w:color="auto"/>
            </w:tcBorders>
            <w:shd w:val="clear" w:color="auto" w:fill="CCEEFF"/>
          </w:tcPr>
          <w:p>
            <w:pPr>
              <w:jc w:val="right"/>
              <w:ind w:right="862"/>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810</w:t>
            </w:r>
          </w:p>
        </w:tc>
        <w:tc>
          <w:tcPr>
            <w:tcW w:w="1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694</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As of December 31, 2020, the principal balance outstanding was one dollar. Future principal and end-of-term debt obligation payments due under the Loan and Security Agreement total $1.2 million and are due in 2022. As of December 31, 2020 and 2019, the accrued interest payable under the Loan and Security Agreement was immaterial.</w:t>
      </w:r>
    </w:p>
    <w:p>
      <w:pPr>
        <w:spacing w:after="0" w:line="171" w:lineRule="exact"/>
        <w:rPr>
          <w:sz w:val="20"/>
          <w:szCs w:val="20"/>
          <w:color w:val="auto"/>
        </w:rPr>
      </w:pPr>
    </w:p>
    <w:p>
      <w:pPr>
        <w:ind w:right="280" w:firstLine="375"/>
        <w:spacing w:after="0" w:line="270" w:lineRule="auto"/>
        <w:rPr>
          <w:sz w:val="20"/>
          <w:szCs w:val="20"/>
          <w:color w:val="auto"/>
        </w:rPr>
      </w:pPr>
      <w:r>
        <w:rPr>
          <w:rFonts w:ascii="Times New Roman" w:cs="Times New Roman" w:eastAsia="Times New Roman" w:hAnsi="Times New Roman"/>
          <w:sz w:val="17"/>
          <w:szCs w:val="17"/>
          <w:color w:val="auto"/>
        </w:rPr>
        <w:t>The end-of-term debt obligation accretes over the term of the Loan and Security Agreement until maturity and is included in interest expense in the Company's consolidated statements of operations and comprehensive loss.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2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Interest expense was recognized as follows (in thousands of dollars):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72"/>
        </w:trPr>
        <w:tc>
          <w:tcPr>
            <w:tcW w:w="67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rPr>
              <w:t>2020</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20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Nominal debt interest</w:t>
            </w:r>
          </w:p>
        </w:tc>
        <w:tc>
          <w:tcPr>
            <w:tcW w:w="98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1,568</w:t>
            </w:r>
          </w:p>
        </w:tc>
      </w:tr>
      <w:tr>
        <w:trPr>
          <w:trHeight w:val="212"/>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and write-off of debt discount and issuance costs</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1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End-of-term debt obligation interest</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r>
      <w:tr>
        <w:trPr>
          <w:trHeight w:val="212"/>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on capital lease</w:t>
            </w: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30"/>
        </w:trPr>
        <w:tc>
          <w:tcPr>
            <w:tcW w:w="6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Stockholders'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233" w:lineRule="exact"/>
        <w:rPr>
          <w:sz w:val="20"/>
          <w:szCs w:val="20"/>
          <w:color w:val="auto"/>
        </w:rPr>
      </w:pPr>
    </w:p>
    <w:p>
      <w:pPr>
        <w:jc w:val="both"/>
        <w:ind w:firstLine="412"/>
        <w:spacing w:after="0" w:line="253" w:lineRule="auto"/>
        <w:rPr>
          <w:sz w:val="20"/>
          <w:szCs w:val="20"/>
          <w:color w:val="auto"/>
        </w:rPr>
      </w:pPr>
      <w:r>
        <w:rPr>
          <w:rFonts w:ascii="Times New Roman" w:cs="Times New Roman" w:eastAsia="Times New Roman" w:hAnsi="Times New Roman"/>
          <w:sz w:val="17"/>
          <w:szCs w:val="17"/>
          <w:color w:val="auto"/>
        </w:rPr>
        <w:t>The Company's Restated Certificate of Incorporation authorizes the Company to issue 125,000,000 shares of common stock with a par value of $0.001 per share. The holder of each share of common stock shall have one vote for each share of stock. The common stockholders are also entitled to receive dividends whenever funds and assets are legally available and when declared by the Board of Directors, subject to the prior rights of holders of all series of convertible preferred stock outstanding. No dividends have been declared as of December 31, 2020.</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4" w:name="page115"/>
    <w:bookmarkEnd w:id="114"/>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As of December 31, 2020 and 2019, the Company had reserved shares of common stock for issuance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280" w:type="dxa"/>
            <w:vAlign w:val="bottom"/>
          </w:tcPr>
          <w:p>
            <w:pPr>
              <w:spacing w:after="0"/>
              <w:rPr>
                <w:sz w:val="15"/>
                <w:szCs w:val="15"/>
                <w:color w:val="auto"/>
              </w:rPr>
            </w:pPr>
          </w:p>
        </w:tc>
        <w:tc>
          <w:tcPr>
            <w:tcW w:w="198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960" w:type="dxa"/>
            <w:vAlign w:val="bottom"/>
            <w:tcBorders>
              <w:bottom w:val="single" w:sz="8" w:color="auto"/>
            </w:tcBorders>
          </w:tcPr>
          <w:p>
            <w:pPr>
              <w:spacing w:after="0"/>
              <w:rPr>
                <w:sz w:val="15"/>
                <w:szCs w:val="15"/>
                <w:color w:val="auto"/>
              </w:rPr>
            </w:pPr>
          </w:p>
        </w:tc>
      </w:tr>
      <w:tr>
        <w:trPr>
          <w:trHeight w:val="172"/>
        </w:trPr>
        <w:tc>
          <w:tcPr>
            <w:tcW w:w="828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2019</w:t>
            </w:r>
          </w:p>
        </w:tc>
      </w:tr>
      <w:tr>
        <w:trPr>
          <w:trHeight w:val="20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options and restricted stock units issued and outstanding</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4,867,303</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5,562,484</w:t>
            </w:r>
          </w:p>
        </w:tc>
      </w:tr>
      <w:tr>
        <w:trPr>
          <w:trHeight w:val="212"/>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options and restricted stock units available for grant under stock option plans</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3,061,589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1,954,804</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stock available for the Employee Stock Purchase Plan</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1,571,395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173,168</w:t>
            </w:r>
          </w:p>
        </w:tc>
      </w:tr>
      <w:tr>
        <w:trPr>
          <w:trHeight w:val="205"/>
        </w:trPr>
        <w:tc>
          <w:tcPr>
            <w:tcW w:w="8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9,500,287</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7,690,456</w:t>
            </w:r>
          </w:p>
        </w:tc>
      </w:tr>
      <w:tr>
        <w:trPr>
          <w:trHeight w:val="20"/>
        </w:trPr>
        <w:tc>
          <w:tcPr>
            <w:tcW w:w="82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In August 2020, the Company issued and sold 6,900,000 shares of common stock in a registered public offering, including 900,000 shares issued and sold upon the underwriters' exercise in full of their option to purchase additional shares, at a price to the public of $30.00 per share. The Company's net proceeds from the offering were $193.8 million, after deducting underwriting commissions and offering expenses of $13.2 million.</w:t>
      </w:r>
    </w:p>
    <w:p>
      <w:pPr>
        <w:spacing w:after="0" w:line="196"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In May 2019, the Company issued and sold 6,325,000 shares of common stock in a registered public offering, including 825,000 shares issued and sold upon the underwriters’ exercise in full of their option to purchase additional shares, at a price to the public of $23.25 per share. The Company's net proceeds from the offering were approximately $137.8 million, after deducting underwriting discounts and commissions and offering expenses of $9.2 million.</w:t>
      </w:r>
    </w:p>
    <w:p>
      <w:pPr>
        <w:spacing w:after="0" w:line="196"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In July 2018, the Company issued and sold 5,750,000 shares of common stock in a registered public offering, including 750,000 shares issued and sold upon the underwriters' exercise in full of their option to purchase additional shares, at a price to the public of $10.25 per share. The Company's net proceeds from the offering were $55.0 million, after deducting underwriting commissions and offering expenses of $3.9 million.</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Stock Incentive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Plans</w:t>
      </w:r>
    </w:p>
    <w:p>
      <w:pPr>
        <w:spacing w:after="0" w:line="233" w:lineRule="exact"/>
        <w:rPr>
          <w:sz w:val="20"/>
          <w:szCs w:val="20"/>
          <w:color w:val="auto"/>
        </w:rPr>
      </w:pPr>
    </w:p>
    <w:p>
      <w:pPr>
        <w:jc w:val="both"/>
        <w:ind w:firstLine="412"/>
        <w:spacing w:after="0" w:line="248" w:lineRule="auto"/>
        <w:rPr>
          <w:sz w:val="20"/>
          <w:szCs w:val="20"/>
          <w:color w:val="auto"/>
        </w:rPr>
      </w:pPr>
      <w:r>
        <w:rPr>
          <w:rFonts w:ascii="Times New Roman" w:cs="Times New Roman" w:eastAsia="Times New Roman" w:hAnsi="Times New Roman"/>
          <w:sz w:val="17"/>
          <w:szCs w:val="17"/>
          <w:color w:val="auto"/>
        </w:rPr>
        <w:t>In February 2008, the Company adopted the 2008 Stock Plan (the "2008 Plan"). The 2008 Plan provides for the granting of options to purchase common stock and common stock to employees, directors and consultants of the Company. The Company may grant incentive stock options, or ISOs, non-statutory stock options, or NSOs, or restricted stock under the 2008 Plan. ISOs may only be granted to Company employees (including directors who are also considered employees). NSOs and restricted stock may be granted to Company employees, directors and consultants. Options may be granted for terms of up to ten years from the date of grant, as determined by the Board of Directors, provided however, that with respect to an ISO granted to a person who owns stock representing more than 10% of the voting power of all classes of stock of the Company, the term shall be for no more than five years from the date of grant. The exercise price of options granted must be at a price no less than 100% of the estimated fair value of the shares on the date of grant, as determined by the Board of Directors, provided however, that with respect to an ISO granted to an employee who at the time of grant of such option owns stock representing more than 10% of the voting power of all classes of stock of the Company, the exercise price shall not be less than 110% of the estimated fair value of the shares on the date of grant.</w:t>
      </w:r>
    </w:p>
    <w:p>
      <w:pPr>
        <w:spacing w:after="0" w:line="204" w:lineRule="exact"/>
        <w:rPr>
          <w:sz w:val="20"/>
          <w:szCs w:val="20"/>
          <w:color w:val="auto"/>
        </w:rPr>
      </w:pPr>
    </w:p>
    <w:p>
      <w:pPr>
        <w:jc w:val="both"/>
        <w:ind w:firstLine="412"/>
        <w:spacing w:after="0" w:line="249" w:lineRule="auto"/>
        <w:rPr>
          <w:sz w:val="20"/>
          <w:szCs w:val="20"/>
          <w:color w:val="auto"/>
        </w:rPr>
      </w:pPr>
      <w:r>
        <w:rPr>
          <w:rFonts w:ascii="Times New Roman" w:cs="Times New Roman" w:eastAsia="Times New Roman" w:hAnsi="Times New Roman"/>
          <w:sz w:val="17"/>
          <w:szCs w:val="17"/>
          <w:color w:val="auto"/>
        </w:rPr>
        <w:t>In October 2013, the Company adopted the 2013 Stock Incentive Plan (the "2013 Plan"). The 2013 Plan was subsequently approved by the Company's stockholders and became effective on November 4, 2013, immediately before the closing of the Company's initial public offering, or IPO. Following the effectiveness of the 2013 Plan, no additional options were granted under the 2008 Plan. An aggregate of 1,700,000 shares were initially reserved for issuance under the 2013 Plan. In addition, to the extent that any awards outstanding or subject to vesting restrictions under the 2008 Plan are subsequently forfeited or terminated for any reason before being exercised or settled, the shares of common stock reserved for issuance pursuant to such awards as of the closing of the IPO will become available for issuance under the 2013 Plan. The remaining shares available for grant under the 2008 Plan became available for issuance under the 2013 Plan upon the closing of the IPO. On the first day of each year from 2014 to 2023, the 2013 Plan authorizes an annual increase of the lesser of 4% of outstanding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5" w:name="page116"/>
    <w:bookmarkEnd w:id="115"/>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9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shares on the last day of the immediately preceding fiscal year or a lesser amount as determined by the Company's Board of Directors. As of December 31, 2020, 3,061,589 shares were available for future issuance under the 2013 Plan.</w:t>
      </w:r>
    </w:p>
    <w:p>
      <w:pPr>
        <w:spacing w:after="0" w:line="184" w:lineRule="exact"/>
        <w:rPr>
          <w:sz w:val="20"/>
          <w:szCs w:val="20"/>
          <w:color w:val="auto"/>
        </w:rPr>
      </w:pPr>
    </w:p>
    <w:p>
      <w:pPr>
        <w:jc w:val="both"/>
        <w:ind w:firstLine="412"/>
        <w:spacing w:after="0" w:line="270" w:lineRule="auto"/>
        <w:rPr>
          <w:sz w:val="20"/>
          <w:szCs w:val="20"/>
          <w:color w:val="auto"/>
        </w:rPr>
      </w:pPr>
      <w:r>
        <w:rPr>
          <w:rFonts w:ascii="Times New Roman" w:cs="Times New Roman" w:eastAsia="Times New Roman" w:hAnsi="Times New Roman"/>
          <w:sz w:val="17"/>
          <w:szCs w:val="17"/>
          <w:color w:val="auto"/>
        </w:rPr>
        <w:t>Pursuant to the 2013 Plan, stock options, restricted shares, stock units, including restricted stock units and stock appreciation rights may be granted to employees, consultants, and outside directors of the Company. Options granted may be either ISOs or NSOs.</w:t>
      </w:r>
    </w:p>
    <w:p>
      <w:pPr>
        <w:spacing w:after="0" w:line="184" w:lineRule="exact"/>
        <w:rPr>
          <w:sz w:val="20"/>
          <w:szCs w:val="20"/>
          <w:color w:val="auto"/>
        </w:rPr>
      </w:pPr>
    </w:p>
    <w:p>
      <w:pPr>
        <w:jc w:val="both"/>
        <w:ind w:firstLine="412"/>
        <w:spacing w:after="0" w:line="274" w:lineRule="auto"/>
        <w:rPr>
          <w:sz w:val="20"/>
          <w:szCs w:val="20"/>
          <w:color w:val="auto"/>
        </w:rPr>
      </w:pPr>
      <w:r>
        <w:rPr>
          <w:rFonts w:ascii="Times New Roman" w:cs="Times New Roman" w:eastAsia="Times New Roman" w:hAnsi="Times New Roman"/>
          <w:sz w:val="16"/>
          <w:szCs w:val="16"/>
          <w:color w:val="auto"/>
        </w:rPr>
        <w:t>Stock options are governed by stock option agreements between the Company and recipients of stock options. ISOs and NSOs may be granted under the 2013 Plan at an exercise price of not less than 100% of the fair market value of the common stock on the date of grant, determined by the Compensation Committee of the Board of Directors. Options become exercisable and expire as determined by the Compensation Committee, provided that the term of ISOs may not exceed ten years from the date of grant. Stock option agreements may provide for accelerated exercisability in the event of an optionee's death, disability, or retirement or other events.</w:t>
      </w:r>
    </w:p>
    <w:p>
      <w:pPr>
        <w:spacing w:after="0" w:line="184" w:lineRule="exact"/>
        <w:rPr>
          <w:sz w:val="20"/>
          <w:szCs w:val="20"/>
          <w:color w:val="auto"/>
        </w:rPr>
      </w:pPr>
    </w:p>
    <w:p>
      <w:pPr>
        <w:jc w:val="both"/>
        <w:ind w:firstLine="412"/>
        <w:spacing w:after="0" w:line="281" w:lineRule="auto"/>
        <w:rPr>
          <w:sz w:val="20"/>
          <w:szCs w:val="20"/>
          <w:color w:val="auto"/>
        </w:rPr>
      </w:pPr>
      <w:r>
        <w:rPr>
          <w:rFonts w:ascii="Times New Roman" w:cs="Times New Roman" w:eastAsia="Times New Roman" w:hAnsi="Times New Roman"/>
          <w:sz w:val="16"/>
          <w:szCs w:val="16"/>
          <w:color w:val="auto"/>
        </w:rPr>
        <w:t>Stock units are governed by stock unit agreements between the Company and recipients of stock units. Stock units may be granted under the 2013 Plan and the number of stock units awarded are determined by the Compensation Committee of the Board of Directors. Stock units vest and expire as determined by the Compensation Committee. Stock unit agreements may provide for accelerated vesting in the event of a stock unit holder's death, disability, or retirement or other events.</w:t>
      </w:r>
    </w:p>
    <w:p>
      <w:pPr>
        <w:spacing w:after="0" w:line="178" w:lineRule="exact"/>
        <w:rPr>
          <w:sz w:val="20"/>
          <w:szCs w:val="20"/>
          <w:color w:val="auto"/>
        </w:rPr>
      </w:pPr>
    </w:p>
    <w:p>
      <w:pPr>
        <w:jc w:val="both"/>
        <w:ind w:firstLine="412"/>
        <w:spacing w:after="0" w:line="248" w:lineRule="auto"/>
        <w:rPr>
          <w:sz w:val="20"/>
          <w:szCs w:val="20"/>
          <w:color w:val="auto"/>
        </w:rPr>
      </w:pPr>
      <w:r>
        <w:rPr>
          <w:rFonts w:ascii="Times New Roman" w:cs="Times New Roman" w:eastAsia="Times New Roman" w:hAnsi="Times New Roman"/>
          <w:sz w:val="17"/>
          <w:szCs w:val="17"/>
          <w:color w:val="auto"/>
        </w:rPr>
        <w:t>Any outside director who was not previously an employee and who first joins the Company's Board of Directors on or after the effective date of the 2013 Plan will be automatically granted an initial NSO to purchase 35,000 shares of common stock upon first becoming a member of the Board of Directors. The shares subject to the initial option will vest and become exercisable one-third (1/3) each of the first, second and third annual anniversaries of the date of grant. On the first business day after each regularly scheduled annual meeting of stockholders, each outside director who was not elected to the Board of Directors for the first time at such meeting and who will continue serving as a member of the Board of Directors thereafter will be automatically granted an option to purchase 10,000 shares of common stock, provided that the outside director has served on the Board of Directors for at least six months. Each annual option will vest and become exercisable on the first anniversary of the date of grant, or immediately prior to the next regular annual meeting of the Company's stockholders following the date of grant if the meeting occurs prior to the first anniversary date. The options granted to outside directors will have a per share exercise price equal to 100% of the fair market value of the underlying shares on the date of grant and will become fully vested in the event of a change of control. In addition, such options will terminate on the earlier of (i) the day before the 10th anniversary of the date of grant or (ii) the date 12 months after the termination of the outside director's service for any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6" w:name="page117"/>
    <w:bookmarkEnd w:id="116"/>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table summarizes activity under the Company's stock incentive plans (aggregate intrinsic value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Weighted Average</w:t>
            </w:r>
          </w:p>
        </w:tc>
        <w:tc>
          <w:tcPr>
            <w:tcW w:w="140" w:type="dxa"/>
            <w:vAlign w:val="bottom"/>
          </w:tcPr>
          <w:p>
            <w:pPr>
              <w:spacing w:after="0"/>
              <w:rPr>
                <w:sz w:val="12"/>
                <w:szCs w:val="12"/>
                <w:color w:val="auto"/>
              </w:rPr>
            </w:pPr>
          </w:p>
        </w:tc>
        <w:tc>
          <w:tcPr>
            <w:tcW w:w="1000" w:type="dxa"/>
            <w:vAlign w:val="bottom"/>
            <w:vMerge w:val="restart"/>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25"/>
        </w:trPr>
        <w:tc>
          <w:tcPr>
            <w:tcW w:w="4740" w:type="dxa"/>
            <w:vAlign w:val="bottom"/>
          </w:tcPr>
          <w:p>
            <w:pPr>
              <w:spacing w:after="0"/>
              <w:rPr>
                <w:sz w:val="10"/>
                <w:szCs w:val="10"/>
                <w:color w:val="auto"/>
              </w:rPr>
            </w:pPr>
          </w:p>
        </w:tc>
        <w:tc>
          <w:tcPr>
            <w:tcW w:w="12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Stock Options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40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1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74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140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3"/>
                <w:szCs w:val="13"/>
                <w:b w:val="1"/>
                <w:bCs w:val="1"/>
                <w:color w:val="auto"/>
              </w:rPr>
              <w:t>Contractual Life of</w:t>
            </w:r>
          </w:p>
        </w:tc>
        <w:tc>
          <w:tcPr>
            <w:tcW w:w="140" w:type="dxa"/>
            <w:vAlign w:val="bottom"/>
          </w:tcPr>
          <w:p>
            <w:pPr>
              <w:spacing w:after="0"/>
              <w:rPr>
                <w:sz w:val="10"/>
                <w:szCs w:val="10"/>
                <w:color w:val="auto"/>
              </w:rPr>
            </w:pPr>
          </w:p>
        </w:tc>
        <w:tc>
          <w:tcPr>
            <w:tcW w:w="1000" w:type="dxa"/>
            <w:vAlign w:val="bottom"/>
          </w:tcPr>
          <w:p>
            <w:pPr>
              <w:jc w:val="center"/>
              <w:ind w:right="65"/>
              <w:spacing w:after="0" w:line="125" w:lineRule="exact"/>
              <w:rPr>
                <w:sz w:val="20"/>
                <w:szCs w:val="20"/>
                <w:color w:val="auto"/>
              </w:rPr>
            </w:pPr>
            <w:r>
              <w:rPr>
                <w:rFonts w:ascii="Times New Roman" w:cs="Times New Roman" w:eastAsia="Times New Roman" w:hAnsi="Times New Roman"/>
                <w:sz w:val="13"/>
                <w:szCs w:val="13"/>
                <w:b w:val="1"/>
                <w:bCs w:val="1"/>
                <w:color w:val="auto"/>
              </w:rPr>
              <w:t>Intrinsic</w:t>
            </w:r>
          </w:p>
        </w:tc>
        <w:tc>
          <w:tcPr>
            <w:tcW w:w="0" w:type="dxa"/>
            <w:vAlign w:val="bottom"/>
          </w:tcPr>
          <w:p>
            <w:pPr>
              <w:spacing w:after="0"/>
              <w:rPr>
                <w:sz w:val="1"/>
                <w:szCs w:val="1"/>
                <w:color w:val="auto"/>
              </w:rPr>
            </w:pPr>
          </w:p>
        </w:tc>
      </w:tr>
      <w:tr>
        <w:trPr>
          <w:trHeight w:val="125"/>
        </w:trPr>
        <w:tc>
          <w:tcPr>
            <w:tcW w:w="4740" w:type="dxa"/>
            <w:vAlign w:val="bottom"/>
          </w:tcPr>
          <w:p>
            <w:pPr>
              <w:spacing w:after="0"/>
              <w:rPr>
                <w:sz w:val="10"/>
                <w:szCs w:val="10"/>
                <w:color w:val="auto"/>
              </w:rPr>
            </w:pPr>
          </w:p>
        </w:tc>
        <w:tc>
          <w:tcPr>
            <w:tcW w:w="1220" w:type="dxa"/>
            <w:vAlign w:val="bottom"/>
            <w:gridSpan w:val="2"/>
          </w:tcPr>
          <w:p>
            <w:pPr>
              <w:jc w:val="center"/>
              <w:ind w:right="80"/>
              <w:spacing w:after="0" w:line="125" w:lineRule="exact"/>
              <w:rPr>
                <w:sz w:val="20"/>
                <w:szCs w:val="20"/>
                <w:color w:val="auto"/>
              </w:rPr>
            </w:pPr>
            <w:r>
              <w:rPr>
                <w:rFonts w:ascii="Times New Roman" w:cs="Times New Roman" w:eastAsia="Times New Roman" w:hAnsi="Times New Roman"/>
                <w:sz w:val="13"/>
                <w:szCs w:val="13"/>
                <w:b w:val="1"/>
                <w:bCs w:val="1"/>
                <w:color w:val="auto"/>
              </w:rPr>
              <w:t>Available</w:t>
            </w:r>
          </w:p>
        </w:tc>
        <w:tc>
          <w:tcPr>
            <w:tcW w:w="1320" w:type="dxa"/>
            <w:vAlign w:val="bottom"/>
          </w:tcPr>
          <w:p>
            <w:pPr>
              <w:jc w:val="center"/>
              <w:spacing w:after="0" w:line="125" w:lineRule="exact"/>
              <w:rPr>
                <w:sz w:val="20"/>
                <w:szCs w:val="20"/>
                <w:color w:val="auto"/>
              </w:rPr>
            </w:pPr>
            <w:r>
              <w:rPr>
                <w:rFonts w:ascii="Times New Roman" w:cs="Times New Roman" w:eastAsia="Times New Roman" w:hAnsi="Times New Roman"/>
                <w:sz w:val="13"/>
                <w:szCs w:val="13"/>
                <w:b w:val="1"/>
                <w:bCs w:val="1"/>
                <w:color w:val="auto"/>
              </w:rPr>
              <w:t>Outstanding and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3"/>
                <w:szCs w:val="13"/>
                <w:b w:val="1"/>
                <w:bCs w:val="1"/>
                <w:color w:val="auto"/>
              </w:rPr>
              <w:t>Exercise Price of</w:t>
            </w:r>
          </w:p>
        </w:tc>
        <w:tc>
          <w:tcPr>
            <w:tcW w:w="1400" w:type="dxa"/>
            <w:vAlign w:val="bottom"/>
            <w:gridSpan w:val="2"/>
          </w:tcPr>
          <w:p>
            <w:pPr>
              <w:jc w:val="center"/>
              <w:ind w:right="80"/>
              <w:spacing w:after="0" w:line="125" w:lineRule="exact"/>
              <w:rPr>
                <w:sz w:val="20"/>
                <w:szCs w:val="20"/>
                <w:color w:val="auto"/>
              </w:rPr>
            </w:pPr>
            <w:r>
              <w:rPr>
                <w:rFonts w:ascii="Times New Roman" w:cs="Times New Roman" w:eastAsia="Times New Roman" w:hAnsi="Times New Roman"/>
                <w:sz w:val="13"/>
                <w:szCs w:val="13"/>
                <w:b w:val="1"/>
                <w:bCs w:val="1"/>
                <w:color w:val="auto"/>
              </w:rPr>
              <w:t>Stock Options</w:t>
            </w:r>
          </w:p>
        </w:tc>
        <w:tc>
          <w:tcPr>
            <w:tcW w:w="140" w:type="dxa"/>
            <w:vAlign w:val="bottom"/>
          </w:tcPr>
          <w:p>
            <w:pPr>
              <w:spacing w:after="0"/>
              <w:rPr>
                <w:sz w:val="10"/>
                <w:szCs w:val="10"/>
                <w:color w:val="auto"/>
              </w:rPr>
            </w:pPr>
          </w:p>
        </w:tc>
        <w:tc>
          <w:tcPr>
            <w:tcW w:w="1000" w:type="dxa"/>
            <w:vAlign w:val="bottom"/>
          </w:tcPr>
          <w:p>
            <w:pPr>
              <w:jc w:val="center"/>
              <w:ind w:right="65"/>
              <w:spacing w:after="0" w:line="125" w:lineRule="exact"/>
              <w:rPr>
                <w:sz w:val="20"/>
                <w:szCs w:val="20"/>
                <w:color w:val="auto"/>
              </w:rPr>
            </w:pPr>
            <w:r>
              <w:rPr>
                <w:rFonts w:ascii="Times New Roman" w:cs="Times New Roman" w:eastAsia="Times New Roman" w:hAnsi="Times New Roman"/>
                <w:sz w:val="13"/>
                <w:szCs w:val="13"/>
                <w:b w:val="1"/>
                <w:bCs w:val="1"/>
                <w:color w:val="auto"/>
              </w:rPr>
              <w:t>Value of Stock</w:t>
            </w:r>
          </w:p>
        </w:tc>
        <w:tc>
          <w:tcPr>
            <w:tcW w:w="0" w:type="dxa"/>
            <w:vAlign w:val="bottom"/>
          </w:tcPr>
          <w:p>
            <w:pPr>
              <w:spacing w:after="0"/>
              <w:rPr>
                <w:sz w:val="1"/>
                <w:szCs w:val="1"/>
                <w:color w:val="auto"/>
              </w:rPr>
            </w:pPr>
          </w:p>
        </w:tc>
      </w:tr>
      <w:tr>
        <w:trPr>
          <w:trHeight w:val="175"/>
        </w:trPr>
        <w:tc>
          <w:tcPr>
            <w:tcW w:w="4740" w:type="dxa"/>
            <w:vAlign w:val="bottom"/>
          </w:tcPr>
          <w:p>
            <w:pPr>
              <w:spacing w:after="0"/>
              <w:rPr>
                <w:sz w:val="15"/>
                <w:szCs w:val="15"/>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for Grant</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Unvested Stock Units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 Options</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(Years)</w:t>
            </w:r>
          </w:p>
        </w:tc>
        <w:tc>
          <w:tcPr>
            <w:tcW w:w="140" w:type="dxa"/>
            <w:vAlign w:val="bottom"/>
          </w:tcPr>
          <w:p>
            <w:pPr>
              <w:spacing w:after="0"/>
              <w:rPr>
                <w:sz w:val="15"/>
                <w:szCs w:val="15"/>
                <w:color w:val="auto"/>
              </w:rPr>
            </w:pPr>
          </w:p>
        </w:tc>
        <w:tc>
          <w:tcPr>
            <w:tcW w:w="1000" w:type="dxa"/>
            <w:vAlign w:val="bottom"/>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0" w:type="dxa"/>
            <w:vAlign w:val="bottom"/>
          </w:tcPr>
          <w:p>
            <w:pPr>
              <w:spacing w:after="0"/>
              <w:rPr>
                <w:sz w:val="1"/>
                <w:szCs w:val="1"/>
                <w:color w:val="auto"/>
              </w:rPr>
            </w:pPr>
          </w:p>
        </w:tc>
      </w:tr>
      <w:tr>
        <w:trPr>
          <w:trHeight w:val="205"/>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Balance—December 31, 2019</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1,954,804</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5,562,484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rPr>
              <w:t>79,760</w:t>
            </w:r>
          </w:p>
        </w:tc>
        <w:tc>
          <w:tcPr>
            <w:tcW w:w="0" w:type="dxa"/>
            <w:vAlign w:val="bottom"/>
          </w:tcPr>
          <w:p>
            <w:pPr>
              <w:spacing w:after="0"/>
              <w:rPr>
                <w:sz w:val="1"/>
                <w:szCs w:val="1"/>
                <w:color w:val="auto"/>
              </w:rPr>
            </w:pPr>
          </w:p>
        </w:tc>
      </w:tr>
      <w:tr>
        <w:trPr>
          <w:trHeight w:val="212"/>
        </w:trPr>
        <w:tc>
          <w:tcPr>
            <w:tcW w:w="4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Additional shares authorized</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1,985,013</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Granted - 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(983,900)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983,900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Granted - restricted stock units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(451,709)</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451,709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Canceled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421,558</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(421,558)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Exercised</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(1,345,134)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8.67</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Restricted stock units vested</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(364,098)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Tax portion of restricted stock units vested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135,823</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Balance—December 31, 2020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3,061,589</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4,867,303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15.14</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rPr>
              <w:t>135,879</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vested and exercisable—December 31, 2020</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2,316,166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rPr>
              <w:t>89,376</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 vested and expected to vest—December 31, 2020</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3,858,859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14.78</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17"/>
                <w:szCs w:val="17"/>
                <w:color w:val="auto"/>
              </w:rPr>
              <w:t>131,816</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412"/>
        <w:spacing w:after="0" w:line="270" w:lineRule="auto"/>
        <w:rPr>
          <w:sz w:val="20"/>
          <w:szCs w:val="20"/>
          <w:color w:val="auto"/>
        </w:rPr>
      </w:pPr>
      <w:r>
        <w:rPr>
          <w:rFonts w:ascii="Times New Roman" w:cs="Times New Roman" w:eastAsia="Times New Roman" w:hAnsi="Times New Roman"/>
          <w:sz w:val="17"/>
          <w:szCs w:val="17"/>
          <w:color w:val="auto"/>
        </w:rPr>
        <w:t>The aggregate intrinsic value was calculated as the difference between the exercise price of the options to purchase common stock and the fair market value of the Company's common stock, which was $48.94 and $27.92 per share as of December 31, 2020 and 2019, respectively.</w:t>
      </w:r>
    </w:p>
    <w:p>
      <w:pPr>
        <w:spacing w:after="0" w:line="184" w:lineRule="exact"/>
        <w:rPr>
          <w:sz w:val="20"/>
          <w:szCs w:val="20"/>
          <w:color w:val="auto"/>
        </w:rPr>
      </w:pPr>
    </w:p>
    <w:p>
      <w:pPr>
        <w:jc w:val="both"/>
        <w:ind w:firstLine="412"/>
        <w:spacing w:after="0" w:line="270" w:lineRule="auto"/>
        <w:rPr>
          <w:sz w:val="20"/>
          <w:szCs w:val="20"/>
          <w:color w:val="auto"/>
        </w:rPr>
      </w:pPr>
      <w:r>
        <w:rPr>
          <w:rFonts w:ascii="Times New Roman" w:cs="Times New Roman" w:eastAsia="Times New Roman" w:hAnsi="Times New Roman"/>
          <w:sz w:val="17"/>
          <w:szCs w:val="17"/>
          <w:color w:val="auto"/>
        </w:rPr>
        <w:t>The weighted average fair value of options to purchase common stock granted was $12.97, $11.07 and $3.62 for the years ended December 31, 2020, 2019 and 2018, respectively.</w:t>
      </w:r>
    </w:p>
    <w:p>
      <w:pPr>
        <w:spacing w:after="0" w:line="184" w:lineRule="exact"/>
        <w:rPr>
          <w:sz w:val="20"/>
          <w:szCs w:val="20"/>
          <w:color w:val="auto"/>
        </w:rPr>
      </w:pPr>
    </w:p>
    <w:p>
      <w:pPr>
        <w:jc w:val="both"/>
        <w:ind w:firstLine="412"/>
        <w:spacing w:after="0" w:line="270" w:lineRule="auto"/>
        <w:rPr>
          <w:sz w:val="20"/>
          <w:szCs w:val="20"/>
          <w:color w:val="auto"/>
        </w:rPr>
      </w:pPr>
      <w:r>
        <w:rPr>
          <w:rFonts w:ascii="Times New Roman" w:cs="Times New Roman" w:eastAsia="Times New Roman" w:hAnsi="Times New Roman"/>
          <w:sz w:val="17"/>
          <w:szCs w:val="17"/>
          <w:color w:val="auto"/>
        </w:rPr>
        <w:t>The aggregate estimated grant date fair value of employee options to purchase common stock vested during the years ended December 31, 2020, 2019 and 2018 was $7.3 million, $4.4 million and $4.1 million, respectively.</w:t>
      </w:r>
    </w:p>
    <w:p>
      <w:pPr>
        <w:spacing w:after="0" w:line="184" w:lineRule="exact"/>
        <w:rPr>
          <w:sz w:val="20"/>
          <w:szCs w:val="20"/>
          <w:color w:val="auto"/>
        </w:rPr>
      </w:pPr>
    </w:p>
    <w:p>
      <w:pPr>
        <w:jc w:val="both"/>
        <w:ind w:firstLine="412"/>
        <w:spacing w:after="0" w:line="270" w:lineRule="auto"/>
        <w:rPr>
          <w:sz w:val="20"/>
          <w:szCs w:val="20"/>
          <w:color w:val="auto"/>
        </w:rPr>
      </w:pPr>
      <w:r>
        <w:rPr>
          <w:rFonts w:ascii="Times New Roman" w:cs="Times New Roman" w:eastAsia="Times New Roman" w:hAnsi="Times New Roman"/>
          <w:sz w:val="17"/>
          <w:szCs w:val="17"/>
          <w:color w:val="auto"/>
        </w:rPr>
        <w:t>The intrinsic value of stock options exercised was $32.9 million, $31.3 million and $4.9 million for the years ended December 31, 2020, 2019 and 2018, respectively.</w:t>
      </w:r>
    </w:p>
    <w:p>
      <w:pPr>
        <w:spacing w:after="0" w:line="184" w:lineRule="exact"/>
        <w:rPr>
          <w:sz w:val="20"/>
          <w:szCs w:val="20"/>
          <w:color w:val="auto"/>
        </w:rPr>
      </w:pPr>
    </w:p>
    <w:p>
      <w:pPr>
        <w:jc w:val="both"/>
        <w:ind w:firstLine="412"/>
        <w:spacing w:after="0" w:line="270" w:lineRule="auto"/>
        <w:rPr>
          <w:sz w:val="20"/>
          <w:szCs w:val="20"/>
          <w:color w:val="auto"/>
        </w:rPr>
      </w:pPr>
      <w:r>
        <w:rPr>
          <w:rFonts w:ascii="Times New Roman" w:cs="Times New Roman" w:eastAsia="Times New Roman" w:hAnsi="Times New Roman"/>
          <w:sz w:val="17"/>
          <w:szCs w:val="17"/>
          <w:color w:val="auto"/>
        </w:rPr>
        <w:t>The weighted average fair value of restricted stock units granted was $27.09 and $21.90 for the years ended December 31, 2020, and 2019, respectively. The intrinsic value of restricted stock units vested was $10.3 million and $2.7 million for the years ended December 31, 2020 and 2019,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Stock Purchase Plan</w:t>
      </w:r>
    </w:p>
    <w:p>
      <w:pPr>
        <w:spacing w:after="0" w:line="233" w:lineRule="exact"/>
        <w:rPr>
          <w:sz w:val="20"/>
          <w:szCs w:val="20"/>
          <w:color w:val="auto"/>
        </w:rPr>
      </w:pPr>
    </w:p>
    <w:p>
      <w:pPr>
        <w:jc w:val="both"/>
        <w:ind w:firstLine="412"/>
        <w:spacing w:after="0" w:line="251" w:lineRule="auto"/>
        <w:rPr>
          <w:sz w:val="20"/>
          <w:szCs w:val="20"/>
          <w:color w:val="auto"/>
        </w:rPr>
      </w:pPr>
      <w:r>
        <w:rPr>
          <w:rFonts w:ascii="Times New Roman" w:cs="Times New Roman" w:eastAsia="Times New Roman" w:hAnsi="Times New Roman"/>
          <w:sz w:val="17"/>
          <w:szCs w:val="17"/>
          <w:color w:val="auto"/>
        </w:rPr>
        <w:t>In May 2015, the Company's stockholders approved the Company's ESPP. The ESPP provides eligible employees with an opportunity to purchase common stock from the Company and to pay for their purchases through payroll deductions. The ESPP will be implemented through a series of offerings of purchase rights to eligible employees. Under the ESPP, the Compensation Committee of the Company's Board of Directors may specify offerings with a duration of not more than 12 months, and may specify shorter purchase periods within each offering. During each purchase period, payroll deductions will accumulate, without interest. On the last day of the purchase period, accumulated payroll deductions will be used to purchase common stock for employees participating in the offering.</w:t>
      </w:r>
    </w:p>
    <w:p>
      <w:pPr>
        <w:spacing w:after="0" w:line="201" w:lineRule="exact"/>
        <w:rPr>
          <w:sz w:val="20"/>
          <w:szCs w:val="20"/>
          <w:color w:val="auto"/>
        </w:rPr>
      </w:pPr>
    </w:p>
    <w:p>
      <w:pPr>
        <w:jc w:val="both"/>
        <w:ind w:firstLine="412"/>
        <w:spacing w:after="0" w:line="270" w:lineRule="auto"/>
        <w:rPr>
          <w:sz w:val="20"/>
          <w:szCs w:val="20"/>
          <w:color w:val="auto"/>
        </w:rPr>
      </w:pPr>
      <w:r>
        <w:rPr>
          <w:rFonts w:ascii="Times New Roman" w:cs="Times New Roman" w:eastAsia="Times New Roman" w:hAnsi="Times New Roman"/>
          <w:sz w:val="17"/>
          <w:szCs w:val="17"/>
          <w:color w:val="auto"/>
        </w:rPr>
        <w:t>The purchase price will be specified pursuant to the offering, but cannot, under the terms of the ESPP, be less than 85% of the fair market value per share of the Company's common stock on either the offering date or on the purchase date, whichever is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7" w:name="page118"/>
    <w:bookmarkEnd w:id="117"/>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95" w:lineRule="exact"/>
        <w:rPr>
          <w:sz w:val="20"/>
          <w:szCs w:val="20"/>
          <w:color w:val="auto"/>
        </w:rPr>
      </w:pPr>
    </w:p>
    <w:p>
      <w:pPr>
        <w:jc w:val="both"/>
        <w:ind w:firstLine="412"/>
        <w:spacing w:after="0" w:line="249" w:lineRule="auto"/>
        <w:rPr>
          <w:sz w:val="20"/>
          <w:szCs w:val="20"/>
          <w:color w:val="auto"/>
        </w:rPr>
      </w:pPr>
      <w:r>
        <w:rPr>
          <w:rFonts w:ascii="Times New Roman" w:cs="Times New Roman" w:eastAsia="Times New Roman" w:hAnsi="Times New Roman"/>
          <w:sz w:val="17"/>
          <w:szCs w:val="17"/>
          <w:color w:val="auto"/>
        </w:rPr>
        <w:t>The Company's Board of Directors has determined that the purchase periods initially shall have a duration of six months, that the first purchase period began on August 3, 2015 and that the purchase price will be 85% of the fair market value per share of the Company's common stock on either the offering date or the purchase date, whichever is less. The length of the purchase period applicable to U.S. employees and the purchase price may not be changed without the approval of the independent members of the Compensation Committee of the Company's Board of Directors. The Compensation Committee has determined that if the fair market value of a share of the Company's common stock on any purchase date within a particular offering period is less than the fair market value on the start date of that offering period, then the offering period will automatically terminate and the employees in that offering period will automatically be transferred and enrolled in a new offering period which will begin on the next day following such purchase date.</w:t>
      </w:r>
    </w:p>
    <w:p>
      <w:pPr>
        <w:spacing w:after="0" w:line="203" w:lineRule="exact"/>
        <w:rPr>
          <w:sz w:val="20"/>
          <w:szCs w:val="20"/>
          <w:color w:val="auto"/>
        </w:rPr>
      </w:pPr>
    </w:p>
    <w:p>
      <w:pPr>
        <w:jc w:val="both"/>
        <w:ind w:firstLine="412"/>
        <w:spacing w:after="0" w:line="251" w:lineRule="auto"/>
        <w:rPr>
          <w:sz w:val="20"/>
          <w:szCs w:val="20"/>
          <w:color w:val="auto"/>
        </w:rPr>
      </w:pPr>
      <w:r>
        <w:rPr>
          <w:rFonts w:ascii="Times New Roman" w:cs="Times New Roman" w:eastAsia="Times New Roman" w:hAnsi="Times New Roman"/>
          <w:sz w:val="17"/>
          <w:szCs w:val="17"/>
          <w:color w:val="auto"/>
        </w:rPr>
        <w:t>No employee is permitted to accrue, under the ESPP, a right to purchase stock of the Company having a value in excess of $25,000 of the fair market value of such stock (determined at the time the right is granted) for each calendar year. As of December 31, 2020, 1,571,395 shares of common stock were reserved for issuance under the ESPP.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12" w:lineRule="exact"/>
        <w:rPr>
          <w:sz w:val="20"/>
          <w:szCs w:val="20"/>
          <w:color w:val="auto"/>
        </w:rPr>
      </w:pPr>
    </w:p>
    <w:p>
      <w:pPr>
        <w:jc w:val="both"/>
        <w:ind w:firstLine="412"/>
        <w:spacing w:after="0" w:line="270" w:lineRule="auto"/>
        <w:rPr>
          <w:sz w:val="20"/>
          <w:szCs w:val="20"/>
          <w:color w:val="auto"/>
        </w:rPr>
      </w:pPr>
      <w:r>
        <w:rPr>
          <w:rFonts w:ascii="Times New Roman" w:cs="Times New Roman" w:eastAsia="Times New Roman" w:hAnsi="Times New Roman"/>
          <w:sz w:val="17"/>
          <w:szCs w:val="17"/>
          <w:color w:val="auto"/>
        </w:rPr>
        <w:t>The following table summarizes stock-based compensation expense related to stock options, restricted stock units and the ESPP for the years ended December 31, 2020, 2019 and 2018, and are included in the consolidated statements of operations and comprehensive loss as follows (in thousands of dollars):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4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172"/>
        </w:trPr>
        <w:tc>
          <w:tcPr>
            <w:tcW w:w="64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20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testing revenue</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r>
      <w:tr>
        <w:trPr>
          <w:trHeight w:val="212"/>
        </w:trPr>
        <w:tc>
          <w:tcPr>
            <w:tcW w:w="6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1,018</w:t>
            </w:r>
          </w:p>
        </w:tc>
      </w:tr>
      <w:tr>
        <w:trPr>
          <w:trHeight w:val="21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and marketing</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1,866</w:t>
            </w:r>
          </w:p>
        </w:tc>
      </w:tr>
      <w:tr>
        <w:trPr>
          <w:trHeight w:val="212"/>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6,462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2,944</w:t>
            </w:r>
          </w:p>
        </w:tc>
      </w:tr>
      <w:tr>
        <w:trPr>
          <w:trHeight w:val="230"/>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5,958</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firstLine="412"/>
        <w:spacing w:after="0" w:line="270" w:lineRule="auto"/>
        <w:rPr>
          <w:sz w:val="20"/>
          <w:szCs w:val="20"/>
          <w:color w:val="auto"/>
        </w:rPr>
      </w:pPr>
      <w:r>
        <w:rPr>
          <w:rFonts w:ascii="Times New Roman" w:cs="Times New Roman" w:eastAsia="Times New Roman" w:hAnsi="Times New Roman"/>
          <w:sz w:val="17"/>
          <w:szCs w:val="17"/>
          <w:color w:val="auto"/>
        </w:rPr>
        <w:t>As of December 31, 2020, the Company had $25.7 million of unrecognized compensation expense related to unvested stock options and restricted stock units, which is expected to be recognized over an estimated weighted-average period of 2.40 years.</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estimated grant-date fair value of stock options was calculated using the Black-Scholes option-pricing model, based on the following assumptions.</w:t>
      </w:r>
    </w:p>
    <w:p>
      <w:pPr>
        <w:spacing w:after="0" w:line="40" w:lineRule="exact"/>
        <w:rPr>
          <w:sz w:val="20"/>
          <w:szCs w:val="20"/>
          <w:color w:val="auto"/>
        </w:rPr>
      </w:pPr>
    </w:p>
    <w:p>
      <w:pPr>
        <w:jc w:val="both"/>
        <w:ind w:left="600" w:hanging="188"/>
        <w:spacing w:after="0" w:line="222" w:lineRule="auto"/>
        <w:tabs>
          <w:tab w:leader="none" w:pos="59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Expected Term</w:t>
      </w:r>
      <w:r>
        <w:rPr>
          <w:rFonts w:ascii="Times New Roman" w:cs="Times New Roman" w:eastAsia="Times New Roman" w:hAnsi="Times New Roman"/>
          <w:sz w:val="17"/>
          <w:szCs w:val="17"/>
          <w:color w:val="auto"/>
        </w:rPr>
        <w:t>: The expected term represents the period that the options granted are expected to be outstanding. During 2020 it was determined using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historical data and during prior years it was determined using the simplified method (based on the mid-point between the vesting date and the end of the contractual term).</w:t>
      </w:r>
    </w:p>
    <w:p>
      <w:pPr>
        <w:ind w:left="600" w:hanging="188"/>
        <w:spacing w:after="0" w:line="229" w:lineRule="auto"/>
        <w:tabs>
          <w:tab w:leader="none" w:pos="59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Expected Volatility</w:t>
      </w:r>
      <w:r>
        <w:rPr>
          <w:rFonts w:ascii="Times New Roman" w:cs="Times New Roman" w:eastAsia="Times New Roman" w:hAnsi="Times New Roman"/>
          <w:sz w:val="17"/>
          <w:szCs w:val="17"/>
          <w:color w:val="auto"/>
        </w:rPr>
        <w:t>: During 2020, the Company used the historical volatility of its common stock. For prior years, the Company used an average historical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price volatility of comparable public companies as the Company did not have sufficient trading history for its common stock.</w:t>
      </w:r>
    </w:p>
    <w:p>
      <w:pPr>
        <w:spacing w:after="0" w:line="1" w:lineRule="exact"/>
        <w:rPr>
          <w:rFonts w:ascii="Times New Roman" w:cs="Times New Roman" w:eastAsia="Times New Roman" w:hAnsi="Times New Roman"/>
          <w:sz w:val="17"/>
          <w:szCs w:val="17"/>
          <w:color w:val="auto"/>
        </w:rPr>
      </w:pPr>
    </w:p>
    <w:p>
      <w:pPr>
        <w:ind w:left="600" w:hanging="188"/>
        <w:spacing w:after="0" w:line="229" w:lineRule="auto"/>
        <w:tabs>
          <w:tab w:leader="none" w:pos="59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Risk-Free Interest Rate</w:t>
      </w:r>
      <w:r>
        <w:rPr>
          <w:rFonts w:ascii="Times New Roman" w:cs="Times New Roman" w:eastAsia="Times New Roman" w:hAnsi="Times New Roman"/>
          <w:sz w:val="17"/>
          <w:szCs w:val="17"/>
          <w:color w:val="auto"/>
        </w:rPr>
        <w:t>: The Company based the risk-free interest rate over the expected term of the options based on the constant maturity rate of 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Treasury securities with similar maturities as of the date of the grant.</w:t>
      </w:r>
    </w:p>
    <w:p>
      <w:pPr>
        <w:spacing w:after="0" w:line="1" w:lineRule="exact"/>
        <w:rPr>
          <w:rFonts w:ascii="Times New Roman" w:cs="Times New Roman" w:eastAsia="Times New Roman" w:hAnsi="Times New Roman"/>
          <w:sz w:val="17"/>
          <w:szCs w:val="17"/>
          <w:color w:val="auto"/>
        </w:rPr>
      </w:pPr>
    </w:p>
    <w:p>
      <w:pPr>
        <w:ind w:left="600" w:hanging="188"/>
        <w:spacing w:after="0" w:line="229" w:lineRule="auto"/>
        <w:tabs>
          <w:tab w:leader="none" w:pos="59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Expected Dividend Yield</w:t>
      </w:r>
      <w:r>
        <w:rPr>
          <w:rFonts w:ascii="Times New Roman" w:cs="Times New Roman" w:eastAsia="Times New Roman" w:hAnsi="Times New Roman"/>
          <w:sz w:val="17"/>
          <w:szCs w:val="17"/>
          <w:color w:val="auto"/>
        </w:rPr>
        <w:t>: The Company has not paid and does not anticipate paying any dividends in the near future. Therefore, the expected dividend yield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was zero.</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8" w:name="page119"/>
    <w:bookmarkEnd w:id="118"/>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estimated grant-date fair value of employee stock options using the Black-Scholes option-pricing model was based on the following assumptions: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4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72"/>
        </w:trPr>
        <w:tc>
          <w:tcPr>
            <w:tcW w:w="64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21"/>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541"/>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61"/>
              <w:spacing w:after="0"/>
              <w:rPr>
                <w:sz w:val="20"/>
                <w:szCs w:val="20"/>
                <w:color w:val="auto"/>
              </w:rPr>
            </w:pPr>
            <w:r>
              <w:rPr>
                <w:rFonts w:ascii="Times New Roman" w:cs="Times New Roman" w:eastAsia="Times New Roman" w:hAnsi="Times New Roman"/>
                <w:sz w:val="13"/>
                <w:szCs w:val="13"/>
                <w:b w:val="1"/>
                <w:bCs w:val="1"/>
                <w:color w:val="auto"/>
                <w:w w:val="99"/>
              </w:rPr>
              <w:t>2018</w:t>
            </w:r>
          </w:p>
        </w:tc>
      </w:tr>
      <w:tr>
        <w:trPr>
          <w:trHeight w:val="20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volatility</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54.40</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- 58.20%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52.90</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- 53.40%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50.40</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- 52.70%</w:t>
            </w:r>
          </w:p>
        </w:tc>
      </w:tr>
      <w:tr>
        <w:trPr>
          <w:trHeight w:val="212"/>
        </w:trPr>
        <w:tc>
          <w:tcPr>
            <w:tcW w:w="6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expected term (years)</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7"/>
              </w:rPr>
              <w:t>5.24 - 5.42</w:t>
            </w:r>
          </w:p>
        </w:tc>
        <w:tc>
          <w:tcPr>
            <w:tcW w:w="100" w:type="dxa"/>
            <w:vAlign w:val="bottom"/>
          </w:tcPr>
          <w:p>
            <w:pPr>
              <w:spacing w:after="0"/>
              <w:rPr>
                <w:sz w:val="18"/>
                <w:szCs w:val="18"/>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7"/>
              </w:rPr>
              <w:t>5.50 - 6.08</w:t>
            </w:r>
          </w:p>
        </w:tc>
        <w:tc>
          <w:tcPr>
            <w:tcW w:w="10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7"/>
              </w:rPr>
              <w:t>5.50 - 6.08</w:t>
            </w:r>
          </w:p>
        </w:tc>
      </w:tr>
      <w:tr>
        <w:trPr>
          <w:trHeight w:val="21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0.24</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- 0.92%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- 2.60%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- 3.10%</w:t>
            </w: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620" w:type="dxa"/>
            <w:vAlign w:val="bottom"/>
          </w:tcPr>
          <w:p>
            <w:pPr>
              <w:spacing w:after="0"/>
              <w:rPr>
                <w:sz w:val="18"/>
                <w:szCs w:val="18"/>
                <w:color w:val="auto"/>
              </w:rPr>
            </w:pPr>
          </w:p>
        </w:tc>
        <w:tc>
          <w:tcPr>
            <w:tcW w:w="1000" w:type="dxa"/>
            <w:vAlign w:val="bottom"/>
            <w:gridSpan w:val="2"/>
          </w:tcPr>
          <w:p>
            <w:pPr>
              <w:jc w:val="center"/>
              <w:ind w:right="720"/>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spacing w:after="0"/>
              <w:rPr>
                <w:sz w:val="18"/>
                <w:szCs w:val="18"/>
                <w:color w:val="auto"/>
              </w:rPr>
            </w:pPr>
          </w:p>
        </w:tc>
        <w:tc>
          <w:tcPr>
            <w:tcW w:w="980" w:type="dxa"/>
            <w:vAlign w:val="bottom"/>
            <w:gridSpan w:val="2"/>
          </w:tcPr>
          <w:p>
            <w:pPr>
              <w:jc w:val="center"/>
              <w:ind w:right="740"/>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spacing w:after="0"/>
              <w:rPr>
                <w:sz w:val="18"/>
                <w:szCs w:val="18"/>
                <w:color w:val="auto"/>
              </w:rPr>
            </w:pPr>
          </w:p>
        </w:tc>
        <w:tc>
          <w:tcPr>
            <w:tcW w:w="900" w:type="dxa"/>
            <w:vAlign w:val="bottom"/>
          </w:tcPr>
          <w:p>
            <w:pPr>
              <w:jc w:val="center"/>
              <w:ind w:right="561"/>
              <w:spacing w:after="0"/>
              <w:rPr>
                <w:sz w:val="20"/>
                <w:szCs w:val="20"/>
                <w:color w:val="auto"/>
              </w:rPr>
            </w:pPr>
            <w:r>
              <w:rPr>
                <w:rFonts w:ascii="Times New Roman" w:cs="Times New Roman" w:eastAsia="Times New Roman" w:hAnsi="Times New Roman"/>
                <w:sz w:val="17"/>
                <w:szCs w:val="17"/>
                <w:color w:val="auto"/>
              </w:rPr>
              <w:t>—</w:t>
            </w:r>
          </w:p>
        </w:tc>
      </w:tr>
    </w:tbl>
    <w:p>
      <w:pPr>
        <w:spacing w:after="0" w:line="2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estimated fair value of non-employee stock options using the Black-Scholes option-pricing model was based on the following assumptions: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440" w:type="dxa"/>
            <w:vAlign w:val="bottom"/>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72"/>
        </w:trPr>
        <w:tc>
          <w:tcPr>
            <w:tcW w:w="644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10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61"/>
              <w:spacing w:after="0"/>
              <w:rPr>
                <w:sz w:val="20"/>
                <w:szCs w:val="20"/>
                <w:color w:val="auto"/>
              </w:rPr>
            </w:pPr>
            <w:r>
              <w:rPr>
                <w:rFonts w:ascii="Times New Roman" w:cs="Times New Roman" w:eastAsia="Times New Roman" w:hAnsi="Times New Roman"/>
                <w:sz w:val="13"/>
                <w:szCs w:val="13"/>
                <w:b w:val="1"/>
                <w:bCs w:val="1"/>
                <w:color w:val="auto"/>
                <w:w w:val="99"/>
              </w:rPr>
              <w:t>2018</w:t>
            </w:r>
          </w:p>
        </w:tc>
      </w:tr>
      <w:tr>
        <w:trPr>
          <w:trHeight w:val="20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volatility</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43.60</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- 50.50%</w:t>
            </w:r>
          </w:p>
        </w:tc>
      </w:tr>
      <w:tr>
        <w:trPr>
          <w:trHeight w:val="212"/>
        </w:trPr>
        <w:tc>
          <w:tcPr>
            <w:tcW w:w="6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expected term (years)</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7"/>
              </w:rPr>
              <w:t>0.25 - 6.75</w:t>
            </w:r>
          </w:p>
        </w:tc>
      </w:tr>
      <w:tr>
        <w:trPr>
          <w:trHeight w:val="21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6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6"/>
              </w:rPr>
              <w:t>—%</w:t>
            </w:r>
          </w:p>
        </w:tc>
        <w:tc>
          <w:tcPr>
            <w:tcW w:w="16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6"/>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- 2.87%</w:t>
            </w: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spacing w:after="0"/>
              <w:rPr>
                <w:sz w:val="18"/>
                <w:szCs w:val="18"/>
                <w:color w:val="auto"/>
              </w:rPr>
            </w:pPr>
          </w:p>
        </w:tc>
        <w:tc>
          <w:tcPr>
            <w:tcW w:w="900" w:type="dxa"/>
            <w:vAlign w:val="bottom"/>
          </w:tcPr>
          <w:p>
            <w:pPr>
              <w:jc w:val="center"/>
              <w:ind w:right="561"/>
              <w:spacing w:after="0"/>
              <w:rPr>
                <w:sz w:val="20"/>
                <w:szCs w:val="20"/>
                <w:color w:val="auto"/>
              </w:rPr>
            </w:pPr>
            <w:r>
              <w:rPr>
                <w:rFonts w:ascii="Times New Roman" w:cs="Times New Roman" w:eastAsia="Times New Roman" w:hAnsi="Times New Roman"/>
                <w:sz w:val="17"/>
                <w:szCs w:val="17"/>
                <w:color w:val="auto"/>
              </w:rPr>
              <w:t>—</w:t>
            </w:r>
          </w:p>
        </w:tc>
      </w:tr>
    </w:tbl>
    <w:p>
      <w:pPr>
        <w:spacing w:after="0" w:line="2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There were no non-employee stock options outstanding as of December 31, 2020 or December 31, 2019.</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estimated grant date fair value of the ESPP shares was calculated using the Black-Scholes option-pricing model, based on the following assumptions: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2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92"/>
        </w:trPr>
        <w:tc>
          <w:tcPr>
            <w:tcW w:w="62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41"/>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21"/>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41"/>
              <w:spacing w:after="0"/>
              <w:rPr>
                <w:sz w:val="20"/>
                <w:szCs w:val="20"/>
                <w:color w:val="auto"/>
              </w:rPr>
            </w:pPr>
            <w:r>
              <w:rPr>
                <w:rFonts w:ascii="Times New Roman" w:cs="Times New Roman" w:eastAsia="Times New Roman" w:hAnsi="Times New Roman"/>
                <w:sz w:val="13"/>
                <w:szCs w:val="13"/>
                <w:b w:val="1"/>
                <w:bCs w:val="1"/>
                <w:color w:val="auto"/>
                <w:w w:val="99"/>
              </w:rPr>
              <w:t>2018</w:t>
            </w:r>
          </w:p>
        </w:tc>
      </w:tr>
      <w:tr>
        <w:trPr>
          <w:trHeight w:val="21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volatility</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54.16</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- 85.01%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53.38</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- 71.77%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42.88</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- 47.74%</w:t>
            </w:r>
          </w:p>
        </w:tc>
      </w:tr>
      <w:tr>
        <w:trPr>
          <w:trHeight w:val="212"/>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expected term (years)</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7"/>
              </w:rPr>
              <w:t>0.50 - 1.00</w:t>
            </w:r>
          </w:p>
        </w:tc>
        <w:tc>
          <w:tcPr>
            <w:tcW w:w="100" w:type="dxa"/>
            <w:vAlign w:val="bottom"/>
          </w:tcPr>
          <w:p>
            <w:pPr>
              <w:spacing w:after="0"/>
              <w:rPr>
                <w:sz w:val="18"/>
                <w:szCs w:val="18"/>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7"/>
              </w:rPr>
              <w:t>0.50 - 1.00</w:t>
            </w:r>
          </w:p>
        </w:tc>
        <w:tc>
          <w:tcPr>
            <w:tcW w:w="100" w:type="dxa"/>
            <w:vAlign w:val="bottom"/>
          </w:tcPr>
          <w:p>
            <w:pPr>
              <w:spacing w:after="0"/>
              <w:rPr>
                <w:sz w:val="18"/>
                <w:szCs w:val="18"/>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7"/>
              </w:rPr>
              <w:t>0.50 - 1.00</w:t>
            </w:r>
          </w:p>
        </w:tc>
      </w:tr>
      <w:tr>
        <w:trPr>
          <w:trHeight w:val="21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0.11</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- 1.56%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- 2.56%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- 2.45%</w:t>
            </w: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620" w:type="dxa"/>
            <w:vAlign w:val="bottom"/>
          </w:tcPr>
          <w:p>
            <w:pPr>
              <w:spacing w:after="0"/>
              <w:rPr>
                <w:sz w:val="18"/>
                <w:szCs w:val="18"/>
                <w:color w:val="auto"/>
              </w:rPr>
            </w:pPr>
          </w:p>
        </w:tc>
        <w:tc>
          <w:tcPr>
            <w:tcW w:w="1000" w:type="dxa"/>
            <w:vAlign w:val="bottom"/>
            <w:gridSpan w:val="2"/>
          </w:tcPr>
          <w:p>
            <w:pPr>
              <w:jc w:val="center"/>
              <w:ind w:right="720"/>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spacing w:after="0"/>
              <w:rPr>
                <w:sz w:val="18"/>
                <w:szCs w:val="18"/>
                <w:color w:val="auto"/>
              </w:rPr>
            </w:pPr>
          </w:p>
        </w:tc>
        <w:tc>
          <w:tcPr>
            <w:tcW w:w="1000" w:type="dxa"/>
            <w:vAlign w:val="bottom"/>
            <w:gridSpan w:val="2"/>
          </w:tcPr>
          <w:p>
            <w:pPr>
              <w:jc w:val="center"/>
              <w:ind w:right="720"/>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spacing w:after="0"/>
              <w:rPr>
                <w:sz w:val="18"/>
                <w:szCs w:val="18"/>
                <w:color w:val="auto"/>
              </w:rPr>
            </w:pPr>
          </w:p>
        </w:tc>
        <w:tc>
          <w:tcPr>
            <w:tcW w:w="880" w:type="dxa"/>
            <w:vAlign w:val="bottom"/>
          </w:tcPr>
          <w:p>
            <w:pPr>
              <w:jc w:val="center"/>
              <w:ind w:right="541"/>
              <w:spacing w:after="0"/>
              <w:rPr>
                <w:sz w:val="20"/>
                <w:szCs w:val="20"/>
                <w:color w:val="auto"/>
              </w:rPr>
            </w:pPr>
            <w:r>
              <w:rPr>
                <w:rFonts w:ascii="Times New Roman" w:cs="Times New Roman" w:eastAsia="Times New Roman" w:hAnsi="Times New Roman"/>
                <w:sz w:val="17"/>
                <w:szCs w:val="17"/>
                <w:color w:val="auto"/>
              </w:rPr>
              <w:t>—</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Thyroid Cytopathology Partners</w:t>
      </w:r>
    </w:p>
    <w:p>
      <w:pPr>
        <w:spacing w:after="0" w:line="233" w:lineRule="exact"/>
        <w:rPr>
          <w:sz w:val="20"/>
          <w:szCs w:val="20"/>
          <w:color w:val="auto"/>
        </w:rPr>
      </w:pPr>
    </w:p>
    <w:p>
      <w:pPr>
        <w:jc w:val="both"/>
        <w:ind w:firstLine="375"/>
        <w:spacing w:after="0" w:line="266" w:lineRule="auto"/>
        <w:rPr>
          <w:sz w:val="20"/>
          <w:szCs w:val="20"/>
          <w:color w:val="auto"/>
        </w:rPr>
      </w:pPr>
      <w:r>
        <w:rPr>
          <w:rFonts w:ascii="Times New Roman" w:cs="Times New Roman" w:eastAsia="Times New Roman" w:hAnsi="Times New Roman"/>
          <w:sz w:val="16"/>
          <w:szCs w:val="16"/>
          <w:color w:val="auto"/>
        </w:rPr>
        <w:t>The Company has an agreement with a specialized pathology practice, Thyroid Cytopathology Partners, ("TCP"), to provide testing services to the Company (the "TCP Agreement"). The TCP Agreement is effective through October 31, 2022, and thereafter automatically renews every year unless either party provides notice of intent not to renew at least 12 months prior to the end of the then-current term. Under the TCP Agreement, the Company pays TCP based on a fixed price per test schedule which is reviewed periodically for changes in market pricing, and the TCP Agreement included a clause allowing TCP to sublease a portion of the Company's facility in Austin, Texas. The Company does not have an ownership interest in or provide any form of financial or other support to TCP. The Company previously concluded that TCP represented a variable interest entity as a result of the facility arrangement clause, but that the Company was not the primary beneficiary as it did not have the ability to direct the activities that most significantly impacted TCP's economic performance, and therefore did not consolidate TCP. On February 14, 2019, the TCP Agreement was amended to remove the facility clause. Accordingly, the Company believes TCP was no longer a variable interest entity as of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9" w:name="page120"/>
    <w:bookmarkEnd w:id="119"/>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95" w:lineRule="exact"/>
        <w:rPr>
          <w:sz w:val="20"/>
          <w:szCs w:val="20"/>
          <w:color w:val="auto"/>
        </w:rPr>
      </w:pPr>
    </w:p>
    <w:p>
      <w:pPr>
        <w:jc w:val="both"/>
        <w:ind w:firstLine="412"/>
        <w:spacing w:after="0" w:line="270" w:lineRule="auto"/>
        <w:rPr>
          <w:sz w:val="20"/>
          <w:szCs w:val="20"/>
          <w:color w:val="auto"/>
        </w:rPr>
      </w:pPr>
      <w:r>
        <w:rPr>
          <w:rFonts w:ascii="Times New Roman" w:cs="Times New Roman" w:eastAsia="Times New Roman" w:hAnsi="Times New Roman"/>
          <w:sz w:val="17"/>
          <w:szCs w:val="17"/>
          <w:color w:val="auto"/>
        </w:rPr>
        <w:t>TCP's portion of rent and related operating expenses reimbursed to the Company for the shared space at the Austin, Texas facility was $11,000 and $128,000 for the years ended December 31, 2019 and 2018 and is included other income, net in the Company's consolidated statements of operations and comprehensive loss.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Income Taxes</w:t>
      </w:r>
    </w:p>
    <w:p>
      <w:pPr>
        <w:spacing w:after="0" w:line="233" w:lineRule="exact"/>
        <w:rPr>
          <w:sz w:val="20"/>
          <w:szCs w:val="20"/>
          <w:color w:val="auto"/>
        </w:rPr>
      </w:pPr>
    </w:p>
    <w:p>
      <w:pPr>
        <w:jc w:val="both"/>
        <w:ind w:firstLine="412"/>
        <w:spacing w:after="0" w:line="257" w:lineRule="auto"/>
        <w:rPr>
          <w:sz w:val="20"/>
          <w:szCs w:val="20"/>
          <w:color w:val="auto"/>
        </w:rPr>
      </w:pPr>
      <w:r>
        <w:rPr>
          <w:rFonts w:ascii="Times New Roman" w:cs="Times New Roman" w:eastAsia="Times New Roman" w:hAnsi="Times New Roman"/>
          <w:sz w:val="17"/>
          <w:szCs w:val="17"/>
          <w:color w:val="auto"/>
        </w:rPr>
        <w:t>The Company generated a pretax loss of $34.8 million, $12.5 million and $23.0 million in the United States for the years ended December 31, 2020, 2019 and 2018, respectively. Since inception, the Company has not generated any pretax income or loss outside of the United States. The Company recorded no provision for income taxes during the years ended December 31, 2020, 2019 or 2018.</w:t>
      </w:r>
    </w:p>
    <w:p>
      <w:pPr>
        <w:spacing w:after="0" w:line="194" w:lineRule="exact"/>
        <w:rPr>
          <w:sz w:val="20"/>
          <w:szCs w:val="20"/>
          <w:color w:val="auto"/>
        </w:rPr>
      </w:pPr>
    </w:p>
    <w:p>
      <w:pPr>
        <w:jc w:val="both"/>
        <w:ind w:firstLine="412"/>
        <w:spacing w:after="0" w:line="305" w:lineRule="auto"/>
        <w:rPr>
          <w:sz w:val="20"/>
          <w:szCs w:val="20"/>
          <w:color w:val="auto"/>
        </w:rPr>
      </w:pPr>
      <w:r>
        <w:rPr>
          <w:rFonts w:ascii="Times New Roman" w:cs="Times New Roman" w:eastAsia="Times New Roman" w:hAnsi="Times New Roman"/>
          <w:sz w:val="16"/>
          <w:szCs w:val="16"/>
          <w:color w:val="auto"/>
        </w:rPr>
        <w:t xml:space="preserve">The Company follows FASB ASC No. 740, </w:t>
      </w:r>
      <w:r>
        <w:rPr>
          <w:rFonts w:ascii="Times New Roman" w:cs="Times New Roman" w:eastAsia="Times New Roman" w:hAnsi="Times New Roman"/>
          <w:sz w:val="16"/>
          <w:szCs w:val="16"/>
          <w:i w:val="1"/>
          <w:iCs w:val="1"/>
          <w:color w:val="auto"/>
        </w:rPr>
        <w:t>Income Taxes for the Computation and Presentation of its Tax Provision.</w:t>
      </w:r>
      <w:r>
        <w:rPr>
          <w:rFonts w:ascii="Times New Roman" w:cs="Times New Roman" w:eastAsia="Times New Roman" w:hAnsi="Times New Roman"/>
          <w:sz w:val="16"/>
          <w:szCs w:val="16"/>
          <w:color w:val="auto"/>
        </w:rPr>
        <w:t xml:space="preserve"> The following table presents a reconciliation of the income tax expense computed at the statutory federal rate and the Company's income tax expense for the periods presented (in thousands of dollars):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72"/>
        </w:trPr>
        <w:tc>
          <w:tcPr>
            <w:tcW w:w="67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20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federal taxes at statutory rate</w:t>
            </w:r>
          </w:p>
        </w:tc>
        <w:tc>
          <w:tcPr>
            <w:tcW w:w="88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(4,825)</w:t>
            </w:r>
          </w:p>
        </w:tc>
      </w:tr>
      <w:tr>
        <w:trPr>
          <w:trHeight w:val="212"/>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tax (net of federal benefit)</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rate differential</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 deductible officers' compensation</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w:t>
            </w:r>
          </w:p>
        </w:tc>
      </w:tr>
      <w:tr>
        <w:trPr>
          <w:trHeight w:val="21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Permanent differences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w:t>
            </w:r>
          </w:p>
        </w:tc>
      </w:tr>
      <w:tr>
        <w:trPr>
          <w:trHeight w:val="212"/>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based compensation including excess tax benefit</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w:t>
            </w:r>
          </w:p>
        </w:tc>
      </w:tr>
      <w:tr>
        <w:trPr>
          <w:trHeight w:val="21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credits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w:t>
            </w:r>
          </w:p>
        </w:tc>
      </w:tr>
      <w:tr>
        <w:trPr>
          <w:trHeight w:val="212"/>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12,990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8,162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5,164</w:t>
            </w:r>
          </w:p>
        </w:tc>
      </w:tr>
      <w:tr>
        <w:trPr>
          <w:trHeight w:val="23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20" w:name="page121"/>
    <w:bookmarkEnd w:id="120"/>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95" w:lineRule="exact"/>
        <w:rPr>
          <w:sz w:val="20"/>
          <w:szCs w:val="20"/>
          <w:color w:val="auto"/>
        </w:rPr>
      </w:pPr>
    </w:p>
    <w:p>
      <w:pPr>
        <w:jc w:val="both"/>
        <w:ind w:firstLine="412"/>
        <w:spacing w:after="0" w:line="302" w:lineRule="auto"/>
        <w:rPr>
          <w:sz w:val="20"/>
          <w:szCs w:val="20"/>
          <w:color w:val="auto"/>
        </w:rPr>
      </w:pPr>
      <w:r>
        <w:rPr>
          <w:rFonts w:ascii="Times New Roman" w:cs="Times New Roman" w:eastAsia="Times New Roman" w:hAnsi="Times New Roman"/>
          <w:sz w:val="16"/>
          <w:szCs w:val="16"/>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 (in thousands of dollars):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72"/>
        </w:trPr>
        <w:tc>
          <w:tcPr>
            <w:tcW w:w="67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20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2"/>
        </w:trPr>
        <w:tc>
          <w:tcPr>
            <w:tcW w:w="6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34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68,113</w:t>
            </w:r>
          </w:p>
        </w:tc>
        <w:tc>
          <w:tcPr>
            <w:tcW w:w="440" w:type="dxa"/>
            <w:vAlign w:val="bottom"/>
            <w:gridSpan w:val="2"/>
          </w:tcPr>
          <w:p>
            <w:pPr>
              <w:jc w:val="right"/>
              <w:ind w:right="157"/>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56,506</w:t>
            </w:r>
          </w:p>
        </w:tc>
        <w:tc>
          <w:tcPr>
            <w:tcW w:w="100" w:type="dxa"/>
            <w:vAlign w:val="bottom"/>
          </w:tcPr>
          <w:p>
            <w:pPr>
              <w:spacing w:after="0"/>
              <w:rPr>
                <w:sz w:val="18"/>
                <w:szCs w:val="18"/>
                <w:color w:val="auto"/>
              </w:rPr>
            </w:pPr>
          </w:p>
        </w:tc>
        <w:tc>
          <w:tcPr>
            <w:tcW w:w="34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50,410</w:t>
            </w:r>
          </w:p>
        </w:tc>
      </w:tr>
      <w:tr>
        <w:trPr>
          <w:trHeight w:val="212"/>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Research and development credits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4,584</w:t>
            </w:r>
          </w:p>
        </w:tc>
      </w:tr>
      <w:tr>
        <w:trPr>
          <w:trHeight w:val="212"/>
        </w:trPr>
        <w:tc>
          <w:tcPr>
            <w:tcW w:w="6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Stock-based compensation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1,032</w:t>
            </w:r>
          </w:p>
        </w:tc>
      </w:tr>
      <w:tr>
        <w:trPr>
          <w:trHeight w:val="212"/>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NanoString intangibles and goodwill</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6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lease liability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Accruals and other</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2,918</w:t>
            </w:r>
          </w:p>
        </w:tc>
      </w:tr>
      <w:tr>
        <w:trPr>
          <w:trHeight w:val="205"/>
        </w:trPr>
        <w:tc>
          <w:tcPr>
            <w:tcW w:w="67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Gross deferred tax assets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83,333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70,389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58,944</w:t>
            </w:r>
          </w:p>
        </w:tc>
      </w:tr>
      <w:tr>
        <w:trPr>
          <w:trHeight w:val="212"/>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Valuation allowance</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(78,650)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(65,228)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(55,366)</w:t>
            </w:r>
          </w:p>
        </w:tc>
      </w:tr>
      <w:tr>
        <w:trPr>
          <w:trHeight w:val="205"/>
        </w:trPr>
        <w:tc>
          <w:tcPr>
            <w:tcW w:w="67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7"/>
                <w:szCs w:val="17"/>
                <w:color w:val="auto"/>
              </w:rPr>
              <w:t>Net deferred tax assets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4,683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5,161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3,578</w:t>
            </w:r>
          </w:p>
        </w:tc>
      </w:tr>
      <w:tr>
        <w:trPr>
          <w:trHeight w:val="20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2"/>
        </w:trPr>
        <w:tc>
          <w:tcPr>
            <w:tcW w:w="67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Property and equipment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w:t>
            </w:r>
          </w:p>
        </w:tc>
      </w:tr>
      <w:tr>
        <w:trPr>
          <w:trHeight w:val="212"/>
        </w:trPr>
        <w:tc>
          <w:tcPr>
            <w:tcW w:w="6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In-process research and development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(2,883)</w:t>
            </w:r>
          </w:p>
        </w:tc>
      </w:tr>
      <w:tr>
        <w:trPr>
          <w:trHeight w:val="212"/>
        </w:trPr>
        <w:tc>
          <w:tcPr>
            <w:tcW w:w="67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ROU assets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6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Gross deferred tax liabilities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(3,578)</w:t>
            </w:r>
          </w:p>
        </w:tc>
      </w:tr>
      <w:tr>
        <w:trPr>
          <w:trHeight w:val="205"/>
        </w:trPr>
        <w:tc>
          <w:tcPr>
            <w:tcW w:w="67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7"/>
                <w:szCs w:val="17"/>
                <w:color w:val="auto"/>
              </w:rPr>
              <w:t>Net deferred tax liabilities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(4,683)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(5,161)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(3,578)</w:t>
            </w:r>
          </w:p>
        </w:tc>
      </w:tr>
      <w:tr>
        <w:trPr>
          <w:trHeight w:val="23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deferred taxes</w:t>
            </w: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412"/>
        <w:spacing w:after="0" w:line="270" w:lineRule="auto"/>
        <w:rPr>
          <w:sz w:val="20"/>
          <w:szCs w:val="20"/>
          <w:color w:val="auto"/>
        </w:rPr>
      </w:pPr>
      <w:r>
        <w:rPr>
          <w:rFonts w:ascii="Times New Roman" w:cs="Times New Roman" w:eastAsia="Times New Roman" w:hAnsi="Times New Roman"/>
          <w:sz w:val="17"/>
          <w:szCs w:val="17"/>
          <w:color w:val="auto"/>
        </w:rPr>
        <w:t>The Company has established a full valuation allowance against its net deferred tax assets due to the uncertainty surrounding realization of such assets. The valuation allowance increased $13.4 million, $9.9 million and $3.7 million during the years ended December 31, 2020, 2019 and 2018, respectively.</w:t>
      </w:r>
    </w:p>
    <w:p>
      <w:pPr>
        <w:spacing w:after="0" w:line="184" w:lineRule="exact"/>
        <w:rPr>
          <w:sz w:val="20"/>
          <w:szCs w:val="20"/>
          <w:color w:val="auto"/>
        </w:rPr>
      </w:pPr>
    </w:p>
    <w:p>
      <w:pPr>
        <w:jc w:val="both"/>
        <w:ind w:firstLine="412"/>
        <w:spacing w:after="0" w:line="257" w:lineRule="auto"/>
        <w:rPr>
          <w:sz w:val="20"/>
          <w:szCs w:val="20"/>
          <w:color w:val="auto"/>
        </w:rPr>
      </w:pPr>
      <w:r>
        <w:rPr>
          <w:rFonts w:ascii="Times New Roman" w:cs="Times New Roman" w:eastAsia="Times New Roman" w:hAnsi="Times New Roman"/>
          <w:sz w:val="17"/>
          <w:szCs w:val="17"/>
          <w:color w:val="auto"/>
        </w:rPr>
        <w:t>As of December 31, 2020, the Company had net operating loss carryforwards of approximately $282.9 million, $63.0 million and $72.2 million available to reduce future taxable income, if any, for federal, California and other state income tax purposes, respectively. The U.S. federal net operating loss carryforwards will begin to expire in 2026 while for state purposes, the net operating losses begin to expire in 2028.</w:t>
      </w:r>
    </w:p>
    <w:p>
      <w:pPr>
        <w:spacing w:after="0" w:line="196" w:lineRule="exact"/>
        <w:rPr>
          <w:sz w:val="20"/>
          <w:szCs w:val="20"/>
          <w:color w:val="auto"/>
        </w:rPr>
      </w:pPr>
    </w:p>
    <w:p>
      <w:pPr>
        <w:jc w:val="both"/>
        <w:ind w:firstLine="412"/>
        <w:spacing w:after="0" w:line="257" w:lineRule="auto"/>
        <w:rPr>
          <w:sz w:val="20"/>
          <w:szCs w:val="20"/>
          <w:color w:val="auto"/>
        </w:rPr>
      </w:pPr>
      <w:r>
        <w:rPr>
          <w:rFonts w:ascii="Times New Roman" w:cs="Times New Roman" w:eastAsia="Times New Roman" w:hAnsi="Times New Roman"/>
          <w:sz w:val="17"/>
          <w:szCs w:val="17"/>
          <w:color w:val="auto"/>
        </w:rPr>
        <w:t>As of December 31, 2020, the Company had net research and development credit carryforwards of approximately $5.3 million and $5.2 million available to reduce future taxable income, if any, for federal and state income tax purposes, respectively. The federal credit carryforwards begin to expire in 2028. California credits have no expiration date. Other state credit carryforwards begin to expire in 2023.</w:t>
      </w:r>
    </w:p>
    <w:p>
      <w:pPr>
        <w:spacing w:after="0" w:line="196" w:lineRule="exact"/>
        <w:rPr>
          <w:sz w:val="20"/>
          <w:szCs w:val="20"/>
          <w:color w:val="auto"/>
        </w:rPr>
      </w:pPr>
    </w:p>
    <w:p>
      <w:pPr>
        <w:jc w:val="both"/>
        <w:ind w:firstLine="412"/>
        <w:spacing w:after="0" w:line="268" w:lineRule="auto"/>
        <w:rPr>
          <w:sz w:val="20"/>
          <w:szCs w:val="20"/>
          <w:color w:val="auto"/>
        </w:rPr>
      </w:pPr>
      <w:r>
        <w:rPr>
          <w:rFonts w:ascii="Times New Roman" w:cs="Times New Roman" w:eastAsia="Times New Roman" w:hAnsi="Times New Roman"/>
          <w:sz w:val="16"/>
          <w:szCs w:val="16"/>
          <w:color w:val="auto"/>
        </w:rPr>
        <w:t>The Internal Revenue Code of 1986, as amended, imposes restrictions on the utilization of net operating losses and tax credits in the event of an "ownership change" of a corporation. Accordingly, a company's ability to use net operating losses and tax credits may be limited as prescribed under Internal Revenue Code Section 382 and 383 ("IRC Section 382"). Events which may cause limitations in the amount of the net operating losses or tax credits that the Company may use in any one year include, but are not limited to, a cumulative ownership change of more than 50% over a three-year period. Utilization of the federal and state net operating losses may be subject to substantial annual limitation due to the ownership change limitations provided by the IRC Section 382 rules and similar state provisions. In the event the Company has any changes in ownership, net operating losses and research and development credit carryovers could be limited and may expire unutilized.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21" w:name="page122"/>
    <w:bookmarkEnd w:id="121"/>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Uncertain Tax Positions</w:t>
      </w:r>
    </w:p>
    <w:p>
      <w:pPr>
        <w:spacing w:after="0" w:line="233" w:lineRule="exact"/>
        <w:rPr>
          <w:sz w:val="20"/>
          <w:szCs w:val="20"/>
          <w:color w:val="auto"/>
        </w:rPr>
      </w:pPr>
    </w:p>
    <w:p>
      <w:pPr>
        <w:jc w:val="both"/>
        <w:ind w:firstLine="412"/>
        <w:spacing w:after="0" w:line="257" w:lineRule="auto"/>
        <w:rPr>
          <w:sz w:val="20"/>
          <w:szCs w:val="20"/>
          <w:color w:val="auto"/>
        </w:rPr>
      </w:pPr>
      <w:r>
        <w:rPr>
          <w:rFonts w:ascii="Times New Roman" w:cs="Times New Roman" w:eastAsia="Times New Roman" w:hAnsi="Times New Roman"/>
          <w:sz w:val="17"/>
          <w:szCs w:val="17"/>
          <w:color w:val="auto"/>
        </w:rPr>
        <w:t>As of December 31, 2020, the Company had unrecognized tax benefits of $3.6 million, none of which would currently affect the Company's effective tax rate if recognized due to the Company's deferred tax assets being fully offset by a valuation allowance. The Company does not anticipate that the amount of unrecognized tax benefits relating to tax positions existing at December 31, 2020 will significantly increase or decrease within the next 12 months.</w:t>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 reconciliation of the beginning and ending amount of unrecognized tax benefits is as follows (in thousands of dollars):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72"/>
        </w:trPr>
        <w:tc>
          <w:tcPr>
            <w:tcW w:w="67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20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Unrecognized tax benefits, beginning of period</w:t>
            </w:r>
          </w:p>
        </w:tc>
        <w:tc>
          <w:tcPr>
            <w:tcW w:w="92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3,278</w:t>
            </w:r>
          </w:p>
        </w:tc>
        <w:tc>
          <w:tcPr>
            <w:tcW w:w="44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2,523</w:t>
            </w:r>
          </w:p>
        </w:tc>
      </w:tr>
      <w:tr>
        <w:trPr>
          <w:trHeight w:val="212"/>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increases—tax position in prior period</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decreases—tax position in prior period</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12"/>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increases—current period tax position</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w:t>
            </w:r>
          </w:p>
        </w:tc>
      </w:tr>
      <w:tr>
        <w:trPr>
          <w:trHeight w:val="21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Lapse of statute of limitations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Unrecognized tax benefits, end of period</w:t>
            </w:r>
          </w:p>
        </w:tc>
        <w:tc>
          <w:tcPr>
            <w:tcW w:w="920" w:type="dxa"/>
            <w:vAlign w:val="bottom"/>
            <w:tcBorders>
              <w:top w:val="single" w:sz="8" w:color="auto"/>
              <w:bottom w:val="single" w:sz="8" w:color="auto"/>
            </w:tcBorders>
          </w:tcPr>
          <w:p>
            <w:pPr>
              <w:jc w:val="right"/>
              <w:ind w:right="742"/>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3,563</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3,278</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2,799</w:t>
            </w: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12"/>
        <w:spacing w:after="0" w:line="270" w:lineRule="auto"/>
        <w:rPr>
          <w:sz w:val="20"/>
          <w:szCs w:val="20"/>
          <w:color w:val="auto"/>
        </w:rPr>
      </w:pPr>
      <w:r>
        <w:rPr>
          <w:rFonts w:ascii="Times New Roman" w:cs="Times New Roman" w:eastAsia="Times New Roman" w:hAnsi="Times New Roman"/>
          <w:sz w:val="17"/>
          <w:szCs w:val="17"/>
          <w:color w:val="auto"/>
        </w:rPr>
        <w:t>It is the Company's policy to include penalties and interest expense related to income taxes as a component of other income (expense), net, and interest expense, respectively, as necessary. There was no interest expense or penalties related to unrecognized tax benefits recorded through December 31, 2020.</w:t>
      </w:r>
    </w:p>
    <w:p>
      <w:pPr>
        <w:spacing w:after="0" w:line="184" w:lineRule="exact"/>
        <w:rPr>
          <w:sz w:val="20"/>
          <w:szCs w:val="20"/>
          <w:color w:val="auto"/>
        </w:rPr>
      </w:pPr>
    </w:p>
    <w:p>
      <w:pPr>
        <w:jc w:val="both"/>
        <w:ind w:firstLine="412"/>
        <w:spacing w:after="0" w:line="257" w:lineRule="auto"/>
        <w:rPr>
          <w:sz w:val="20"/>
          <w:szCs w:val="20"/>
          <w:color w:val="auto"/>
        </w:rPr>
      </w:pPr>
      <w:r>
        <w:rPr>
          <w:rFonts w:ascii="Times New Roman" w:cs="Times New Roman" w:eastAsia="Times New Roman" w:hAnsi="Times New Roman"/>
          <w:sz w:val="17"/>
          <w:szCs w:val="17"/>
          <w:color w:val="auto"/>
        </w:rPr>
        <w:t>The Company's major tax jurisdictions are the United States and California. All of the Company's tax years will remain open for examination by the Federal and state tax authorities for three and four years, respectively, from the date of utilization of the net operating loss or research and development credit. The Company does not have any tax audits pending.</w:t>
      </w:r>
    </w:p>
    <w:p>
      <w:pPr>
        <w:spacing w:after="0" w:line="196" w:lineRule="exact"/>
        <w:rPr>
          <w:sz w:val="20"/>
          <w:szCs w:val="20"/>
          <w:color w:val="auto"/>
        </w:rPr>
      </w:pPr>
    </w:p>
    <w:p>
      <w:pPr>
        <w:jc w:val="both"/>
        <w:ind w:firstLine="412"/>
        <w:spacing w:after="0" w:line="270" w:lineRule="auto"/>
        <w:rPr>
          <w:sz w:val="20"/>
          <w:szCs w:val="20"/>
          <w:color w:val="auto"/>
        </w:rPr>
      </w:pPr>
      <w:r>
        <w:rPr>
          <w:rFonts w:ascii="Times New Roman" w:cs="Times New Roman" w:eastAsia="Times New Roman" w:hAnsi="Times New Roman"/>
          <w:sz w:val="17"/>
          <w:szCs w:val="17"/>
          <w:color w:val="auto"/>
        </w:rPr>
        <w:t>On March 27, 2020, the Coronavirus Aid, Relief, and Economic Security Act (CARES Act) was enacted in response to the COVID-19 pandemic. The Company does not expect the provisions of the legislation to have a significant impact on the effective tax rate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401(k) Plan</w:t>
      </w:r>
    </w:p>
    <w:p>
      <w:pPr>
        <w:spacing w:after="0" w:line="233" w:lineRule="exact"/>
        <w:rPr>
          <w:sz w:val="20"/>
          <w:szCs w:val="20"/>
          <w:color w:val="auto"/>
        </w:rPr>
      </w:pPr>
    </w:p>
    <w:p>
      <w:pPr>
        <w:jc w:val="both"/>
        <w:ind w:firstLine="412"/>
        <w:spacing w:after="0" w:line="257" w:lineRule="auto"/>
        <w:rPr>
          <w:sz w:val="20"/>
          <w:szCs w:val="20"/>
          <w:color w:val="auto"/>
        </w:rPr>
      </w:pPr>
      <w:r>
        <w:rPr>
          <w:rFonts w:ascii="Times New Roman" w:cs="Times New Roman" w:eastAsia="Times New Roman" w:hAnsi="Times New Roman"/>
          <w:sz w:val="17"/>
          <w:szCs w:val="17"/>
          <w:color w:val="auto"/>
        </w:rPr>
        <w:t>The Company sponsors a 401(k) defined contribution plan covering all employees. Under the plan, participants are entitled to make pre-tax contributions up to the annual maximums established by the Internal Revenue Service. The Company, at its discretion, may make matching contributions to the 401(k) plan. Employer contributions to the plan were $613,000, $509,000 and $448,000 for the years ended December 31, 2020, 2019, and 2018,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Selected Quarterly Financial Data (Unaudited)</w:t>
      </w:r>
    </w:p>
    <w:p>
      <w:pPr>
        <w:spacing w:after="0" w:line="233" w:lineRule="exact"/>
        <w:rPr>
          <w:sz w:val="20"/>
          <w:szCs w:val="20"/>
          <w:color w:val="auto"/>
        </w:rPr>
      </w:pPr>
    </w:p>
    <w:p>
      <w:pPr>
        <w:jc w:val="both"/>
        <w:ind w:firstLine="412"/>
        <w:spacing w:after="0" w:line="253" w:lineRule="auto"/>
        <w:rPr>
          <w:sz w:val="20"/>
          <w:szCs w:val="20"/>
          <w:color w:val="auto"/>
        </w:rPr>
      </w:pPr>
      <w:r>
        <w:rPr>
          <w:rFonts w:ascii="Times New Roman" w:cs="Times New Roman" w:eastAsia="Times New Roman" w:hAnsi="Times New Roman"/>
          <w:sz w:val="17"/>
          <w:szCs w:val="17"/>
          <w:color w:val="auto"/>
        </w:rPr>
        <w:t>The following table presents selected unaudited financial data for each of the eight quarters in the two-year period ended December 31, 2020. The Company believes this information reflects all recurring adjustments necessary to fairly present this information when read in conjunction with the Company's consolidated financial statements and the related notes. Net loss per common share, basic and diluted, for the four quarters of each fiscal year may not sum to the total for the fiscal year because of</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22" w:name="page123"/>
    <w:bookmarkEnd w:id="122"/>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9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rounding. The results of operations for any quarter are not necessarily indicative of the results to be expected for any future period (in thousands of dollars, except for share and per share data):</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Quarter Ended</w:t>
            </w:r>
          </w:p>
        </w:tc>
        <w:tc>
          <w:tcPr>
            <w:tcW w:w="26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280" w:type="dxa"/>
            <w:vAlign w:val="bottom"/>
          </w:tcPr>
          <w:p>
            <w:pPr>
              <w:spacing w:after="0"/>
              <w:rPr>
                <w:sz w:val="15"/>
                <w:szCs w:val="15"/>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20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20" w:type="dxa"/>
            <w:vAlign w:val="bottom"/>
          </w:tcPr>
          <w:p>
            <w:pPr>
              <w:spacing w:after="0"/>
              <w:rPr>
                <w:sz w:val="15"/>
                <w:szCs w:val="15"/>
                <w:color w:val="auto"/>
              </w:rPr>
            </w:pPr>
          </w:p>
        </w:tc>
        <w:tc>
          <w:tcPr>
            <w:tcW w:w="1200" w:type="dxa"/>
            <w:vAlign w:val="bottom"/>
          </w:tcPr>
          <w:p>
            <w:pPr>
              <w:jc w:val="right"/>
              <w:ind w:right="259"/>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210"/>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2020:</w:t>
            </w: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12"/>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31,122</w:t>
            </w:r>
          </w:p>
        </w:tc>
        <w:tc>
          <w:tcPr>
            <w:tcW w:w="100" w:type="dxa"/>
            <w:vAlign w:val="bottom"/>
          </w:tcPr>
          <w:p>
            <w:pPr>
              <w:spacing w:after="0"/>
              <w:rPr>
                <w:sz w:val="18"/>
                <w:szCs w:val="18"/>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20,704</w:t>
            </w:r>
          </w:p>
        </w:tc>
        <w:tc>
          <w:tcPr>
            <w:tcW w:w="100" w:type="dxa"/>
            <w:vAlign w:val="bottom"/>
          </w:tcPr>
          <w:p>
            <w:pPr>
              <w:spacing w:after="0"/>
              <w:rPr>
                <w:sz w:val="18"/>
                <w:szCs w:val="18"/>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31,121</w:t>
            </w:r>
          </w:p>
        </w:tc>
        <w:tc>
          <w:tcPr>
            <w:tcW w:w="10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34,536</w:t>
            </w:r>
          </w:p>
        </w:tc>
      </w:tr>
      <w:tr>
        <w:trPr>
          <w:trHeight w:val="21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(8,044)</w:t>
            </w:r>
          </w:p>
        </w:tc>
      </w:tr>
      <w:tr>
        <w:trPr>
          <w:trHeight w:val="212"/>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per common share, basic and diluted</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w:t>
            </w:r>
          </w:p>
        </w:tc>
      </w:tr>
      <w:tr>
        <w:trPr>
          <w:trHeight w:val="21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used to compute net loss per common share, basic and diluted</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49,792,631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50,212,123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54,858,052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58,023,753</w:t>
            </w:r>
          </w:p>
        </w:tc>
      </w:tr>
      <w:tr>
        <w:trPr>
          <w:trHeight w:val="212"/>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2019:</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29,730</w:t>
            </w:r>
          </w:p>
        </w:tc>
      </w:tr>
      <w:tr>
        <w:trPr>
          <w:trHeight w:val="212"/>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(7,458)</w:t>
            </w:r>
          </w:p>
        </w:tc>
      </w:tr>
      <w:tr>
        <w:trPr>
          <w:trHeight w:val="21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common share, basic and diluted</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(0.15)</w:t>
            </w: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used to compute net loss per common share, basic and diluted</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41,168,593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45,586,081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48,588,296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49,095,703</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Acquisition of Decipher</w:t>
      </w:r>
    </w:p>
    <w:p>
      <w:pPr>
        <w:spacing w:after="0" w:line="233" w:lineRule="exact"/>
        <w:rPr>
          <w:sz w:val="20"/>
          <w:szCs w:val="20"/>
          <w:color w:val="auto"/>
        </w:rPr>
      </w:pPr>
    </w:p>
    <w:p>
      <w:pPr>
        <w:jc w:val="both"/>
        <w:ind w:firstLine="412"/>
        <w:spacing w:after="0" w:line="253" w:lineRule="auto"/>
        <w:rPr>
          <w:sz w:val="20"/>
          <w:szCs w:val="20"/>
          <w:color w:val="auto"/>
        </w:rPr>
      </w:pPr>
      <w:r>
        <w:rPr>
          <w:rFonts w:ascii="Times New Roman" w:cs="Times New Roman" w:eastAsia="Times New Roman" w:hAnsi="Times New Roman"/>
          <w:sz w:val="17"/>
          <w:szCs w:val="17"/>
          <w:color w:val="auto"/>
        </w:rPr>
        <w:t>On February 2, 2021, the Company, entered into an Agreement and Plan of Merger, or the Merger Agreement, with Delight Merger Sub I, Inc., a Delaware corporation and wholly owned subsidiary of Veracyte, or Delight Merger Sub I, Delight Merger Sub II, LLC, a Delaware limited liability company and wholly owned subsidiary of Veracyte, or Delight Merger Sub II, Decipher, and Fortis Advisors LLC, solely in its capacity as the stockholders’ agent. Decipher is a commercial-stage precision oncology company, with a focus in urologic oncology specific to prostate and bladder cancers.</w:t>
      </w:r>
    </w:p>
    <w:p>
      <w:pPr>
        <w:spacing w:after="0" w:line="199" w:lineRule="exact"/>
        <w:rPr>
          <w:sz w:val="20"/>
          <w:szCs w:val="20"/>
          <w:color w:val="auto"/>
        </w:rPr>
      </w:pPr>
    </w:p>
    <w:p>
      <w:pPr>
        <w:jc w:val="both"/>
        <w:ind w:firstLine="412"/>
        <w:spacing w:after="0" w:line="257" w:lineRule="auto"/>
        <w:rPr>
          <w:sz w:val="20"/>
          <w:szCs w:val="20"/>
          <w:color w:val="auto"/>
        </w:rPr>
      </w:pPr>
      <w:r>
        <w:rPr>
          <w:rFonts w:ascii="Times New Roman" w:cs="Times New Roman" w:eastAsia="Times New Roman" w:hAnsi="Times New Roman"/>
          <w:sz w:val="17"/>
          <w:szCs w:val="17"/>
          <w:color w:val="auto"/>
        </w:rPr>
        <w:t>Pursuant to the terms of the Merger Agreement, Delight Merger Sub I will merge with and into Decipher and Decipher shall survive and become a wholly owned subsidiary of Veracyte, or the First Merger. Promptly following consummation of the First Merger, Decipher will merge with and into Delight Merger Sub II, with Merger Sub II surviving as a wholly owned subsidiary of Veracyte (together, the “Merger”).</w:t>
      </w:r>
    </w:p>
    <w:p>
      <w:pPr>
        <w:spacing w:after="0" w:line="196" w:lineRule="exact"/>
        <w:rPr>
          <w:sz w:val="20"/>
          <w:szCs w:val="20"/>
          <w:color w:val="auto"/>
        </w:rPr>
      </w:pPr>
    </w:p>
    <w:p>
      <w:pPr>
        <w:jc w:val="both"/>
        <w:ind w:firstLine="412"/>
        <w:spacing w:after="0" w:line="257" w:lineRule="auto"/>
        <w:rPr>
          <w:sz w:val="20"/>
          <w:szCs w:val="20"/>
          <w:color w:val="auto"/>
        </w:rPr>
      </w:pPr>
      <w:r>
        <w:rPr>
          <w:rFonts w:ascii="Times New Roman" w:cs="Times New Roman" w:eastAsia="Times New Roman" w:hAnsi="Times New Roman"/>
          <w:sz w:val="17"/>
          <w:szCs w:val="17"/>
          <w:color w:val="auto"/>
        </w:rPr>
        <w:t>Under terms of the Merger Agreement, Decipher Biosciences will become a wholly owned subsidiary of Veracyte. At the effective time of the Merger, or the Closing, Veracyte will pay $600 million in cash to Decipher security holders, subject to customary purchase price adjustments for cash, unpaid indebtedness, unpaid transaction expenses and the aggregate exercise prices of all Decipher options.</w:t>
      </w:r>
    </w:p>
    <w:p>
      <w:pPr>
        <w:spacing w:after="0" w:line="196" w:lineRule="exact"/>
        <w:rPr>
          <w:sz w:val="20"/>
          <w:szCs w:val="20"/>
          <w:color w:val="auto"/>
        </w:rPr>
      </w:pPr>
    </w:p>
    <w:p>
      <w:pPr>
        <w:jc w:val="both"/>
        <w:ind w:firstLine="412"/>
        <w:spacing w:after="0" w:line="257" w:lineRule="auto"/>
        <w:rPr>
          <w:sz w:val="20"/>
          <w:szCs w:val="20"/>
          <w:color w:val="auto"/>
        </w:rPr>
      </w:pPr>
      <w:r>
        <w:rPr>
          <w:rFonts w:ascii="Times New Roman" w:cs="Times New Roman" w:eastAsia="Times New Roman" w:hAnsi="Times New Roman"/>
          <w:sz w:val="17"/>
          <w:szCs w:val="17"/>
          <w:color w:val="auto"/>
        </w:rPr>
        <w:t>The Merger Agreement contains customary representations, warranties, covenants and agreements of Decipher and Veracyte. The Closing is subject to customary closing conditions, including approval by the Decipher stockholders and the expiration or termination of the applicable waiting period under the Hart-Scott-Rodino Antitrust Improvements Act of 1976, as amended. The Merger Agreement also provides customary termination rights to each of the parties.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Public Offering of Common Stock</w:t>
      </w:r>
    </w:p>
    <w:p>
      <w:pPr>
        <w:spacing w:after="0" w:line="233"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On February 9, 2021, the Company issued and sold 8,547,297 shares of common stock in a registered public offering, including 1,114,864 shares issued and sold upon the underwriters' exercise in full of their option to purchase additional shares, at a price to the public of $74.00 per share. The Company's net proceeds from the offering were $593.8 million, after deducting underwriting commissions and offering expenses of $38.7 million.</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23" w:name="page124"/>
    <w:bookmarkEnd w:id="123"/>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CHANGES IN AND DISAGREEMENTS WITH ACCOUNTANTS ON ACCOUNTING AND FINANCIAL DISCLOSURE</w:t>
      </w:r>
    </w:p>
    <w:p>
      <w:pPr>
        <w:spacing w:after="0" w:line="2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9A.</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33" w:lineRule="exact"/>
        <w:rPr>
          <w:sz w:val="20"/>
          <w:szCs w:val="20"/>
          <w:color w:val="auto"/>
        </w:rPr>
      </w:pPr>
    </w:p>
    <w:p>
      <w:pPr>
        <w:jc w:val="both"/>
        <w:ind w:firstLine="412"/>
        <w:spacing w:after="0" w:line="248" w:lineRule="auto"/>
        <w:rPr>
          <w:sz w:val="20"/>
          <w:szCs w:val="20"/>
          <w:color w:val="auto"/>
        </w:rPr>
      </w:pPr>
      <w:r>
        <w:rPr>
          <w:rFonts w:ascii="Times New Roman" w:cs="Times New Roman" w:eastAsia="Times New Roman" w:hAnsi="Times New Roman"/>
          <w:sz w:val="17"/>
          <w:szCs w:val="17"/>
          <w:color w:val="auto"/>
        </w:rPr>
        <w:t>We maintain "disclosure controls and procedures," as such term is defined in Rule 13a-15(e) under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202" w:lineRule="exact"/>
        <w:rPr>
          <w:sz w:val="20"/>
          <w:szCs w:val="20"/>
          <w:color w:val="auto"/>
        </w:rPr>
      </w:pPr>
    </w:p>
    <w:p>
      <w:pPr>
        <w:jc w:val="both"/>
        <w:ind w:firstLine="412"/>
        <w:spacing w:after="0" w:line="270" w:lineRule="auto"/>
        <w:rPr>
          <w:sz w:val="20"/>
          <w:szCs w:val="20"/>
          <w:color w:val="auto"/>
        </w:rPr>
      </w:pPr>
      <w:r>
        <w:rPr>
          <w:rFonts w:ascii="Times New Roman" w:cs="Times New Roman" w:eastAsia="Times New Roman" w:hAnsi="Times New Roman"/>
          <w:sz w:val="17"/>
          <w:szCs w:val="17"/>
          <w:color w:val="auto"/>
        </w:rPr>
        <w:t>Based on their evaluation as of the end of the period covered by this Annual Report on Form 10-K, our Chief Executive Officer and Chief Financial Officer have concluded that, as of such date, our disclosure controls and procedures were effective at the reasonable assurance level.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Annual Report on Internal Control Over Financial Reporting</w:t>
      </w:r>
    </w:p>
    <w:p>
      <w:pPr>
        <w:spacing w:after="0" w:line="233" w:lineRule="exact"/>
        <w:rPr>
          <w:sz w:val="20"/>
          <w:szCs w:val="20"/>
          <w:color w:val="auto"/>
        </w:rPr>
      </w:pPr>
    </w:p>
    <w:p>
      <w:pPr>
        <w:jc w:val="both"/>
        <w:ind w:firstLine="412"/>
        <w:spacing w:after="0" w:line="249" w:lineRule="auto"/>
        <w:rPr>
          <w:sz w:val="20"/>
          <w:szCs w:val="20"/>
          <w:color w:val="auto"/>
        </w:rPr>
      </w:pPr>
      <w:r>
        <w:rPr>
          <w:rFonts w:ascii="Times New Roman" w:cs="Times New Roman" w:eastAsia="Times New Roman" w:hAnsi="Times New Roman"/>
          <w:sz w:val="17"/>
          <w:szCs w:val="17"/>
          <w:color w:val="auto"/>
        </w:rPr>
        <w:t xml:space="preserve">Our management is responsible for establishing and maintaining adequate internal control over financial reporting as defined in Rule 13a-15(f) under the Exchange Act. Because of its inherent limitations, internal control over financial reporting may not prevent or detect misstatements. Projections of any evaluation of the effectiveness of internal control to future periods are subject to the risk that controls may become inadequate because of changes in conditions, or that the degree of compliance with policies or procedures may deteriorate. Under the supervision and with the participation of our management, including our Chief Executive Officer and Chief Financial Officer, we conducted an evaluation of the effectiveness of our internal control over financial reporting as of December 31, 2020 using the criteria established in </w:t>
      </w:r>
      <w:r>
        <w:rPr>
          <w:rFonts w:ascii="Times New Roman" w:cs="Times New Roman" w:eastAsia="Times New Roman" w:hAnsi="Times New Roman"/>
          <w:sz w:val="17"/>
          <w:szCs w:val="17"/>
          <w:i w:val="1"/>
          <w:iCs w:val="1"/>
          <w:color w:val="auto"/>
        </w:rPr>
        <w:t>Internal Control Integrated Framework</w:t>
      </w:r>
      <w:r>
        <w:rPr>
          <w:rFonts w:ascii="Times New Roman" w:cs="Times New Roman" w:eastAsia="Times New Roman" w:hAnsi="Times New Roman"/>
          <w:sz w:val="17"/>
          <w:szCs w:val="17"/>
          <w:color w:val="auto"/>
        </w:rPr>
        <w:t xml:space="preserve"> ("2013 Framework") issued by the Committee of Sponsoring Organizations of the Treadway Commission ("COSO").</w:t>
      </w:r>
    </w:p>
    <w:p>
      <w:pPr>
        <w:spacing w:after="0" w:line="203" w:lineRule="exact"/>
        <w:rPr>
          <w:sz w:val="20"/>
          <w:szCs w:val="20"/>
          <w:color w:val="auto"/>
        </w:rPr>
      </w:pPr>
    </w:p>
    <w:p>
      <w:pPr>
        <w:jc w:val="both"/>
        <w:ind w:firstLine="412"/>
        <w:spacing w:after="0" w:line="257" w:lineRule="auto"/>
        <w:rPr>
          <w:sz w:val="20"/>
          <w:szCs w:val="20"/>
          <w:color w:val="auto"/>
        </w:rPr>
      </w:pPr>
      <w:r>
        <w:rPr>
          <w:rFonts w:ascii="Times New Roman" w:cs="Times New Roman" w:eastAsia="Times New Roman" w:hAnsi="Times New Roman"/>
          <w:sz w:val="17"/>
          <w:szCs w:val="17"/>
          <w:color w:val="auto"/>
        </w:rPr>
        <w:t>Based on our evaluation using those criteria, our management has concluded that, as of December 31, 2020, our internal control over financial reporting was effective to provide reasonable assurance regarding the reliability of financial reporting and the preparation of consolidated financial statements for external purposes in accordance with generally accepted accounting principles.</w:t>
      </w:r>
    </w:p>
    <w:p>
      <w:pPr>
        <w:spacing w:after="0" w:line="196" w:lineRule="exact"/>
        <w:rPr>
          <w:sz w:val="20"/>
          <w:szCs w:val="20"/>
          <w:color w:val="auto"/>
        </w:rPr>
      </w:pPr>
    </w:p>
    <w:p>
      <w:pPr>
        <w:jc w:val="both"/>
        <w:ind w:firstLine="412"/>
        <w:spacing w:after="0" w:line="270" w:lineRule="auto"/>
        <w:rPr>
          <w:sz w:val="20"/>
          <w:szCs w:val="20"/>
          <w:color w:val="auto"/>
        </w:rPr>
      </w:pPr>
      <w:r>
        <w:rPr>
          <w:rFonts w:ascii="Times New Roman" w:cs="Times New Roman" w:eastAsia="Times New Roman" w:hAnsi="Times New Roman"/>
          <w:sz w:val="17"/>
          <w:szCs w:val="17"/>
          <w:color w:val="auto"/>
        </w:rPr>
        <w:t>The effectiveness of our internal control over financial reporting as of December 31, 2020 has been audited by Ernst &amp; Young LLP, an independent registered public accounting firm, as stated in their report, which is included herein.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33" w:lineRule="exact"/>
        <w:rPr>
          <w:sz w:val="20"/>
          <w:szCs w:val="20"/>
          <w:color w:val="auto"/>
        </w:rPr>
      </w:pPr>
    </w:p>
    <w:p>
      <w:pPr>
        <w:jc w:val="both"/>
        <w:ind w:firstLine="412"/>
        <w:spacing w:after="0" w:line="251"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such term is defined in Rule 13a-15(f) under the Exchange Act) identified in connection with the evaluation identified above that occurred during the quarter ended December 31, 2020 that have materially affected, or are reasonably likely to materially affect, our internal control over financial reporting. We have not experienced any material impact to our internal controls over financial reporting despite the fact that most of our employees are working remotely due to the COVID-19 pandemic. We are continually monitoring and assessing the COVID-19 situation on our internal controls to minimize the impact on their design and operating effectiveness.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24" w:name="page125"/>
    <w:bookmarkEnd w:id="124"/>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33333"/>
        </w:rPr>
        <w:t>To the Stockholders and the Board of Directors of Veracyte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333333"/>
        </w:rPr>
        <w:t>Opinion on Internal Control over Financial Reporting</w:t>
      </w:r>
    </w:p>
    <w:p>
      <w:pPr>
        <w:spacing w:after="0" w:line="2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have audited Veracyte, Inc.’s internal control over financial reporting as of December 31, 2020, based on criteria established in Internal Control—Integrated Framework issued by the Committee of Sponsoring Organizations of the Treadway Commission (2013 framework) (the COSO criteria). In our opinion, Veracyte, Inc. (the Company) maintained, in all material respects, effective internal control over financial reporting as of December 31, 2020, based on the COSO criteria.</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2020 consolidated financial statements of the Company and our report dated February 22, 2021 expressed an unqualified opinion thereon.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333333"/>
        </w:rPr>
        <w:t>Basis for Opinion</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333333"/>
        </w:rPr>
        <w:t>Definition and Limitations of Internal Control Over Financial Reporting</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Redwood City,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25" w:name="page126"/>
    <w:bookmarkEnd w:id="125"/>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DIRECTORS, EXECUTIVE OFFICERS AND CORPORATE GOVERNANCE</w:t>
      </w:r>
    </w:p>
    <w:p>
      <w:pPr>
        <w:spacing w:after="0" w:line="108" w:lineRule="exact"/>
        <w:rPr>
          <w:sz w:val="20"/>
          <w:szCs w:val="20"/>
          <w:color w:val="auto"/>
        </w:rPr>
      </w:pPr>
    </w:p>
    <w:p>
      <w:pPr>
        <w:jc w:val="both"/>
        <w:ind w:firstLine="375"/>
        <w:spacing w:after="0" w:line="257" w:lineRule="auto"/>
        <w:rPr>
          <w:sz w:val="20"/>
          <w:szCs w:val="20"/>
          <w:color w:val="auto"/>
        </w:rPr>
      </w:pPr>
      <w:r>
        <w:rPr>
          <w:rFonts w:ascii="Times New Roman" w:cs="Times New Roman" w:eastAsia="Times New Roman" w:hAnsi="Times New Roman"/>
          <w:sz w:val="17"/>
          <w:szCs w:val="17"/>
          <w:color w:val="auto"/>
        </w:rPr>
        <w:t>The information required by this item with respect to directors is incorporated by reference from the information contained in our proxy statement to be filed with the Securities and Exchange Commission no later than 120 days from the end of our fiscal year ended December 31, 2020 in connection with the solicitation of proxies for our 2021 Annual Meeting of Stockholders, or the Proxy Statement.</w:t>
      </w:r>
    </w:p>
    <w:p>
      <w:pPr>
        <w:spacing w:after="0" w:line="39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information required by this item is incorporated by reference to our Proxy Statement.</w:t>
      </w:r>
    </w:p>
    <w:p>
      <w:pPr>
        <w:spacing w:after="0" w:line="22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12.</w:t>
      </w:r>
      <w:r>
        <w:rPr>
          <w:sz w:val="20"/>
          <w:szCs w:val="20"/>
          <w:color w:val="auto"/>
        </w:rPr>
        <w:tab/>
      </w:r>
      <w:r>
        <w:rPr>
          <w:rFonts w:ascii="Times New Roman" w:cs="Times New Roman" w:eastAsia="Times New Roman" w:hAnsi="Times New Roman"/>
          <w:sz w:val="16"/>
          <w:szCs w:val="16"/>
          <w:b w:val="1"/>
          <w:bCs w:val="1"/>
          <w:color w:val="auto"/>
        </w:rPr>
        <w:t>SECURITY OWNERSHIP OF CERTAIN BENEFICIAL OWNERS AND MANAGEMENT AND RELATED STOCKHOLDER MATTERS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information required by this item is incorporated by reference to our Proxy Statement.</w:t>
      </w:r>
    </w:p>
    <w:p>
      <w:pPr>
        <w:spacing w:after="0" w:line="22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2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information required by this item is incorporated by reference to our Proxy Statement.</w:t>
      </w:r>
    </w:p>
    <w:p>
      <w:pPr>
        <w:spacing w:after="0" w:line="22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ACCOUNTANT FEES AND SERVICES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information required by this item is incorporated by reference to our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26" w:name="page127"/>
    <w:bookmarkEnd w:id="126"/>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EXHIBITS AND FINANCIAL STATEMENT SCHEDULES</w:t>
      </w:r>
    </w:p>
    <w:p>
      <w:pPr>
        <w:spacing w:after="0" w:line="233" w:lineRule="exact"/>
        <w:rPr>
          <w:sz w:val="20"/>
          <w:szCs w:val="20"/>
          <w:color w:val="auto"/>
        </w:rPr>
      </w:pPr>
    </w:p>
    <w:p>
      <w:pPr>
        <w:ind w:left="600" w:hanging="301"/>
        <w:spacing w:after="0"/>
        <w:tabs>
          <w:tab w:leader="none" w:pos="6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Documents filed as part of this report</w:t>
      </w:r>
    </w:p>
    <w:p>
      <w:pPr>
        <w:spacing w:after="0" w:line="228" w:lineRule="exact"/>
        <w:rPr>
          <w:rFonts w:ascii="Times New Roman" w:cs="Times New Roman" w:eastAsia="Times New Roman" w:hAnsi="Times New Roman"/>
          <w:sz w:val="17"/>
          <w:szCs w:val="17"/>
          <w:color w:val="auto"/>
        </w:rPr>
      </w:pPr>
    </w:p>
    <w:p>
      <w:pPr>
        <w:ind w:left="740" w:hanging="328"/>
        <w:spacing w:after="0"/>
        <w:tabs>
          <w:tab w:leader="none" w:pos="74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Reference is made to the Index to Financial Statements of Veracyte, Inc. included in Item 8 of Part II hereof.</w:t>
      </w:r>
    </w:p>
    <w:p>
      <w:pPr>
        <w:spacing w:after="0" w:line="229" w:lineRule="exact"/>
        <w:rPr>
          <w:sz w:val="20"/>
          <w:szCs w:val="20"/>
          <w:color w:val="auto"/>
        </w:rPr>
      </w:pPr>
    </w:p>
    <w:p>
      <w:pPr>
        <w:ind w:left="740" w:hanging="328"/>
        <w:spacing w:after="0"/>
        <w:tabs>
          <w:tab w:leader="none" w:pos="7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All schedules have been omitted because they are not required, not applicable, or the required information is included in the financial statements or notes thereto.</w:t>
      </w:r>
    </w:p>
    <w:p>
      <w:pPr>
        <w:spacing w:after="0" w:line="240" w:lineRule="exact"/>
        <w:rPr>
          <w:sz w:val="20"/>
          <w:szCs w:val="20"/>
          <w:color w:val="auto"/>
        </w:rPr>
      </w:pPr>
    </w:p>
    <w:p>
      <w:pPr>
        <w:ind w:left="740" w:hanging="328"/>
        <w:spacing w:after="0"/>
        <w:tabs>
          <w:tab w:leader="none" w:pos="7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See Item 15(b) below. Each management contract or compensating plan or arrangement required to be filed has been identified.</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(b) Exhibits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7"/>
                <w:szCs w:val="17"/>
                <w:color w:val="auto"/>
              </w:rPr>
              <w:t>Incorporated by Reference</w:t>
            </w:r>
          </w:p>
        </w:tc>
        <w:tc>
          <w:tcPr>
            <w:tcW w:w="1220" w:type="dxa"/>
            <w:vAlign w:val="bottom"/>
            <w:tcBorders>
              <w:bottom w:val="single" w:sz="8" w:color="auto"/>
            </w:tcBorders>
          </w:tcPr>
          <w:p>
            <w:pPr>
              <w:spacing w:after="0"/>
              <w:rPr>
                <w:sz w:val="18"/>
                <w:szCs w:val="18"/>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Filed</w:t>
            </w: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auto"/>
              </w:rPr>
              <w:t>Form</w:t>
            </w:r>
          </w:p>
        </w:tc>
        <w:tc>
          <w:tcPr>
            <w:tcW w:w="130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auto"/>
              </w:rPr>
              <w:t>File No.</w:t>
            </w:r>
          </w:p>
        </w:tc>
        <w:tc>
          <w:tcPr>
            <w:tcW w:w="9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auto"/>
              </w:rPr>
              <w:t>Exhibit</w:t>
            </w:r>
          </w:p>
        </w:tc>
        <w:tc>
          <w:tcPr>
            <w:tcW w:w="122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auto"/>
              </w:rPr>
              <w:t>Filing Date</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Exhibit Number</w:t>
            </w:r>
          </w:p>
        </w:tc>
        <w:tc>
          <w:tcPr>
            <w:tcW w:w="142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7"/>
          </w:tcPr>
          <w:p>
            <w:pPr>
              <w:ind w:left="64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98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Herewith</w:t>
            </w:r>
          </w:p>
        </w:tc>
        <w:tc>
          <w:tcPr>
            <w:tcW w:w="0" w:type="dxa"/>
            <w:vAlign w:val="bottom"/>
          </w:tcPr>
          <w:p>
            <w:pPr>
              <w:spacing w:after="0"/>
              <w:rPr>
                <w:sz w:val="1"/>
                <w:szCs w:val="1"/>
                <w:color w:val="auto"/>
              </w:rPr>
            </w:pPr>
          </w:p>
        </w:tc>
      </w:tr>
      <w:tr>
        <w:trPr>
          <w:trHeight w:val="201"/>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w:t>
            </w:r>
          </w:p>
        </w:tc>
        <w:tc>
          <w:tcPr>
            <w:tcW w:w="4760" w:type="dxa"/>
            <w:vAlign w:val="bottom"/>
            <w:gridSpan w:val="8"/>
          </w:tcPr>
          <w:p>
            <w:pPr>
              <w:spacing w:after="0"/>
              <w:rPr>
                <w:rFonts w:ascii="Times New Roman" w:cs="Times New Roman" w:eastAsia="Times New Roman" w:hAnsi="Times New Roman"/>
                <w:sz w:val="17"/>
                <w:szCs w:val="17"/>
                <w:u w:val="single" w:color="auto"/>
                <w:color w:val="0000FF"/>
              </w:rPr>
            </w:pPr>
            <w:hyperlink r:id="rId149">
              <w:r>
                <w:rPr>
                  <w:rFonts w:ascii="Times New Roman" w:cs="Times New Roman" w:eastAsia="Times New Roman" w:hAnsi="Times New Roman"/>
                  <w:sz w:val="17"/>
                  <w:szCs w:val="17"/>
                  <w:u w:val="single" w:color="auto"/>
                  <w:color w:val="0000FF"/>
                </w:rPr>
                <w:t>Restated Certificate of Incorporation of the Registrant</w:t>
              </w:r>
            </w:hyperlink>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8-K</w:t>
            </w:r>
          </w:p>
        </w:tc>
        <w:tc>
          <w:tcPr>
            <w:tcW w:w="1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001-36156</w:t>
            </w:r>
          </w:p>
        </w:tc>
        <w:tc>
          <w:tcPr>
            <w:tcW w:w="9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3.1</w:t>
            </w:r>
          </w:p>
        </w:tc>
        <w:tc>
          <w:tcPr>
            <w:tcW w:w="1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11/8/2013</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w:t>
            </w:r>
          </w:p>
        </w:tc>
        <w:tc>
          <w:tcPr>
            <w:tcW w:w="4760" w:type="dxa"/>
            <w:vAlign w:val="bottom"/>
            <w:gridSpan w:val="8"/>
          </w:tcPr>
          <w:p>
            <w:pPr>
              <w:spacing w:after="0"/>
              <w:rPr>
                <w:rFonts w:ascii="Times New Roman" w:cs="Times New Roman" w:eastAsia="Times New Roman" w:hAnsi="Times New Roman"/>
                <w:sz w:val="17"/>
                <w:szCs w:val="17"/>
                <w:u w:val="single" w:color="auto"/>
                <w:color w:val="0000FF"/>
              </w:rPr>
            </w:pPr>
            <w:hyperlink r:id="rId150">
              <w:r>
                <w:rPr>
                  <w:rFonts w:ascii="Times New Roman" w:cs="Times New Roman" w:eastAsia="Times New Roman" w:hAnsi="Times New Roman"/>
                  <w:sz w:val="17"/>
                  <w:szCs w:val="17"/>
                  <w:u w:val="single" w:color="auto"/>
                  <w:color w:val="0000FF"/>
                </w:rPr>
                <w:t>Restated Bylaws of the Restated Bylaws of the Registrant</w:t>
              </w:r>
            </w:hyperlink>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8-K</w:t>
            </w:r>
          </w:p>
        </w:tc>
        <w:tc>
          <w:tcPr>
            <w:tcW w:w="1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001-36156</w:t>
            </w:r>
          </w:p>
        </w:tc>
        <w:tc>
          <w:tcPr>
            <w:tcW w:w="9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3.1</w:t>
            </w:r>
          </w:p>
        </w:tc>
        <w:tc>
          <w:tcPr>
            <w:tcW w:w="1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1/25/2021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4.1</w:t>
            </w:r>
          </w:p>
        </w:tc>
        <w:tc>
          <w:tcPr>
            <w:tcW w:w="4760" w:type="dxa"/>
            <w:vAlign w:val="bottom"/>
            <w:gridSpan w:val="8"/>
          </w:tcPr>
          <w:p>
            <w:pPr>
              <w:spacing w:after="0"/>
              <w:rPr>
                <w:rFonts w:ascii="Times New Roman" w:cs="Times New Roman" w:eastAsia="Times New Roman" w:hAnsi="Times New Roman"/>
                <w:sz w:val="17"/>
                <w:szCs w:val="17"/>
                <w:u w:val="single" w:color="auto"/>
                <w:color w:val="0000FF"/>
              </w:rPr>
            </w:pPr>
            <w:hyperlink r:id="rId151">
              <w:r>
                <w:rPr>
                  <w:rFonts w:ascii="Times New Roman" w:cs="Times New Roman" w:eastAsia="Times New Roman" w:hAnsi="Times New Roman"/>
                  <w:sz w:val="17"/>
                  <w:szCs w:val="17"/>
                  <w:u w:val="single" w:color="auto"/>
                  <w:color w:val="0000FF"/>
                </w:rPr>
                <w:t>Form of Common Stock Certificate</w:t>
              </w:r>
            </w:hyperlink>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S-1/A</w:t>
            </w:r>
          </w:p>
        </w:tc>
        <w:tc>
          <w:tcPr>
            <w:tcW w:w="1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333-191282</w:t>
            </w:r>
          </w:p>
        </w:tc>
        <w:tc>
          <w:tcPr>
            <w:tcW w:w="9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4.1</w:t>
            </w:r>
          </w:p>
        </w:tc>
        <w:tc>
          <w:tcPr>
            <w:tcW w:w="1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10/15/2013</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4.2</w:t>
            </w:r>
          </w:p>
        </w:tc>
        <w:tc>
          <w:tcPr>
            <w:tcW w:w="4760" w:type="dxa"/>
            <w:vAlign w:val="bottom"/>
            <w:gridSpan w:val="8"/>
          </w:tcPr>
          <w:p>
            <w:pPr>
              <w:spacing w:after="0" w:line="179" w:lineRule="exact"/>
              <w:rPr>
                <w:rFonts w:ascii="Times New Roman" w:cs="Times New Roman" w:eastAsia="Times New Roman" w:hAnsi="Times New Roman"/>
                <w:sz w:val="17"/>
                <w:szCs w:val="17"/>
                <w:color w:val="0000FF"/>
                <w:w w:val="98"/>
              </w:rPr>
            </w:pPr>
            <w:hyperlink w:anchor="page132">
              <w:r>
                <w:rPr>
                  <w:rFonts w:ascii="Times New Roman" w:cs="Times New Roman" w:eastAsia="Times New Roman" w:hAnsi="Times New Roman"/>
                  <w:sz w:val="17"/>
                  <w:szCs w:val="17"/>
                  <w:color w:val="0000FF"/>
                  <w:w w:val="98"/>
                </w:rPr>
                <w:t>Description of Securities Registered under Section 12 of the Securities</w:t>
              </w:r>
            </w:hyperlink>
          </w:p>
        </w:tc>
        <w:tc>
          <w:tcPr>
            <w:tcW w:w="9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92"/>
        </w:trPr>
        <w:tc>
          <w:tcPr>
            <w:tcW w:w="1060" w:type="dxa"/>
            <w:vAlign w:val="bottom"/>
            <w:vMerge w:val="continue"/>
          </w:tcPr>
          <w:p>
            <w:pPr>
              <w:spacing w:after="0"/>
              <w:rPr>
                <w:sz w:val="8"/>
                <w:szCs w:val="8"/>
                <w:color w:val="auto"/>
              </w:rPr>
            </w:pPr>
          </w:p>
        </w:tc>
        <w:tc>
          <w:tcPr>
            <w:tcW w:w="4700" w:type="dxa"/>
            <w:vAlign w:val="bottom"/>
            <w:tcBorders>
              <w:top w:val="single" w:sz="8" w:color="0000FF"/>
            </w:tcBorders>
            <w:gridSpan w:val="7"/>
            <w:vMerge w:val="restart"/>
          </w:tcPr>
          <w:p>
            <w:pPr>
              <w:spacing w:after="0" w:line="142" w:lineRule="exact"/>
              <w:rPr>
                <w:rFonts w:ascii="Times New Roman" w:cs="Times New Roman" w:eastAsia="Times New Roman" w:hAnsi="Times New Roman"/>
                <w:sz w:val="16"/>
                <w:szCs w:val="16"/>
                <w:color w:val="0000FF"/>
              </w:rPr>
            </w:pPr>
            <w:hyperlink w:anchor="page132">
              <w:r>
                <w:rPr>
                  <w:rFonts w:ascii="Times New Roman" w:cs="Times New Roman" w:eastAsia="Times New Roman" w:hAnsi="Times New Roman"/>
                  <w:sz w:val="16"/>
                  <w:szCs w:val="16"/>
                  <w:color w:val="0000FF"/>
                </w:rPr>
                <w:t>Exchange Act of 1934, as amended</w:t>
              </w:r>
            </w:hyperlink>
          </w:p>
        </w:tc>
        <w:tc>
          <w:tcPr>
            <w:tcW w:w="60" w:type="dxa"/>
            <w:vAlign w:val="bottom"/>
            <w:vMerge w:val="restart"/>
          </w:tcPr>
          <w:p>
            <w:pPr>
              <w:spacing w:after="0"/>
              <w:rPr>
                <w:sz w:val="8"/>
                <w:szCs w:val="8"/>
                <w:color w:val="auto"/>
              </w:rPr>
            </w:pPr>
          </w:p>
        </w:tc>
        <w:tc>
          <w:tcPr>
            <w:tcW w:w="9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1060" w:type="dxa"/>
            <w:vAlign w:val="bottom"/>
          </w:tcPr>
          <w:p>
            <w:pPr>
              <w:spacing w:after="0"/>
              <w:rPr>
                <w:sz w:val="4"/>
                <w:szCs w:val="4"/>
                <w:color w:val="auto"/>
              </w:rPr>
            </w:pPr>
          </w:p>
        </w:tc>
        <w:tc>
          <w:tcPr>
            <w:tcW w:w="4700" w:type="dxa"/>
            <w:vAlign w:val="bottom"/>
            <w:gridSpan w:val="7"/>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4480" w:type="dxa"/>
            <w:vAlign w:val="bottom"/>
            <w:tcBorders>
              <w:bottom w:val="single" w:sz="8" w:color="0000FF"/>
            </w:tcBorders>
            <w:gridSpan w:val="6"/>
          </w:tcPr>
          <w:p>
            <w:pPr>
              <w:spacing w:after="0" w:line="193" w:lineRule="exact"/>
              <w:rPr>
                <w:rFonts w:ascii="Times New Roman" w:cs="Times New Roman" w:eastAsia="Times New Roman" w:hAnsi="Times New Roman"/>
                <w:sz w:val="17"/>
                <w:szCs w:val="17"/>
                <w:color w:val="0000FF"/>
                <w:w w:val="97"/>
              </w:rPr>
            </w:pPr>
            <w:hyperlink r:id="rId152">
              <w:r>
                <w:rPr>
                  <w:rFonts w:ascii="Times New Roman" w:cs="Times New Roman" w:eastAsia="Times New Roman" w:hAnsi="Times New Roman"/>
                  <w:sz w:val="17"/>
                  <w:szCs w:val="17"/>
                  <w:color w:val="0000FF"/>
                  <w:w w:val="97"/>
                </w:rPr>
                <w:t>Form of Indemnification Agreement between the Registrant and its</w:t>
              </w:r>
            </w:hyperlink>
          </w:p>
        </w:tc>
        <w:tc>
          <w:tcPr>
            <w:tcW w:w="280" w:type="dxa"/>
            <w:vAlign w:val="bottom"/>
            <w:gridSpan w:val="2"/>
          </w:tcPr>
          <w:p>
            <w:pPr>
              <w:spacing w:after="0"/>
              <w:rPr>
                <w:sz w:val="16"/>
                <w:szCs w:val="16"/>
                <w:color w:val="auto"/>
              </w:rPr>
            </w:pPr>
          </w:p>
        </w:tc>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S-1/A</w:t>
            </w:r>
          </w:p>
        </w:tc>
        <w:tc>
          <w:tcPr>
            <w:tcW w:w="130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auto"/>
              </w:rPr>
              <w:t>333-191282</w:t>
            </w:r>
          </w:p>
        </w:tc>
        <w:tc>
          <w:tcPr>
            <w:tcW w:w="9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auto"/>
              </w:rPr>
              <w:t>10.1</w:t>
            </w:r>
          </w:p>
        </w:tc>
        <w:tc>
          <w:tcPr>
            <w:tcW w:w="12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10/7/2013</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1060" w:type="dxa"/>
            <w:vAlign w:val="bottom"/>
            <w:vMerge w:val="continue"/>
          </w:tcPr>
          <w:p>
            <w:pPr>
              <w:spacing w:after="0"/>
              <w:rPr>
                <w:sz w:val="8"/>
                <w:szCs w:val="8"/>
                <w:color w:val="auto"/>
              </w:rPr>
            </w:pPr>
          </w:p>
        </w:tc>
        <w:tc>
          <w:tcPr>
            <w:tcW w:w="1420" w:type="dxa"/>
            <w:vAlign w:val="bottom"/>
            <w:vMerge w:val="restart"/>
          </w:tcPr>
          <w:p>
            <w:pPr>
              <w:spacing w:after="0" w:line="142"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officers and directors</w:t>
              </w:r>
            </w:hyperlink>
          </w:p>
        </w:tc>
        <w:tc>
          <w:tcPr>
            <w:tcW w:w="3340" w:type="dxa"/>
            <w:vAlign w:val="bottom"/>
            <w:gridSpan w:val="7"/>
            <w:vMerge w:val="restart"/>
          </w:tcPr>
          <w:p>
            <w:pPr>
              <w:spacing w:after="0"/>
              <w:rPr>
                <w:sz w:val="8"/>
                <w:szCs w:val="8"/>
                <w:color w:val="auto"/>
              </w:rPr>
            </w:pPr>
          </w:p>
        </w:tc>
        <w:tc>
          <w:tcPr>
            <w:tcW w:w="9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1060" w:type="dxa"/>
            <w:vAlign w:val="bottom"/>
          </w:tcPr>
          <w:p>
            <w:pPr>
              <w:spacing w:after="0"/>
              <w:rPr>
                <w:sz w:val="4"/>
                <w:szCs w:val="4"/>
                <w:color w:val="auto"/>
              </w:rPr>
            </w:pPr>
          </w:p>
        </w:tc>
        <w:tc>
          <w:tcPr>
            <w:tcW w:w="1420" w:type="dxa"/>
            <w:vAlign w:val="bottom"/>
            <w:tcBorders>
              <w:bottom w:val="single" w:sz="8" w:color="0000FF"/>
            </w:tcBorders>
            <w:vMerge w:val="continue"/>
          </w:tcPr>
          <w:p>
            <w:pPr>
              <w:spacing w:after="0"/>
              <w:rPr>
                <w:sz w:val="4"/>
                <w:szCs w:val="4"/>
                <w:color w:val="auto"/>
              </w:rPr>
            </w:pPr>
          </w:p>
        </w:tc>
        <w:tc>
          <w:tcPr>
            <w:tcW w:w="3340" w:type="dxa"/>
            <w:vAlign w:val="bottom"/>
            <w:gridSpan w:val="7"/>
            <w:vMerge w:val="continue"/>
          </w:tcPr>
          <w:p>
            <w:pPr>
              <w:spacing w:after="0"/>
              <w:rPr>
                <w:sz w:val="4"/>
                <w:szCs w:val="4"/>
                <w:color w:val="auto"/>
              </w:rPr>
            </w:pPr>
          </w:p>
        </w:tc>
        <w:tc>
          <w:tcPr>
            <w:tcW w:w="9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w:t>
            </w:r>
          </w:p>
        </w:tc>
        <w:tc>
          <w:tcPr>
            <w:tcW w:w="4760" w:type="dxa"/>
            <w:vAlign w:val="bottom"/>
            <w:gridSpan w:val="8"/>
          </w:tcPr>
          <w:p>
            <w:pPr>
              <w:spacing w:after="0"/>
              <w:rPr>
                <w:rFonts w:ascii="Times New Roman" w:cs="Times New Roman" w:eastAsia="Times New Roman" w:hAnsi="Times New Roman"/>
                <w:sz w:val="17"/>
                <w:szCs w:val="17"/>
                <w:u w:val="single" w:color="auto"/>
                <w:color w:val="0000FF"/>
              </w:rPr>
            </w:pPr>
            <w:hyperlink r:id="rId153">
              <w:r>
                <w:rPr>
                  <w:rFonts w:ascii="Times New Roman" w:cs="Times New Roman" w:eastAsia="Times New Roman" w:hAnsi="Times New Roman"/>
                  <w:sz w:val="17"/>
                  <w:szCs w:val="17"/>
                  <w:u w:val="single" w:color="auto"/>
                  <w:color w:val="0000FF"/>
                </w:rPr>
                <w:t>2008 Stock Plan and forms of agreements thereunder</w:t>
              </w:r>
            </w:hyperlink>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S-1</w:t>
            </w:r>
          </w:p>
        </w:tc>
        <w:tc>
          <w:tcPr>
            <w:tcW w:w="1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333-191282</w:t>
            </w:r>
          </w:p>
        </w:tc>
        <w:tc>
          <w:tcPr>
            <w:tcW w:w="9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10.2</w:t>
            </w:r>
          </w:p>
        </w:tc>
        <w:tc>
          <w:tcPr>
            <w:tcW w:w="1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9/20/2013</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10.3#</w:t>
            </w:r>
          </w:p>
        </w:tc>
        <w:tc>
          <w:tcPr>
            <w:tcW w:w="4760" w:type="dxa"/>
            <w:vAlign w:val="bottom"/>
            <w:gridSpan w:val="8"/>
          </w:tcPr>
          <w:p>
            <w:pPr>
              <w:spacing w:after="0" w:line="179"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2013 Stock Incentive Plan, as amended, and forms of stock option</w:t>
              </w:r>
            </w:hyperlink>
          </w:p>
        </w:tc>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10-K</w:t>
            </w:r>
          </w:p>
        </w:tc>
        <w:tc>
          <w:tcPr>
            <w:tcW w:w="130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auto"/>
              </w:rPr>
              <w:t>001-36156</w:t>
            </w:r>
          </w:p>
        </w:tc>
        <w:tc>
          <w:tcPr>
            <w:tcW w:w="9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auto"/>
              </w:rPr>
              <w:t>10.3</w:t>
            </w:r>
          </w:p>
        </w:tc>
        <w:tc>
          <w:tcPr>
            <w:tcW w:w="12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2/27/2018</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60" w:type="dxa"/>
            <w:vAlign w:val="bottom"/>
            <w:vMerge w:val="continue"/>
          </w:tcPr>
          <w:p>
            <w:pPr>
              <w:spacing w:after="0"/>
              <w:rPr>
                <w:sz w:val="12"/>
                <w:szCs w:val="12"/>
                <w:color w:val="auto"/>
              </w:rPr>
            </w:pPr>
          </w:p>
        </w:tc>
        <w:tc>
          <w:tcPr>
            <w:tcW w:w="442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award agreement, stock option exercise agreement, restricted stock</w:t>
              </w:r>
            </w:hyperlink>
          </w:p>
        </w:tc>
        <w:tc>
          <w:tcPr>
            <w:tcW w:w="40" w:type="dxa"/>
            <w:vAlign w:val="bottom"/>
            <w:tcBorders>
              <w:bottom w:val="single" w:sz="8" w:color="0000FF"/>
            </w:tcBorders>
          </w:tcPr>
          <w:p>
            <w:pPr>
              <w:spacing w:after="0"/>
              <w:rPr>
                <w:sz w:val="12"/>
                <w:szCs w:val="12"/>
                <w:color w:val="auto"/>
              </w:rPr>
            </w:pPr>
          </w:p>
        </w:tc>
        <w:tc>
          <w:tcPr>
            <w:tcW w:w="300" w:type="dxa"/>
            <w:vAlign w:val="bottom"/>
            <w:gridSpan w:val="3"/>
          </w:tcPr>
          <w:p>
            <w:pPr>
              <w:spacing w:after="0"/>
              <w:rPr>
                <w:sz w:val="12"/>
                <w:szCs w:val="12"/>
                <w:color w:val="auto"/>
              </w:rPr>
            </w:pPr>
          </w:p>
        </w:tc>
        <w:tc>
          <w:tcPr>
            <w:tcW w:w="9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4460" w:type="dxa"/>
            <w:vAlign w:val="bottom"/>
            <w:gridSpan w:val="5"/>
          </w:tcPr>
          <w:p>
            <w:pPr>
              <w:spacing w:after="0" w:line="142"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agreement and restricted stock unit agreement</w:t>
              </w:r>
            </w:hyperlink>
          </w:p>
        </w:tc>
        <w:tc>
          <w:tcPr>
            <w:tcW w:w="300" w:type="dxa"/>
            <w:vAlign w:val="bottom"/>
            <w:gridSpan w:val="3"/>
          </w:tcPr>
          <w:p>
            <w:pPr>
              <w:spacing w:after="0"/>
              <w:rPr>
                <w:sz w:val="12"/>
                <w:szCs w:val="12"/>
                <w:color w:val="auto"/>
              </w:rPr>
            </w:pPr>
          </w:p>
        </w:tc>
        <w:tc>
          <w:tcPr>
            <w:tcW w:w="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 w:lineRule="exact"/>
        <w:rPr>
          <w:sz w:val="20"/>
          <w:szCs w:val="20"/>
          <w:color w:val="auto"/>
        </w:rPr>
      </w:pPr>
    </w:p>
    <w:p>
      <w:pPr>
        <w:sectPr>
          <w:pgSz w:w="11900" w:h="16838" w:orient="portrait"/>
          <w:cols w:equalWidth="0" w:num="1">
            <w:col w:w="11240"/>
          </w:cols>
          <w:pgMar w:left="320" w:top="120" w:right="339" w:bottom="1440" w:gutter="0" w:footer="0" w:header="0"/>
        </w:sectPr>
      </w:pPr>
    </w:p>
    <w:tbl>
      <w:tblPr>
        <w:tblLayout w:type="fixed"/>
        <w:tblInd w:w="20" w:type="dxa"/>
        <w:tblCellMar>
          <w:top w:w="0" w:type="dxa"/>
          <w:left w:w="0" w:type="dxa"/>
          <w:bottom w:w="0" w:type="dxa"/>
          <w:right w:w="0" w:type="dxa"/>
        </w:tblCellMar>
      </w:tblPr>
      <w:tr>
        <w:trPr>
          <w:trHeight w:val="212"/>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4540" w:type="dxa"/>
            <w:vAlign w:val="bottom"/>
            <w:gridSpan w:val="2"/>
          </w:tcPr>
          <w:p>
            <w:pPr>
              <w:spacing w:after="0"/>
              <w:rPr>
                <w:rFonts w:ascii="Times New Roman" w:cs="Times New Roman" w:eastAsia="Times New Roman" w:hAnsi="Times New Roman"/>
                <w:sz w:val="17"/>
                <w:szCs w:val="17"/>
                <w:u w:val="single" w:color="auto"/>
                <w:color w:val="0000FF"/>
              </w:rPr>
            </w:pPr>
            <w:hyperlink r:id="rId155">
              <w:r>
                <w:rPr>
                  <w:rFonts w:ascii="Times New Roman" w:cs="Times New Roman" w:eastAsia="Times New Roman" w:hAnsi="Times New Roman"/>
                  <w:sz w:val="17"/>
                  <w:szCs w:val="17"/>
                  <w:u w:val="single" w:color="auto"/>
                  <w:color w:val="0000FF"/>
                </w:rPr>
                <w:t>Form of stock option award under 2013 Stock Incentive Plan</w:t>
              </w:r>
            </w:hyperlink>
          </w:p>
        </w:tc>
        <w:tc>
          <w:tcPr>
            <w:tcW w:w="0" w:type="dxa"/>
            <w:vAlign w:val="bottom"/>
          </w:tcPr>
          <w:p>
            <w:pPr>
              <w:spacing w:after="0"/>
              <w:rPr>
                <w:sz w:val="1"/>
                <w:szCs w:val="1"/>
                <w:color w:val="auto"/>
              </w:rPr>
            </w:pPr>
          </w:p>
        </w:tc>
      </w:tr>
      <w:tr>
        <w:trPr>
          <w:trHeight w:val="212"/>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10.5#</w:t>
            </w:r>
          </w:p>
        </w:tc>
        <w:tc>
          <w:tcPr>
            <w:tcW w:w="4540" w:type="dxa"/>
            <w:vAlign w:val="bottom"/>
            <w:gridSpan w:val="2"/>
          </w:tcPr>
          <w:p>
            <w:pPr>
              <w:spacing w:after="0"/>
              <w:rPr>
                <w:rFonts w:ascii="Times New Roman" w:cs="Times New Roman" w:eastAsia="Times New Roman" w:hAnsi="Times New Roman"/>
                <w:sz w:val="17"/>
                <w:szCs w:val="17"/>
                <w:u w:val="single" w:color="auto"/>
                <w:color w:val="0000FF"/>
              </w:rPr>
            </w:pPr>
            <w:hyperlink r:id="rId156">
              <w:r>
                <w:rPr>
                  <w:rFonts w:ascii="Times New Roman" w:cs="Times New Roman" w:eastAsia="Times New Roman" w:hAnsi="Times New Roman"/>
                  <w:sz w:val="17"/>
                  <w:szCs w:val="17"/>
                  <w:u w:val="single" w:color="auto"/>
                  <w:color w:val="0000FF"/>
                </w:rPr>
                <w:t>Form of stock unit award under 2013 Stock Incentive Plan</w:t>
              </w:r>
            </w:hyperlink>
          </w:p>
        </w:tc>
        <w:tc>
          <w:tcPr>
            <w:tcW w:w="0" w:type="dxa"/>
            <w:vAlign w:val="bottom"/>
          </w:tcPr>
          <w:p>
            <w:pPr>
              <w:spacing w:after="0"/>
              <w:rPr>
                <w:sz w:val="1"/>
                <w:szCs w:val="1"/>
                <w:color w:val="auto"/>
              </w:rPr>
            </w:pPr>
          </w:p>
        </w:tc>
      </w:tr>
      <w:tr>
        <w:trPr>
          <w:trHeight w:val="212"/>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10.6#</w:t>
            </w:r>
          </w:p>
        </w:tc>
        <w:tc>
          <w:tcPr>
            <w:tcW w:w="4540" w:type="dxa"/>
            <w:vAlign w:val="bottom"/>
            <w:gridSpan w:val="2"/>
          </w:tcPr>
          <w:p>
            <w:pPr>
              <w:spacing w:after="0"/>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u w:val="single" w:color="auto"/>
                  <w:color w:val="0000FF"/>
                </w:rPr>
                <w:t>Amended and Restated</w:t>
              </w:r>
              <w:r>
                <w:rPr>
                  <w:rFonts w:ascii="Times New Roman" w:cs="Times New Roman" w:eastAsia="Times New Roman" w:hAnsi="Times New Roman"/>
                  <w:sz w:val="17"/>
                  <w:szCs w:val="17"/>
                  <w:color w:val="0000FF"/>
                </w:rPr>
                <w:t xml:space="preserve"> Employee </w:t>
              </w:r>
              <w:r>
                <w:rPr>
                  <w:rFonts w:ascii="Times New Roman" w:cs="Times New Roman" w:eastAsia="Times New Roman" w:hAnsi="Times New Roman"/>
                  <w:sz w:val="17"/>
                  <w:szCs w:val="17"/>
                  <w:u w:val="single" w:color="auto"/>
                  <w:color w:val="0000FF"/>
                </w:rPr>
                <w:t>Stock Purchase Plan</w:t>
              </w:r>
            </w:hyperlink>
          </w:p>
        </w:tc>
        <w:tc>
          <w:tcPr>
            <w:tcW w:w="0" w:type="dxa"/>
            <w:vAlign w:val="bottom"/>
          </w:tcPr>
          <w:p>
            <w:pPr>
              <w:spacing w:after="0"/>
              <w:rPr>
                <w:sz w:val="1"/>
                <w:szCs w:val="1"/>
                <w:color w:val="auto"/>
              </w:rPr>
            </w:pPr>
          </w:p>
        </w:tc>
      </w:tr>
      <w:tr>
        <w:trPr>
          <w:trHeight w:val="179"/>
        </w:trPr>
        <w:tc>
          <w:tcPr>
            <w:tcW w:w="10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10.7</w:t>
            </w:r>
          </w:p>
        </w:tc>
        <w:tc>
          <w:tcPr>
            <w:tcW w:w="4540" w:type="dxa"/>
            <w:vAlign w:val="bottom"/>
            <w:tcBorders>
              <w:bottom w:val="single" w:sz="8" w:color="0000FF"/>
            </w:tcBorders>
            <w:gridSpan w:val="2"/>
          </w:tcPr>
          <w:p>
            <w:pPr>
              <w:spacing w:after="0" w:line="179" w:lineRule="exact"/>
              <w:rPr>
                <w:rFonts w:ascii="Times New Roman" w:cs="Times New Roman" w:eastAsia="Times New Roman" w:hAnsi="Times New Roman"/>
                <w:sz w:val="17"/>
                <w:szCs w:val="17"/>
                <w:color w:val="0000FF"/>
                <w:w w:val="97"/>
              </w:rPr>
            </w:pPr>
            <w:hyperlink r:id="rId158">
              <w:r>
                <w:rPr>
                  <w:rFonts w:ascii="Times New Roman" w:cs="Times New Roman" w:eastAsia="Times New Roman" w:hAnsi="Times New Roman"/>
                  <w:sz w:val="17"/>
                  <w:szCs w:val="17"/>
                  <w:color w:val="0000FF"/>
                  <w:w w:val="97"/>
                </w:rPr>
                <w:t>Lease Agreement between Riata Holdings, L.P., as landlord, and the</w:t>
              </w:r>
            </w:hyperlink>
          </w:p>
        </w:tc>
        <w:tc>
          <w:tcPr>
            <w:tcW w:w="0" w:type="dxa"/>
            <w:vAlign w:val="bottom"/>
          </w:tcPr>
          <w:p>
            <w:pPr>
              <w:spacing w:after="0"/>
              <w:rPr>
                <w:sz w:val="1"/>
                <w:szCs w:val="1"/>
                <w:color w:val="auto"/>
              </w:rPr>
            </w:pPr>
          </w:p>
        </w:tc>
      </w:tr>
      <w:tr>
        <w:trPr>
          <w:trHeight w:val="92"/>
        </w:trPr>
        <w:tc>
          <w:tcPr>
            <w:tcW w:w="1040" w:type="dxa"/>
            <w:vAlign w:val="bottom"/>
            <w:vMerge w:val="continue"/>
          </w:tcPr>
          <w:p>
            <w:pPr>
              <w:spacing w:after="0"/>
              <w:rPr>
                <w:sz w:val="8"/>
                <w:szCs w:val="8"/>
                <w:color w:val="auto"/>
              </w:rPr>
            </w:pPr>
          </w:p>
        </w:tc>
        <w:tc>
          <w:tcPr>
            <w:tcW w:w="3180" w:type="dxa"/>
            <w:vAlign w:val="bottom"/>
            <w:vMerge w:val="restart"/>
          </w:tcPr>
          <w:p>
            <w:pPr>
              <w:spacing w:after="0" w:line="142"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Registrant, as tenant, dated November 28, 2012</w:t>
              </w:r>
            </w:hyperlink>
          </w:p>
        </w:tc>
        <w:tc>
          <w:tcPr>
            <w:tcW w:w="136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1040" w:type="dxa"/>
            <w:vAlign w:val="bottom"/>
          </w:tcPr>
          <w:p>
            <w:pPr>
              <w:spacing w:after="0"/>
              <w:rPr>
                <w:sz w:val="4"/>
                <w:szCs w:val="4"/>
                <w:color w:val="auto"/>
              </w:rPr>
            </w:pPr>
          </w:p>
        </w:tc>
        <w:tc>
          <w:tcPr>
            <w:tcW w:w="3180" w:type="dxa"/>
            <w:vAlign w:val="bottom"/>
            <w:tcBorders>
              <w:bottom w:val="single" w:sz="8" w:color="0000FF"/>
            </w:tcBorders>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040" w:type="dxa"/>
            <w:vAlign w:val="bottom"/>
            <w:vMerge w:val="restart"/>
          </w:tcPr>
          <w:p>
            <w:pPr>
              <w:jc w:val="right"/>
              <w:ind w:right="677"/>
              <w:spacing w:after="0"/>
              <w:rPr>
                <w:sz w:val="20"/>
                <w:szCs w:val="20"/>
                <w:color w:val="auto"/>
              </w:rPr>
            </w:pPr>
            <w:r>
              <w:rPr>
                <w:rFonts w:ascii="Times New Roman" w:cs="Times New Roman" w:eastAsia="Times New Roman" w:hAnsi="Times New Roman"/>
                <w:sz w:val="17"/>
                <w:szCs w:val="17"/>
                <w:color w:val="auto"/>
                <w:w w:val="87"/>
              </w:rPr>
              <w:t>10.8</w:t>
            </w:r>
          </w:p>
        </w:tc>
        <w:tc>
          <w:tcPr>
            <w:tcW w:w="4640" w:type="dxa"/>
            <w:vAlign w:val="bottom"/>
            <w:tcBorders>
              <w:bottom w:val="single" w:sz="8" w:color="0000FF"/>
            </w:tcBorders>
          </w:tcPr>
          <w:p>
            <w:pPr>
              <w:spacing w:after="0"/>
              <w:rPr>
                <w:rFonts w:ascii="Times New Roman" w:cs="Times New Roman" w:eastAsia="Times New Roman" w:hAnsi="Times New Roman"/>
                <w:sz w:val="17"/>
                <w:szCs w:val="17"/>
                <w:color w:val="0000FF"/>
                <w:w w:val="97"/>
              </w:rPr>
            </w:pPr>
            <w:hyperlink r:id="rId159">
              <w:r>
                <w:rPr>
                  <w:rFonts w:ascii="Times New Roman" w:cs="Times New Roman" w:eastAsia="Times New Roman" w:hAnsi="Times New Roman"/>
                  <w:sz w:val="17"/>
                  <w:szCs w:val="17"/>
                  <w:color w:val="0000FF"/>
                  <w:w w:val="97"/>
                </w:rPr>
                <w:t>Second Amendment to Lease Agreement dated as of August 14, 2017</w:t>
              </w:r>
            </w:hyperlink>
          </w:p>
        </w:tc>
        <w:tc>
          <w:tcPr>
            <w:tcW w:w="0" w:type="dxa"/>
            <w:vAlign w:val="bottom"/>
          </w:tcPr>
          <w:p>
            <w:pPr>
              <w:spacing w:after="0"/>
              <w:rPr>
                <w:sz w:val="1"/>
                <w:szCs w:val="1"/>
                <w:color w:val="auto"/>
              </w:rPr>
            </w:pPr>
          </w:p>
        </w:tc>
      </w:tr>
      <w:tr>
        <w:trPr>
          <w:trHeight w:val="92"/>
        </w:trPr>
        <w:tc>
          <w:tcPr>
            <w:tcW w:w="1040" w:type="dxa"/>
            <w:vAlign w:val="bottom"/>
            <w:vMerge w:val="continue"/>
          </w:tcPr>
          <w:p>
            <w:pPr>
              <w:spacing w:after="0"/>
              <w:rPr>
                <w:sz w:val="8"/>
                <w:szCs w:val="8"/>
                <w:color w:val="auto"/>
              </w:rPr>
            </w:pPr>
          </w:p>
        </w:tc>
        <w:tc>
          <w:tcPr>
            <w:tcW w:w="4640" w:type="dxa"/>
            <w:vAlign w:val="bottom"/>
            <w:vMerge w:val="restart"/>
          </w:tcPr>
          <w:p>
            <w:pPr>
              <w:spacing w:after="0"/>
              <w:rPr>
                <w:rFonts w:ascii="Times New Roman" w:cs="Times New Roman" w:eastAsia="Times New Roman" w:hAnsi="Times New Roman"/>
                <w:sz w:val="17"/>
                <w:szCs w:val="17"/>
                <w:u w:val="single" w:color="auto"/>
                <w:color w:val="0000FF"/>
              </w:rPr>
            </w:pPr>
            <w:hyperlink r:id="rId159">
              <w:r>
                <w:rPr>
                  <w:rFonts w:ascii="Times New Roman" w:cs="Times New Roman" w:eastAsia="Times New Roman" w:hAnsi="Times New Roman"/>
                  <w:sz w:val="17"/>
                  <w:szCs w:val="17"/>
                  <w:u w:val="single" w:color="auto"/>
                  <w:color w:val="0000FF"/>
                </w:rPr>
                <w:t>by and between BRI 1868 RIATA, LLC and the Registrant</w:t>
              </w:r>
            </w:hyperlink>
          </w:p>
        </w:tc>
        <w:tc>
          <w:tcPr>
            <w:tcW w:w="0" w:type="dxa"/>
            <w:vAlign w:val="bottom"/>
          </w:tcPr>
          <w:p>
            <w:pPr>
              <w:spacing w:after="0"/>
              <w:rPr>
                <w:sz w:val="1"/>
                <w:szCs w:val="1"/>
                <w:color w:val="auto"/>
              </w:rPr>
            </w:pPr>
          </w:p>
        </w:tc>
      </w:tr>
      <w:tr>
        <w:trPr>
          <w:trHeight w:val="116"/>
        </w:trPr>
        <w:tc>
          <w:tcPr>
            <w:tcW w:w="1040" w:type="dxa"/>
            <w:vAlign w:val="bottom"/>
          </w:tcPr>
          <w:p>
            <w:pPr>
              <w:spacing w:after="0"/>
              <w:rPr>
                <w:sz w:val="10"/>
                <w:szCs w:val="10"/>
                <w:color w:val="auto"/>
              </w:rPr>
            </w:pPr>
          </w:p>
        </w:tc>
        <w:tc>
          <w:tcPr>
            <w:tcW w:w="4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10-Q</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10-Q</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10-Q</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10-Q</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001-36156</w:t>
            </w:r>
          </w:p>
        </w:tc>
        <w:tc>
          <w:tcPr>
            <w:tcW w:w="80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10.1</w:t>
            </w:r>
          </w:p>
        </w:tc>
        <w:tc>
          <w:tcPr>
            <w:tcW w:w="960" w:type="dxa"/>
            <w:vAlign w:val="bottom"/>
          </w:tcPr>
          <w:p>
            <w:pPr>
              <w:ind w:left="300"/>
              <w:spacing w:after="0"/>
              <w:rPr>
                <w:sz w:val="20"/>
                <w:szCs w:val="20"/>
                <w:color w:val="auto"/>
              </w:rPr>
            </w:pPr>
            <w:r>
              <w:rPr>
                <w:rFonts w:ascii="Times New Roman" w:cs="Times New Roman" w:eastAsia="Times New Roman" w:hAnsi="Times New Roman"/>
                <w:sz w:val="17"/>
                <w:szCs w:val="17"/>
                <w:color w:val="auto"/>
                <w:w w:val="92"/>
              </w:rPr>
              <w:t>11/2/2020</w:t>
            </w:r>
          </w:p>
        </w:tc>
      </w:tr>
      <w:tr>
        <w:trPr>
          <w:trHeight w:val="212"/>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001-36156</w:t>
            </w:r>
          </w:p>
        </w:tc>
        <w:tc>
          <w:tcPr>
            <w:tcW w:w="80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10.1</w:t>
            </w:r>
          </w:p>
        </w:tc>
        <w:tc>
          <w:tcPr>
            <w:tcW w:w="960" w:type="dxa"/>
            <w:vAlign w:val="bottom"/>
          </w:tcPr>
          <w:p>
            <w:pPr>
              <w:ind w:left="300"/>
              <w:spacing w:after="0"/>
              <w:rPr>
                <w:sz w:val="20"/>
                <w:szCs w:val="20"/>
                <w:color w:val="auto"/>
              </w:rPr>
            </w:pPr>
            <w:r>
              <w:rPr>
                <w:rFonts w:ascii="Times New Roman" w:cs="Times New Roman" w:eastAsia="Times New Roman" w:hAnsi="Times New Roman"/>
                <w:sz w:val="17"/>
                <w:szCs w:val="17"/>
                <w:color w:val="auto"/>
                <w:w w:val="92"/>
              </w:rPr>
              <w:t>11/2/2020</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001-36156</w:t>
            </w:r>
          </w:p>
        </w:tc>
        <w:tc>
          <w:tcPr>
            <w:tcW w:w="80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10.1</w:t>
            </w:r>
          </w:p>
        </w:tc>
        <w:tc>
          <w:tcPr>
            <w:tcW w:w="9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6/9/2020</w:t>
            </w:r>
          </w:p>
        </w:tc>
      </w:tr>
      <w:tr>
        <w:trPr>
          <w:trHeight w:val="287"/>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333-191282</w:t>
            </w:r>
          </w:p>
        </w:tc>
        <w:tc>
          <w:tcPr>
            <w:tcW w:w="80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10.6</w:t>
            </w:r>
          </w:p>
        </w:tc>
        <w:tc>
          <w:tcPr>
            <w:tcW w:w="960" w:type="dxa"/>
            <w:vAlign w:val="bottom"/>
          </w:tcPr>
          <w:p>
            <w:pPr>
              <w:ind w:left="300"/>
              <w:spacing w:after="0"/>
              <w:rPr>
                <w:sz w:val="20"/>
                <w:szCs w:val="20"/>
                <w:color w:val="auto"/>
              </w:rPr>
            </w:pPr>
            <w:r>
              <w:rPr>
                <w:rFonts w:ascii="Times New Roman" w:cs="Times New Roman" w:eastAsia="Times New Roman" w:hAnsi="Times New Roman"/>
                <w:sz w:val="17"/>
                <w:szCs w:val="17"/>
                <w:color w:val="auto"/>
                <w:w w:val="92"/>
              </w:rPr>
              <w:t>9/20/2013</w:t>
            </w:r>
          </w:p>
        </w:tc>
      </w:tr>
      <w:tr>
        <w:trPr>
          <w:trHeight w:val="375"/>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001-36156</w:t>
            </w:r>
          </w:p>
        </w:tc>
        <w:tc>
          <w:tcPr>
            <w:tcW w:w="80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10.1</w:t>
            </w:r>
          </w:p>
        </w:tc>
        <w:tc>
          <w:tcPr>
            <w:tcW w:w="960" w:type="dxa"/>
            <w:vAlign w:val="bottom"/>
          </w:tcPr>
          <w:p>
            <w:pPr>
              <w:ind w:left="300"/>
              <w:spacing w:after="0"/>
              <w:rPr>
                <w:sz w:val="20"/>
                <w:szCs w:val="20"/>
                <w:color w:val="auto"/>
              </w:rPr>
            </w:pPr>
            <w:r>
              <w:rPr>
                <w:rFonts w:ascii="Times New Roman" w:cs="Times New Roman" w:eastAsia="Times New Roman" w:hAnsi="Times New Roman"/>
                <w:sz w:val="17"/>
                <w:szCs w:val="17"/>
                <w:color w:val="auto"/>
                <w:w w:val="92"/>
              </w:rPr>
              <w:t>11/7/2017</w:t>
            </w:r>
          </w:p>
        </w:tc>
      </w:tr>
    </w:tbl>
    <w:p>
      <w:pPr>
        <w:spacing w:after="0" w:line="316" w:lineRule="exact"/>
        <w:rPr>
          <w:sz w:val="20"/>
          <w:szCs w:val="20"/>
          <w:color w:val="auto"/>
        </w:rPr>
      </w:pPr>
    </w:p>
    <w:p>
      <w:pPr>
        <w:sectPr>
          <w:pgSz w:w="11900" w:h="16838" w:orient="portrait"/>
          <w:cols w:equalWidth="0" w:num="3">
            <w:col w:w="5700" w:space="140"/>
            <w:col w:w="460" w:space="720"/>
            <w:col w:w="4220"/>
          </w:cols>
          <w:pgMar w:left="320" w:top="12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7142480" cy="15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127" w:name="page128"/>
    <w:bookmarkEnd w:id="127"/>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7"/>
                <w:szCs w:val="17"/>
                <w:color w:val="auto"/>
              </w:rPr>
              <w:t>Incorporated by Reference</w:t>
            </w:r>
          </w:p>
        </w:tc>
        <w:tc>
          <w:tcPr>
            <w:tcW w:w="1220" w:type="dxa"/>
            <w:vAlign w:val="bottom"/>
            <w:tcBorders>
              <w:bottom w:val="single" w:sz="8" w:color="auto"/>
            </w:tcBorders>
          </w:tcPr>
          <w:p>
            <w:pPr>
              <w:spacing w:after="0"/>
              <w:rPr>
                <w:sz w:val="18"/>
                <w:szCs w:val="18"/>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Filed</w:t>
            </w: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auto"/>
              </w:rPr>
              <w:t>Form</w:t>
            </w:r>
          </w:p>
        </w:tc>
        <w:tc>
          <w:tcPr>
            <w:tcW w:w="1300" w:type="dxa"/>
            <w:vAlign w:val="bottom"/>
            <w:vMerge w:val="restart"/>
          </w:tcPr>
          <w:p>
            <w:pPr>
              <w:jc w:val="right"/>
              <w:ind w:right="97"/>
              <w:spacing w:after="0"/>
              <w:rPr>
                <w:sz w:val="20"/>
                <w:szCs w:val="20"/>
                <w:color w:val="auto"/>
              </w:rPr>
            </w:pPr>
            <w:r>
              <w:rPr>
                <w:rFonts w:ascii="Times New Roman" w:cs="Times New Roman" w:eastAsia="Times New Roman" w:hAnsi="Times New Roman"/>
                <w:sz w:val="17"/>
                <w:szCs w:val="17"/>
                <w:color w:val="auto"/>
              </w:rPr>
              <w:t>File No.</w:t>
            </w:r>
          </w:p>
        </w:tc>
        <w:tc>
          <w:tcPr>
            <w:tcW w:w="9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auto"/>
              </w:rPr>
              <w:t>Exhibit</w:t>
            </w:r>
          </w:p>
        </w:tc>
        <w:tc>
          <w:tcPr>
            <w:tcW w:w="122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auto"/>
              </w:rPr>
              <w:t>Filing Date</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Exhibit Number</w:t>
            </w:r>
          </w:p>
        </w:tc>
        <w:tc>
          <w:tcPr>
            <w:tcW w:w="4760" w:type="dxa"/>
            <w:vAlign w:val="bottom"/>
            <w:tcBorders>
              <w:bottom w:val="single" w:sz="8" w:color="auto"/>
            </w:tcBorders>
            <w:gridSpan w:val="6"/>
          </w:tcPr>
          <w:p>
            <w:pPr>
              <w:ind w:left="206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98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Herewith</w:t>
            </w:r>
          </w:p>
        </w:tc>
        <w:tc>
          <w:tcPr>
            <w:tcW w:w="0" w:type="dxa"/>
            <w:vAlign w:val="bottom"/>
          </w:tcPr>
          <w:p>
            <w:pPr>
              <w:spacing w:after="0"/>
              <w:rPr>
                <w:sz w:val="1"/>
                <w:szCs w:val="1"/>
                <w:color w:val="auto"/>
              </w:rPr>
            </w:pPr>
          </w:p>
        </w:tc>
      </w:tr>
      <w:tr>
        <w:trPr>
          <w:trHeight w:val="167"/>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10.9</w:t>
            </w:r>
          </w:p>
        </w:tc>
        <w:tc>
          <w:tcPr>
            <w:tcW w:w="4620" w:type="dxa"/>
            <w:vAlign w:val="bottom"/>
            <w:tcBorders>
              <w:bottom w:val="single" w:sz="8" w:color="0000FF"/>
            </w:tcBorders>
            <w:gridSpan w:val="3"/>
          </w:tcPr>
          <w:p>
            <w:pPr>
              <w:spacing w:after="0" w:line="155" w:lineRule="exact"/>
              <w:rPr>
                <w:rFonts w:ascii="Times New Roman" w:cs="Times New Roman" w:eastAsia="Times New Roman" w:hAnsi="Times New Roman"/>
                <w:sz w:val="17"/>
                <w:szCs w:val="17"/>
                <w:color w:val="0000FF"/>
                <w:w w:val="97"/>
              </w:rPr>
            </w:pPr>
            <w:hyperlink r:id="rId161">
              <w:r>
                <w:rPr>
                  <w:rFonts w:ascii="Times New Roman" w:cs="Times New Roman" w:eastAsia="Times New Roman" w:hAnsi="Times New Roman"/>
                  <w:sz w:val="17"/>
                  <w:szCs w:val="17"/>
                  <w:color w:val="0000FF"/>
                  <w:w w:val="97"/>
                </w:rPr>
                <w:t>First Amendment to Lease Agreement dated as of January 7, 2014 by</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10-K</w:t>
            </w:r>
          </w:p>
        </w:tc>
        <w:tc>
          <w:tcPr>
            <w:tcW w:w="1300" w:type="dxa"/>
            <w:vAlign w:val="bottom"/>
            <w:vMerge w:val="restart"/>
          </w:tcPr>
          <w:p>
            <w:pPr>
              <w:jc w:val="right"/>
              <w:ind w:right="277"/>
              <w:spacing w:after="0"/>
              <w:rPr>
                <w:sz w:val="20"/>
                <w:szCs w:val="20"/>
                <w:color w:val="auto"/>
              </w:rPr>
            </w:pPr>
            <w:r>
              <w:rPr>
                <w:rFonts w:ascii="Times New Roman" w:cs="Times New Roman" w:eastAsia="Times New Roman" w:hAnsi="Times New Roman"/>
                <w:sz w:val="17"/>
                <w:szCs w:val="17"/>
                <w:color w:val="auto"/>
              </w:rPr>
              <w:t>001-36156</w:t>
            </w:r>
          </w:p>
        </w:tc>
        <w:tc>
          <w:tcPr>
            <w:tcW w:w="9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auto"/>
              </w:rPr>
              <w:t>10.7</w:t>
            </w:r>
          </w:p>
        </w:tc>
        <w:tc>
          <w:tcPr>
            <w:tcW w:w="12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3/20/2014</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1060" w:type="dxa"/>
            <w:vAlign w:val="bottom"/>
            <w:vMerge w:val="continue"/>
          </w:tcPr>
          <w:p>
            <w:pPr>
              <w:spacing w:after="0"/>
              <w:rPr>
                <w:sz w:val="8"/>
                <w:szCs w:val="8"/>
                <w:color w:val="auto"/>
              </w:rPr>
            </w:pPr>
          </w:p>
        </w:tc>
        <w:tc>
          <w:tcPr>
            <w:tcW w:w="4760" w:type="dxa"/>
            <w:vAlign w:val="bottom"/>
            <w:gridSpan w:val="6"/>
            <w:vMerge w:val="restart"/>
          </w:tcPr>
          <w:p>
            <w:pPr>
              <w:spacing w:after="0" w:line="142"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and between Riata Holdings, L.P. and the Registrant</w:t>
              </w:r>
            </w:hyperlink>
          </w:p>
        </w:tc>
        <w:tc>
          <w:tcPr>
            <w:tcW w:w="9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1060" w:type="dxa"/>
            <w:vAlign w:val="bottom"/>
          </w:tcPr>
          <w:p>
            <w:pPr>
              <w:spacing w:after="0"/>
              <w:rPr>
                <w:sz w:val="4"/>
                <w:szCs w:val="4"/>
                <w:color w:val="auto"/>
              </w:rPr>
            </w:pPr>
          </w:p>
        </w:tc>
        <w:tc>
          <w:tcPr>
            <w:tcW w:w="4760" w:type="dxa"/>
            <w:vAlign w:val="bottom"/>
            <w:gridSpan w:val="6"/>
            <w:vMerge w:val="continue"/>
          </w:tcPr>
          <w:p>
            <w:pPr>
              <w:spacing w:after="0"/>
              <w:rPr>
                <w:sz w:val="4"/>
                <w:szCs w:val="4"/>
                <w:color w:val="auto"/>
              </w:rPr>
            </w:pPr>
          </w:p>
        </w:tc>
        <w:tc>
          <w:tcPr>
            <w:tcW w:w="9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10.10</w:t>
            </w:r>
          </w:p>
        </w:tc>
        <w:tc>
          <w:tcPr>
            <w:tcW w:w="4760" w:type="dxa"/>
            <w:vAlign w:val="bottom"/>
            <w:gridSpan w:val="6"/>
          </w:tcPr>
          <w:p>
            <w:pPr>
              <w:spacing w:after="0" w:line="193"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Office Building Lease by and between American Fund US</w:t>
              </w:r>
            </w:hyperlink>
          </w:p>
        </w:tc>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10-Q</w:t>
            </w:r>
          </w:p>
        </w:tc>
        <w:tc>
          <w:tcPr>
            <w:tcW w:w="1300" w:type="dxa"/>
            <w:vAlign w:val="bottom"/>
            <w:vMerge w:val="restart"/>
          </w:tcPr>
          <w:p>
            <w:pPr>
              <w:jc w:val="right"/>
              <w:ind w:right="277"/>
              <w:spacing w:after="0"/>
              <w:rPr>
                <w:sz w:val="20"/>
                <w:szCs w:val="20"/>
                <w:color w:val="auto"/>
              </w:rPr>
            </w:pPr>
            <w:r>
              <w:rPr>
                <w:rFonts w:ascii="Times New Roman" w:cs="Times New Roman" w:eastAsia="Times New Roman" w:hAnsi="Times New Roman"/>
                <w:sz w:val="17"/>
                <w:szCs w:val="17"/>
                <w:color w:val="auto"/>
              </w:rPr>
              <w:t>001-36156</w:t>
            </w:r>
          </w:p>
        </w:tc>
        <w:tc>
          <w:tcPr>
            <w:tcW w:w="9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auto"/>
              </w:rPr>
              <w:t>10.2</w:t>
            </w:r>
          </w:p>
        </w:tc>
        <w:tc>
          <w:tcPr>
            <w:tcW w:w="12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8/13/2015</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1060" w:type="dxa"/>
            <w:vAlign w:val="bottom"/>
            <w:vMerge w:val="continue"/>
          </w:tcPr>
          <w:p>
            <w:pPr>
              <w:spacing w:after="0"/>
              <w:rPr>
                <w:sz w:val="8"/>
                <w:szCs w:val="8"/>
                <w:color w:val="auto"/>
              </w:rPr>
            </w:pPr>
          </w:p>
        </w:tc>
        <w:tc>
          <w:tcPr>
            <w:tcW w:w="3900" w:type="dxa"/>
            <w:vAlign w:val="bottom"/>
            <w:tcBorders>
              <w:top w:val="single" w:sz="8" w:color="0000FF"/>
            </w:tcBorders>
            <w:gridSpan w:val="2"/>
            <w:vMerge w:val="restart"/>
          </w:tcPr>
          <w:p>
            <w:pPr>
              <w:spacing w:after="0" w:line="176" w:lineRule="exact"/>
              <w:rPr>
                <w:rFonts w:ascii="Times New Roman" w:cs="Times New Roman" w:eastAsia="Times New Roman" w:hAnsi="Times New Roman"/>
                <w:sz w:val="17"/>
                <w:szCs w:val="17"/>
                <w:u w:val="single" w:color="auto"/>
                <w:color w:val="0000FF"/>
              </w:rPr>
            </w:pPr>
            <w:hyperlink r:id="rId162">
              <w:r>
                <w:rPr>
                  <w:rFonts w:ascii="Times New Roman" w:cs="Times New Roman" w:eastAsia="Times New Roman" w:hAnsi="Times New Roman"/>
                  <w:sz w:val="17"/>
                  <w:szCs w:val="17"/>
                  <w:u w:val="single" w:color="auto"/>
                  <w:color w:val="0000FF"/>
                </w:rPr>
                <w:t>Investments LP and the Registrant dated April 29, 2015</w:t>
              </w:r>
            </w:hyperlink>
          </w:p>
        </w:tc>
        <w:tc>
          <w:tcPr>
            <w:tcW w:w="860" w:type="dxa"/>
            <w:vAlign w:val="bottom"/>
            <w:gridSpan w:val="4"/>
            <w:vMerge w:val="restart"/>
          </w:tcPr>
          <w:p>
            <w:pPr>
              <w:spacing w:after="0"/>
              <w:rPr>
                <w:sz w:val="8"/>
                <w:szCs w:val="8"/>
                <w:color w:val="auto"/>
              </w:rPr>
            </w:pPr>
          </w:p>
        </w:tc>
        <w:tc>
          <w:tcPr>
            <w:tcW w:w="9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060" w:type="dxa"/>
            <w:vAlign w:val="bottom"/>
          </w:tcPr>
          <w:p>
            <w:pPr>
              <w:spacing w:after="0"/>
              <w:rPr>
                <w:sz w:val="7"/>
                <w:szCs w:val="7"/>
                <w:color w:val="auto"/>
              </w:rPr>
            </w:pPr>
          </w:p>
        </w:tc>
        <w:tc>
          <w:tcPr>
            <w:tcW w:w="3900" w:type="dxa"/>
            <w:vAlign w:val="bottom"/>
            <w:gridSpan w:val="2"/>
            <w:vMerge w:val="continue"/>
          </w:tcPr>
          <w:p>
            <w:pPr>
              <w:spacing w:after="0"/>
              <w:rPr>
                <w:sz w:val="7"/>
                <w:szCs w:val="7"/>
                <w:color w:val="auto"/>
              </w:rPr>
            </w:pPr>
          </w:p>
        </w:tc>
        <w:tc>
          <w:tcPr>
            <w:tcW w:w="860" w:type="dxa"/>
            <w:vAlign w:val="bottom"/>
            <w:gridSpan w:val="4"/>
            <w:vMerge w:val="continue"/>
          </w:tcPr>
          <w:p>
            <w:pPr>
              <w:spacing w:after="0"/>
              <w:rPr>
                <w:sz w:val="7"/>
                <w:szCs w:val="7"/>
                <w:color w:val="auto"/>
              </w:rPr>
            </w:pPr>
          </w:p>
        </w:tc>
        <w:tc>
          <w:tcPr>
            <w:tcW w:w="9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10.11</w:t>
            </w:r>
          </w:p>
        </w:tc>
        <w:tc>
          <w:tcPr>
            <w:tcW w:w="4660" w:type="dxa"/>
            <w:vAlign w:val="bottom"/>
            <w:tcBorders>
              <w:bottom w:val="single" w:sz="8" w:color="0000FF"/>
            </w:tcBorders>
            <w:gridSpan w:val="5"/>
          </w:tcPr>
          <w:p>
            <w:pPr>
              <w:spacing w:after="0" w:line="159" w:lineRule="exact"/>
              <w:rPr>
                <w:rFonts w:ascii="Times New Roman" w:cs="Times New Roman" w:eastAsia="Times New Roman" w:hAnsi="Times New Roman"/>
                <w:sz w:val="17"/>
                <w:szCs w:val="17"/>
                <w:color w:val="0000FF"/>
                <w:w w:val="97"/>
              </w:rPr>
            </w:pPr>
            <w:hyperlink r:id="rId163">
              <w:r>
                <w:rPr>
                  <w:rFonts w:ascii="Times New Roman" w:cs="Times New Roman" w:eastAsia="Times New Roman" w:hAnsi="Times New Roman"/>
                  <w:sz w:val="17"/>
                  <w:szCs w:val="17"/>
                  <w:color w:val="0000FF"/>
                  <w:w w:val="97"/>
                </w:rPr>
                <w:t>First Amendment to Office Building Lease dated May 3, 2016 by and</w:t>
              </w:r>
            </w:hyperlink>
          </w:p>
        </w:tc>
        <w:tc>
          <w:tcPr>
            <w:tcW w:w="100" w:type="dxa"/>
            <w:vAlign w:val="bottom"/>
          </w:tcPr>
          <w:p>
            <w:pPr>
              <w:spacing w:after="0"/>
              <w:rPr>
                <w:sz w:val="15"/>
                <w:szCs w:val="15"/>
                <w:color w:val="auto"/>
              </w:rPr>
            </w:pPr>
          </w:p>
        </w:tc>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10-K</w:t>
            </w:r>
          </w:p>
        </w:tc>
        <w:tc>
          <w:tcPr>
            <w:tcW w:w="1300" w:type="dxa"/>
            <w:vAlign w:val="bottom"/>
            <w:vMerge w:val="restart"/>
          </w:tcPr>
          <w:p>
            <w:pPr>
              <w:jc w:val="right"/>
              <w:ind w:right="277"/>
              <w:spacing w:after="0"/>
              <w:rPr>
                <w:sz w:val="20"/>
                <w:szCs w:val="20"/>
                <w:color w:val="auto"/>
              </w:rPr>
            </w:pPr>
            <w:r>
              <w:rPr>
                <w:rFonts w:ascii="Times New Roman" w:cs="Times New Roman" w:eastAsia="Times New Roman" w:hAnsi="Times New Roman"/>
                <w:sz w:val="17"/>
                <w:szCs w:val="17"/>
                <w:color w:val="auto"/>
              </w:rPr>
              <w:t>001-36156</w:t>
            </w:r>
          </w:p>
        </w:tc>
        <w:tc>
          <w:tcPr>
            <w:tcW w:w="9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auto"/>
              </w:rPr>
              <w:t>10.9</w:t>
            </w:r>
          </w:p>
        </w:tc>
        <w:tc>
          <w:tcPr>
            <w:tcW w:w="12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2/27/2018</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1060" w:type="dxa"/>
            <w:vAlign w:val="bottom"/>
            <w:vMerge w:val="continue"/>
          </w:tcPr>
          <w:p>
            <w:pPr>
              <w:spacing w:after="0"/>
              <w:rPr>
                <w:sz w:val="8"/>
                <w:szCs w:val="8"/>
                <w:color w:val="auto"/>
              </w:rPr>
            </w:pPr>
          </w:p>
        </w:tc>
        <w:tc>
          <w:tcPr>
            <w:tcW w:w="4760" w:type="dxa"/>
            <w:vAlign w:val="bottom"/>
            <w:gridSpan w:val="6"/>
            <w:vMerge w:val="restart"/>
          </w:tcPr>
          <w:p>
            <w:pPr>
              <w:spacing w:after="0" w:line="176" w:lineRule="exact"/>
              <w:rPr>
                <w:rFonts w:ascii="Times New Roman" w:cs="Times New Roman" w:eastAsia="Times New Roman" w:hAnsi="Times New Roman"/>
                <w:sz w:val="17"/>
                <w:szCs w:val="17"/>
                <w:u w:val="single" w:color="auto"/>
                <w:color w:val="0000FF"/>
              </w:rPr>
            </w:pPr>
            <w:hyperlink r:id="rId163">
              <w:r>
                <w:rPr>
                  <w:rFonts w:ascii="Times New Roman" w:cs="Times New Roman" w:eastAsia="Times New Roman" w:hAnsi="Times New Roman"/>
                  <w:sz w:val="17"/>
                  <w:szCs w:val="17"/>
                  <w:u w:val="single" w:color="auto"/>
                  <w:color w:val="0000FF"/>
                </w:rPr>
                <w:t>between American Fund US Investments LP and the Registrant</w:t>
              </w:r>
            </w:hyperlink>
          </w:p>
        </w:tc>
        <w:tc>
          <w:tcPr>
            <w:tcW w:w="9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060" w:type="dxa"/>
            <w:vAlign w:val="bottom"/>
          </w:tcPr>
          <w:p>
            <w:pPr>
              <w:spacing w:after="0"/>
              <w:rPr>
                <w:sz w:val="7"/>
                <w:szCs w:val="7"/>
                <w:color w:val="auto"/>
              </w:rPr>
            </w:pPr>
          </w:p>
        </w:tc>
        <w:tc>
          <w:tcPr>
            <w:tcW w:w="4760" w:type="dxa"/>
            <w:vAlign w:val="bottom"/>
            <w:gridSpan w:val="6"/>
            <w:vMerge w:val="continue"/>
          </w:tcPr>
          <w:p>
            <w:pPr>
              <w:spacing w:after="0"/>
              <w:rPr>
                <w:sz w:val="7"/>
                <w:szCs w:val="7"/>
                <w:color w:val="auto"/>
              </w:rPr>
            </w:pPr>
          </w:p>
        </w:tc>
        <w:tc>
          <w:tcPr>
            <w:tcW w:w="9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10.12</w:t>
            </w:r>
          </w:p>
        </w:tc>
        <w:tc>
          <w:tcPr>
            <w:tcW w:w="4640" w:type="dxa"/>
            <w:vAlign w:val="bottom"/>
            <w:tcBorders>
              <w:bottom w:val="single" w:sz="8" w:color="0000FF"/>
            </w:tcBorders>
            <w:gridSpan w:val="4"/>
          </w:tcPr>
          <w:p>
            <w:pPr>
              <w:spacing w:after="0" w:line="159" w:lineRule="exact"/>
              <w:rPr>
                <w:rFonts w:ascii="Times New Roman" w:cs="Times New Roman" w:eastAsia="Times New Roman" w:hAnsi="Times New Roman"/>
                <w:sz w:val="17"/>
                <w:szCs w:val="17"/>
                <w:color w:val="0000FF"/>
                <w:w w:val="97"/>
              </w:rPr>
            </w:pPr>
            <w:hyperlink r:id="rId164">
              <w:r>
                <w:rPr>
                  <w:rFonts w:ascii="Times New Roman" w:cs="Times New Roman" w:eastAsia="Times New Roman" w:hAnsi="Times New Roman"/>
                  <w:sz w:val="17"/>
                  <w:szCs w:val="17"/>
                  <w:color w:val="0000FF"/>
                  <w:w w:val="97"/>
                </w:rPr>
                <w:t>Second Amendment to Office Building Lease dated February 8, 2017</w:t>
              </w:r>
            </w:hyperlink>
          </w:p>
        </w:tc>
        <w:tc>
          <w:tcPr>
            <w:tcW w:w="120" w:type="dxa"/>
            <w:vAlign w:val="bottom"/>
            <w:gridSpan w:val="2"/>
          </w:tcPr>
          <w:p>
            <w:pPr>
              <w:spacing w:after="0"/>
              <w:rPr>
                <w:sz w:val="15"/>
                <w:szCs w:val="15"/>
                <w:color w:val="auto"/>
              </w:rPr>
            </w:pPr>
          </w:p>
        </w:tc>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10-K</w:t>
            </w:r>
          </w:p>
        </w:tc>
        <w:tc>
          <w:tcPr>
            <w:tcW w:w="1300" w:type="dxa"/>
            <w:vAlign w:val="bottom"/>
            <w:vMerge w:val="restart"/>
          </w:tcPr>
          <w:p>
            <w:pPr>
              <w:jc w:val="right"/>
              <w:ind w:right="277"/>
              <w:spacing w:after="0"/>
              <w:rPr>
                <w:sz w:val="20"/>
                <w:szCs w:val="20"/>
                <w:color w:val="auto"/>
              </w:rPr>
            </w:pPr>
            <w:r>
              <w:rPr>
                <w:rFonts w:ascii="Times New Roman" w:cs="Times New Roman" w:eastAsia="Times New Roman" w:hAnsi="Times New Roman"/>
                <w:sz w:val="17"/>
                <w:szCs w:val="17"/>
                <w:color w:val="auto"/>
              </w:rPr>
              <w:t>001-36156</w:t>
            </w:r>
          </w:p>
        </w:tc>
        <w:tc>
          <w:tcPr>
            <w:tcW w:w="9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auto"/>
              </w:rPr>
              <w:t>10.10</w:t>
            </w:r>
          </w:p>
        </w:tc>
        <w:tc>
          <w:tcPr>
            <w:tcW w:w="12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3/1/2017</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1060" w:type="dxa"/>
            <w:vAlign w:val="bottom"/>
            <w:vMerge w:val="continue"/>
          </w:tcPr>
          <w:p>
            <w:pPr>
              <w:spacing w:after="0"/>
              <w:rPr>
                <w:sz w:val="8"/>
                <w:szCs w:val="8"/>
                <w:color w:val="auto"/>
              </w:rPr>
            </w:pPr>
          </w:p>
        </w:tc>
        <w:tc>
          <w:tcPr>
            <w:tcW w:w="4760" w:type="dxa"/>
            <w:vAlign w:val="bottom"/>
            <w:gridSpan w:val="6"/>
            <w:vMerge w:val="restart"/>
          </w:tcPr>
          <w:p>
            <w:pPr>
              <w:spacing w:after="0" w:line="194" w:lineRule="exact"/>
              <w:rPr>
                <w:rFonts w:ascii="Times New Roman" w:cs="Times New Roman" w:eastAsia="Times New Roman" w:hAnsi="Times New Roman"/>
                <w:sz w:val="17"/>
                <w:szCs w:val="17"/>
                <w:u w:val="single" w:color="auto"/>
                <w:color w:val="0000FF"/>
              </w:rPr>
            </w:pPr>
            <w:hyperlink r:id="rId164">
              <w:r>
                <w:rPr>
                  <w:rFonts w:ascii="Times New Roman" w:cs="Times New Roman" w:eastAsia="Times New Roman" w:hAnsi="Times New Roman"/>
                  <w:sz w:val="17"/>
                  <w:szCs w:val="17"/>
                  <w:u w:val="single" w:color="auto"/>
                  <w:color w:val="0000FF"/>
                </w:rPr>
                <w:t>by and between CRP 6000 Shoreline, L.L.C. and the Registrant</w:t>
              </w:r>
            </w:hyperlink>
          </w:p>
        </w:tc>
        <w:tc>
          <w:tcPr>
            <w:tcW w:w="9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060" w:type="dxa"/>
            <w:vAlign w:val="bottom"/>
          </w:tcPr>
          <w:p>
            <w:pPr>
              <w:spacing w:after="0"/>
              <w:rPr>
                <w:sz w:val="8"/>
                <w:szCs w:val="8"/>
                <w:color w:val="auto"/>
              </w:rPr>
            </w:pPr>
          </w:p>
        </w:tc>
        <w:tc>
          <w:tcPr>
            <w:tcW w:w="4760" w:type="dxa"/>
            <w:vAlign w:val="bottom"/>
            <w:gridSpan w:val="6"/>
            <w:vMerge w:val="continue"/>
          </w:tcPr>
          <w:p>
            <w:pPr>
              <w:spacing w:after="0"/>
              <w:rPr>
                <w:sz w:val="8"/>
                <w:szCs w:val="8"/>
                <w:color w:val="auto"/>
              </w:rPr>
            </w:pPr>
          </w:p>
        </w:tc>
        <w:tc>
          <w:tcPr>
            <w:tcW w:w="9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0" w:right="339" w:bottom="1440" w:gutter="0" w:footer="0" w:header="0"/>
        </w:sectPr>
      </w:pP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10.13#</w:t>
      </w:r>
    </w:p>
    <w:p>
      <w:pPr>
        <w:spacing w:after="0" w:line="1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10.14#</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10.15#</w:t>
      </w:r>
    </w:p>
    <w:p>
      <w:pPr>
        <w:spacing w:after="0" w:line="20" w:lineRule="exact"/>
        <w:rPr>
          <w:sz w:val="20"/>
          <w:szCs w:val="20"/>
          <w:color w:val="auto"/>
        </w:rPr>
      </w:pPr>
      <w:r>
        <w:rPr>
          <w:sz w:val="20"/>
          <w:szCs w:val="20"/>
          <w:color w:val="auto"/>
        </w:rPr>
        <w:br w:type="column"/>
      </w:r>
    </w:p>
    <w:p>
      <w:pPr>
        <w:ind w:right="340"/>
        <w:spacing w:after="0" w:line="221" w:lineRule="auto"/>
        <w:rPr>
          <w:rFonts w:ascii="Times New Roman" w:cs="Times New Roman" w:eastAsia="Times New Roman" w:hAnsi="Times New Roman"/>
          <w:sz w:val="17"/>
          <w:szCs w:val="17"/>
          <w:u w:val="single" w:color="auto"/>
          <w:color w:val="0000FF"/>
        </w:rPr>
      </w:pPr>
      <w:hyperlink r:id="rId165">
        <w:r>
          <w:rPr>
            <w:rFonts w:ascii="Times New Roman" w:cs="Times New Roman" w:eastAsia="Times New Roman" w:hAnsi="Times New Roman"/>
            <w:sz w:val="17"/>
            <w:szCs w:val="17"/>
            <w:u w:val="single" w:color="auto"/>
            <w:color w:val="0000FF"/>
          </w:rPr>
          <w:t>Employment Agreement, dated as of February 15, 2008, between</w:t>
        </w:r>
      </w:hyperlink>
      <w:r>
        <w:rPr>
          <w:rFonts w:ascii="Times New Roman" w:cs="Times New Roman" w:eastAsia="Times New Roman" w:hAnsi="Times New Roman"/>
          <w:sz w:val="17"/>
          <w:szCs w:val="17"/>
          <w:u w:val="single" w:color="auto"/>
          <w:color w:val="0000FF"/>
        </w:rPr>
        <w:t xml:space="preserve"> </w:t>
      </w:r>
      <w:hyperlink r:id="rId165">
        <w:r>
          <w:rPr>
            <w:rFonts w:ascii="Times New Roman" w:cs="Times New Roman" w:eastAsia="Times New Roman" w:hAnsi="Times New Roman"/>
            <w:sz w:val="17"/>
            <w:szCs w:val="17"/>
            <w:u w:val="single" w:color="auto"/>
            <w:color w:val="0000FF"/>
          </w:rPr>
          <w:t>Bonnie Anderson and the Registrant</w:t>
        </w:r>
      </w:hyperlink>
    </w:p>
    <w:p>
      <w:pPr>
        <w:spacing w:after="0" w:line="1" w:lineRule="exact"/>
        <w:rPr>
          <w:sz w:val="20"/>
          <w:szCs w:val="20"/>
          <w:color w:val="auto"/>
        </w:rPr>
      </w:pPr>
    </w:p>
    <w:p>
      <w:pPr>
        <w:spacing w:after="0" w:line="229" w:lineRule="auto"/>
        <w:rPr>
          <w:rFonts w:ascii="Times New Roman" w:cs="Times New Roman" w:eastAsia="Times New Roman" w:hAnsi="Times New Roman"/>
          <w:sz w:val="17"/>
          <w:szCs w:val="17"/>
          <w:u w:val="single" w:color="auto"/>
          <w:color w:val="0000FF"/>
        </w:rPr>
      </w:pPr>
      <w:hyperlink r:id="rId166">
        <w:r>
          <w:rPr>
            <w:rFonts w:ascii="Times New Roman" w:cs="Times New Roman" w:eastAsia="Times New Roman" w:hAnsi="Times New Roman"/>
            <w:sz w:val="17"/>
            <w:szCs w:val="17"/>
            <w:u w:val="single" w:color="auto"/>
            <w:color w:val="0000FF"/>
          </w:rPr>
          <w:t>Amendment to Bonnie Anderson Employment Agreement, dated as of</w:t>
        </w:r>
      </w:hyperlink>
      <w:r>
        <w:rPr>
          <w:rFonts w:ascii="Times New Roman" w:cs="Times New Roman" w:eastAsia="Times New Roman" w:hAnsi="Times New Roman"/>
          <w:sz w:val="17"/>
          <w:szCs w:val="17"/>
          <w:u w:val="single" w:color="auto"/>
          <w:color w:val="0000FF"/>
        </w:rPr>
        <w:t xml:space="preserve"> </w:t>
      </w:r>
      <w:hyperlink r:id="rId166">
        <w:r>
          <w:rPr>
            <w:rFonts w:ascii="Times New Roman" w:cs="Times New Roman" w:eastAsia="Times New Roman" w:hAnsi="Times New Roman"/>
            <w:sz w:val="17"/>
            <w:szCs w:val="17"/>
            <w:u w:val="single" w:color="auto"/>
            <w:color w:val="0000FF"/>
          </w:rPr>
          <w:t>December 22, 2008, between Bonnie Anderson and the Registrant</w:t>
        </w:r>
      </w:hyperlink>
    </w:p>
    <w:p>
      <w:pPr>
        <w:spacing w:after="0" w:line="1" w:lineRule="exact"/>
        <w:rPr>
          <w:sz w:val="20"/>
          <w:szCs w:val="20"/>
          <w:color w:val="auto"/>
        </w:rPr>
      </w:pPr>
    </w:p>
    <w:p>
      <w:pPr>
        <w:jc w:val="both"/>
        <w:ind w:right="280"/>
        <w:spacing w:after="0" w:line="219" w:lineRule="auto"/>
        <w:rPr>
          <w:rFonts w:ascii="Times New Roman" w:cs="Times New Roman" w:eastAsia="Times New Roman" w:hAnsi="Times New Roman"/>
          <w:sz w:val="17"/>
          <w:szCs w:val="17"/>
          <w:u w:val="single" w:color="auto"/>
          <w:color w:val="0000FF"/>
        </w:rPr>
      </w:pPr>
      <w:hyperlink r:id="rId167">
        <w:r>
          <w:rPr>
            <w:rFonts w:ascii="Times New Roman" w:cs="Times New Roman" w:eastAsia="Times New Roman" w:hAnsi="Times New Roman"/>
            <w:sz w:val="17"/>
            <w:szCs w:val="17"/>
            <w:u w:val="single" w:color="auto"/>
            <w:color w:val="0000FF"/>
          </w:rPr>
          <w:t>Amendment No. 2 to Bonnie Anderson Employment Agreement,</w:t>
        </w:r>
      </w:hyperlink>
      <w:r>
        <w:rPr>
          <w:rFonts w:ascii="Times New Roman" w:cs="Times New Roman" w:eastAsia="Times New Roman" w:hAnsi="Times New Roman"/>
          <w:sz w:val="17"/>
          <w:szCs w:val="17"/>
          <w:u w:val="single" w:color="auto"/>
          <w:color w:val="0000FF"/>
        </w:rPr>
        <w:t xml:space="preserve"> </w:t>
      </w:r>
      <w:hyperlink r:id="rId167">
        <w:r>
          <w:rPr>
            <w:rFonts w:ascii="Times New Roman" w:cs="Times New Roman" w:eastAsia="Times New Roman" w:hAnsi="Times New Roman"/>
            <w:sz w:val="17"/>
            <w:szCs w:val="17"/>
            <w:u w:val="single" w:color="auto"/>
            <w:color w:val="0000FF"/>
          </w:rPr>
          <w:t>effective as of March 11, 2009, between Bonnie Anderson and the</w:t>
        </w:r>
      </w:hyperlink>
      <w:r>
        <w:rPr>
          <w:rFonts w:ascii="Times New Roman" w:cs="Times New Roman" w:eastAsia="Times New Roman" w:hAnsi="Times New Roman"/>
          <w:sz w:val="17"/>
          <w:szCs w:val="17"/>
          <w:u w:val="single" w:color="auto"/>
          <w:color w:val="0000FF"/>
        </w:rPr>
        <w:t xml:space="preserve"> </w:t>
      </w:r>
      <w:hyperlink r:id="rId167">
        <w:r>
          <w:rPr>
            <w:rFonts w:ascii="Times New Roman" w:cs="Times New Roman" w:eastAsia="Times New Roman" w:hAnsi="Times New Roman"/>
            <w:sz w:val="17"/>
            <w:szCs w:val="17"/>
            <w:u w:val="single" w:color="auto"/>
            <w:color w:val="0000FF"/>
          </w:rPr>
          <w:t>Registrant</w:t>
        </w:r>
      </w:hyperlink>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br w:type="column"/>
      </w:r>
    </w:p>
    <w:p>
      <w:pPr>
        <w:spacing w:after="0" w:line="36" w:lineRule="exact"/>
        <w:rPr>
          <w:rFonts w:ascii="Times New Roman" w:cs="Times New Roman" w:eastAsia="Times New Roman" w:hAnsi="Times New Roman"/>
          <w:sz w:val="17"/>
          <w:szCs w:val="17"/>
          <w:u w:val="single" w:color="auto"/>
          <w:color w:val="0000FF"/>
        </w:rPr>
      </w:pPr>
    </w:p>
    <w:p>
      <w:pPr>
        <w:spacing w:after="0"/>
        <w:rPr>
          <w:sz w:val="20"/>
          <w:szCs w:val="20"/>
          <w:color w:val="auto"/>
        </w:rPr>
      </w:pPr>
      <w:r>
        <w:rPr>
          <w:rFonts w:ascii="Times New Roman" w:cs="Times New Roman" w:eastAsia="Times New Roman" w:hAnsi="Times New Roman"/>
          <w:sz w:val="17"/>
          <w:szCs w:val="17"/>
          <w:color w:val="auto"/>
        </w:rPr>
        <w:t>S-1</w:t>
      </w:r>
    </w:p>
    <w:p>
      <w:pPr>
        <w:spacing w:after="0" w:line="179" w:lineRule="exact"/>
        <w:rPr>
          <w:rFonts w:ascii="Times New Roman" w:cs="Times New Roman" w:eastAsia="Times New Roman" w:hAnsi="Times New Roman"/>
          <w:sz w:val="17"/>
          <w:szCs w:val="17"/>
          <w:u w:val="single" w:color="auto"/>
          <w:color w:val="0000FF"/>
        </w:rPr>
      </w:pPr>
    </w:p>
    <w:p>
      <w:pPr>
        <w:spacing w:after="0"/>
        <w:rPr>
          <w:sz w:val="20"/>
          <w:szCs w:val="20"/>
          <w:color w:val="auto"/>
        </w:rPr>
      </w:pPr>
      <w:r>
        <w:rPr>
          <w:rFonts w:ascii="Times New Roman" w:cs="Times New Roman" w:eastAsia="Times New Roman" w:hAnsi="Times New Roman"/>
          <w:sz w:val="17"/>
          <w:szCs w:val="17"/>
          <w:color w:val="auto"/>
        </w:rPr>
        <w:t>S-1</w:t>
      </w:r>
    </w:p>
    <w:p>
      <w:pPr>
        <w:spacing w:after="0" w:line="266" w:lineRule="exact"/>
        <w:rPr>
          <w:rFonts w:ascii="Times New Roman" w:cs="Times New Roman" w:eastAsia="Times New Roman" w:hAnsi="Times New Roman"/>
          <w:sz w:val="17"/>
          <w:szCs w:val="17"/>
          <w:u w:val="single" w:color="auto"/>
          <w:color w:val="0000FF"/>
        </w:rPr>
      </w:pPr>
    </w:p>
    <w:p>
      <w:pPr>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br w:type="column"/>
      </w:r>
    </w:p>
    <w:p>
      <w:pPr>
        <w:spacing w:after="0" w:line="36" w:lineRule="exact"/>
        <w:rPr>
          <w:rFonts w:ascii="Times New Roman" w:cs="Times New Roman" w:eastAsia="Times New Roman" w:hAnsi="Times New Roman"/>
          <w:sz w:val="17"/>
          <w:szCs w:val="17"/>
          <w:u w:val="single" w:color="auto"/>
          <w:color w:val="0000FF"/>
        </w:rPr>
      </w:pPr>
    </w:p>
    <w:p>
      <w:pPr>
        <w:spacing w:after="0"/>
        <w:tabs>
          <w:tab w:leader="none" w:pos="1260" w:val="left"/>
          <w:tab w:leader="none" w:pos="2120" w:val="left"/>
        </w:tabs>
        <w:rPr>
          <w:sz w:val="20"/>
          <w:szCs w:val="20"/>
          <w:color w:val="auto"/>
        </w:rPr>
      </w:pPr>
      <w:r>
        <w:rPr>
          <w:rFonts w:ascii="Times New Roman" w:cs="Times New Roman" w:eastAsia="Times New Roman" w:hAnsi="Times New Roman"/>
          <w:sz w:val="17"/>
          <w:szCs w:val="17"/>
          <w:color w:val="auto"/>
        </w:rPr>
        <w:t>333-191282</w:t>
      </w:r>
      <w:r>
        <w:rPr>
          <w:sz w:val="20"/>
          <w:szCs w:val="20"/>
          <w:color w:val="auto"/>
        </w:rPr>
        <w:tab/>
      </w:r>
      <w:r>
        <w:rPr>
          <w:rFonts w:ascii="Times New Roman" w:cs="Times New Roman" w:eastAsia="Times New Roman" w:hAnsi="Times New Roman"/>
          <w:sz w:val="17"/>
          <w:szCs w:val="17"/>
          <w:color w:val="auto"/>
        </w:rPr>
        <w:t>10.10</w:t>
      </w:r>
      <w:r>
        <w:rPr>
          <w:sz w:val="20"/>
          <w:szCs w:val="20"/>
          <w:color w:val="auto"/>
        </w:rPr>
        <w:tab/>
      </w:r>
      <w:r>
        <w:rPr>
          <w:rFonts w:ascii="Times New Roman" w:cs="Times New Roman" w:eastAsia="Times New Roman" w:hAnsi="Times New Roman"/>
          <w:sz w:val="16"/>
          <w:szCs w:val="16"/>
          <w:color w:val="auto"/>
        </w:rPr>
        <w:t>9/20/2013</w:t>
      </w:r>
    </w:p>
    <w:p>
      <w:pPr>
        <w:spacing w:after="0" w:line="179" w:lineRule="exact"/>
        <w:rPr>
          <w:rFonts w:ascii="Times New Roman" w:cs="Times New Roman" w:eastAsia="Times New Roman" w:hAnsi="Times New Roman"/>
          <w:sz w:val="17"/>
          <w:szCs w:val="17"/>
          <w:u w:val="single" w:color="auto"/>
          <w:color w:val="0000FF"/>
        </w:rPr>
      </w:pPr>
    </w:p>
    <w:p>
      <w:pPr>
        <w:spacing w:after="0"/>
        <w:tabs>
          <w:tab w:leader="none" w:pos="1260" w:val="left"/>
          <w:tab w:leader="none" w:pos="2120" w:val="left"/>
        </w:tabs>
        <w:rPr>
          <w:sz w:val="20"/>
          <w:szCs w:val="20"/>
          <w:color w:val="auto"/>
        </w:rPr>
      </w:pPr>
      <w:r>
        <w:rPr>
          <w:rFonts w:ascii="Times New Roman" w:cs="Times New Roman" w:eastAsia="Times New Roman" w:hAnsi="Times New Roman"/>
          <w:sz w:val="17"/>
          <w:szCs w:val="17"/>
          <w:color w:val="auto"/>
        </w:rPr>
        <w:t>333-191282</w:t>
      </w:r>
      <w:r>
        <w:rPr>
          <w:sz w:val="20"/>
          <w:szCs w:val="20"/>
          <w:color w:val="auto"/>
        </w:rPr>
        <w:tab/>
      </w:r>
      <w:r>
        <w:rPr>
          <w:rFonts w:ascii="Times New Roman" w:cs="Times New Roman" w:eastAsia="Times New Roman" w:hAnsi="Times New Roman"/>
          <w:sz w:val="17"/>
          <w:szCs w:val="17"/>
          <w:color w:val="auto"/>
        </w:rPr>
        <w:t>10.11</w:t>
      </w:r>
      <w:r>
        <w:rPr>
          <w:sz w:val="20"/>
          <w:szCs w:val="20"/>
          <w:color w:val="auto"/>
        </w:rPr>
        <w:tab/>
      </w:r>
      <w:r>
        <w:rPr>
          <w:rFonts w:ascii="Times New Roman" w:cs="Times New Roman" w:eastAsia="Times New Roman" w:hAnsi="Times New Roman"/>
          <w:sz w:val="16"/>
          <w:szCs w:val="16"/>
          <w:color w:val="auto"/>
        </w:rPr>
        <w:t>9/20/2013</w:t>
      </w:r>
    </w:p>
    <w:p>
      <w:pPr>
        <w:spacing w:after="0" w:line="266" w:lineRule="exact"/>
        <w:rPr>
          <w:rFonts w:ascii="Times New Roman" w:cs="Times New Roman" w:eastAsia="Times New Roman" w:hAnsi="Times New Roman"/>
          <w:sz w:val="17"/>
          <w:szCs w:val="17"/>
          <w:u w:val="single" w:color="auto"/>
          <w:color w:val="0000FF"/>
        </w:rPr>
      </w:pPr>
    </w:p>
    <w:p>
      <w:pPr>
        <w:spacing w:after="0"/>
        <w:tabs>
          <w:tab w:leader="none" w:pos="1260" w:val="left"/>
          <w:tab w:leader="none" w:pos="2120" w:val="left"/>
        </w:tabs>
        <w:rPr>
          <w:sz w:val="20"/>
          <w:szCs w:val="20"/>
          <w:color w:val="auto"/>
        </w:rPr>
      </w:pPr>
      <w:r>
        <w:rPr>
          <w:rFonts w:ascii="Times New Roman" w:cs="Times New Roman" w:eastAsia="Times New Roman" w:hAnsi="Times New Roman"/>
          <w:sz w:val="17"/>
          <w:szCs w:val="17"/>
          <w:color w:val="auto"/>
        </w:rPr>
        <w:t>333-191282</w:t>
      </w:r>
      <w:r>
        <w:rPr>
          <w:sz w:val="20"/>
          <w:szCs w:val="20"/>
          <w:color w:val="auto"/>
        </w:rPr>
        <w:tab/>
      </w:r>
      <w:r>
        <w:rPr>
          <w:rFonts w:ascii="Times New Roman" w:cs="Times New Roman" w:eastAsia="Times New Roman" w:hAnsi="Times New Roman"/>
          <w:sz w:val="17"/>
          <w:szCs w:val="17"/>
          <w:color w:val="auto"/>
        </w:rPr>
        <w:t>10.12</w:t>
      </w:r>
      <w:r>
        <w:rPr>
          <w:sz w:val="20"/>
          <w:szCs w:val="20"/>
          <w:color w:val="auto"/>
        </w:rPr>
        <w:tab/>
      </w:r>
      <w:r>
        <w:rPr>
          <w:rFonts w:ascii="Times New Roman" w:cs="Times New Roman" w:eastAsia="Times New Roman" w:hAnsi="Times New Roman"/>
          <w:sz w:val="16"/>
          <w:szCs w:val="16"/>
          <w:color w:val="auto"/>
        </w:rPr>
        <w:t>9/20/2013</w:t>
      </w:r>
    </w:p>
    <w:p>
      <w:pPr>
        <w:spacing w:after="0" w:line="183" w:lineRule="exact"/>
        <w:rPr>
          <w:rFonts w:ascii="Times New Roman" w:cs="Times New Roman" w:eastAsia="Times New Roman" w:hAnsi="Times New Roman"/>
          <w:sz w:val="17"/>
          <w:szCs w:val="17"/>
          <w:u w:val="single" w:color="auto"/>
          <w:color w:val="0000FF"/>
        </w:rPr>
      </w:pPr>
    </w:p>
    <w:p>
      <w:pPr>
        <w:sectPr>
          <w:pgSz w:w="11900" w:h="16838" w:orient="portrait"/>
          <w:cols w:equalWidth="0" w:num="4">
            <w:col w:w="480" w:space="580"/>
            <w:col w:w="4700" w:space="80"/>
            <w:col w:w="460" w:space="720"/>
            <w:col w:w="4220"/>
          </w:cols>
          <w:pgMar w:left="320" w:top="12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10.16#</w:t>
      </w:r>
    </w:p>
    <w:p>
      <w:pPr>
        <w:spacing w:after="0" w:line="186" w:lineRule="exact"/>
        <w:rPr>
          <w:rFonts w:ascii="Times New Roman" w:cs="Times New Roman" w:eastAsia="Times New Roman" w:hAnsi="Times New Roman"/>
          <w:sz w:val="17"/>
          <w:szCs w:val="17"/>
          <w:u w:val="single" w:color="auto"/>
          <w:color w:val="0000FF"/>
        </w:rPr>
      </w:pPr>
    </w:p>
    <w:p>
      <w:pPr>
        <w:ind w:left="20"/>
        <w:spacing w:after="0"/>
        <w:rPr>
          <w:sz w:val="20"/>
          <w:szCs w:val="20"/>
          <w:color w:val="auto"/>
        </w:rPr>
      </w:pPr>
      <w:r>
        <w:rPr>
          <w:rFonts w:ascii="Times New Roman" w:cs="Times New Roman" w:eastAsia="Times New Roman" w:hAnsi="Times New Roman"/>
          <w:sz w:val="16"/>
          <w:szCs w:val="16"/>
          <w:color w:val="auto"/>
        </w:rPr>
        <w:t>10.17†</w:t>
      </w:r>
    </w:p>
    <w:p>
      <w:pPr>
        <w:spacing w:after="0" w:line="265" w:lineRule="exact"/>
        <w:rPr>
          <w:rFonts w:ascii="Times New Roman" w:cs="Times New Roman" w:eastAsia="Times New Roman" w:hAnsi="Times New Roman"/>
          <w:sz w:val="17"/>
          <w:szCs w:val="17"/>
          <w:u w:val="single" w:color="auto"/>
          <w:color w:val="0000FF"/>
        </w:rPr>
      </w:pPr>
    </w:p>
    <w:p>
      <w:pPr>
        <w:ind w:left="20"/>
        <w:spacing w:after="0"/>
        <w:rPr>
          <w:sz w:val="20"/>
          <w:szCs w:val="20"/>
          <w:color w:val="auto"/>
        </w:rPr>
      </w:pPr>
      <w:r>
        <w:rPr>
          <w:rFonts w:ascii="Times New Roman" w:cs="Times New Roman" w:eastAsia="Times New Roman" w:hAnsi="Times New Roman"/>
          <w:sz w:val="17"/>
          <w:szCs w:val="17"/>
          <w:color w:val="auto"/>
        </w:rPr>
        <w:t>10.18</w:t>
      </w:r>
    </w:p>
    <w:p>
      <w:pPr>
        <w:spacing w:after="0" w:line="104" w:lineRule="exact"/>
        <w:rPr>
          <w:rFonts w:ascii="Times New Roman" w:cs="Times New Roman" w:eastAsia="Times New Roman" w:hAnsi="Times New Roman"/>
          <w:sz w:val="17"/>
          <w:szCs w:val="17"/>
          <w:u w:val="single" w:color="auto"/>
          <w:color w:val="0000FF"/>
        </w:rPr>
      </w:pPr>
    </w:p>
    <w:p>
      <w:pPr>
        <w:ind w:left="20"/>
        <w:spacing w:after="0"/>
        <w:rPr>
          <w:sz w:val="20"/>
          <w:szCs w:val="20"/>
          <w:color w:val="auto"/>
        </w:rPr>
      </w:pPr>
      <w:r>
        <w:rPr>
          <w:rFonts w:ascii="Times New Roman" w:cs="Times New Roman" w:eastAsia="Times New Roman" w:hAnsi="Times New Roman"/>
          <w:sz w:val="16"/>
          <w:szCs w:val="16"/>
          <w:color w:val="auto"/>
        </w:rPr>
        <w:t>10.19#</w:t>
      </w:r>
    </w:p>
    <w:p>
      <w:pPr>
        <w:spacing w:after="0" w:line="32" w:lineRule="exact"/>
        <w:rPr>
          <w:rFonts w:ascii="Times New Roman" w:cs="Times New Roman" w:eastAsia="Times New Roman" w:hAnsi="Times New Roman"/>
          <w:sz w:val="17"/>
          <w:szCs w:val="17"/>
          <w:u w:val="single" w:color="auto"/>
          <w:color w:val="0000FF"/>
        </w:rPr>
      </w:pPr>
    </w:p>
    <w:p>
      <w:pPr>
        <w:ind w:left="20"/>
        <w:spacing w:after="0"/>
        <w:rPr>
          <w:sz w:val="20"/>
          <w:szCs w:val="20"/>
          <w:color w:val="auto"/>
        </w:rPr>
      </w:pPr>
      <w:r>
        <w:rPr>
          <w:rFonts w:ascii="Times New Roman" w:cs="Times New Roman" w:eastAsia="Times New Roman" w:hAnsi="Times New Roman"/>
          <w:sz w:val="17"/>
          <w:szCs w:val="17"/>
          <w:color w:val="auto"/>
        </w:rPr>
        <w:t>10.20</w:t>
      </w:r>
    </w:p>
    <w:p>
      <w:pPr>
        <w:spacing w:after="0" w:line="88" w:lineRule="exact"/>
        <w:rPr>
          <w:rFonts w:ascii="Times New Roman" w:cs="Times New Roman" w:eastAsia="Times New Roman" w:hAnsi="Times New Roman"/>
          <w:sz w:val="17"/>
          <w:szCs w:val="17"/>
          <w:u w:val="single" w:color="auto"/>
          <w:color w:val="0000FF"/>
        </w:rPr>
      </w:pPr>
    </w:p>
    <w:p>
      <w:pPr>
        <w:ind w:left="20"/>
        <w:spacing w:after="0"/>
        <w:rPr>
          <w:sz w:val="20"/>
          <w:szCs w:val="20"/>
          <w:color w:val="auto"/>
        </w:rPr>
      </w:pPr>
      <w:r>
        <w:rPr>
          <w:rFonts w:ascii="Times New Roman" w:cs="Times New Roman" w:eastAsia="Times New Roman" w:hAnsi="Times New Roman"/>
          <w:sz w:val="16"/>
          <w:szCs w:val="16"/>
          <w:color w:val="auto"/>
        </w:rPr>
        <w:t>10.21#</w:t>
      </w:r>
    </w:p>
    <w:p>
      <w:pPr>
        <w:spacing w:after="0" w:line="191" w:lineRule="exact"/>
        <w:rPr>
          <w:rFonts w:ascii="Times New Roman" w:cs="Times New Roman" w:eastAsia="Times New Roman" w:hAnsi="Times New Roman"/>
          <w:sz w:val="17"/>
          <w:szCs w:val="17"/>
          <w:u w:val="single" w:color="auto"/>
          <w:color w:val="0000FF"/>
        </w:rPr>
      </w:pPr>
    </w:p>
    <w:p>
      <w:pPr>
        <w:ind w:left="20"/>
        <w:spacing w:after="0"/>
        <w:rPr>
          <w:sz w:val="20"/>
          <w:szCs w:val="20"/>
          <w:color w:val="auto"/>
        </w:rPr>
      </w:pPr>
      <w:r>
        <w:rPr>
          <w:rFonts w:ascii="Times New Roman" w:cs="Times New Roman" w:eastAsia="Times New Roman" w:hAnsi="Times New Roman"/>
          <w:sz w:val="16"/>
          <w:szCs w:val="16"/>
          <w:color w:val="auto"/>
        </w:rPr>
        <w:t>10.22#</w:t>
      </w:r>
    </w:p>
    <w:p>
      <w:pPr>
        <w:spacing w:after="0" w:line="191" w:lineRule="exact"/>
        <w:rPr>
          <w:rFonts w:ascii="Times New Roman" w:cs="Times New Roman" w:eastAsia="Times New Roman" w:hAnsi="Times New Roman"/>
          <w:sz w:val="17"/>
          <w:szCs w:val="17"/>
          <w:u w:val="single" w:color="auto"/>
          <w:color w:val="0000FF"/>
        </w:rPr>
      </w:pPr>
    </w:p>
    <w:p>
      <w:pPr>
        <w:ind w:left="20"/>
        <w:spacing w:after="0"/>
        <w:rPr>
          <w:sz w:val="20"/>
          <w:szCs w:val="20"/>
          <w:color w:val="auto"/>
        </w:rPr>
      </w:pPr>
      <w:r>
        <w:rPr>
          <w:rFonts w:ascii="Times New Roman" w:cs="Times New Roman" w:eastAsia="Times New Roman" w:hAnsi="Times New Roman"/>
          <w:sz w:val="16"/>
          <w:szCs w:val="16"/>
          <w:color w:val="auto"/>
        </w:rPr>
        <w:t>10.23#</w:t>
      </w:r>
    </w:p>
    <w:p>
      <w:pPr>
        <w:spacing w:after="0" w:line="191" w:lineRule="exact"/>
        <w:rPr>
          <w:rFonts w:ascii="Times New Roman" w:cs="Times New Roman" w:eastAsia="Times New Roman" w:hAnsi="Times New Roman"/>
          <w:sz w:val="17"/>
          <w:szCs w:val="17"/>
          <w:u w:val="single" w:color="auto"/>
          <w:color w:val="0000FF"/>
        </w:rPr>
      </w:pPr>
    </w:p>
    <w:p>
      <w:pPr>
        <w:ind w:left="20"/>
        <w:spacing w:after="0"/>
        <w:rPr>
          <w:sz w:val="20"/>
          <w:szCs w:val="20"/>
          <w:color w:val="auto"/>
        </w:rPr>
      </w:pPr>
      <w:r>
        <w:rPr>
          <w:rFonts w:ascii="Times New Roman" w:cs="Times New Roman" w:eastAsia="Times New Roman" w:hAnsi="Times New Roman"/>
          <w:sz w:val="16"/>
          <w:szCs w:val="16"/>
          <w:color w:val="auto"/>
        </w:rPr>
        <w:t>10.24#</w:t>
      </w:r>
    </w:p>
    <w:p>
      <w:pPr>
        <w:spacing w:after="0" w:line="116" w:lineRule="exact"/>
        <w:rPr>
          <w:rFonts w:ascii="Times New Roman" w:cs="Times New Roman" w:eastAsia="Times New Roman" w:hAnsi="Times New Roman"/>
          <w:sz w:val="17"/>
          <w:szCs w:val="17"/>
          <w:u w:val="single" w:color="auto"/>
          <w:color w:val="0000FF"/>
        </w:rPr>
      </w:pPr>
    </w:p>
    <w:p>
      <w:pPr>
        <w:ind w:left="20"/>
        <w:spacing w:after="0"/>
        <w:rPr>
          <w:sz w:val="20"/>
          <w:szCs w:val="20"/>
          <w:color w:val="auto"/>
        </w:rPr>
      </w:pPr>
      <w:r>
        <w:rPr>
          <w:rFonts w:ascii="Times New Roman" w:cs="Times New Roman" w:eastAsia="Times New Roman" w:hAnsi="Times New Roman"/>
          <w:sz w:val="16"/>
          <w:szCs w:val="16"/>
          <w:color w:val="auto"/>
        </w:rPr>
        <w:t>10.25#</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br w:type="column"/>
      </w:r>
    </w:p>
    <w:p>
      <w:pPr>
        <w:spacing w:after="0"/>
        <w:rPr>
          <w:rFonts w:ascii="Times New Roman" w:cs="Times New Roman" w:eastAsia="Times New Roman" w:hAnsi="Times New Roman"/>
          <w:sz w:val="17"/>
          <w:szCs w:val="17"/>
          <w:u w:val="single" w:color="auto"/>
          <w:color w:val="0000FF"/>
        </w:rPr>
      </w:pPr>
      <w:hyperlink r:id="rId168">
        <w:r>
          <w:rPr>
            <w:rFonts w:ascii="Times New Roman" w:cs="Times New Roman" w:eastAsia="Times New Roman" w:hAnsi="Times New Roman"/>
            <w:sz w:val="17"/>
            <w:szCs w:val="17"/>
            <w:u w:val="single" w:color="auto"/>
            <w:color w:val="0000FF"/>
          </w:rPr>
          <w:t>Offer Letter dated as of March 5, 2008 with Giulia Kennedy</w:t>
        </w:r>
      </w:hyperlink>
    </w:p>
    <w:p>
      <w:pPr>
        <w:spacing w:after="0" w:line="17" w:lineRule="exact"/>
        <w:rPr>
          <w:rFonts w:ascii="Times New Roman" w:cs="Times New Roman" w:eastAsia="Times New Roman" w:hAnsi="Times New Roman"/>
          <w:sz w:val="17"/>
          <w:szCs w:val="17"/>
          <w:u w:val="single" w:color="auto"/>
          <w:color w:val="0000FF"/>
        </w:rPr>
      </w:pPr>
    </w:p>
    <w:p>
      <w:pPr>
        <w:ind w:right="80"/>
        <w:spacing w:after="0" w:line="219" w:lineRule="auto"/>
        <w:rPr>
          <w:rFonts w:ascii="Times New Roman" w:cs="Times New Roman" w:eastAsia="Times New Roman" w:hAnsi="Times New Roman"/>
          <w:sz w:val="17"/>
          <w:szCs w:val="17"/>
          <w:u w:val="single" w:color="auto"/>
          <w:color w:val="0000FF"/>
        </w:rPr>
      </w:pPr>
      <w:hyperlink r:id="rId169">
        <w:r>
          <w:rPr>
            <w:rFonts w:ascii="Times New Roman" w:cs="Times New Roman" w:eastAsia="Times New Roman" w:hAnsi="Times New Roman"/>
            <w:sz w:val="17"/>
            <w:szCs w:val="17"/>
            <w:u w:val="single" w:color="auto"/>
            <w:color w:val="0000FF"/>
          </w:rPr>
          <w:t>Amended and Restated Pathology Services Agreement dated as of</w:t>
        </w:r>
      </w:hyperlink>
      <w:r>
        <w:rPr>
          <w:rFonts w:ascii="Times New Roman" w:cs="Times New Roman" w:eastAsia="Times New Roman" w:hAnsi="Times New Roman"/>
          <w:sz w:val="17"/>
          <w:szCs w:val="17"/>
          <w:u w:val="single" w:color="auto"/>
          <w:color w:val="0000FF"/>
        </w:rPr>
        <w:t xml:space="preserve"> </w:t>
      </w:r>
      <w:hyperlink r:id="rId169">
        <w:r>
          <w:rPr>
            <w:rFonts w:ascii="Times New Roman" w:cs="Times New Roman" w:eastAsia="Times New Roman" w:hAnsi="Times New Roman"/>
            <w:sz w:val="17"/>
            <w:szCs w:val="17"/>
            <w:u w:val="single" w:color="auto"/>
            <w:color w:val="0000FF"/>
          </w:rPr>
          <w:t>February 14, 2019 between Thyroid Cytopathology Partners, P.A. and</w:t>
        </w:r>
      </w:hyperlink>
      <w:r>
        <w:rPr>
          <w:rFonts w:ascii="Times New Roman" w:cs="Times New Roman" w:eastAsia="Times New Roman" w:hAnsi="Times New Roman"/>
          <w:sz w:val="17"/>
          <w:szCs w:val="17"/>
          <w:u w:val="single" w:color="auto"/>
          <w:color w:val="0000FF"/>
        </w:rPr>
        <w:t xml:space="preserve"> </w:t>
      </w:r>
      <w:hyperlink r:id="rId169">
        <w:r>
          <w:rPr>
            <w:rFonts w:ascii="Times New Roman" w:cs="Times New Roman" w:eastAsia="Times New Roman" w:hAnsi="Times New Roman"/>
            <w:sz w:val="17"/>
            <w:szCs w:val="17"/>
            <w:u w:val="single" w:color="auto"/>
            <w:color w:val="0000FF"/>
          </w:rPr>
          <w:t>the Registrant</w:t>
        </w:r>
      </w:hyperlink>
    </w:p>
    <w:p>
      <w:pPr>
        <w:spacing w:after="0" w:line="2"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170">
        <w:r>
          <w:rPr>
            <w:rFonts w:ascii="Times New Roman" w:cs="Times New Roman" w:eastAsia="Times New Roman" w:hAnsi="Times New Roman"/>
            <w:sz w:val="17"/>
            <w:szCs w:val="17"/>
            <w:u w:val="single" w:color="auto"/>
            <w:color w:val="0000FF"/>
          </w:rPr>
          <w:t>Loan and Security Agreement dated as of November 3, 2017 between</w:t>
        </w:r>
      </w:hyperlink>
      <w:r>
        <w:rPr>
          <w:rFonts w:ascii="Times New Roman" w:cs="Times New Roman" w:eastAsia="Times New Roman" w:hAnsi="Times New Roman"/>
          <w:sz w:val="17"/>
          <w:szCs w:val="17"/>
          <w:u w:val="single" w:color="auto"/>
          <w:color w:val="0000FF"/>
        </w:rPr>
        <w:t xml:space="preserve"> </w:t>
      </w:r>
      <w:hyperlink r:id="rId170">
        <w:r>
          <w:rPr>
            <w:rFonts w:ascii="Times New Roman" w:cs="Times New Roman" w:eastAsia="Times New Roman" w:hAnsi="Times New Roman"/>
            <w:sz w:val="17"/>
            <w:szCs w:val="17"/>
            <w:u w:val="single" w:color="auto"/>
            <w:color w:val="0000FF"/>
          </w:rPr>
          <w:t>Silicon Valley Bank and the Registrant</w:t>
        </w:r>
      </w:hyperlink>
    </w:p>
    <w:p>
      <w:pPr>
        <w:spacing w:after="0" w:line="1" w:lineRule="exact"/>
        <w:rPr>
          <w:sz w:val="20"/>
          <w:szCs w:val="20"/>
          <w:color w:val="auto"/>
        </w:rPr>
      </w:pPr>
    </w:p>
    <w:p>
      <w:pPr>
        <w:ind w:right="420"/>
        <w:spacing w:after="0" w:line="260" w:lineRule="auto"/>
        <w:rPr>
          <w:rFonts w:ascii="Times New Roman" w:cs="Times New Roman" w:eastAsia="Times New Roman" w:hAnsi="Times New Roman"/>
          <w:sz w:val="17"/>
          <w:szCs w:val="17"/>
          <w:u w:val="single" w:color="auto"/>
          <w:color w:val="0000FF"/>
        </w:rPr>
      </w:pPr>
      <w:hyperlink r:id="rId171">
        <w:r>
          <w:rPr>
            <w:rFonts w:ascii="Times New Roman" w:cs="Times New Roman" w:eastAsia="Times New Roman" w:hAnsi="Times New Roman"/>
            <w:sz w:val="17"/>
            <w:szCs w:val="17"/>
            <w:u w:val="single" w:color="auto"/>
            <w:color w:val="0000FF"/>
          </w:rPr>
          <w:t>Offer Letter dated as of November 17, 2016 with Keith Kennedy</w:t>
        </w:r>
      </w:hyperlink>
      <w:r>
        <w:rPr>
          <w:rFonts w:ascii="Times New Roman" w:cs="Times New Roman" w:eastAsia="Times New Roman" w:hAnsi="Times New Roman"/>
          <w:sz w:val="17"/>
          <w:szCs w:val="17"/>
          <w:u w:val="single" w:color="auto"/>
          <w:color w:val="0000FF"/>
        </w:rPr>
        <w:t xml:space="preserve"> </w:t>
      </w:r>
      <w:hyperlink r:id="rId172">
        <w:r>
          <w:rPr>
            <w:rFonts w:ascii="Times New Roman" w:cs="Times New Roman" w:eastAsia="Times New Roman" w:hAnsi="Times New Roman"/>
            <w:sz w:val="17"/>
            <w:szCs w:val="17"/>
            <w:u w:val="single" w:color="auto"/>
            <w:color w:val="0000FF"/>
          </w:rPr>
          <w:t>Form of Performance Stock Unit</w:t>
        </w:r>
      </w:hyperlink>
    </w:p>
    <w:p>
      <w:pPr>
        <w:spacing w:after="0" w:line="1" w:lineRule="exact"/>
        <w:rPr>
          <w:sz w:val="20"/>
          <w:szCs w:val="20"/>
          <w:color w:val="auto"/>
        </w:rPr>
      </w:pPr>
    </w:p>
    <w:p>
      <w:pPr>
        <w:ind w:right="100"/>
        <w:spacing w:after="0" w:line="244" w:lineRule="auto"/>
        <w:rPr>
          <w:rFonts w:ascii="Times New Roman" w:cs="Times New Roman" w:eastAsia="Times New Roman" w:hAnsi="Times New Roman"/>
          <w:sz w:val="16"/>
          <w:szCs w:val="16"/>
          <w:u w:val="single" w:color="auto"/>
          <w:color w:val="0000FF"/>
        </w:rPr>
      </w:pPr>
      <w:hyperlink r:id="rId173">
        <w:r>
          <w:rPr>
            <w:rFonts w:ascii="Times New Roman" w:cs="Times New Roman" w:eastAsia="Times New Roman" w:hAnsi="Times New Roman"/>
            <w:sz w:val="16"/>
            <w:szCs w:val="16"/>
            <w:u w:val="single" w:color="auto"/>
            <w:color w:val="0000FF"/>
          </w:rPr>
          <w:t>Amended and Restated Change in Control and Severance Agreement,</w:t>
        </w:r>
      </w:hyperlink>
      <w:r>
        <w:rPr>
          <w:rFonts w:ascii="Times New Roman" w:cs="Times New Roman" w:eastAsia="Times New Roman" w:hAnsi="Times New Roman"/>
          <w:sz w:val="16"/>
          <w:szCs w:val="16"/>
          <w:u w:val="single" w:color="auto"/>
          <w:color w:val="0000FF"/>
        </w:rPr>
        <w:t xml:space="preserve"> </w:t>
      </w:r>
      <w:hyperlink r:id="rId173">
        <w:r>
          <w:rPr>
            <w:rFonts w:ascii="Times New Roman" w:cs="Times New Roman" w:eastAsia="Times New Roman" w:hAnsi="Times New Roman"/>
            <w:sz w:val="16"/>
            <w:szCs w:val="16"/>
            <w:u w:val="single" w:color="auto"/>
            <w:color w:val="0000FF"/>
          </w:rPr>
          <w:t>effective July 1, 2019 between Bonnie Anderson and the Registrant</w:t>
        </w:r>
      </w:hyperlink>
    </w:p>
    <w:p>
      <w:pPr>
        <w:ind w:right="100"/>
        <w:spacing w:after="0" w:line="244" w:lineRule="auto"/>
        <w:rPr>
          <w:rFonts w:ascii="Times New Roman" w:cs="Times New Roman" w:eastAsia="Times New Roman" w:hAnsi="Times New Roman"/>
          <w:sz w:val="16"/>
          <w:szCs w:val="16"/>
          <w:u w:val="single" w:color="auto"/>
          <w:color w:val="0000FF"/>
        </w:rPr>
      </w:pPr>
      <w:hyperlink r:id="rId174">
        <w:r>
          <w:rPr>
            <w:rFonts w:ascii="Times New Roman" w:cs="Times New Roman" w:eastAsia="Times New Roman" w:hAnsi="Times New Roman"/>
            <w:sz w:val="16"/>
            <w:szCs w:val="16"/>
            <w:u w:val="single" w:color="auto"/>
            <w:color w:val="0000FF"/>
          </w:rPr>
          <w:t>Amended and Restated Change in Control and Severance Agreement,</w:t>
        </w:r>
      </w:hyperlink>
      <w:r>
        <w:rPr>
          <w:rFonts w:ascii="Times New Roman" w:cs="Times New Roman" w:eastAsia="Times New Roman" w:hAnsi="Times New Roman"/>
          <w:sz w:val="16"/>
          <w:szCs w:val="16"/>
          <w:u w:val="single" w:color="auto"/>
          <w:color w:val="0000FF"/>
        </w:rPr>
        <w:t xml:space="preserve"> </w:t>
      </w:r>
      <w:hyperlink r:id="rId174">
        <w:r>
          <w:rPr>
            <w:rFonts w:ascii="Times New Roman" w:cs="Times New Roman" w:eastAsia="Times New Roman" w:hAnsi="Times New Roman"/>
            <w:sz w:val="16"/>
            <w:szCs w:val="16"/>
            <w:u w:val="single" w:color="auto"/>
            <w:color w:val="0000FF"/>
          </w:rPr>
          <w:t>effective July 1, 2019 between Keith Kennedy and the Registrant</w:t>
        </w:r>
      </w:hyperlink>
    </w:p>
    <w:p>
      <w:pPr>
        <w:ind w:right="100"/>
        <w:spacing w:after="0" w:line="244" w:lineRule="auto"/>
        <w:rPr>
          <w:rFonts w:ascii="Times New Roman" w:cs="Times New Roman" w:eastAsia="Times New Roman" w:hAnsi="Times New Roman"/>
          <w:sz w:val="16"/>
          <w:szCs w:val="16"/>
          <w:u w:val="single" w:color="auto"/>
          <w:color w:val="0000FF"/>
        </w:rPr>
      </w:pPr>
      <w:hyperlink r:id="rId175">
        <w:r>
          <w:rPr>
            <w:rFonts w:ascii="Times New Roman" w:cs="Times New Roman" w:eastAsia="Times New Roman" w:hAnsi="Times New Roman"/>
            <w:sz w:val="16"/>
            <w:szCs w:val="16"/>
            <w:u w:val="single" w:color="auto"/>
            <w:color w:val="0000FF"/>
          </w:rPr>
          <w:t>Amended and Restated Change in Control and Severance Agreement,</w:t>
        </w:r>
      </w:hyperlink>
      <w:r>
        <w:rPr>
          <w:rFonts w:ascii="Times New Roman" w:cs="Times New Roman" w:eastAsia="Times New Roman" w:hAnsi="Times New Roman"/>
          <w:sz w:val="16"/>
          <w:szCs w:val="16"/>
          <w:u w:val="single" w:color="auto"/>
          <w:color w:val="0000FF"/>
        </w:rPr>
        <w:t xml:space="preserve"> </w:t>
      </w:r>
      <w:hyperlink r:id="rId175">
        <w:r>
          <w:rPr>
            <w:rFonts w:ascii="Times New Roman" w:cs="Times New Roman" w:eastAsia="Times New Roman" w:hAnsi="Times New Roman"/>
            <w:sz w:val="16"/>
            <w:szCs w:val="16"/>
            <w:u w:val="single" w:color="auto"/>
            <w:color w:val="0000FF"/>
          </w:rPr>
          <w:t>effective July 1, 2019 between Giulia Kennedy and the Registrant</w:t>
        </w:r>
      </w:hyperlink>
    </w:p>
    <w:p>
      <w:pPr>
        <w:spacing w:after="0" w:line="244" w:lineRule="auto"/>
        <w:rPr>
          <w:rFonts w:ascii="Times New Roman" w:cs="Times New Roman" w:eastAsia="Times New Roman" w:hAnsi="Times New Roman"/>
          <w:sz w:val="16"/>
          <w:szCs w:val="16"/>
          <w:color w:val="0000FF"/>
        </w:rPr>
      </w:pPr>
      <w:hyperlink w:anchor="page135">
        <w:r>
          <w:rPr>
            <w:rFonts w:ascii="Times New Roman" w:cs="Times New Roman" w:eastAsia="Times New Roman" w:hAnsi="Times New Roman"/>
            <w:sz w:val="16"/>
            <w:szCs w:val="16"/>
            <w:u w:val="single" w:color="auto"/>
            <w:color w:val="0000FF"/>
          </w:rPr>
          <w:t>Amended and Restated Change in Control and Severance Agreement,</w:t>
        </w:r>
      </w:hyperlink>
      <w:r>
        <w:rPr>
          <w:rFonts w:ascii="Times New Roman" w:cs="Times New Roman" w:eastAsia="Times New Roman" w:hAnsi="Times New Roman"/>
          <w:sz w:val="16"/>
          <w:szCs w:val="16"/>
          <w:u w:val="single" w:color="auto"/>
          <w:color w:val="0000FF"/>
        </w:rPr>
        <w:t xml:space="preserve"> </w:t>
      </w:r>
      <w:hyperlink w:anchor="page135">
        <w:r>
          <w:rPr>
            <w:rFonts w:ascii="Times New Roman" w:cs="Times New Roman" w:eastAsia="Times New Roman" w:hAnsi="Times New Roman"/>
            <w:sz w:val="16"/>
            <w:szCs w:val="16"/>
            <w:u w:val="single" w:color="auto"/>
            <w:color w:val="0000FF"/>
          </w:rPr>
          <w:t>effective August</w:t>
        </w:r>
        <w:r>
          <w:rPr>
            <w:rFonts w:ascii="Times New Roman" w:cs="Times New Roman" w:eastAsia="Times New Roman" w:hAnsi="Times New Roman"/>
            <w:sz w:val="16"/>
            <w:szCs w:val="16"/>
            <w:color w:val="0000FF"/>
          </w:rPr>
          <w:t xml:space="preserve"> 1, </w:t>
        </w:r>
        <w:r>
          <w:rPr>
            <w:rFonts w:ascii="Times New Roman" w:cs="Times New Roman" w:eastAsia="Times New Roman" w:hAnsi="Times New Roman"/>
            <w:sz w:val="16"/>
            <w:szCs w:val="16"/>
            <w:u w:val="single" w:color="auto"/>
            <w:color w:val="0000FF"/>
          </w:rPr>
          <w:t>2020 between James Erlinger III and the Registrant</w:t>
        </w:r>
      </w:hyperlink>
    </w:p>
    <w:p>
      <w:pPr>
        <w:spacing w:after="0"/>
        <w:rPr>
          <w:rFonts w:ascii="Times New Roman" w:cs="Times New Roman" w:eastAsia="Times New Roman" w:hAnsi="Times New Roman"/>
          <w:sz w:val="17"/>
          <w:szCs w:val="17"/>
          <w:color w:val="0000FF"/>
        </w:rPr>
      </w:pPr>
      <w:hyperlink w:anchor="page156">
        <w:r>
          <w:rPr>
            <w:rFonts w:ascii="Times New Roman" w:cs="Times New Roman" w:eastAsia="Times New Roman" w:hAnsi="Times New Roman"/>
            <w:sz w:val="17"/>
            <w:szCs w:val="17"/>
            <w:u w:val="single" w:color="auto"/>
            <w:color w:val="0000FF"/>
          </w:rPr>
          <w:t>Offer Letter dated as of June 22</w:t>
        </w:r>
        <w:r>
          <w:rPr>
            <w:rFonts w:ascii="Times New Roman" w:cs="Times New Roman" w:eastAsia="Times New Roman" w:hAnsi="Times New Roman"/>
            <w:sz w:val="17"/>
            <w:szCs w:val="17"/>
            <w:color w:val="0000FF"/>
          </w:rPr>
          <w:t>, 20</w:t>
        </w:r>
        <w:r>
          <w:rPr>
            <w:rFonts w:ascii="Times New Roman" w:cs="Times New Roman" w:eastAsia="Times New Roman" w:hAnsi="Times New Roman"/>
            <w:sz w:val="17"/>
            <w:szCs w:val="17"/>
            <w:u w:val="single" w:color="auto"/>
            <w:color w:val="0000FF"/>
          </w:rPr>
          <w:t>20 with Jame</w:t>
        </w:r>
        <w:r>
          <w:rPr>
            <w:rFonts w:ascii="Times New Roman" w:cs="Times New Roman" w:eastAsia="Times New Roman" w:hAnsi="Times New Roman"/>
            <w:sz w:val="17"/>
            <w:szCs w:val="17"/>
            <w:color w:val="0000FF"/>
          </w:rPr>
          <w:t xml:space="preserve">s </w:t>
        </w:r>
        <w:r>
          <w:rPr>
            <w:rFonts w:ascii="Times New Roman" w:cs="Times New Roman" w:eastAsia="Times New Roman" w:hAnsi="Times New Roman"/>
            <w:sz w:val="17"/>
            <w:szCs w:val="17"/>
            <w:u w:val="single" w:color="auto"/>
            <w:color w:val="0000FF"/>
          </w:rPr>
          <w:t>Erlinger</w:t>
        </w:r>
      </w:hyperlink>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10-K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10-Q</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10-Q</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10-Q</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10-Q</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10-Q</w:t>
      </w:r>
    </w:p>
    <w:p>
      <w:pPr>
        <w:spacing w:after="0" w:line="20" w:lineRule="exact"/>
        <w:rPr>
          <w:sz w:val="20"/>
          <w:szCs w:val="20"/>
          <w:color w:val="auto"/>
        </w:rPr>
      </w:pPr>
      <w:r>
        <w:rPr>
          <w:sz w:val="20"/>
          <w:szCs w:val="20"/>
          <w:color w:val="auto"/>
        </w:rPr>
        <w:br w:type="column"/>
      </w:r>
    </w:p>
    <w:p>
      <w:pPr>
        <w:spacing w:after="0"/>
        <w:tabs>
          <w:tab w:leader="none" w:pos="1260" w:val="left"/>
          <w:tab w:leader="none" w:pos="2120" w:val="left"/>
        </w:tabs>
        <w:rPr>
          <w:sz w:val="20"/>
          <w:szCs w:val="20"/>
          <w:color w:val="auto"/>
        </w:rPr>
      </w:pPr>
      <w:r>
        <w:rPr>
          <w:rFonts w:ascii="Times New Roman" w:cs="Times New Roman" w:eastAsia="Times New Roman" w:hAnsi="Times New Roman"/>
          <w:sz w:val="17"/>
          <w:szCs w:val="17"/>
          <w:color w:val="auto"/>
        </w:rPr>
        <w:t>001-36156</w:t>
      </w:r>
      <w:r>
        <w:rPr>
          <w:sz w:val="20"/>
          <w:szCs w:val="20"/>
          <w:color w:val="auto"/>
        </w:rPr>
        <w:tab/>
      </w:r>
      <w:r>
        <w:rPr>
          <w:rFonts w:ascii="Times New Roman" w:cs="Times New Roman" w:eastAsia="Times New Roman" w:hAnsi="Times New Roman"/>
          <w:sz w:val="17"/>
          <w:szCs w:val="17"/>
          <w:color w:val="auto"/>
        </w:rPr>
        <w:t>10.15</w:t>
      </w:r>
      <w:r>
        <w:rPr>
          <w:sz w:val="20"/>
          <w:szCs w:val="20"/>
          <w:color w:val="auto"/>
        </w:rPr>
        <w:tab/>
      </w:r>
      <w:r>
        <w:rPr>
          <w:rFonts w:ascii="Times New Roman" w:cs="Times New Roman" w:eastAsia="Times New Roman" w:hAnsi="Times New Roman"/>
          <w:sz w:val="16"/>
          <w:szCs w:val="16"/>
          <w:color w:val="auto"/>
        </w:rPr>
        <w:t>2/25/2020</w:t>
      </w:r>
    </w:p>
    <w:p>
      <w:pPr>
        <w:spacing w:after="0" w:line="175" w:lineRule="exact"/>
        <w:rPr>
          <w:sz w:val="20"/>
          <w:szCs w:val="20"/>
          <w:color w:val="auto"/>
        </w:rPr>
      </w:pPr>
    </w:p>
    <w:p>
      <w:pPr>
        <w:spacing w:after="0"/>
        <w:tabs>
          <w:tab w:leader="none" w:pos="1260" w:val="left"/>
          <w:tab w:leader="none" w:pos="2120" w:val="left"/>
        </w:tabs>
        <w:rPr>
          <w:sz w:val="20"/>
          <w:szCs w:val="20"/>
          <w:color w:val="auto"/>
        </w:rPr>
      </w:pPr>
      <w:r>
        <w:rPr>
          <w:rFonts w:ascii="Times New Roman" w:cs="Times New Roman" w:eastAsia="Times New Roman" w:hAnsi="Times New Roman"/>
          <w:sz w:val="17"/>
          <w:szCs w:val="17"/>
          <w:color w:val="auto"/>
        </w:rPr>
        <w:t>001-36156</w:t>
      </w:r>
      <w:r>
        <w:rPr>
          <w:sz w:val="20"/>
          <w:szCs w:val="20"/>
          <w:color w:val="auto"/>
        </w:rPr>
        <w:tab/>
      </w:r>
      <w:r>
        <w:rPr>
          <w:rFonts w:ascii="Times New Roman" w:cs="Times New Roman" w:eastAsia="Times New Roman" w:hAnsi="Times New Roman"/>
          <w:sz w:val="17"/>
          <w:szCs w:val="17"/>
          <w:color w:val="auto"/>
        </w:rPr>
        <w:t>10.1</w:t>
      </w:r>
      <w:r>
        <w:rPr>
          <w:sz w:val="20"/>
          <w:szCs w:val="20"/>
          <w:color w:val="auto"/>
        </w:rPr>
        <w:tab/>
      </w:r>
      <w:r>
        <w:rPr>
          <w:rFonts w:ascii="Times New Roman" w:cs="Times New Roman" w:eastAsia="Times New Roman" w:hAnsi="Times New Roman"/>
          <w:sz w:val="16"/>
          <w:szCs w:val="16"/>
          <w:color w:val="auto"/>
        </w:rPr>
        <w:t>4/30/2019</w:t>
      </w:r>
    </w:p>
    <w:p>
      <w:pPr>
        <w:spacing w:after="0" w:line="254" w:lineRule="exact"/>
        <w:rPr>
          <w:sz w:val="20"/>
          <w:szCs w:val="20"/>
          <w:color w:val="auto"/>
        </w:rPr>
      </w:pPr>
    </w:p>
    <w:p>
      <w:pPr>
        <w:spacing w:after="0"/>
        <w:tabs>
          <w:tab w:leader="none" w:pos="1260" w:val="left"/>
          <w:tab w:leader="none" w:pos="2120" w:val="left"/>
        </w:tabs>
        <w:rPr>
          <w:sz w:val="20"/>
          <w:szCs w:val="20"/>
          <w:color w:val="auto"/>
        </w:rPr>
      </w:pPr>
      <w:r>
        <w:rPr>
          <w:rFonts w:ascii="Times New Roman" w:cs="Times New Roman" w:eastAsia="Times New Roman" w:hAnsi="Times New Roman"/>
          <w:sz w:val="17"/>
          <w:szCs w:val="17"/>
          <w:color w:val="auto"/>
        </w:rPr>
        <w:t>001-36156</w:t>
      </w:r>
      <w:r>
        <w:rPr>
          <w:sz w:val="20"/>
          <w:szCs w:val="20"/>
          <w:color w:val="auto"/>
        </w:rPr>
        <w:tab/>
      </w:r>
      <w:r>
        <w:rPr>
          <w:rFonts w:ascii="Times New Roman" w:cs="Times New Roman" w:eastAsia="Times New Roman" w:hAnsi="Times New Roman"/>
          <w:sz w:val="17"/>
          <w:szCs w:val="17"/>
          <w:color w:val="auto"/>
        </w:rPr>
        <w:t>10.19</w:t>
      </w:r>
      <w:r>
        <w:rPr>
          <w:sz w:val="20"/>
          <w:szCs w:val="20"/>
          <w:color w:val="auto"/>
        </w:rPr>
        <w:tab/>
      </w:r>
      <w:r>
        <w:rPr>
          <w:rFonts w:ascii="Times New Roman" w:cs="Times New Roman" w:eastAsia="Times New Roman" w:hAnsi="Times New Roman"/>
          <w:sz w:val="16"/>
          <w:szCs w:val="16"/>
          <w:color w:val="auto"/>
        </w:rPr>
        <w:t>2/27/2018</w:t>
      </w:r>
    </w:p>
    <w:p>
      <w:pPr>
        <w:spacing w:after="0" w:line="104" w:lineRule="exact"/>
        <w:rPr>
          <w:sz w:val="20"/>
          <w:szCs w:val="20"/>
          <w:color w:val="auto"/>
        </w:rPr>
      </w:pPr>
    </w:p>
    <w:p>
      <w:pPr>
        <w:spacing w:after="0"/>
        <w:tabs>
          <w:tab w:leader="none" w:pos="1260" w:val="left"/>
          <w:tab w:leader="none" w:pos="2120" w:val="left"/>
        </w:tabs>
        <w:rPr>
          <w:sz w:val="20"/>
          <w:szCs w:val="20"/>
          <w:color w:val="auto"/>
        </w:rPr>
      </w:pPr>
      <w:r>
        <w:rPr>
          <w:rFonts w:ascii="Times New Roman" w:cs="Times New Roman" w:eastAsia="Times New Roman" w:hAnsi="Times New Roman"/>
          <w:sz w:val="17"/>
          <w:szCs w:val="17"/>
          <w:color w:val="auto"/>
        </w:rPr>
        <w:t>001-36156</w:t>
      </w:r>
      <w:r>
        <w:rPr>
          <w:sz w:val="20"/>
          <w:szCs w:val="20"/>
          <w:color w:val="auto"/>
        </w:rPr>
        <w:tab/>
      </w:r>
      <w:r>
        <w:rPr>
          <w:rFonts w:ascii="Times New Roman" w:cs="Times New Roman" w:eastAsia="Times New Roman" w:hAnsi="Times New Roman"/>
          <w:sz w:val="17"/>
          <w:szCs w:val="17"/>
          <w:color w:val="auto"/>
        </w:rPr>
        <w:t>10.20</w:t>
      </w:r>
      <w:r>
        <w:rPr>
          <w:sz w:val="20"/>
          <w:szCs w:val="20"/>
          <w:color w:val="auto"/>
        </w:rPr>
        <w:tab/>
      </w:r>
      <w:r>
        <w:rPr>
          <w:rFonts w:ascii="Times New Roman" w:cs="Times New Roman" w:eastAsia="Times New Roman" w:hAnsi="Times New Roman"/>
          <w:sz w:val="16"/>
          <w:szCs w:val="16"/>
          <w:color w:val="auto"/>
        </w:rPr>
        <w:t>2/27/2018</w:t>
      </w:r>
    </w:p>
    <w:p>
      <w:pPr>
        <w:spacing w:after="0" w:line="21" w:lineRule="exact"/>
        <w:rPr>
          <w:sz w:val="20"/>
          <w:szCs w:val="20"/>
          <w:color w:val="auto"/>
        </w:rPr>
      </w:pPr>
    </w:p>
    <w:p>
      <w:pPr>
        <w:spacing w:after="0"/>
        <w:tabs>
          <w:tab w:leader="none" w:pos="1260" w:val="left"/>
          <w:tab w:leader="none" w:pos="2120" w:val="left"/>
        </w:tabs>
        <w:rPr>
          <w:sz w:val="20"/>
          <w:szCs w:val="20"/>
          <w:color w:val="auto"/>
        </w:rPr>
      </w:pPr>
      <w:r>
        <w:rPr>
          <w:rFonts w:ascii="Times New Roman" w:cs="Times New Roman" w:eastAsia="Times New Roman" w:hAnsi="Times New Roman"/>
          <w:sz w:val="17"/>
          <w:szCs w:val="17"/>
          <w:color w:val="auto"/>
        </w:rPr>
        <w:t>001-36156</w:t>
      </w:r>
      <w:r>
        <w:rPr>
          <w:sz w:val="20"/>
          <w:szCs w:val="20"/>
          <w:color w:val="auto"/>
        </w:rPr>
        <w:tab/>
      </w:r>
      <w:r>
        <w:rPr>
          <w:rFonts w:ascii="Times New Roman" w:cs="Times New Roman" w:eastAsia="Times New Roman" w:hAnsi="Times New Roman"/>
          <w:sz w:val="17"/>
          <w:szCs w:val="17"/>
          <w:color w:val="auto"/>
        </w:rPr>
        <w:t>10.1</w:t>
      </w:r>
      <w:r>
        <w:rPr>
          <w:sz w:val="20"/>
          <w:szCs w:val="20"/>
          <w:color w:val="auto"/>
        </w:rPr>
        <w:tab/>
      </w:r>
      <w:r>
        <w:rPr>
          <w:rFonts w:ascii="Times New Roman" w:cs="Times New Roman" w:eastAsia="Times New Roman" w:hAnsi="Times New Roman"/>
          <w:sz w:val="16"/>
          <w:szCs w:val="16"/>
          <w:color w:val="auto"/>
        </w:rPr>
        <w:t>5/1/2018</w:t>
      </w:r>
    </w:p>
    <w:p>
      <w:pPr>
        <w:spacing w:after="0" w:line="88" w:lineRule="exact"/>
        <w:rPr>
          <w:sz w:val="20"/>
          <w:szCs w:val="20"/>
          <w:color w:val="auto"/>
        </w:rPr>
      </w:pPr>
    </w:p>
    <w:p>
      <w:pPr>
        <w:spacing w:after="0"/>
        <w:tabs>
          <w:tab w:leader="none" w:pos="1260" w:val="left"/>
          <w:tab w:leader="none" w:pos="2120" w:val="left"/>
        </w:tabs>
        <w:rPr>
          <w:sz w:val="20"/>
          <w:szCs w:val="20"/>
          <w:color w:val="auto"/>
        </w:rPr>
      </w:pPr>
      <w:r>
        <w:rPr>
          <w:rFonts w:ascii="Times New Roman" w:cs="Times New Roman" w:eastAsia="Times New Roman" w:hAnsi="Times New Roman"/>
          <w:sz w:val="17"/>
          <w:szCs w:val="17"/>
          <w:color w:val="auto"/>
        </w:rPr>
        <w:t>001-36156</w:t>
      </w:r>
      <w:r>
        <w:rPr>
          <w:sz w:val="20"/>
          <w:szCs w:val="20"/>
          <w:color w:val="auto"/>
        </w:rPr>
        <w:tab/>
      </w:r>
      <w:r>
        <w:rPr>
          <w:rFonts w:ascii="Times New Roman" w:cs="Times New Roman" w:eastAsia="Times New Roman" w:hAnsi="Times New Roman"/>
          <w:sz w:val="17"/>
          <w:szCs w:val="17"/>
          <w:color w:val="auto"/>
        </w:rPr>
        <w:t>10.2</w:t>
      </w:r>
      <w:r>
        <w:rPr>
          <w:sz w:val="20"/>
          <w:szCs w:val="20"/>
          <w:color w:val="auto"/>
        </w:rPr>
        <w:tab/>
      </w:r>
      <w:r>
        <w:rPr>
          <w:rFonts w:ascii="Times New Roman" w:cs="Times New Roman" w:eastAsia="Times New Roman" w:hAnsi="Times New Roman"/>
          <w:sz w:val="16"/>
          <w:szCs w:val="16"/>
          <w:color w:val="auto"/>
        </w:rPr>
        <w:t>7/30/2019</w:t>
      </w:r>
    </w:p>
    <w:p>
      <w:pPr>
        <w:spacing w:after="0" w:line="179" w:lineRule="exact"/>
        <w:rPr>
          <w:sz w:val="20"/>
          <w:szCs w:val="20"/>
          <w:color w:val="auto"/>
        </w:rPr>
      </w:pPr>
    </w:p>
    <w:p>
      <w:pPr>
        <w:spacing w:after="0"/>
        <w:tabs>
          <w:tab w:leader="none" w:pos="1260" w:val="left"/>
          <w:tab w:leader="none" w:pos="2120" w:val="left"/>
        </w:tabs>
        <w:rPr>
          <w:sz w:val="20"/>
          <w:szCs w:val="20"/>
          <w:color w:val="auto"/>
        </w:rPr>
      </w:pPr>
      <w:r>
        <w:rPr>
          <w:rFonts w:ascii="Times New Roman" w:cs="Times New Roman" w:eastAsia="Times New Roman" w:hAnsi="Times New Roman"/>
          <w:sz w:val="17"/>
          <w:szCs w:val="17"/>
          <w:color w:val="auto"/>
        </w:rPr>
        <w:t>001-36156</w:t>
      </w:r>
      <w:r>
        <w:rPr>
          <w:sz w:val="20"/>
          <w:szCs w:val="20"/>
          <w:color w:val="auto"/>
        </w:rPr>
        <w:tab/>
      </w:r>
      <w:r>
        <w:rPr>
          <w:rFonts w:ascii="Times New Roman" w:cs="Times New Roman" w:eastAsia="Times New Roman" w:hAnsi="Times New Roman"/>
          <w:sz w:val="17"/>
          <w:szCs w:val="17"/>
          <w:color w:val="auto"/>
        </w:rPr>
        <w:t>10.3</w:t>
      </w:r>
      <w:r>
        <w:rPr>
          <w:sz w:val="20"/>
          <w:szCs w:val="20"/>
          <w:color w:val="auto"/>
        </w:rPr>
        <w:tab/>
      </w:r>
      <w:r>
        <w:rPr>
          <w:rFonts w:ascii="Times New Roman" w:cs="Times New Roman" w:eastAsia="Times New Roman" w:hAnsi="Times New Roman"/>
          <w:sz w:val="16"/>
          <w:szCs w:val="16"/>
          <w:color w:val="auto"/>
        </w:rPr>
        <w:t>7/30/2019</w:t>
      </w:r>
    </w:p>
    <w:p>
      <w:pPr>
        <w:spacing w:after="0" w:line="179" w:lineRule="exact"/>
        <w:rPr>
          <w:sz w:val="20"/>
          <w:szCs w:val="20"/>
          <w:color w:val="auto"/>
        </w:rPr>
      </w:pPr>
    </w:p>
    <w:p>
      <w:pPr>
        <w:spacing w:after="0"/>
        <w:tabs>
          <w:tab w:leader="none" w:pos="1260" w:val="left"/>
          <w:tab w:leader="none" w:pos="2120" w:val="left"/>
        </w:tabs>
        <w:rPr>
          <w:sz w:val="20"/>
          <w:szCs w:val="20"/>
          <w:color w:val="auto"/>
        </w:rPr>
      </w:pPr>
      <w:r>
        <w:rPr>
          <w:rFonts w:ascii="Times New Roman" w:cs="Times New Roman" w:eastAsia="Times New Roman" w:hAnsi="Times New Roman"/>
          <w:sz w:val="17"/>
          <w:szCs w:val="17"/>
          <w:color w:val="auto"/>
        </w:rPr>
        <w:t>001-36156</w:t>
      </w:r>
      <w:r>
        <w:rPr>
          <w:sz w:val="20"/>
          <w:szCs w:val="20"/>
          <w:color w:val="auto"/>
        </w:rPr>
        <w:tab/>
      </w: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6"/>
          <w:szCs w:val="16"/>
          <w:color w:val="auto"/>
        </w:rPr>
        <w:t>7/30/2019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15" w:lineRule="exact"/>
        <w:rPr>
          <w:sz w:val="20"/>
          <w:szCs w:val="20"/>
          <w:color w:val="auto"/>
        </w:rPr>
      </w:pPr>
    </w:p>
    <w:p>
      <w:pPr>
        <w:sectPr>
          <w:pgSz w:w="11900" w:h="16838" w:orient="portrait"/>
          <w:cols w:equalWidth="0" w:num="5">
            <w:col w:w="480" w:space="580"/>
            <w:col w:w="4740" w:space="40"/>
            <w:col w:w="460" w:space="720"/>
            <w:col w:w="2960" w:space="720"/>
            <w:col w:w="540"/>
          </w:cols>
          <w:pgMar w:left="320" w:top="12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7142480" cy="158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128" w:name="page129"/>
    <w:bookmarkEnd w:id="128"/>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7"/>
                <w:szCs w:val="17"/>
                <w:color w:val="auto"/>
              </w:rPr>
              <w:t>Incorporated by Reference</w:t>
            </w:r>
          </w:p>
        </w:tc>
        <w:tc>
          <w:tcPr>
            <w:tcW w:w="1220" w:type="dxa"/>
            <w:vAlign w:val="bottom"/>
            <w:tcBorders>
              <w:bottom w:val="single" w:sz="8" w:color="auto"/>
            </w:tcBorders>
          </w:tcPr>
          <w:p>
            <w:pPr>
              <w:spacing w:after="0"/>
              <w:rPr>
                <w:sz w:val="18"/>
                <w:szCs w:val="18"/>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Filed</w:t>
            </w: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auto"/>
              </w:rPr>
              <w:t>Form</w:t>
            </w:r>
          </w:p>
        </w:tc>
        <w:tc>
          <w:tcPr>
            <w:tcW w:w="1300" w:type="dxa"/>
            <w:vAlign w:val="bottom"/>
            <w:vMerge w:val="restart"/>
          </w:tcPr>
          <w:p>
            <w:pPr>
              <w:jc w:val="right"/>
              <w:ind w:right="97"/>
              <w:spacing w:after="0"/>
              <w:rPr>
                <w:sz w:val="20"/>
                <w:szCs w:val="20"/>
                <w:color w:val="auto"/>
              </w:rPr>
            </w:pPr>
            <w:r>
              <w:rPr>
                <w:rFonts w:ascii="Times New Roman" w:cs="Times New Roman" w:eastAsia="Times New Roman" w:hAnsi="Times New Roman"/>
                <w:sz w:val="17"/>
                <w:szCs w:val="17"/>
                <w:color w:val="auto"/>
              </w:rPr>
              <w:t>File No.</w:t>
            </w:r>
          </w:p>
        </w:tc>
        <w:tc>
          <w:tcPr>
            <w:tcW w:w="9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auto"/>
              </w:rPr>
              <w:t>Exhibit</w:t>
            </w:r>
          </w:p>
        </w:tc>
        <w:tc>
          <w:tcPr>
            <w:tcW w:w="1220" w:type="dxa"/>
            <w:vAlign w:val="bottom"/>
            <w:vMerge w:val="restart"/>
          </w:tcPr>
          <w:p>
            <w:pPr>
              <w:jc w:val="right"/>
              <w:ind w:right="117"/>
              <w:spacing w:after="0"/>
              <w:rPr>
                <w:sz w:val="20"/>
                <w:szCs w:val="20"/>
                <w:color w:val="auto"/>
              </w:rPr>
            </w:pPr>
            <w:r>
              <w:rPr>
                <w:rFonts w:ascii="Times New Roman" w:cs="Times New Roman" w:eastAsia="Times New Roman" w:hAnsi="Times New Roman"/>
                <w:sz w:val="17"/>
                <w:szCs w:val="17"/>
                <w:color w:val="auto"/>
              </w:rPr>
              <w:t>Filing Date</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Exhibit Number</w:t>
            </w:r>
          </w:p>
        </w:tc>
        <w:tc>
          <w:tcPr>
            <w:tcW w:w="4760" w:type="dxa"/>
            <w:vAlign w:val="bottom"/>
            <w:tcBorders>
              <w:bottom w:val="single" w:sz="8" w:color="auto"/>
            </w:tcBorders>
            <w:gridSpan w:val="3"/>
          </w:tcPr>
          <w:p>
            <w:pPr>
              <w:ind w:left="206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98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Herewith</w:t>
            </w:r>
          </w:p>
        </w:tc>
        <w:tc>
          <w:tcPr>
            <w:tcW w:w="0" w:type="dxa"/>
            <w:vAlign w:val="bottom"/>
          </w:tcPr>
          <w:p>
            <w:pPr>
              <w:spacing w:after="0"/>
              <w:rPr>
                <w:sz w:val="1"/>
                <w:szCs w:val="1"/>
                <w:color w:val="auto"/>
              </w:rPr>
            </w:pPr>
          </w:p>
        </w:tc>
      </w:tr>
      <w:tr>
        <w:trPr>
          <w:trHeight w:val="167"/>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10.26†</w:t>
            </w:r>
          </w:p>
        </w:tc>
        <w:tc>
          <w:tcPr>
            <w:tcW w:w="4280" w:type="dxa"/>
            <w:vAlign w:val="bottom"/>
            <w:tcBorders>
              <w:bottom w:val="single" w:sz="8" w:color="0000FF"/>
            </w:tcBorders>
          </w:tcPr>
          <w:p>
            <w:pPr>
              <w:spacing w:after="0" w:line="167" w:lineRule="exact"/>
              <w:rPr>
                <w:rFonts w:ascii="Times New Roman" w:cs="Times New Roman" w:eastAsia="Times New Roman" w:hAnsi="Times New Roman"/>
                <w:sz w:val="17"/>
                <w:szCs w:val="17"/>
                <w:color w:val="0000FF"/>
                <w:w w:val="97"/>
              </w:rPr>
            </w:pPr>
            <w:hyperlink r:id="rId177">
              <w:r>
                <w:rPr>
                  <w:rFonts w:ascii="Times New Roman" w:cs="Times New Roman" w:eastAsia="Times New Roman" w:hAnsi="Times New Roman"/>
                  <w:sz w:val="17"/>
                  <w:szCs w:val="17"/>
                  <w:color w:val="0000FF"/>
                  <w:w w:val="97"/>
                </w:rPr>
                <w:t>Diagnostic Development Agreement, dated December 28, 2018,</w:t>
              </w:r>
            </w:hyperlink>
          </w:p>
        </w:tc>
        <w:tc>
          <w:tcPr>
            <w:tcW w:w="480" w:type="dxa"/>
            <w:vAlign w:val="bottom"/>
            <w:gridSpan w:val="2"/>
          </w:tcPr>
          <w:p>
            <w:pPr>
              <w:spacing w:after="0"/>
              <w:rPr>
                <w:sz w:val="14"/>
                <w:szCs w:val="14"/>
                <w:color w:val="auto"/>
              </w:rPr>
            </w:pPr>
          </w:p>
        </w:tc>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10-K</w:t>
            </w:r>
          </w:p>
        </w:tc>
        <w:tc>
          <w:tcPr>
            <w:tcW w:w="1300" w:type="dxa"/>
            <w:vAlign w:val="bottom"/>
            <w:vMerge w:val="restart"/>
          </w:tcPr>
          <w:p>
            <w:pPr>
              <w:jc w:val="right"/>
              <w:ind w:right="277"/>
              <w:spacing w:after="0"/>
              <w:rPr>
                <w:sz w:val="20"/>
                <w:szCs w:val="20"/>
                <w:color w:val="auto"/>
              </w:rPr>
            </w:pPr>
            <w:r>
              <w:rPr>
                <w:rFonts w:ascii="Times New Roman" w:cs="Times New Roman" w:eastAsia="Times New Roman" w:hAnsi="Times New Roman"/>
                <w:sz w:val="17"/>
                <w:szCs w:val="17"/>
                <w:color w:val="auto"/>
              </w:rPr>
              <w:t>001-36156</w:t>
            </w:r>
          </w:p>
        </w:tc>
        <w:tc>
          <w:tcPr>
            <w:tcW w:w="9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auto"/>
              </w:rPr>
              <w:t>10.22</w:t>
            </w:r>
          </w:p>
        </w:tc>
        <w:tc>
          <w:tcPr>
            <w:tcW w:w="122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color w:val="auto"/>
              </w:rPr>
              <w:t>2/25/2019</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1060" w:type="dxa"/>
            <w:vAlign w:val="bottom"/>
            <w:vMerge w:val="continue"/>
          </w:tcPr>
          <w:p>
            <w:pPr>
              <w:spacing w:after="0"/>
              <w:rPr>
                <w:sz w:val="8"/>
                <w:szCs w:val="8"/>
                <w:color w:val="auto"/>
              </w:rPr>
            </w:pPr>
          </w:p>
        </w:tc>
        <w:tc>
          <w:tcPr>
            <w:tcW w:w="4760" w:type="dxa"/>
            <w:vAlign w:val="bottom"/>
            <w:gridSpan w:val="3"/>
            <w:vMerge w:val="restart"/>
          </w:tcPr>
          <w:p>
            <w:pPr>
              <w:spacing w:after="0" w:line="176" w:lineRule="exact"/>
              <w:rPr>
                <w:rFonts w:ascii="Times New Roman" w:cs="Times New Roman" w:eastAsia="Times New Roman" w:hAnsi="Times New Roman"/>
                <w:sz w:val="17"/>
                <w:szCs w:val="17"/>
                <w:u w:val="single" w:color="auto"/>
                <w:color w:val="0000FF"/>
              </w:rPr>
            </w:pPr>
            <w:hyperlink r:id="rId177">
              <w:r>
                <w:rPr>
                  <w:rFonts w:ascii="Times New Roman" w:cs="Times New Roman" w:eastAsia="Times New Roman" w:hAnsi="Times New Roman"/>
                  <w:sz w:val="17"/>
                  <w:szCs w:val="17"/>
                  <w:u w:val="single" w:color="auto"/>
                  <w:color w:val="0000FF"/>
                </w:rPr>
                <w:t>between Johnson &amp; Johnson Services, Inc. and the Registrant</w:t>
              </w:r>
            </w:hyperlink>
          </w:p>
        </w:tc>
        <w:tc>
          <w:tcPr>
            <w:tcW w:w="9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060" w:type="dxa"/>
            <w:vAlign w:val="bottom"/>
          </w:tcPr>
          <w:p>
            <w:pPr>
              <w:spacing w:after="0"/>
              <w:rPr>
                <w:sz w:val="7"/>
                <w:szCs w:val="7"/>
                <w:color w:val="auto"/>
              </w:rPr>
            </w:pPr>
          </w:p>
        </w:tc>
        <w:tc>
          <w:tcPr>
            <w:tcW w:w="4760" w:type="dxa"/>
            <w:vAlign w:val="bottom"/>
            <w:gridSpan w:val="3"/>
            <w:vMerge w:val="continue"/>
          </w:tcPr>
          <w:p>
            <w:pPr>
              <w:spacing w:after="0"/>
              <w:rPr>
                <w:sz w:val="7"/>
                <w:szCs w:val="7"/>
                <w:color w:val="auto"/>
              </w:rPr>
            </w:pPr>
          </w:p>
        </w:tc>
        <w:tc>
          <w:tcPr>
            <w:tcW w:w="9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10.27†</w:t>
            </w:r>
          </w:p>
        </w:tc>
        <w:tc>
          <w:tcPr>
            <w:tcW w:w="4760" w:type="dxa"/>
            <w:vAlign w:val="bottom"/>
            <w:gridSpan w:val="3"/>
          </w:tcPr>
          <w:p>
            <w:pPr>
              <w:spacing w:after="0" w:line="179" w:lineRule="exact"/>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License and Asset Purchase Agreement, dated December 3, 2019,</w:t>
              </w:r>
            </w:hyperlink>
          </w:p>
        </w:tc>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8-K</w:t>
            </w:r>
          </w:p>
        </w:tc>
        <w:tc>
          <w:tcPr>
            <w:tcW w:w="1300" w:type="dxa"/>
            <w:vAlign w:val="bottom"/>
            <w:vMerge w:val="restart"/>
          </w:tcPr>
          <w:p>
            <w:pPr>
              <w:jc w:val="right"/>
              <w:ind w:right="277"/>
              <w:spacing w:after="0"/>
              <w:rPr>
                <w:sz w:val="20"/>
                <w:szCs w:val="20"/>
                <w:color w:val="auto"/>
              </w:rPr>
            </w:pPr>
            <w:r>
              <w:rPr>
                <w:rFonts w:ascii="Times New Roman" w:cs="Times New Roman" w:eastAsia="Times New Roman" w:hAnsi="Times New Roman"/>
                <w:sz w:val="17"/>
                <w:szCs w:val="17"/>
                <w:color w:val="auto"/>
              </w:rPr>
              <w:t>001-36156</w:t>
            </w:r>
          </w:p>
        </w:tc>
        <w:tc>
          <w:tcPr>
            <w:tcW w:w="9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auto"/>
              </w:rPr>
              <w:t>2.1</w:t>
            </w:r>
          </w:p>
        </w:tc>
        <w:tc>
          <w:tcPr>
            <w:tcW w:w="122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color w:val="auto"/>
              </w:rPr>
              <w:t>12/3/2019</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1060" w:type="dxa"/>
            <w:vAlign w:val="bottom"/>
            <w:vMerge w:val="continue"/>
          </w:tcPr>
          <w:p>
            <w:pPr>
              <w:spacing w:after="0"/>
              <w:rPr>
                <w:sz w:val="8"/>
                <w:szCs w:val="8"/>
                <w:color w:val="auto"/>
              </w:rPr>
            </w:pPr>
          </w:p>
        </w:tc>
        <w:tc>
          <w:tcPr>
            <w:tcW w:w="4380" w:type="dxa"/>
            <w:vAlign w:val="bottom"/>
            <w:tcBorders>
              <w:top w:val="single" w:sz="8" w:color="0000FF"/>
            </w:tcBorders>
            <w:gridSpan w:val="2"/>
            <w:vMerge w:val="restart"/>
          </w:tcPr>
          <w:p>
            <w:pPr>
              <w:spacing w:after="0" w:line="194" w:lineRule="exact"/>
              <w:rPr>
                <w:rFonts w:ascii="Times New Roman" w:cs="Times New Roman" w:eastAsia="Times New Roman" w:hAnsi="Times New Roman"/>
                <w:sz w:val="17"/>
                <w:szCs w:val="17"/>
                <w:u w:val="single" w:color="auto"/>
                <w:color w:val="0000FF"/>
              </w:rPr>
            </w:pPr>
            <w:hyperlink r:id="rId178">
              <w:r>
                <w:rPr>
                  <w:rFonts w:ascii="Times New Roman" w:cs="Times New Roman" w:eastAsia="Times New Roman" w:hAnsi="Times New Roman"/>
                  <w:sz w:val="17"/>
                  <w:szCs w:val="17"/>
                  <w:u w:val="single" w:color="auto"/>
                  <w:color w:val="0000FF"/>
                </w:rPr>
                <w:t>between NanoString Technologies, Inc. and the Registrant</w:t>
              </w:r>
            </w:hyperlink>
          </w:p>
        </w:tc>
        <w:tc>
          <w:tcPr>
            <w:tcW w:w="380" w:type="dxa"/>
            <w:vAlign w:val="bottom"/>
            <w:vMerge w:val="restart"/>
          </w:tcPr>
          <w:p>
            <w:pPr>
              <w:spacing w:after="0"/>
              <w:rPr>
                <w:sz w:val="8"/>
                <w:szCs w:val="8"/>
                <w:color w:val="auto"/>
              </w:rPr>
            </w:pPr>
          </w:p>
        </w:tc>
        <w:tc>
          <w:tcPr>
            <w:tcW w:w="9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060" w:type="dxa"/>
            <w:vAlign w:val="bottom"/>
          </w:tcPr>
          <w:p>
            <w:pPr>
              <w:spacing w:after="0"/>
              <w:rPr>
                <w:sz w:val="8"/>
                <w:szCs w:val="8"/>
                <w:color w:val="auto"/>
              </w:rPr>
            </w:pPr>
          </w:p>
        </w:tc>
        <w:tc>
          <w:tcPr>
            <w:tcW w:w="4380" w:type="dxa"/>
            <w:vAlign w:val="bottom"/>
            <w:gridSpan w:val="2"/>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0" w:right="339" w:bottom="1440" w:gutter="0" w:footer="0" w:header="0"/>
        </w:sectPr>
      </w:pPr>
    </w:p>
    <w:tbl>
      <w:tblPr>
        <w:tblLayout w:type="fixed"/>
        <w:tblInd w:w="20" w:type="dxa"/>
        <w:tblCellMar>
          <w:top w:w="0" w:type="dxa"/>
          <w:left w:w="0" w:type="dxa"/>
          <w:bottom w:w="0" w:type="dxa"/>
          <w:right w:w="0" w:type="dxa"/>
        </w:tblCellMar>
      </w:tblP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10.28</w:t>
            </w:r>
          </w:p>
        </w:tc>
        <w:tc>
          <w:tcPr>
            <w:tcW w:w="4640" w:type="dxa"/>
            <w:vAlign w:val="bottom"/>
            <w:gridSpan w:val="3"/>
          </w:tcPr>
          <w:p>
            <w:pPr>
              <w:spacing w:after="0" w:line="194" w:lineRule="exact"/>
              <w:rPr>
                <w:rFonts w:ascii="Times New Roman" w:cs="Times New Roman" w:eastAsia="Times New Roman" w:hAnsi="Times New Roman"/>
                <w:sz w:val="17"/>
                <w:szCs w:val="17"/>
                <w:u w:val="single" w:color="auto"/>
                <w:color w:val="0000FF"/>
              </w:rPr>
            </w:pPr>
            <w:hyperlink r:id="rId179">
              <w:r>
                <w:rPr>
                  <w:rFonts w:ascii="Times New Roman" w:cs="Times New Roman" w:eastAsia="Times New Roman" w:hAnsi="Times New Roman"/>
                  <w:sz w:val="17"/>
                  <w:szCs w:val="17"/>
                  <w:u w:val="single" w:color="auto"/>
                  <w:color w:val="0000FF"/>
                </w:rPr>
                <w:t>Registration Rights Schedule, dated December 3, 2019</w:t>
              </w:r>
            </w:hyperlink>
          </w:p>
        </w:tc>
        <w:tc>
          <w:tcPr>
            <w:tcW w:w="86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8-K</w:t>
            </w:r>
          </w:p>
        </w:tc>
        <w:tc>
          <w:tcPr>
            <w:tcW w:w="1460" w:type="dxa"/>
            <w:vAlign w:val="bottom"/>
          </w:tcPr>
          <w:p>
            <w:pPr>
              <w:jc w:val="right"/>
              <w:ind w:right="197"/>
              <w:spacing w:after="0" w:line="194" w:lineRule="exact"/>
              <w:rPr>
                <w:sz w:val="20"/>
                <w:szCs w:val="20"/>
                <w:color w:val="auto"/>
              </w:rPr>
            </w:pPr>
            <w:r>
              <w:rPr>
                <w:rFonts w:ascii="Times New Roman" w:cs="Times New Roman" w:eastAsia="Times New Roman" w:hAnsi="Times New Roman"/>
                <w:sz w:val="17"/>
                <w:szCs w:val="17"/>
                <w:color w:val="auto"/>
              </w:rPr>
              <w:t>001-36156</w:t>
            </w:r>
          </w:p>
        </w:tc>
        <w:tc>
          <w:tcPr>
            <w:tcW w:w="800" w:type="dxa"/>
            <w:vAlign w:val="bottom"/>
          </w:tcPr>
          <w:p>
            <w:pPr>
              <w:jc w:val="right"/>
              <w:ind w:right="237"/>
              <w:spacing w:after="0" w:line="194" w:lineRule="exact"/>
              <w:rPr>
                <w:sz w:val="20"/>
                <w:szCs w:val="20"/>
                <w:color w:val="auto"/>
              </w:rPr>
            </w:pPr>
            <w:r>
              <w:rPr>
                <w:rFonts w:ascii="Times New Roman" w:cs="Times New Roman" w:eastAsia="Times New Roman" w:hAnsi="Times New Roman"/>
                <w:sz w:val="17"/>
                <w:szCs w:val="17"/>
                <w:color w:val="auto"/>
              </w:rPr>
              <w:t>4.1</w:t>
            </w:r>
          </w:p>
        </w:tc>
        <w:tc>
          <w:tcPr>
            <w:tcW w:w="10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12/3/2019</w:t>
            </w:r>
          </w:p>
        </w:tc>
        <w:tc>
          <w:tcPr>
            <w:tcW w:w="0" w:type="dxa"/>
            <w:vAlign w:val="bottom"/>
          </w:tcPr>
          <w:p>
            <w:pPr>
              <w:spacing w:after="0"/>
              <w:rPr>
                <w:sz w:val="1"/>
                <w:szCs w:val="1"/>
                <w:color w:val="auto"/>
              </w:rPr>
            </w:pPr>
          </w:p>
        </w:tc>
      </w:tr>
      <w:tr>
        <w:trPr>
          <w:trHeight w:val="212"/>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21.1</w:t>
            </w:r>
          </w:p>
        </w:tc>
        <w:tc>
          <w:tcPr>
            <w:tcW w:w="4640" w:type="dxa"/>
            <w:vAlign w:val="bottom"/>
            <w:gridSpan w:val="3"/>
          </w:tcPr>
          <w:p>
            <w:pPr>
              <w:spacing w:after="0"/>
              <w:rPr>
                <w:rFonts w:ascii="Times New Roman" w:cs="Times New Roman" w:eastAsia="Times New Roman" w:hAnsi="Times New Roman"/>
                <w:sz w:val="17"/>
                <w:szCs w:val="17"/>
                <w:u w:val="single" w:color="auto"/>
                <w:color w:val="0000FF"/>
              </w:rPr>
            </w:pPr>
            <w:hyperlink w:anchor="page158">
              <w:r>
                <w:rPr>
                  <w:rFonts w:ascii="Times New Roman" w:cs="Times New Roman" w:eastAsia="Times New Roman" w:hAnsi="Times New Roman"/>
                  <w:sz w:val="17"/>
                  <w:szCs w:val="17"/>
                  <w:u w:val="single" w:color="auto"/>
                  <w:color w:val="0000FF"/>
                </w:rPr>
                <w:t>List of Subsidiaries</w:t>
              </w:r>
            </w:hyperlink>
          </w:p>
        </w:tc>
        <w:tc>
          <w:tcPr>
            <w:tcW w:w="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23.1</w:t>
            </w:r>
          </w:p>
        </w:tc>
        <w:tc>
          <w:tcPr>
            <w:tcW w:w="4640" w:type="dxa"/>
            <w:vAlign w:val="bottom"/>
            <w:gridSpan w:val="3"/>
          </w:tcPr>
          <w:p>
            <w:pPr>
              <w:spacing w:after="0"/>
              <w:rPr>
                <w:rFonts w:ascii="Times New Roman" w:cs="Times New Roman" w:eastAsia="Times New Roman" w:hAnsi="Times New Roman"/>
                <w:sz w:val="17"/>
                <w:szCs w:val="17"/>
                <w:u w:val="single" w:color="auto"/>
                <w:color w:val="0000FF"/>
              </w:rPr>
            </w:pPr>
            <w:hyperlink w:anchor="page159">
              <w:r>
                <w:rPr>
                  <w:rFonts w:ascii="Times New Roman" w:cs="Times New Roman" w:eastAsia="Times New Roman" w:hAnsi="Times New Roman"/>
                  <w:sz w:val="17"/>
                  <w:szCs w:val="17"/>
                  <w:u w:val="single" w:color="auto"/>
                  <w:color w:val="0000FF"/>
                </w:rPr>
                <w:t>Consent of Independent Registered Public Accounting Firm</w:t>
              </w:r>
            </w:hyperlink>
          </w:p>
        </w:tc>
        <w:tc>
          <w:tcPr>
            <w:tcW w:w="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0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24.1</w:t>
            </w:r>
          </w:p>
        </w:tc>
        <w:tc>
          <w:tcPr>
            <w:tcW w:w="4640" w:type="dxa"/>
            <w:vAlign w:val="bottom"/>
            <w:gridSpan w:val="3"/>
          </w:tcPr>
          <w:p>
            <w:pPr>
              <w:spacing w:after="0" w:line="179" w:lineRule="exact"/>
              <w:rPr>
                <w:rFonts w:ascii="Times New Roman" w:cs="Times New Roman" w:eastAsia="Times New Roman" w:hAnsi="Times New Roman"/>
                <w:sz w:val="17"/>
                <w:szCs w:val="17"/>
                <w:color w:val="0000FF"/>
              </w:rPr>
            </w:pPr>
            <w:hyperlink w:anchor="page131">
              <w:r>
                <w:rPr>
                  <w:rFonts w:ascii="Times New Roman" w:cs="Times New Roman" w:eastAsia="Times New Roman" w:hAnsi="Times New Roman"/>
                  <w:sz w:val="17"/>
                  <w:szCs w:val="17"/>
                  <w:color w:val="0000FF"/>
                </w:rPr>
                <w:t>Power of Attorney (see the signature page of this Annual Report on</w:t>
              </w:r>
            </w:hyperlink>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1040" w:type="dxa"/>
            <w:vAlign w:val="bottom"/>
            <w:vMerge w:val="continue"/>
          </w:tcPr>
          <w:p>
            <w:pPr>
              <w:spacing w:after="0"/>
              <w:rPr>
                <w:sz w:val="8"/>
                <w:szCs w:val="8"/>
                <w:color w:val="auto"/>
              </w:rPr>
            </w:pPr>
          </w:p>
        </w:tc>
        <w:tc>
          <w:tcPr>
            <w:tcW w:w="4500" w:type="dxa"/>
            <w:vAlign w:val="bottom"/>
            <w:tcBorders>
              <w:top w:val="single" w:sz="8" w:color="0000FF"/>
            </w:tcBorders>
            <w:gridSpan w:val="2"/>
            <w:vMerge w:val="restart"/>
          </w:tcPr>
          <w:p>
            <w:pPr>
              <w:spacing w:after="0" w:line="142" w:lineRule="exact"/>
              <w:rPr>
                <w:rFonts w:ascii="Times New Roman" w:cs="Times New Roman" w:eastAsia="Times New Roman" w:hAnsi="Times New Roman"/>
                <w:sz w:val="16"/>
                <w:szCs w:val="16"/>
                <w:color w:val="0000FF"/>
              </w:rPr>
            </w:pPr>
            <w:hyperlink w:anchor="page131">
              <w:r>
                <w:rPr>
                  <w:rFonts w:ascii="Times New Roman" w:cs="Times New Roman" w:eastAsia="Times New Roman" w:hAnsi="Times New Roman"/>
                  <w:sz w:val="16"/>
                  <w:szCs w:val="16"/>
                  <w:color w:val="0000FF"/>
                </w:rPr>
                <w:t>Form 10-K)</w:t>
              </w:r>
            </w:hyperlink>
          </w:p>
        </w:tc>
        <w:tc>
          <w:tcPr>
            <w:tcW w:w="14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1040" w:type="dxa"/>
            <w:vAlign w:val="bottom"/>
          </w:tcPr>
          <w:p>
            <w:pPr>
              <w:spacing w:after="0"/>
              <w:rPr>
                <w:sz w:val="4"/>
                <w:szCs w:val="4"/>
                <w:color w:val="auto"/>
              </w:rPr>
            </w:pPr>
          </w:p>
        </w:tc>
        <w:tc>
          <w:tcPr>
            <w:tcW w:w="4500" w:type="dxa"/>
            <w:vAlign w:val="bottom"/>
            <w:gridSpan w:val="2"/>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040" w:type="dxa"/>
            <w:vAlign w:val="bottom"/>
            <w:vMerge w:val="restart"/>
          </w:tcPr>
          <w:p>
            <w:pPr>
              <w:jc w:val="right"/>
              <w:ind w:right="677"/>
              <w:spacing w:after="0"/>
              <w:rPr>
                <w:sz w:val="20"/>
                <w:szCs w:val="20"/>
                <w:color w:val="auto"/>
              </w:rPr>
            </w:pPr>
            <w:r>
              <w:rPr>
                <w:rFonts w:ascii="Times New Roman" w:cs="Times New Roman" w:eastAsia="Times New Roman" w:hAnsi="Times New Roman"/>
                <w:sz w:val="17"/>
                <w:szCs w:val="17"/>
                <w:color w:val="auto"/>
                <w:w w:val="87"/>
              </w:rPr>
              <w:t>31.1</w:t>
            </w:r>
          </w:p>
        </w:tc>
        <w:tc>
          <w:tcPr>
            <w:tcW w:w="4640" w:type="dxa"/>
            <w:vAlign w:val="bottom"/>
            <w:tcBorders>
              <w:bottom w:val="single" w:sz="8" w:color="0000FF"/>
            </w:tcBorders>
            <w:gridSpan w:val="3"/>
          </w:tcPr>
          <w:p>
            <w:pPr>
              <w:spacing w:after="0"/>
              <w:rPr>
                <w:rFonts w:ascii="Times New Roman" w:cs="Times New Roman" w:eastAsia="Times New Roman" w:hAnsi="Times New Roman"/>
                <w:sz w:val="17"/>
                <w:szCs w:val="17"/>
                <w:color w:val="0000FF"/>
                <w:w w:val="97"/>
              </w:rPr>
            </w:pPr>
            <w:hyperlink w:anchor="page160">
              <w:r>
                <w:rPr>
                  <w:rFonts w:ascii="Times New Roman" w:cs="Times New Roman" w:eastAsia="Times New Roman" w:hAnsi="Times New Roman"/>
                  <w:sz w:val="17"/>
                  <w:szCs w:val="17"/>
                  <w:color w:val="0000FF"/>
                  <w:w w:val="97"/>
                </w:rPr>
                <w:t>Principal Executive Officer’s Certification Pursuant to Section 302 of</w:t>
              </w:r>
            </w:hyperlink>
          </w:p>
        </w:tc>
        <w:tc>
          <w:tcPr>
            <w:tcW w:w="0" w:type="dxa"/>
            <w:vAlign w:val="bottom"/>
          </w:tcPr>
          <w:p>
            <w:pPr>
              <w:spacing w:after="0"/>
              <w:rPr>
                <w:sz w:val="1"/>
                <w:szCs w:val="1"/>
                <w:color w:val="auto"/>
              </w:rPr>
            </w:pPr>
          </w:p>
        </w:tc>
      </w:tr>
      <w:tr>
        <w:trPr>
          <w:trHeight w:val="92"/>
        </w:trPr>
        <w:tc>
          <w:tcPr>
            <w:tcW w:w="1040" w:type="dxa"/>
            <w:vAlign w:val="bottom"/>
            <w:vMerge w:val="continue"/>
          </w:tcPr>
          <w:p>
            <w:pPr>
              <w:spacing w:after="0"/>
              <w:rPr>
                <w:sz w:val="8"/>
                <w:szCs w:val="8"/>
                <w:color w:val="auto"/>
              </w:rPr>
            </w:pPr>
          </w:p>
        </w:tc>
        <w:tc>
          <w:tcPr>
            <w:tcW w:w="4640" w:type="dxa"/>
            <w:vAlign w:val="bottom"/>
            <w:gridSpan w:val="3"/>
            <w:vMerge w:val="restart"/>
          </w:tcPr>
          <w:p>
            <w:pPr>
              <w:spacing w:after="0" w:line="142" w:lineRule="exact"/>
              <w:rPr>
                <w:rFonts w:ascii="Times New Roman" w:cs="Times New Roman" w:eastAsia="Times New Roman" w:hAnsi="Times New Roman"/>
                <w:sz w:val="16"/>
                <w:szCs w:val="16"/>
                <w:color w:val="0000FF"/>
              </w:rPr>
            </w:pPr>
            <w:hyperlink w:anchor="page160">
              <w:r>
                <w:rPr>
                  <w:rFonts w:ascii="Times New Roman" w:cs="Times New Roman" w:eastAsia="Times New Roman" w:hAnsi="Times New Roman"/>
                  <w:sz w:val="16"/>
                  <w:szCs w:val="16"/>
                  <w:color w:val="0000FF"/>
                </w:rPr>
                <w:t>the Sarbanes-Oxley Act of 2002</w:t>
              </w:r>
            </w:hyperlink>
          </w:p>
        </w:tc>
        <w:tc>
          <w:tcPr>
            <w:tcW w:w="0" w:type="dxa"/>
            <w:vAlign w:val="bottom"/>
          </w:tcPr>
          <w:p>
            <w:pPr>
              <w:spacing w:after="0"/>
              <w:rPr>
                <w:sz w:val="1"/>
                <w:szCs w:val="1"/>
                <w:color w:val="auto"/>
              </w:rPr>
            </w:pPr>
          </w:p>
        </w:tc>
      </w:tr>
      <w:tr>
        <w:trPr>
          <w:trHeight w:val="50"/>
        </w:trPr>
        <w:tc>
          <w:tcPr>
            <w:tcW w:w="1040" w:type="dxa"/>
            <w:vAlign w:val="bottom"/>
          </w:tcPr>
          <w:p>
            <w:pPr>
              <w:spacing w:after="0"/>
              <w:rPr>
                <w:sz w:val="4"/>
                <w:szCs w:val="4"/>
                <w:color w:val="auto"/>
              </w:rPr>
            </w:pPr>
          </w:p>
        </w:tc>
        <w:tc>
          <w:tcPr>
            <w:tcW w:w="46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40" w:type="dxa"/>
            <w:vAlign w:val="bottom"/>
            <w:vMerge w:val="restart"/>
          </w:tcPr>
          <w:p>
            <w:pPr>
              <w:jc w:val="right"/>
              <w:ind w:right="677"/>
              <w:spacing w:after="0"/>
              <w:rPr>
                <w:sz w:val="20"/>
                <w:szCs w:val="20"/>
                <w:color w:val="auto"/>
              </w:rPr>
            </w:pPr>
            <w:r>
              <w:rPr>
                <w:rFonts w:ascii="Times New Roman" w:cs="Times New Roman" w:eastAsia="Times New Roman" w:hAnsi="Times New Roman"/>
                <w:sz w:val="17"/>
                <w:szCs w:val="17"/>
                <w:color w:val="auto"/>
                <w:w w:val="87"/>
              </w:rPr>
              <w:t>31.2</w:t>
            </w:r>
          </w:p>
        </w:tc>
        <w:tc>
          <w:tcPr>
            <w:tcW w:w="4600" w:type="dxa"/>
            <w:vAlign w:val="bottom"/>
            <w:tcBorders>
              <w:bottom w:val="single" w:sz="8" w:color="0000FF"/>
            </w:tcBorders>
            <w:gridSpan w:val="2"/>
          </w:tcPr>
          <w:p>
            <w:pPr>
              <w:spacing w:after="0" w:line="193" w:lineRule="exact"/>
              <w:rPr>
                <w:rFonts w:ascii="Times New Roman" w:cs="Times New Roman" w:eastAsia="Times New Roman" w:hAnsi="Times New Roman"/>
                <w:sz w:val="17"/>
                <w:szCs w:val="17"/>
                <w:color w:val="0000FF"/>
                <w:w w:val="97"/>
              </w:rPr>
            </w:pPr>
            <w:hyperlink w:anchor="page161">
              <w:r>
                <w:rPr>
                  <w:rFonts w:ascii="Times New Roman" w:cs="Times New Roman" w:eastAsia="Times New Roman" w:hAnsi="Times New Roman"/>
                  <w:sz w:val="17"/>
                  <w:szCs w:val="17"/>
                  <w:color w:val="0000FF"/>
                  <w:w w:val="97"/>
                </w:rPr>
                <w:t>Principal Financial Officer’s Certification Pursuant to Section 302 of</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1040" w:type="dxa"/>
            <w:vAlign w:val="bottom"/>
            <w:vMerge w:val="continue"/>
          </w:tcPr>
          <w:p>
            <w:pPr>
              <w:spacing w:after="0"/>
              <w:rPr>
                <w:sz w:val="8"/>
                <w:szCs w:val="8"/>
                <w:color w:val="auto"/>
              </w:rPr>
            </w:pPr>
          </w:p>
        </w:tc>
        <w:tc>
          <w:tcPr>
            <w:tcW w:w="4640" w:type="dxa"/>
            <w:vAlign w:val="bottom"/>
            <w:gridSpan w:val="3"/>
            <w:vMerge w:val="restart"/>
          </w:tcPr>
          <w:p>
            <w:pPr>
              <w:spacing w:after="0" w:line="142" w:lineRule="exact"/>
              <w:rPr>
                <w:rFonts w:ascii="Times New Roman" w:cs="Times New Roman" w:eastAsia="Times New Roman" w:hAnsi="Times New Roman"/>
                <w:sz w:val="16"/>
                <w:szCs w:val="16"/>
                <w:color w:val="0000FF"/>
              </w:rPr>
            </w:pPr>
            <w:hyperlink w:anchor="page161">
              <w:r>
                <w:rPr>
                  <w:rFonts w:ascii="Times New Roman" w:cs="Times New Roman" w:eastAsia="Times New Roman" w:hAnsi="Times New Roman"/>
                  <w:sz w:val="16"/>
                  <w:szCs w:val="16"/>
                  <w:color w:val="0000FF"/>
                </w:rPr>
                <w:t>the Sarbanes-Oxley Act of 2002</w:t>
              </w:r>
            </w:hyperlink>
          </w:p>
        </w:tc>
        <w:tc>
          <w:tcPr>
            <w:tcW w:w="0" w:type="dxa"/>
            <w:vAlign w:val="bottom"/>
          </w:tcPr>
          <w:p>
            <w:pPr>
              <w:spacing w:after="0"/>
              <w:rPr>
                <w:sz w:val="1"/>
                <w:szCs w:val="1"/>
                <w:color w:val="auto"/>
              </w:rPr>
            </w:pPr>
          </w:p>
        </w:tc>
      </w:tr>
      <w:tr>
        <w:trPr>
          <w:trHeight w:val="50"/>
        </w:trPr>
        <w:tc>
          <w:tcPr>
            <w:tcW w:w="1040" w:type="dxa"/>
            <w:vAlign w:val="bottom"/>
          </w:tcPr>
          <w:p>
            <w:pPr>
              <w:spacing w:after="0"/>
              <w:rPr>
                <w:sz w:val="4"/>
                <w:szCs w:val="4"/>
                <w:color w:val="auto"/>
              </w:rPr>
            </w:pPr>
          </w:p>
        </w:tc>
        <w:tc>
          <w:tcPr>
            <w:tcW w:w="46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11" w:lineRule="exact"/>
        <w:rPr>
          <w:sz w:val="20"/>
          <w:szCs w:val="20"/>
          <w:color w:val="auto"/>
        </w:rPr>
      </w:pPr>
    </w:p>
    <w:p>
      <w:pPr>
        <w:sectPr>
          <w:pgSz w:w="11900" w:h="16838" w:orient="portrait"/>
          <w:cols w:equalWidth="0" w:num="2">
            <w:col w:w="9980" w:space="720"/>
            <w:col w:w="540"/>
          </w:cols>
          <w:pgMar w:left="320" w:top="120" w:right="339" w:bottom="1440" w:gutter="0" w:footer="0" w:header="0"/>
          <w:type w:val="continuous"/>
        </w:sectPr>
      </w:pP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32.1*</w:t>
      </w:r>
    </w:p>
    <w:p>
      <w:pPr>
        <w:spacing w:after="0" w:line="1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32.2*</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6"/>
          <w:szCs w:val="16"/>
          <w:u w:val="single" w:color="auto"/>
          <w:color w:val="0000FF"/>
        </w:rPr>
      </w:pPr>
      <w:hyperlink w:anchor="page162">
        <w:r>
          <w:rPr>
            <w:rFonts w:ascii="Times New Roman" w:cs="Times New Roman" w:eastAsia="Times New Roman" w:hAnsi="Times New Roman"/>
            <w:sz w:val="16"/>
            <w:szCs w:val="16"/>
            <w:u w:val="single" w:color="auto"/>
            <w:color w:val="0000FF"/>
          </w:rPr>
          <w:t>Certification Pursuant to 18 U.S.C. § 1350 (Section 906 of the</w:t>
        </w:r>
      </w:hyperlink>
    </w:p>
    <w:p>
      <w:pPr>
        <w:spacing w:after="0"/>
        <w:rPr>
          <w:rFonts w:ascii="Times New Roman" w:cs="Times New Roman" w:eastAsia="Times New Roman" w:hAnsi="Times New Roman"/>
          <w:sz w:val="17"/>
          <w:szCs w:val="17"/>
          <w:u w:val="single" w:color="auto"/>
          <w:color w:val="0000FF"/>
        </w:rPr>
      </w:pPr>
      <w:hyperlink w:anchor="page162">
        <w:r>
          <w:rPr>
            <w:rFonts w:ascii="Times New Roman" w:cs="Times New Roman" w:eastAsia="Times New Roman" w:hAnsi="Times New Roman"/>
            <w:sz w:val="17"/>
            <w:szCs w:val="17"/>
            <w:u w:val="single" w:color="auto"/>
            <w:color w:val="0000FF"/>
          </w:rPr>
          <w:t>Sarbanes-Oxley Act of 2002)</w:t>
        </w:r>
      </w:hyperlink>
    </w:p>
    <w:p>
      <w:pPr>
        <w:spacing w:after="0" w:line="233" w:lineRule="auto"/>
        <w:rPr>
          <w:rFonts w:ascii="Times New Roman" w:cs="Times New Roman" w:eastAsia="Times New Roman" w:hAnsi="Times New Roman"/>
          <w:sz w:val="16"/>
          <w:szCs w:val="16"/>
          <w:u w:val="single" w:color="auto"/>
          <w:color w:val="0000FF"/>
        </w:rPr>
      </w:pPr>
      <w:hyperlink w:anchor="page163">
        <w:r>
          <w:rPr>
            <w:rFonts w:ascii="Times New Roman" w:cs="Times New Roman" w:eastAsia="Times New Roman" w:hAnsi="Times New Roman"/>
            <w:sz w:val="16"/>
            <w:szCs w:val="16"/>
            <w:u w:val="single" w:color="auto"/>
            <w:color w:val="0000FF"/>
          </w:rPr>
          <w:t>Certification Pursuant to 18 U.S.C. § 1350 (Section 906 of the</w:t>
        </w:r>
      </w:hyperlink>
    </w:p>
    <w:p>
      <w:pPr>
        <w:spacing w:after="0"/>
        <w:rPr>
          <w:rFonts w:ascii="Times New Roman" w:cs="Times New Roman" w:eastAsia="Times New Roman" w:hAnsi="Times New Roman"/>
          <w:sz w:val="17"/>
          <w:szCs w:val="17"/>
          <w:u w:val="single" w:color="auto"/>
          <w:color w:val="0000FF"/>
        </w:rPr>
      </w:pPr>
      <w:hyperlink w:anchor="page163">
        <w:r>
          <w:rPr>
            <w:rFonts w:ascii="Times New Roman" w:cs="Times New Roman" w:eastAsia="Times New Roman" w:hAnsi="Times New Roman"/>
            <w:sz w:val="17"/>
            <w:szCs w:val="17"/>
            <w:u w:val="single" w:color="auto"/>
            <w:color w:val="0000FF"/>
          </w:rPr>
          <w:t>Sarbanes-Oxley Act of 2002)</w:t>
        </w:r>
      </w:hyperlink>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19" w:lineRule="exact"/>
        <w:rPr>
          <w:sz w:val="20"/>
          <w:szCs w:val="20"/>
          <w:color w:val="auto"/>
        </w:rPr>
      </w:pPr>
    </w:p>
    <w:p>
      <w:pPr>
        <w:sectPr>
          <w:pgSz w:w="11900" w:h="16838" w:orient="portrait"/>
          <w:cols w:equalWidth="0" w:num="3">
            <w:col w:w="400" w:space="660"/>
            <w:col w:w="8920" w:space="720"/>
            <w:col w:w="540"/>
          </w:cols>
          <w:pgMar w:left="320" w:top="120" w:right="339" w:bottom="1440" w:gutter="0" w:footer="0" w:header="0"/>
          <w:type w:val="continuous"/>
        </w:sectPr>
      </w:pPr>
    </w:p>
    <w:tbl>
      <w:tblPr>
        <w:tblLayout w:type="fixed"/>
        <w:tblInd w:w="20" w:type="dxa"/>
        <w:tblCellMar>
          <w:top w:w="0" w:type="dxa"/>
          <w:left w:w="0" w:type="dxa"/>
          <w:bottom w:w="0" w:type="dxa"/>
          <w:right w:w="0" w:type="dxa"/>
        </w:tblCellMar>
      </w:tblPr>
      <w:tr>
        <w:trPr>
          <w:trHeight w:val="20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XBRL Instance Document</w:t>
            </w:r>
          </w:p>
        </w:tc>
        <w:tc>
          <w:tcPr>
            <w:tcW w:w="2640" w:type="dxa"/>
            <w:vAlign w:val="bottom"/>
          </w:tcPr>
          <w:p>
            <w:pPr>
              <w:ind w:left="2520"/>
              <w:spacing w:after="0"/>
              <w:rPr>
                <w:sz w:val="20"/>
                <w:szCs w:val="20"/>
                <w:color w:val="auto"/>
              </w:rPr>
            </w:pPr>
            <w:r>
              <w:rPr>
                <w:rFonts w:ascii="Times New Roman" w:cs="Times New Roman" w:eastAsia="Times New Roman" w:hAnsi="Times New Roman"/>
                <w:sz w:val="17"/>
                <w:szCs w:val="17"/>
                <w:color w:val="auto"/>
                <w:w w:val="81"/>
              </w:rPr>
              <w:t>X</w:t>
            </w:r>
          </w:p>
        </w:tc>
        <w:tc>
          <w:tcPr>
            <w:tcW w:w="0" w:type="dxa"/>
            <w:vAlign w:val="bottom"/>
          </w:tcPr>
          <w:p>
            <w:pPr>
              <w:spacing w:after="0"/>
              <w:rPr>
                <w:sz w:val="1"/>
                <w:szCs w:val="1"/>
                <w:color w:val="auto"/>
              </w:rPr>
            </w:pPr>
          </w:p>
        </w:tc>
      </w:tr>
      <w:tr>
        <w:trPr>
          <w:trHeight w:val="21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Inline XBRL Taxonomy Extension Schema</w:t>
            </w:r>
          </w:p>
        </w:tc>
        <w:tc>
          <w:tcPr>
            <w:tcW w:w="2640" w:type="dxa"/>
            <w:vAlign w:val="bottom"/>
          </w:tcPr>
          <w:p>
            <w:pPr>
              <w:ind w:left="2520"/>
              <w:spacing w:after="0"/>
              <w:rPr>
                <w:sz w:val="20"/>
                <w:szCs w:val="20"/>
                <w:color w:val="auto"/>
              </w:rPr>
            </w:pPr>
            <w:r>
              <w:rPr>
                <w:rFonts w:ascii="Times New Roman" w:cs="Times New Roman" w:eastAsia="Times New Roman" w:hAnsi="Times New Roman"/>
                <w:sz w:val="17"/>
                <w:szCs w:val="17"/>
                <w:color w:val="auto"/>
                <w:w w:val="81"/>
              </w:rPr>
              <w:t>X</w:t>
            </w:r>
          </w:p>
        </w:tc>
        <w:tc>
          <w:tcPr>
            <w:tcW w:w="0" w:type="dxa"/>
            <w:vAlign w:val="bottom"/>
          </w:tcPr>
          <w:p>
            <w:pPr>
              <w:spacing w:after="0"/>
              <w:rPr>
                <w:sz w:val="1"/>
                <w:szCs w:val="1"/>
                <w:color w:val="auto"/>
              </w:rPr>
            </w:pPr>
          </w:p>
        </w:tc>
      </w:tr>
      <w:tr>
        <w:trPr>
          <w:trHeight w:val="21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Inline XBRL Taxonomy Extension Calculation Linkbase</w:t>
            </w:r>
          </w:p>
        </w:tc>
        <w:tc>
          <w:tcPr>
            <w:tcW w:w="2640" w:type="dxa"/>
            <w:vAlign w:val="bottom"/>
          </w:tcPr>
          <w:p>
            <w:pPr>
              <w:ind w:left="2520"/>
              <w:spacing w:after="0"/>
              <w:rPr>
                <w:sz w:val="20"/>
                <w:szCs w:val="20"/>
                <w:color w:val="auto"/>
              </w:rPr>
            </w:pPr>
            <w:r>
              <w:rPr>
                <w:rFonts w:ascii="Times New Roman" w:cs="Times New Roman" w:eastAsia="Times New Roman" w:hAnsi="Times New Roman"/>
                <w:sz w:val="17"/>
                <w:szCs w:val="17"/>
                <w:color w:val="auto"/>
                <w:w w:val="81"/>
              </w:rPr>
              <w:t>X</w:t>
            </w:r>
          </w:p>
        </w:tc>
        <w:tc>
          <w:tcPr>
            <w:tcW w:w="0" w:type="dxa"/>
            <w:vAlign w:val="bottom"/>
          </w:tcPr>
          <w:p>
            <w:pPr>
              <w:spacing w:after="0"/>
              <w:rPr>
                <w:sz w:val="1"/>
                <w:szCs w:val="1"/>
                <w:color w:val="auto"/>
              </w:rPr>
            </w:pPr>
          </w:p>
        </w:tc>
      </w:tr>
      <w:tr>
        <w:trPr>
          <w:trHeight w:val="21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Inline XBRL Taxonomy Extension Definition Linkbase</w:t>
            </w:r>
          </w:p>
        </w:tc>
        <w:tc>
          <w:tcPr>
            <w:tcW w:w="2640" w:type="dxa"/>
            <w:vAlign w:val="bottom"/>
          </w:tcPr>
          <w:p>
            <w:pPr>
              <w:ind w:left="2520"/>
              <w:spacing w:after="0"/>
              <w:rPr>
                <w:sz w:val="20"/>
                <w:szCs w:val="20"/>
                <w:color w:val="auto"/>
              </w:rPr>
            </w:pPr>
            <w:r>
              <w:rPr>
                <w:rFonts w:ascii="Times New Roman" w:cs="Times New Roman" w:eastAsia="Times New Roman" w:hAnsi="Times New Roman"/>
                <w:sz w:val="17"/>
                <w:szCs w:val="17"/>
                <w:color w:val="auto"/>
                <w:w w:val="81"/>
              </w:rPr>
              <w:t>X</w:t>
            </w:r>
          </w:p>
        </w:tc>
        <w:tc>
          <w:tcPr>
            <w:tcW w:w="0" w:type="dxa"/>
            <w:vAlign w:val="bottom"/>
          </w:tcPr>
          <w:p>
            <w:pPr>
              <w:spacing w:after="0"/>
              <w:rPr>
                <w:sz w:val="1"/>
                <w:szCs w:val="1"/>
                <w:color w:val="auto"/>
              </w:rPr>
            </w:pPr>
          </w:p>
        </w:tc>
      </w:tr>
      <w:tr>
        <w:trPr>
          <w:trHeight w:val="21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Inline XBRL Taxonomy Extension Label Linkbase</w:t>
            </w:r>
          </w:p>
        </w:tc>
        <w:tc>
          <w:tcPr>
            <w:tcW w:w="2640" w:type="dxa"/>
            <w:vAlign w:val="bottom"/>
          </w:tcPr>
          <w:p>
            <w:pPr>
              <w:ind w:left="2520"/>
              <w:spacing w:after="0"/>
              <w:rPr>
                <w:sz w:val="20"/>
                <w:szCs w:val="20"/>
                <w:color w:val="auto"/>
              </w:rPr>
            </w:pPr>
            <w:r>
              <w:rPr>
                <w:rFonts w:ascii="Times New Roman" w:cs="Times New Roman" w:eastAsia="Times New Roman" w:hAnsi="Times New Roman"/>
                <w:sz w:val="17"/>
                <w:szCs w:val="17"/>
                <w:color w:val="auto"/>
                <w:w w:val="81"/>
              </w:rPr>
              <w:t>X</w:t>
            </w:r>
          </w:p>
        </w:tc>
        <w:tc>
          <w:tcPr>
            <w:tcW w:w="0" w:type="dxa"/>
            <w:vAlign w:val="bottom"/>
          </w:tcPr>
          <w:p>
            <w:pPr>
              <w:spacing w:after="0"/>
              <w:rPr>
                <w:sz w:val="1"/>
                <w:szCs w:val="1"/>
                <w:color w:val="auto"/>
              </w:rPr>
            </w:pPr>
          </w:p>
        </w:tc>
      </w:tr>
      <w:tr>
        <w:trPr>
          <w:trHeight w:val="212"/>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Inline XBRL Taxonomy Extension Presentation Linkbase</w:t>
            </w:r>
          </w:p>
        </w:tc>
        <w:tc>
          <w:tcPr>
            <w:tcW w:w="2640" w:type="dxa"/>
            <w:vAlign w:val="bottom"/>
          </w:tcPr>
          <w:p>
            <w:pPr>
              <w:ind w:left="2520"/>
              <w:spacing w:after="0"/>
              <w:rPr>
                <w:sz w:val="20"/>
                <w:szCs w:val="20"/>
                <w:color w:val="auto"/>
              </w:rPr>
            </w:pPr>
            <w:r>
              <w:rPr>
                <w:rFonts w:ascii="Times New Roman" w:cs="Times New Roman" w:eastAsia="Times New Roman" w:hAnsi="Times New Roman"/>
                <w:sz w:val="17"/>
                <w:szCs w:val="17"/>
                <w:color w:val="auto"/>
                <w:w w:val="81"/>
              </w:rPr>
              <w:t>X</w:t>
            </w:r>
          </w:p>
        </w:tc>
        <w:tc>
          <w:tcPr>
            <w:tcW w:w="0" w:type="dxa"/>
            <w:vAlign w:val="bottom"/>
          </w:tcPr>
          <w:p>
            <w:pPr>
              <w:spacing w:after="0"/>
              <w:rPr>
                <w:sz w:val="1"/>
                <w:szCs w:val="1"/>
                <w:color w:val="auto"/>
              </w:rPr>
            </w:pPr>
          </w:p>
        </w:tc>
      </w:tr>
      <w:tr>
        <w:trPr>
          <w:trHeight w:val="166"/>
        </w:trPr>
        <w:tc>
          <w:tcPr>
            <w:tcW w:w="8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104</w:t>
            </w:r>
          </w:p>
        </w:tc>
        <w:tc>
          <w:tcPr>
            <w:tcW w:w="7320" w:type="dxa"/>
            <w:vAlign w:val="bottom"/>
          </w:tcPr>
          <w:p>
            <w:pPr>
              <w:ind w:left="200"/>
              <w:spacing w:after="0" w:line="167" w:lineRule="exact"/>
              <w:rPr>
                <w:sz w:val="20"/>
                <w:szCs w:val="20"/>
                <w:color w:val="auto"/>
              </w:rPr>
            </w:pPr>
            <w:r>
              <w:rPr>
                <w:rFonts w:ascii="Times New Roman" w:cs="Times New Roman" w:eastAsia="Times New Roman" w:hAnsi="Times New Roman"/>
                <w:sz w:val="17"/>
                <w:szCs w:val="17"/>
                <w:color w:val="auto"/>
              </w:rPr>
              <w:t>Cover Page Interactive Data File (embedded within the Inline XBRL</w:t>
            </w:r>
          </w:p>
        </w:tc>
        <w:tc>
          <w:tcPr>
            <w:tcW w:w="2640" w:type="dxa"/>
            <w:vAlign w:val="bottom"/>
            <w:vMerge w:val="restart"/>
          </w:tcPr>
          <w:p>
            <w:pPr>
              <w:ind w:left="2520"/>
              <w:spacing w:after="0"/>
              <w:rPr>
                <w:sz w:val="20"/>
                <w:szCs w:val="20"/>
                <w:color w:val="auto"/>
              </w:rPr>
            </w:pPr>
            <w:r>
              <w:rPr>
                <w:rFonts w:ascii="Times New Roman" w:cs="Times New Roman" w:eastAsia="Times New Roman" w:hAnsi="Times New Roman"/>
                <w:sz w:val="17"/>
                <w:szCs w:val="17"/>
                <w:color w:val="auto"/>
                <w:w w:val="81"/>
              </w:rPr>
              <w:t>X</w:t>
            </w:r>
          </w:p>
        </w:tc>
        <w:tc>
          <w:tcPr>
            <w:tcW w:w="0" w:type="dxa"/>
            <w:vAlign w:val="bottom"/>
          </w:tcPr>
          <w:p>
            <w:pPr>
              <w:spacing w:after="0"/>
              <w:rPr>
                <w:sz w:val="1"/>
                <w:szCs w:val="1"/>
                <w:color w:val="auto"/>
              </w:rPr>
            </w:pPr>
          </w:p>
        </w:tc>
      </w:tr>
      <w:tr>
        <w:trPr>
          <w:trHeight w:val="216"/>
        </w:trPr>
        <w:tc>
          <w:tcPr>
            <w:tcW w:w="840" w:type="dxa"/>
            <w:vAlign w:val="bottom"/>
            <w:vMerge w:val="continue"/>
          </w:tcPr>
          <w:p>
            <w:pPr>
              <w:spacing w:after="0"/>
              <w:rPr>
                <w:sz w:val="18"/>
                <w:szCs w:val="18"/>
                <w:color w:val="auto"/>
              </w:rPr>
            </w:pPr>
          </w:p>
        </w:tc>
        <w:tc>
          <w:tcPr>
            <w:tcW w:w="7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document and included in Exhibit 101)</w:t>
            </w:r>
          </w:p>
        </w:tc>
        <w:tc>
          <w:tcPr>
            <w:tcW w:w="2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_____________________________________________</w:t>
      </w:r>
    </w:p>
    <w:p>
      <w:pPr>
        <w:spacing w:after="0" w:line="200" w:lineRule="exact"/>
        <w:rPr>
          <w:sz w:val="20"/>
          <w:szCs w:val="20"/>
          <w:color w:val="auto"/>
        </w:rPr>
      </w:pPr>
    </w:p>
    <w:p>
      <w:pPr>
        <w:spacing w:after="0" w:line="291" w:lineRule="exact"/>
        <w:rPr>
          <w:sz w:val="20"/>
          <w:szCs w:val="20"/>
          <w:color w:val="auto"/>
        </w:rPr>
      </w:pPr>
    </w:p>
    <w:p>
      <w:pPr>
        <w:ind w:left="1640" w:hanging="704"/>
        <w:spacing w:after="0"/>
        <w:tabs>
          <w:tab w:leader="none" w:pos="16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management contract or compensatory plan or arrangement.</w:t>
      </w:r>
    </w:p>
    <w:p>
      <w:pPr>
        <w:spacing w:after="0" w:line="279" w:lineRule="exact"/>
        <w:rPr>
          <w:sz w:val="20"/>
          <w:szCs w:val="20"/>
          <w:color w:val="auto"/>
        </w:rPr>
      </w:pPr>
    </w:p>
    <w:p>
      <w:pPr>
        <w:jc w:val="both"/>
        <w:ind w:left="1640" w:right="40" w:hanging="704"/>
        <w:spacing w:after="0" w:line="215" w:lineRule="auto"/>
        <w:tabs>
          <w:tab w:leader="none" w:pos="16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Item 601(b)(32)(ii) of Regulation S-K and SEC Release No. 34-47986, the certifications furnished in Exhibits 32.1 and 32.2 hereto are deemed to accompany this Form 10-K and will not be deemed “filed” for purposes of Section 18 of the Securities Exchange Act of 1934 (the “Exchange Act”) or deemed to be incorporated by reference into any filing under the Exchange Act or the Securities Act of 1933, as amended, except to the extent that the registrant specifically incorporates it by reference.</w:t>
      </w:r>
    </w:p>
    <w:p>
      <w:pPr>
        <w:sectPr>
          <w:pgSz w:w="11900" w:h="16838" w:orient="portrait"/>
          <w:cols w:equalWidth="0" w:num="1">
            <w:col w:w="11240"/>
          </w:cols>
          <w:pgMar w:left="320" w:top="120" w:right="339" w:bottom="1440" w:gutter="0" w:footer="0" w:header="0"/>
          <w:type w:val="continuous"/>
        </w:sectPr>
      </w:pPr>
    </w:p>
    <w:p>
      <w:pPr>
        <w:spacing w:after="0" w:line="26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Registrant is requesting or has previously been granted confidential treatment with respect to certain portions of this Exhibit.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76835</wp:posOffset>
            </wp:positionV>
            <wp:extent cx="7142480" cy="15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2">
            <w:col w:w="1020" w:space="620"/>
            <w:col w:w="9600"/>
          </w:cols>
          <w:pgMar w:left="320" w:top="120" w:right="339" w:bottom="1440" w:gutter="0" w:footer="0" w:header="0"/>
          <w:type w:val="continuous"/>
        </w:sectPr>
      </w:pPr>
    </w:p>
    <w:bookmarkStart w:id="129" w:name="page130"/>
    <w:bookmarkEnd w:id="129"/>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Copies of the above exhibits not contained herein are available to any stockholder, upon payment of a reasonable per page fee, upon written request to: Chief Financial Officer, Veracyte, Inc., 6000 Shoreline Court, Suite 300, South San Francisco, California 94080.</w:t>
      </w:r>
    </w:p>
    <w:p>
      <w:pPr>
        <w:spacing w:after="0" w:line="184" w:lineRule="exact"/>
        <w:rPr>
          <w:sz w:val="20"/>
          <w:szCs w:val="20"/>
          <w:color w:val="auto"/>
        </w:rPr>
      </w:pPr>
    </w:p>
    <w:p>
      <w:pPr>
        <w:ind w:left="420" w:right="8080" w:hanging="121"/>
        <w:spacing w:after="0" w:line="595" w:lineRule="auto"/>
        <w:tabs>
          <w:tab w:leader="none" w:pos="605"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Statement Schedules Reference is made to Item 15(a) 2 above.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2480" cy="158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30" w:name="page131"/>
    <w:bookmarkEnd w:id="130"/>
    <w:p>
      <w:pPr>
        <w:spacing w:after="0"/>
        <w:rPr>
          <w:rFonts w:ascii="Times New Roman" w:cs="Times New Roman" w:eastAsia="Times New Roman" w:hAnsi="Times New Roman"/>
          <w:sz w:val="13"/>
          <w:szCs w:val="13"/>
          <w:u w:val="single" w:color="auto"/>
          <w:color w:val="0000FF"/>
        </w:rPr>
      </w:pPr>
      <w:hyperlink w:anchor="page2">
        <w:r>
          <w:rPr>
            <w:rFonts w:ascii="Times New Roman" w:cs="Times New Roman" w:eastAsia="Times New Roman" w:hAnsi="Times New Roman"/>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FORM 10-K SUMMARY</w:t>
      </w:r>
    </w:p>
    <w:p>
      <w:pPr>
        <w:spacing w:after="0" w:line="2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5" w:lineRule="exact"/>
        <w:rPr>
          <w:sz w:val="20"/>
          <w:szCs w:val="20"/>
          <w:color w:val="auto"/>
        </w:rPr>
      </w:pPr>
    </w:p>
    <w:p>
      <w:pPr>
        <w:jc w:val="both"/>
        <w:ind w:firstLine="412"/>
        <w:spacing w:after="0" w:line="250"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VERACYTE, INC.</w:t>
      </w:r>
    </w:p>
    <w:p>
      <w:pPr>
        <w:spacing w:after="0" w:line="21" w:lineRule="exact"/>
        <w:rPr>
          <w:sz w:val="20"/>
          <w:szCs w:val="20"/>
          <w:color w:val="auto"/>
        </w:rPr>
      </w:pPr>
    </w:p>
    <w:p>
      <w:pPr>
        <w:ind w:left="5880"/>
        <w:spacing w:after="0"/>
        <w:tabs>
          <w:tab w:leader="none" w:pos="78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4106545</wp:posOffset>
            </wp:positionH>
            <wp:positionV relativeFrom="paragraph">
              <wp:posOffset>10795</wp:posOffset>
            </wp:positionV>
            <wp:extent cx="302006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2">
                      <a:extLst>
                        <a:ext uri="{28A0092B-C50C-407E-A947-70E740481C1C}"/>
                      </a:extLst>
                    </a:blip>
                    <a:srcRect/>
                    <a:stretch>
                      <a:fillRect/>
                    </a:stretch>
                  </pic:blipFill>
                  <pic:spPr bwMode="auto">
                    <a:xfrm>
                      <a:off x="0" y="0"/>
                      <a:ext cx="3020060" cy="7620"/>
                    </a:xfrm>
                    <a:prstGeom prst="rect">
                      <a:avLst/>
                    </a:prstGeom>
                    <a:noFill/>
                  </pic:spPr>
                </pic:pic>
              </a:graphicData>
            </a:graphic>
          </wp:anchor>
        </w:drawing>
      </w:r>
    </w:p>
    <w:p>
      <w:pPr>
        <w:jc w:val="center"/>
        <w:ind w:left="6420"/>
        <w:spacing w:after="0"/>
        <w:rPr>
          <w:sz w:val="20"/>
          <w:szCs w:val="20"/>
          <w:color w:val="auto"/>
        </w:rPr>
      </w:pPr>
      <w:r>
        <w:rPr>
          <w:rFonts w:ascii="Times New Roman" w:cs="Times New Roman" w:eastAsia="Times New Roman" w:hAnsi="Times New Roman"/>
          <w:sz w:val="17"/>
          <w:szCs w:val="17"/>
          <w:color w:val="auto"/>
        </w:rPr>
        <w:t>Bonnie H. Anderson</w:t>
      </w:r>
    </w:p>
    <w:p>
      <w:pPr>
        <w:jc w:val="center"/>
        <w:ind w:left="6420"/>
        <w:spacing w:after="0"/>
        <w:rPr>
          <w:sz w:val="20"/>
          <w:szCs w:val="20"/>
          <w:color w:val="auto"/>
        </w:rPr>
      </w:pPr>
      <w:r>
        <w:rPr>
          <w:rFonts w:ascii="Times New Roman" w:cs="Times New Roman" w:eastAsia="Times New Roman" w:hAnsi="Times New Roman"/>
          <w:sz w:val="17"/>
          <w:szCs w:val="17"/>
          <w:i w:val="1"/>
          <w:iCs w:val="1"/>
          <w:color w:val="auto"/>
        </w:rPr>
        <w:t>Chairman and Chief Executive Officer</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22, 2021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5" w:lineRule="exact"/>
        <w:rPr>
          <w:sz w:val="20"/>
          <w:szCs w:val="20"/>
          <w:color w:val="auto"/>
        </w:rPr>
      </w:pPr>
    </w:p>
    <w:p>
      <w:pPr>
        <w:jc w:val="both"/>
        <w:ind w:firstLine="412"/>
        <w:spacing w:after="0" w:line="260" w:lineRule="auto"/>
        <w:rPr>
          <w:sz w:val="20"/>
          <w:szCs w:val="20"/>
          <w:color w:val="auto"/>
        </w:rPr>
      </w:pPr>
      <w:r>
        <w:rPr>
          <w:rFonts w:ascii="Times New Roman" w:cs="Times New Roman" w:eastAsia="Times New Roman" w:hAnsi="Times New Roman"/>
          <w:sz w:val="16"/>
          <w:szCs w:val="16"/>
          <w:color w:val="auto"/>
        </w:rPr>
        <w:t>KNOW ALL PERSONS BY THESE PRESENT, that each person whose signature appears below constitutes and appoints Bonnie H. Anderson and Keith Kennedy, and each of them, his true and lawful attorneys-in-fact, each with full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2" w:lineRule="exact"/>
        <w:rPr>
          <w:sz w:val="20"/>
          <w:szCs w:val="20"/>
          <w:color w:val="auto"/>
        </w:rPr>
      </w:pPr>
    </w:p>
    <w:p>
      <w:pPr>
        <w:jc w:val="both"/>
        <w:ind w:right="20" w:firstLine="412"/>
        <w:spacing w:after="0" w:line="250"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on the dates and the capacities indicated.</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18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Title</w:t>
            </w:r>
          </w:p>
        </w:tc>
        <w:tc>
          <w:tcPr>
            <w:tcW w:w="1000" w:type="dxa"/>
            <w:vAlign w:val="bottom"/>
          </w:tcPr>
          <w:p>
            <w:pPr>
              <w:spacing w:after="0"/>
              <w:rPr>
                <w:sz w:val="12"/>
                <w:szCs w:val="12"/>
                <w:color w:val="auto"/>
              </w:rPr>
            </w:pPr>
          </w:p>
        </w:tc>
        <w:tc>
          <w:tcPr>
            <w:tcW w:w="740" w:type="dxa"/>
            <w:vAlign w:val="bottom"/>
            <w:gridSpan w:val="2"/>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16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w w:val="97"/>
              </w:rPr>
              <w:t>/s/ BONNIE H. ANDERSON</w:t>
            </w:r>
          </w:p>
        </w:tc>
        <w:tc>
          <w:tcPr>
            <w:tcW w:w="494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auto"/>
              </w:rPr>
              <w:t>Chairman and Chief Executive Officer (Principal Executive</w:t>
            </w:r>
          </w:p>
        </w:tc>
        <w:tc>
          <w:tcPr>
            <w:tcW w:w="1740" w:type="dxa"/>
            <w:vAlign w:val="bottom"/>
            <w:gridSpan w:val="3"/>
          </w:tcPr>
          <w:p>
            <w:pPr>
              <w:jc w:val="center"/>
              <w:ind w:left="437"/>
              <w:spacing w:after="0"/>
              <w:rPr>
                <w:sz w:val="20"/>
                <w:szCs w:val="20"/>
                <w:color w:val="auto"/>
              </w:rPr>
            </w:pPr>
            <w:r>
              <w:rPr>
                <w:rFonts w:ascii="Times New Roman" w:cs="Times New Roman" w:eastAsia="Times New Roman" w:hAnsi="Times New Roman"/>
                <w:sz w:val="17"/>
                <w:szCs w:val="17"/>
                <w:color w:val="auto"/>
                <w:w w:val="97"/>
              </w:rPr>
              <w:t>February 22, 2021</w:t>
            </w:r>
          </w:p>
        </w:tc>
        <w:tc>
          <w:tcPr>
            <w:tcW w:w="0" w:type="dxa"/>
            <w:vAlign w:val="bottom"/>
          </w:tcPr>
          <w:p>
            <w:pPr>
              <w:spacing w:after="0"/>
              <w:rPr>
                <w:sz w:val="1"/>
                <w:szCs w:val="1"/>
                <w:color w:val="auto"/>
              </w:rPr>
            </w:pPr>
          </w:p>
        </w:tc>
      </w:tr>
      <w:tr>
        <w:trPr>
          <w:trHeight w:val="50"/>
        </w:trPr>
        <w:tc>
          <w:tcPr>
            <w:tcW w:w="18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494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auto"/>
              </w:rPr>
              <w:t>Officer)</w:t>
            </w: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41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auto"/>
                <w:w w:val="96"/>
              </w:rPr>
              <w:t>Bonnie H. Anderson</w:t>
            </w:r>
          </w:p>
        </w:tc>
        <w:tc>
          <w:tcPr>
            <w:tcW w:w="4940" w:type="dxa"/>
            <w:vAlign w:val="bottom"/>
            <w:gridSpan w:val="3"/>
            <w:vMerge w:val="continue"/>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4160" w:type="dxa"/>
            <w:vAlign w:val="bottom"/>
            <w:gridSpan w:val="3"/>
            <w:vMerge w:val="continue"/>
          </w:tcPr>
          <w:p>
            <w:pPr>
              <w:spacing w:after="0"/>
              <w:rPr>
                <w:sz w:val="5"/>
                <w:szCs w:val="5"/>
                <w:color w:val="auto"/>
              </w:rPr>
            </w:pPr>
          </w:p>
        </w:tc>
        <w:tc>
          <w:tcPr>
            <w:tcW w:w="2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8"/>
        </w:trPr>
        <w:tc>
          <w:tcPr>
            <w:tcW w:w="4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8"/>
              </w:rPr>
              <w:t>/s/ KEITH KENNEDY</w:t>
            </w:r>
          </w:p>
        </w:tc>
        <w:tc>
          <w:tcPr>
            <w:tcW w:w="494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auto"/>
              </w:rPr>
              <w:t>Chief Financial Officer (Principal Financial Officer)</w:t>
            </w:r>
          </w:p>
        </w:tc>
        <w:tc>
          <w:tcPr>
            <w:tcW w:w="1740" w:type="dxa"/>
            <w:vAlign w:val="bottom"/>
            <w:gridSpan w:val="3"/>
          </w:tcPr>
          <w:p>
            <w:pPr>
              <w:jc w:val="center"/>
              <w:ind w:left="437"/>
              <w:spacing w:after="0"/>
              <w:rPr>
                <w:sz w:val="20"/>
                <w:szCs w:val="20"/>
                <w:color w:val="auto"/>
              </w:rPr>
            </w:pPr>
            <w:r>
              <w:rPr>
                <w:rFonts w:ascii="Times New Roman" w:cs="Times New Roman" w:eastAsia="Times New Roman" w:hAnsi="Times New Roman"/>
                <w:sz w:val="17"/>
                <w:szCs w:val="17"/>
                <w:color w:val="auto"/>
                <w:w w:val="97"/>
              </w:rPr>
              <w:t>February 22, 2021</w:t>
            </w:r>
          </w:p>
        </w:tc>
        <w:tc>
          <w:tcPr>
            <w:tcW w:w="0" w:type="dxa"/>
            <w:vAlign w:val="bottom"/>
          </w:tcPr>
          <w:p>
            <w:pPr>
              <w:spacing w:after="0"/>
              <w:rPr>
                <w:sz w:val="1"/>
                <w:szCs w:val="1"/>
                <w:color w:val="auto"/>
              </w:rPr>
            </w:pPr>
          </w:p>
        </w:tc>
      </w:tr>
      <w:tr>
        <w:trPr>
          <w:trHeight w:val="209"/>
        </w:trPr>
        <w:tc>
          <w:tcPr>
            <w:tcW w:w="41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Keith Kennedy</w:t>
            </w: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3"/>
        </w:trPr>
        <w:tc>
          <w:tcPr>
            <w:tcW w:w="41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w w:val="97"/>
              </w:rPr>
              <w:t>/s/ MARK HO</w:t>
            </w:r>
          </w:p>
        </w:tc>
        <w:tc>
          <w:tcPr>
            <w:tcW w:w="494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auto"/>
              </w:rPr>
              <w:t>Vice President, Controller (Principal Accounting Officer)</w:t>
            </w:r>
          </w:p>
        </w:tc>
        <w:tc>
          <w:tcPr>
            <w:tcW w:w="1740" w:type="dxa"/>
            <w:vAlign w:val="bottom"/>
            <w:gridSpan w:val="3"/>
          </w:tcPr>
          <w:p>
            <w:pPr>
              <w:jc w:val="center"/>
              <w:ind w:left="437"/>
              <w:spacing w:after="0"/>
              <w:rPr>
                <w:sz w:val="20"/>
                <w:szCs w:val="20"/>
                <w:color w:val="auto"/>
              </w:rPr>
            </w:pPr>
            <w:r>
              <w:rPr>
                <w:rFonts w:ascii="Times New Roman" w:cs="Times New Roman" w:eastAsia="Times New Roman" w:hAnsi="Times New Roman"/>
                <w:sz w:val="17"/>
                <w:szCs w:val="17"/>
                <w:color w:val="auto"/>
                <w:w w:val="97"/>
              </w:rPr>
              <w:t>February 22, 2021</w:t>
            </w:r>
          </w:p>
        </w:tc>
        <w:tc>
          <w:tcPr>
            <w:tcW w:w="0" w:type="dxa"/>
            <w:vAlign w:val="bottom"/>
          </w:tcPr>
          <w:p>
            <w:pPr>
              <w:spacing w:after="0"/>
              <w:rPr>
                <w:sz w:val="1"/>
                <w:szCs w:val="1"/>
                <w:color w:val="auto"/>
              </w:rPr>
            </w:pPr>
          </w:p>
        </w:tc>
      </w:tr>
      <w:tr>
        <w:trPr>
          <w:trHeight w:val="217"/>
        </w:trPr>
        <w:tc>
          <w:tcPr>
            <w:tcW w:w="41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Mark Ho</w:t>
            </w: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4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7"/>
              </w:rPr>
              <w:t>/s/ JOHN L. BISHOP</w:t>
            </w:r>
          </w:p>
        </w:tc>
        <w:tc>
          <w:tcPr>
            <w:tcW w:w="494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auto"/>
              </w:rPr>
              <w:t>Lead Independent Director</w:t>
            </w:r>
          </w:p>
        </w:tc>
        <w:tc>
          <w:tcPr>
            <w:tcW w:w="1740" w:type="dxa"/>
            <w:vAlign w:val="bottom"/>
            <w:gridSpan w:val="3"/>
          </w:tcPr>
          <w:p>
            <w:pPr>
              <w:jc w:val="center"/>
              <w:ind w:left="437"/>
              <w:spacing w:after="0"/>
              <w:rPr>
                <w:sz w:val="20"/>
                <w:szCs w:val="20"/>
                <w:color w:val="auto"/>
              </w:rPr>
            </w:pPr>
            <w:r>
              <w:rPr>
                <w:rFonts w:ascii="Times New Roman" w:cs="Times New Roman" w:eastAsia="Times New Roman" w:hAnsi="Times New Roman"/>
                <w:sz w:val="17"/>
                <w:szCs w:val="17"/>
                <w:color w:val="auto"/>
                <w:w w:val="97"/>
              </w:rPr>
              <w:t>February 22, 2021</w:t>
            </w:r>
          </w:p>
        </w:tc>
        <w:tc>
          <w:tcPr>
            <w:tcW w:w="0" w:type="dxa"/>
            <w:vAlign w:val="bottom"/>
          </w:tcPr>
          <w:p>
            <w:pPr>
              <w:spacing w:after="0"/>
              <w:rPr>
                <w:sz w:val="1"/>
                <w:szCs w:val="1"/>
                <w:color w:val="auto"/>
              </w:rPr>
            </w:pPr>
          </w:p>
        </w:tc>
      </w:tr>
      <w:tr>
        <w:trPr>
          <w:trHeight w:val="209"/>
        </w:trPr>
        <w:tc>
          <w:tcPr>
            <w:tcW w:w="41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John L. Bishop</w:t>
            </w: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4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8"/>
              </w:rPr>
              <w:t>/s/ FRED E. COHEN, M.D., D.PHIL.</w:t>
            </w:r>
          </w:p>
        </w:tc>
        <w:tc>
          <w:tcPr>
            <w:tcW w:w="494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auto"/>
              </w:rPr>
              <w:t>Director</w:t>
            </w:r>
          </w:p>
        </w:tc>
        <w:tc>
          <w:tcPr>
            <w:tcW w:w="1740" w:type="dxa"/>
            <w:vAlign w:val="bottom"/>
            <w:gridSpan w:val="3"/>
          </w:tcPr>
          <w:p>
            <w:pPr>
              <w:jc w:val="center"/>
              <w:ind w:left="437"/>
              <w:spacing w:after="0"/>
              <w:rPr>
                <w:sz w:val="20"/>
                <w:szCs w:val="20"/>
                <w:color w:val="auto"/>
              </w:rPr>
            </w:pPr>
            <w:r>
              <w:rPr>
                <w:rFonts w:ascii="Times New Roman" w:cs="Times New Roman" w:eastAsia="Times New Roman" w:hAnsi="Times New Roman"/>
                <w:sz w:val="17"/>
                <w:szCs w:val="17"/>
                <w:color w:val="auto"/>
                <w:w w:val="97"/>
              </w:rPr>
              <w:t>February 22, 2021</w:t>
            </w:r>
          </w:p>
        </w:tc>
        <w:tc>
          <w:tcPr>
            <w:tcW w:w="0" w:type="dxa"/>
            <w:vAlign w:val="bottom"/>
          </w:tcPr>
          <w:p>
            <w:pPr>
              <w:spacing w:after="0"/>
              <w:rPr>
                <w:sz w:val="1"/>
                <w:szCs w:val="1"/>
                <w:color w:val="auto"/>
              </w:rPr>
            </w:pPr>
          </w:p>
        </w:tc>
      </w:tr>
      <w:tr>
        <w:trPr>
          <w:trHeight w:val="209"/>
        </w:trPr>
        <w:tc>
          <w:tcPr>
            <w:tcW w:w="41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8"/>
              </w:rPr>
              <w:t>Fred E. Cohen, M.D., D.Phil.</w:t>
            </w: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4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7"/>
              </w:rPr>
              <w:t>/s/ KARIN EASTHAM</w:t>
            </w:r>
          </w:p>
        </w:tc>
        <w:tc>
          <w:tcPr>
            <w:tcW w:w="494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auto"/>
              </w:rPr>
              <w:t>Director</w:t>
            </w:r>
          </w:p>
        </w:tc>
        <w:tc>
          <w:tcPr>
            <w:tcW w:w="1740" w:type="dxa"/>
            <w:vAlign w:val="bottom"/>
            <w:gridSpan w:val="3"/>
          </w:tcPr>
          <w:p>
            <w:pPr>
              <w:jc w:val="center"/>
              <w:ind w:left="437"/>
              <w:spacing w:after="0"/>
              <w:rPr>
                <w:sz w:val="20"/>
                <w:szCs w:val="20"/>
                <w:color w:val="auto"/>
              </w:rPr>
            </w:pPr>
            <w:r>
              <w:rPr>
                <w:rFonts w:ascii="Times New Roman" w:cs="Times New Roman" w:eastAsia="Times New Roman" w:hAnsi="Times New Roman"/>
                <w:sz w:val="17"/>
                <w:szCs w:val="17"/>
                <w:color w:val="auto"/>
                <w:w w:val="97"/>
              </w:rPr>
              <w:t>February 22, 2021</w:t>
            </w:r>
          </w:p>
        </w:tc>
        <w:tc>
          <w:tcPr>
            <w:tcW w:w="0" w:type="dxa"/>
            <w:vAlign w:val="bottom"/>
          </w:tcPr>
          <w:p>
            <w:pPr>
              <w:spacing w:after="0"/>
              <w:rPr>
                <w:sz w:val="1"/>
                <w:szCs w:val="1"/>
                <w:color w:val="auto"/>
              </w:rPr>
            </w:pPr>
          </w:p>
        </w:tc>
      </w:tr>
      <w:tr>
        <w:trPr>
          <w:trHeight w:val="209"/>
        </w:trPr>
        <w:tc>
          <w:tcPr>
            <w:tcW w:w="41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8"/>
              </w:rPr>
              <w:t>Karin Eastham</w:t>
            </w: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4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7"/>
              </w:rPr>
              <w:t>/s/ ROBERT S. EPSTEIN, M.D., M.S.</w:t>
            </w:r>
          </w:p>
        </w:tc>
        <w:tc>
          <w:tcPr>
            <w:tcW w:w="494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auto"/>
              </w:rPr>
              <w:t>Director</w:t>
            </w:r>
          </w:p>
        </w:tc>
        <w:tc>
          <w:tcPr>
            <w:tcW w:w="1740" w:type="dxa"/>
            <w:vAlign w:val="bottom"/>
            <w:gridSpan w:val="3"/>
          </w:tcPr>
          <w:p>
            <w:pPr>
              <w:jc w:val="center"/>
              <w:ind w:left="437"/>
              <w:spacing w:after="0"/>
              <w:rPr>
                <w:sz w:val="20"/>
                <w:szCs w:val="20"/>
                <w:color w:val="auto"/>
              </w:rPr>
            </w:pPr>
            <w:r>
              <w:rPr>
                <w:rFonts w:ascii="Times New Roman" w:cs="Times New Roman" w:eastAsia="Times New Roman" w:hAnsi="Times New Roman"/>
                <w:sz w:val="17"/>
                <w:szCs w:val="17"/>
                <w:color w:val="auto"/>
                <w:w w:val="97"/>
              </w:rPr>
              <w:t>February 22, 2021</w:t>
            </w:r>
          </w:p>
        </w:tc>
        <w:tc>
          <w:tcPr>
            <w:tcW w:w="0" w:type="dxa"/>
            <w:vAlign w:val="bottom"/>
          </w:tcPr>
          <w:p>
            <w:pPr>
              <w:spacing w:after="0"/>
              <w:rPr>
                <w:sz w:val="1"/>
                <w:szCs w:val="1"/>
                <w:color w:val="auto"/>
              </w:rPr>
            </w:pPr>
          </w:p>
        </w:tc>
      </w:tr>
      <w:tr>
        <w:trPr>
          <w:trHeight w:val="209"/>
        </w:trPr>
        <w:tc>
          <w:tcPr>
            <w:tcW w:w="41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7"/>
              </w:rPr>
              <w:t>Robert S. Epstein, M.D., M.S.</w:t>
            </w: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4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8"/>
              </w:rPr>
              <w:t>/s/ KEVIN K. GORDON</w:t>
            </w:r>
          </w:p>
        </w:tc>
        <w:tc>
          <w:tcPr>
            <w:tcW w:w="494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auto"/>
              </w:rPr>
              <w:t>Director</w:t>
            </w:r>
          </w:p>
        </w:tc>
        <w:tc>
          <w:tcPr>
            <w:tcW w:w="1740" w:type="dxa"/>
            <w:vAlign w:val="bottom"/>
            <w:gridSpan w:val="3"/>
          </w:tcPr>
          <w:p>
            <w:pPr>
              <w:jc w:val="center"/>
              <w:ind w:left="437"/>
              <w:spacing w:after="0"/>
              <w:rPr>
                <w:sz w:val="20"/>
                <w:szCs w:val="20"/>
                <w:color w:val="auto"/>
              </w:rPr>
            </w:pPr>
            <w:r>
              <w:rPr>
                <w:rFonts w:ascii="Times New Roman" w:cs="Times New Roman" w:eastAsia="Times New Roman" w:hAnsi="Times New Roman"/>
                <w:sz w:val="17"/>
                <w:szCs w:val="17"/>
                <w:color w:val="auto"/>
                <w:w w:val="97"/>
              </w:rPr>
              <w:t>February 22, 2021</w:t>
            </w:r>
          </w:p>
        </w:tc>
        <w:tc>
          <w:tcPr>
            <w:tcW w:w="0" w:type="dxa"/>
            <w:vAlign w:val="bottom"/>
          </w:tcPr>
          <w:p>
            <w:pPr>
              <w:spacing w:after="0"/>
              <w:rPr>
                <w:sz w:val="1"/>
                <w:szCs w:val="1"/>
                <w:color w:val="auto"/>
              </w:rPr>
            </w:pPr>
          </w:p>
        </w:tc>
      </w:tr>
      <w:tr>
        <w:trPr>
          <w:trHeight w:val="209"/>
        </w:trPr>
        <w:tc>
          <w:tcPr>
            <w:tcW w:w="41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7"/>
              </w:rPr>
              <w:t>Kevin K. Gordon</w:t>
            </w: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4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8"/>
              </w:rPr>
              <w:t>/s/ JENS HOLSTEIN</w:t>
            </w:r>
          </w:p>
        </w:tc>
        <w:tc>
          <w:tcPr>
            <w:tcW w:w="494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auto"/>
              </w:rPr>
              <w:t>Director</w:t>
            </w:r>
          </w:p>
        </w:tc>
        <w:tc>
          <w:tcPr>
            <w:tcW w:w="1740" w:type="dxa"/>
            <w:vAlign w:val="bottom"/>
            <w:gridSpan w:val="3"/>
          </w:tcPr>
          <w:p>
            <w:pPr>
              <w:jc w:val="center"/>
              <w:ind w:left="437"/>
              <w:spacing w:after="0"/>
              <w:rPr>
                <w:sz w:val="20"/>
                <w:szCs w:val="20"/>
                <w:color w:val="auto"/>
              </w:rPr>
            </w:pPr>
            <w:r>
              <w:rPr>
                <w:rFonts w:ascii="Times New Roman" w:cs="Times New Roman" w:eastAsia="Times New Roman" w:hAnsi="Times New Roman"/>
                <w:sz w:val="17"/>
                <w:szCs w:val="17"/>
                <w:color w:val="auto"/>
                <w:w w:val="97"/>
              </w:rPr>
              <w:t>February 22, 2021</w:t>
            </w:r>
          </w:p>
        </w:tc>
        <w:tc>
          <w:tcPr>
            <w:tcW w:w="0" w:type="dxa"/>
            <w:vAlign w:val="bottom"/>
          </w:tcPr>
          <w:p>
            <w:pPr>
              <w:spacing w:after="0"/>
              <w:rPr>
                <w:sz w:val="1"/>
                <w:szCs w:val="1"/>
                <w:color w:val="auto"/>
              </w:rPr>
            </w:pPr>
          </w:p>
        </w:tc>
      </w:tr>
      <w:tr>
        <w:trPr>
          <w:trHeight w:val="209"/>
        </w:trPr>
        <w:tc>
          <w:tcPr>
            <w:tcW w:w="41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Jens Holstein</w:t>
            </w: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41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w w:val="96"/>
              </w:rPr>
              <w:t>/s/ EVAN JONES</w:t>
            </w:r>
          </w:p>
        </w:tc>
        <w:tc>
          <w:tcPr>
            <w:tcW w:w="494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auto"/>
              </w:rPr>
              <w:t>Director</w:t>
            </w:r>
          </w:p>
        </w:tc>
        <w:tc>
          <w:tcPr>
            <w:tcW w:w="1740" w:type="dxa"/>
            <w:vAlign w:val="bottom"/>
            <w:gridSpan w:val="3"/>
          </w:tcPr>
          <w:p>
            <w:pPr>
              <w:jc w:val="center"/>
              <w:ind w:left="437"/>
              <w:spacing w:after="0"/>
              <w:rPr>
                <w:sz w:val="20"/>
                <w:szCs w:val="20"/>
                <w:color w:val="auto"/>
              </w:rPr>
            </w:pPr>
            <w:r>
              <w:rPr>
                <w:rFonts w:ascii="Times New Roman" w:cs="Times New Roman" w:eastAsia="Times New Roman" w:hAnsi="Times New Roman"/>
                <w:sz w:val="17"/>
                <w:szCs w:val="17"/>
                <w:color w:val="auto"/>
                <w:w w:val="97"/>
              </w:rPr>
              <w:t>February 22, 2021</w:t>
            </w:r>
          </w:p>
        </w:tc>
        <w:tc>
          <w:tcPr>
            <w:tcW w:w="0" w:type="dxa"/>
            <w:vAlign w:val="bottom"/>
          </w:tcPr>
          <w:p>
            <w:pPr>
              <w:spacing w:after="0"/>
              <w:rPr>
                <w:sz w:val="1"/>
                <w:szCs w:val="1"/>
                <w:color w:val="auto"/>
              </w:rPr>
            </w:pPr>
          </w:p>
        </w:tc>
      </w:tr>
      <w:tr>
        <w:trPr>
          <w:trHeight w:val="209"/>
        </w:trPr>
        <w:tc>
          <w:tcPr>
            <w:tcW w:w="41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8"/>
              </w:rPr>
              <w:t>Evan Jones</w:t>
            </w: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128</w:t>
      </w:r>
    </w:p>
    <w:p>
      <w:pPr>
        <w:sectPr>
          <w:pgSz w:w="11900" w:h="16838" w:orient="portrait"/>
          <w:cols w:equalWidth="0" w:num="1">
            <w:col w:w="11240"/>
          </w:cols>
          <w:pgMar w:left="320" w:top="120"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7"/>
          <w:szCs w:val="17"/>
          <w:b w:val="1"/>
          <w:bCs w:val="1"/>
          <w:color w:val="auto"/>
        </w:rPr>
        <w:t>Exhibit 4.2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the Registrant’s Securities Registered Pursuant to Section 12 of the Securities Exchange Act of 1934</w:t>
      </w:r>
    </w:p>
    <w:p>
      <w:pPr>
        <w:spacing w:after="0" w:line="231" w:lineRule="exact"/>
        <w:rPr>
          <w:sz w:val="20"/>
          <w:szCs w:val="20"/>
          <w:color w:val="auto"/>
        </w:rPr>
      </w:pPr>
    </w:p>
    <w:p>
      <w:pPr>
        <w:ind w:right="20" w:firstLine="599"/>
        <w:spacing w:after="0" w:line="278" w:lineRule="auto"/>
        <w:rPr>
          <w:sz w:val="20"/>
          <w:szCs w:val="20"/>
          <w:color w:val="auto"/>
        </w:rPr>
      </w:pPr>
      <w:r>
        <w:rPr>
          <w:rFonts w:ascii="Arial" w:cs="Arial" w:eastAsia="Arial" w:hAnsi="Arial"/>
          <w:sz w:val="17"/>
          <w:szCs w:val="17"/>
          <w:color w:val="auto"/>
        </w:rPr>
        <w:t>As of December 31, 2019, Veracyte, Inc. (the “Company,” “we,” or “our”) had one class of securities registered under Section 12 of the Securities Exchange Act of 1934, as amended (the “Exchange Act”): our common stock.</w:t>
      </w:r>
    </w:p>
    <w:p>
      <w:pPr>
        <w:spacing w:after="0" w:line="171" w:lineRule="exact"/>
        <w:rPr>
          <w:sz w:val="20"/>
          <w:szCs w:val="20"/>
          <w:color w:val="auto"/>
        </w:rPr>
      </w:pPr>
    </w:p>
    <w:p>
      <w:pPr>
        <w:ind w:right="160" w:firstLine="599"/>
        <w:spacing w:after="0" w:line="256" w:lineRule="auto"/>
        <w:rPr>
          <w:sz w:val="20"/>
          <w:szCs w:val="20"/>
          <w:color w:val="auto"/>
        </w:rPr>
      </w:pPr>
      <w:r>
        <w:rPr>
          <w:rFonts w:ascii="Arial" w:cs="Arial" w:eastAsia="Arial" w:hAnsi="Arial"/>
          <w:sz w:val="17"/>
          <w:szCs w:val="17"/>
          <w:color w:val="auto"/>
        </w:rPr>
        <w:t>The following description summarizes the most important terms of our capital stock and certain provisions of our restated certificate of incorporation and restated bylaws. Because it is only a summary, it does not contain all of the information that may be important to you. For a complete description, you should refer to our restated certificate of incorporation and amended and restated bylaws, which are incorporated by reference as an exhibit to the Annual Report on Form 10-K of which this Exhibit 4.2 is a part, and to the provisions of applicable Delaware law.</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Capital Stock</w:t>
      </w:r>
    </w:p>
    <w:p>
      <w:pPr>
        <w:spacing w:after="0" w:line="231" w:lineRule="exact"/>
        <w:rPr>
          <w:sz w:val="20"/>
          <w:szCs w:val="20"/>
          <w:color w:val="auto"/>
        </w:rPr>
      </w:pPr>
    </w:p>
    <w:p>
      <w:pPr>
        <w:ind w:right="1000" w:firstLine="599"/>
        <w:spacing w:after="0" w:line="278" w:lineRule="auto"/>
        <w:rPr>
          <w:sz w:val="20"/>
          <w:szCs w:val="20"/>
          <w:color w:val="auto"/>
        </w:rPr>
      </w:pPr>
      <w:r>
        <w:rPr>
          <w:rFonts w:ascii="Arial" w:cs="Arial" w:eastAsia="Arial" w:hAnsi="Arial"/>
          <w:sz w:val="17"/>
          <w:szCs w:val="17"/>
          <w:color w:val="auto"/>
        </w:rPr>
        <w:t>Our authorized capital stock consists of 125,000,000 shares of common stock, $0.001 par value per share and 5,000,000 shares of undesignated preferred stock, $0.001 par value per share.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Dividend Rights</w:t>
      </w:r>
    </w:p>
    <w:p>
      <w:pPr>
        <w:spacing w:after="0" w:line="229" w:lineRule="exact"/>
        <w:rPr>
          <w:sz w:val="20"/>
          <w:szCs w:val="20"/>
          <w:color w:val="auto"/>
        </w:rPr>
      </w:pPr>
    </w:p>
    <w:p>
      <w:pPr>
        <w:ind w:right="40" w:firstLine="599"/>
        <w:spacing w:after="0" w:line="261" w:lineRule="auto"/>
        <w:rPr>
          <w:sz w:val="20"/>
          <w:szCs w:val="20"/>
          <w:color w:val="auto"/>
        </w:rPr>
      </w:pPr>
      <w:r>
        <w:rPr>
          <w:rFonts w:ascii="Arial" w:cs="Arial" w:eastAsia="Arial" w:hAnsi="Arial"/>
          <w:sz w:val="17"/>
          <w:szCs w:val="17"/>
          <w:color w:val="auto"/>
        </w:rPr>
        <w:t>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Voting Rights</w:t>
      </w:r>
    </w:p>
    <w:p>
      <w:pPr>
        <w:spacing w:after="0" w:line="229" w:lineRule="exact"/>
        <w:rPr>
          <w:sz w:val="20"/>
          <w:szCs w:val="20"/>
          <w:color w:val="auto"/>
        </w:rPr>
      </w:pPr>
    </w:p>
    <w:p>
      <w:pPr>
        <w:ind w:right="740" w:firstLine="599"/>
        <w:spacing w:after="0" w:line="278" w:lineRule="auto"/>
        <w:rPr>
          <w:sz w:val="20"/>
          <w:szCs w:val="20"/>
          <w:color w:val="auto"/>
        </w:rPr>
      </w:pPr>
      <w:r>
        <w:rPr>
          <w:rFonts w:ascii="Arial" w:cs="Arial" w:eastAsia="Arial" w:hAnsi="Arial"/>
          <w:sz w:val="17"/>
          <w:szCs w:val="17"/>
          <w:color w:val="auto"/>
        </w:rPr>
        <w:t>Each holder of common stock is entitled to one vote per share on all matters submitted to a vote of stockholders. We do not provide for cumulative voting in the election of directors.</w:t>
      </w:r>
    </w:p>
    <w:p>
      <w:pPr>
        <w:spacing w:after="0" w:line="309"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No Preemptive or Similar Rights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Holders of common stock have no preemptive or conversion rights or other subscription rights.</w:t>
      </w:r>
    </w:p>
    <w:p>
      <w:pPr>
        <w:spacing w:after="0" w:line="354"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Right to Receive Liquidation Distributions</w:t>
      </w:r>
    </w:p>
    <w:p>
      <w:pPr>
        <w:spacing w:after="0" w:line="229" w:lineRule="exact"/>
        <w:rPr>
          <w:sz w:val="20"/>
          <w:szCs w:val="20"/>
          <w:color w:val="auto"/>
        </w:rPr>
      </w:pPr>
    </w:p>
    <w:p>
      <w:pPr>
        <w:ind w:right="20" w:firstLine="599"/>
        <w:spacing w:after="0" w:line="278" w:lineRule="auto"/>
        <w:rPr>
          <w:sz w:val="20"/>
          <w:szCs w:val="20"/>
          <w:color w:val="auto"/>
        </w:rPr>
      </w:pPr>
      <w:r>
        <w:rPr>
          <w:rFonts w:ascii="Arial" w:cs="Arial" w:eastAsia="Arial" w:hAnsi="Arial"/>
          <w:sz w:val="17"/>
          <w:szCs w:val="17"/>
          <w:color w:val="auto"/>
        </w:rPr>
        <w:t>Upon our liquidation, dissolution or winding-up, the holders of common stock are entitled to share ratably in all assets remaining after payment of all liabilities and the liquidation preferences of any outstanding preferred stock.</w:t>
      </w:r>
    </w:p>
    <w:p>
      <w:pPr>
        <w:spacing w:after="0" w:line="84"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Fully Paid and Nonassessable</w:t>
      </w:r>
    </w:p>
    <w:p>
      <w:pPr>
        <w:spacing w:after="0" w:line="14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All of our outstanding shares of common stock are fully paid and non-assessable.</w:t>
      </w: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31" w:lineRule="exact"/>
        <w:rPr>
          <w:sz w:val="20"/>
          <w:szCs w:val="20"/>
          <w:color w:val="auto"/>
        </w:rPr>
      </w:pPr>
    </w:p>
    <w:p>
      <w:pPr>
        <w:ind w:right="20" w:firstLine="599"/>
        <w:spacing w:after="0" w:line="250" w:lineRule="auto"/>
        <w:rPr>
          <w:sz w:val="20"/>
          <w:szCs w:val="20"/>
          <w:color w:val="auto"/>
        </w:rPr>
      </w:pPr>
      <w:r>
        <w:rPr>
          <w:rFonts w:ascii="Arial" w:cs="Arial" w:eastAsia="Arial" w:hAnsi="Arial"/>
          <w:sz w:val="17"/>
          <w:szCs w:val="17"/>
          <w:color w:val="auto"/>
        </w:rPr>
        <w:t>Our board of directors is authorized, subject to limitations prescribed by Delaware law, without further action by our stockholders, to issue from time to time up to 5,000,000 shares of preferred stock in one or more series, to establish the number of shares to be included in each series and fix the powers, preferences and rights of the shares of each wholly unissued series and any of its qualifications, limitations or restrictions. Our board of directors can also increase or decrease the number of shares of any series, but not below the number of shares of that series then outstanding, without any further vote or action by the stockholders. The issuance of preferred stock could decrease the amount of earnings and assets available for distribution to the holders of common stock or adversely affect the rights and powers, including voting rights, of the holders of common stock. The issuance of preferred</w:t>
      </w:r>
    </w:p>
    <w:p>
      <w:pPr>
        <w:sectPr>
          <w:pgSz w:w="11900" w:h="16838" w:orient="portrait"/>
          <w:cols w:equalWidth="0" w:num="1">
            <w:col w:w="11240"/>
          </w:cols>
          <w:pgMar w:left="320" w:top="1053" w:right="339" w:bottom="1440" w:gutter="0" w:footer="0" w:header="0"/>
        </w:sectPr>
      </w:pPr>
    </w:p>
    <w:bookmarkStart w:id="132" w:name="page133"/>
    <w:bookmarkEnd w:id="132"/>
    <w:p>
      <w:pPr>
        <w:ind w:right="240"/>
        <w:spacing w:after="0" w:line="261" w:lineRule="auto"/>
        <w:rPr>
          <w:sz w:val="20"/>
          <w:szCs w:val="20"/>
          <w:color w:val="auto"/>
        </w:rPr>
      </w:pPr>
      <w:r>
        <w:rPr>
          <w:rFonts w:ascii="Arial" w:cs="Arial" w:eastAsia="Arial" w:hAnsi="Arial"/>
          <w:sz w:val="17"/>
          <w:szCs w:val="17"/>
          <w:color w:val="auto"/>
        </w:rPr>
        <w:t>stock, while providing flexibility in connection with possible acquisitions and other corporate purposes, could, among other things, have the effect of delaying, deferring or preventing a change in control of our company, which could depress the market price of our common stock. We have no current plans to issue any shares of preferred stock.</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Delaware Law and Our Restated Certificate of Incorporation and Bylaws</w:t>
      </w:r>
    </w:p>
    <w:p>
      <w:pPr>
        <w:spacing w:after="0" w:line="131" w:lineRule="exact"/>
        <w:rPr>
          <w:sz w:val="20"/>
          <w:szCs w:val="20"/>
          <w:color w:val="auto"/>
        </w:rPr>
      </w:pPr>
    </w:p>
    <w:p>
      <w:pPr>
        <w:ind w:firstLine="370"/>
        <w:spacing w:after="0" w:line="256" w:lineRule="auto"/>
        <w:rPr>
          <w:sz w:val="20"/>
          <w:szCs w:val="20"/>
          <w:color w:val="auto"/>
        </w:rPr>
      </w:pPr>
      <w:r>
        <w:rPr>
          <w:rFonts w:ascii="Arial" w:cs="Arial" w:eastAsia="Arial" w:hAnsi="Arial"/>
          <w:sz w:val="17"/>
          <w:szCs w:val="17"/>
          <w:color w:val="auto"/>
        </w:rPr>
        <w:t>Certain provisions of Delaware law, our restated certificate of incorporation and our amended and restated bylaws could have the effect of delaying, deferring or discouraging another party from acquiring control of our company. These provisions, which are summarized below, are expected to discourage certain types of coercive takeover practices and inadequate takeover bids. These provisions are also designed, in part, to encourage persons seeking to acquire control of our company to first negotiate with our board of directors.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Certificate of Incorporation and Bylaws</w:t>
      </w:r>
    </w:p>
    <w:p>
      <w:pPr>
        <w:spacing w:after="0" w:line="142" w:lineRule="exact"/>
        <w:rPr>
          <w:sz w:val="20"/>
          <w:szCs w:val="20"/>
          <w:color w:val="auto"/>
        </w:rPr>
      </w:pPr>
    </w:p>
    <w:p>
      <w:pPr>
        <w:ind w:right="100" w:firstLine="670"/>
        <w:spacing w:after="0" w:line="278" w:lineRule="auto"/>
        <w:rPr>
          <w:sz w:val="20"/>
          <w:szCs w:val="20"/>
          <w:color w:val="auto"/>
        </w:rPr>
      </w:pPr>
      <w:r>
        <w:rPr>
          <w:rFonts w:ascii="Arial" w:cs="Arial" w:eastAsia="Arial" w:hAnsi="Arial"/>
          <w:sz w:val="17"/>
          <w:szCs w:val="17"/>
          <w:color w:val="auto"/>
        </w:rPr>
        <w:t>Our restated certificate of incorporation and amended and restated bylaws include a number of provisions that may have the effect of deterring hostile takeovers or delaying or preventing changes in control of our management team, including the following:</w:t>
      </w:r>
    </w:p>
    <w:p>
      <w:pPr>
        <w:spacing w:after="0" w:line="171" w:lineRule="exact"/>
        <w:rPr>
          <w:sz w:val="20"/>
          <w:szCs w:val="20"/>
          <w:color w:val="auto"/>
        </w:rPr>
      </w:pPr>
    </w:p>
    <w:p>
      <w:pPr>
        <w:ind w:left="600" w:right="280" w:hanging="301"/>
        <w:spacing w:after="0" w:line="277" w:lineRule="auto"/>
        <w:tabs>
          <w:tab w:leader="none" w:pos="596"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Our board of directors has the authority, without further action by the stockholders, to issue up to 5,000,000 shares of undesignated preferred stock.</w:t>
      </w:r>
    </w:p>
    <w:p>
      <w:pPr>
        <w:spacing w:after="0" w:line="172" w:lineRule="exact"/>
        <w:rPr>
          <w:rFonts w:ascii="Times New Roman" w:cs="Times New Roman" w:eastAsia="Times New Roman" w:hAnsi="Times New Roman"/>
          <w:sz w:val="17"/>
          <w:szCs w:val="17"/>
          <w:color w:val="auto"/>
        </w:rPr>
      </w:pPr>
    </w:p>
    <w:p>
      <w:pPr>
        <w:ind w:left="600" w:hanging="301"/>
        <w:spacing w:after="0" w:line="277" w:lineRule="auto"/>
        <w:tabs>
          <w:tab w:leader="none" w:pos="596"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Our restated certificate of incorporation provides that our stockholders may not take action by written consent, but may only take action at annual or special meetings of our stockholders.</w:t>
      </w:r>
    </w:p>
    <w:p>
      <w:pPr>
        <w:spacing w:after="0" w:line="172" w:lineRule="exact"/>
        <w:rPr>
          <w:rFonts w:ascii="Times New Roman" w:cs="Times New Roman" w:eastAsia="Times New Roman" w:hAnsi="Times New Roman"/>
          <w:sz w:val="17"/>
          <w:szCs w:val="17"/>
          <w:color w:val="auto"/>
        </w:rPr>
      </w:pPr>
    </w:p>
    <w:p>
      <w:pPr>
        <w:ind w:left="600" w:right="380" w:hanging="301"/>
        <w:spacing w:after="0" w:line="277" w:lineRule="auto"/>
        <w:tabs>
          <w:tab w:leader="none" w:pos="596"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Our amended and restated bylaws further provide that special meetings of our stockholders may be called only by a majority of our board of directors, our chairman of the board, or our chief executive officer.</w:t>
      </w:r>
    </w:p>
    <w:p>
      <w:pPr>
        <w:spacing w:after="0" w:line="172" w:lineRule="exact"/>
        <w:rPr>
          <w:rFonts w:ascii="Times New Roman" w:cs="Times New Roman" w:eastAsia="Times New Roman" w:hAnsi="Times New Roman"/>
          <w:sz w:val="17"/>
          <w:szCs w:val="17"/>
          <w:color w:val="auto"/>
        </w:rPr>
      </w:pPr>
    </w:p>
    <w:p>
      <w:pPr>
        <w:ind w:left="600" w:right="220" w:hanging="301"/>
        <w:spacing w:after="0" w:line="277" w:lineRule="auto"/>
        <w:tabs>
          <w:tab w:leader="none" w:pos="596"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Our amended and restated bylaws provide advance notice procedure for stockholder approvals to be brought before an annual meeting of our stockholders, including proposed nominations of persons for election to our board of directors;</w:t>
      </w:r>
    </w:p>
    <w:p>
      <w:pPr>
        <w:spacing w:after="0" w:line="172" w:lineRule="exact"/>
        <w:rPr>
          <w:rFonts w:ascii="Times New Roman" w:cs="Times New Roman" w:eastAsia="Times New Roman" w:hAnsi="Times New Roman"/>
          <w:sz w:val="17"/>
          <w:szCs w:val="17"/>
          <w:color w:val="auto"/>
        </w:rPr>
      </w:pPr>
    </w:p>
    <w:p>
      <w:pPr>
        <w:ind w:left="600" w:right="500" w:hanging="301"/>
        <w:spacing w:after="0" w:line="277" w:lineRule="auto"/>
        <w:tabs>
          <w:tab w:leader="none" w:pos="596"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Our restated certificate of incorporation and amended and restated bylaws provide that our board of directors is divided into three classes, Class I, Class II and Class III, with each class serving staggered terms.</w:t>
      </w:r>
    </w:p>
    <w:p>
      <w:pPr>
        <w:spacing w:after="0" w:line="172"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Our restated certificate of incorporation provides that our directors may be removed only for cause.</w:t>
      </w:r>
    </w:p>
    <w:p>
      <w:pPr>
        <w:spacing w:after="0" w:line="228" w:lineRule="exact"/>
        <w:rPr>
          <w:rFonts w:ascii="Times New Roman" w:cs="Times New Roman" w:eastAsia="Times New Roman" w:hAnsi="Times New Roman"/>
          <w:sz w:val="17"/>
          <w:szCs w:val="17"/>
          <w:color w:val="auto"/>
        </w:rPr>
      </w:pPr>
    </w:p>
    <w:p>
      <w:pPr>
        <w:ind w:left="600" w:right="460" w:hanging="301"/>
        <w:spacing w:after="0" w:line="277" w:lineRule="auto"/>
        <w:tabs>
          <w:tab w:leader="none" w:pos="596"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Our restated certificate of incorporation and amended and restated bylaws provide that vacancies on our board of directors may, except as otherwise required by law, be filled only by a majority of directors then in office, even if less than a quorum;</w:t>
      </w:r>
    </w:p>
    <w:p>
      <w:pPr>
        <w:spacing w:after="0" w:line="172"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Our restated certificate of incorporation provides that no stockholder is permitted to cumulate votes at any election of directors.</w:t>
      </w:r>
    </w:p>
    <w:p>
      <w:pPr>
        <w:spacing w:after="0" w:line="228" w:lineRule="exact"/>
        <w:rPr>
          <w:rFonts w:ascii="Times New Roman" w:cs="Times New Roman" w:eastAsia="Times New Roman" w:hAnsi="Times New Roman"/>
          <w:sz w:val="17"/>
          <w:szCs w:val="17"/>
          <w:color w:val="auto"/>
        </w:rPr>
      </w:pPr>
    </w:p>
    <w:p>
      <w:pPr>
        <w:ind w:left="600" w:right="440" w:hanging="301"/>
        <w:spacing w:after="0" w:line="277" w:lineRule="auto"/>
        <w:tabs>
          <w:tab w:leader="none" w:pos="596"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Our restated certificate of incorporation and amended and restated bylaws require a super-majority of votes to amend certain of the above-mentioned provisions.</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Delaware Law</w:t>
      </w:r>
    </w:p>
    <w:p>
      <w:pPr>
        <w:spacing w:after="0" w:line="229" w:lineRule="exact"/>
        <w:rPr>
          <w:sz w:val="20"/>
          <w:szCs w:val="20"/>
          <w:color w:val="auto"/>
        </w:rPr>
      </w:pPr>
    </w:p>
    <w:p>
      <w:pPr>
        <w:ind w:right="100" w:firstLine="300"/>
        <w:spacing w:after="0" w:line="256" w:lineRule="auto"/>
        <w:rPr>
          <w:sz w:val="20"/>
          <w:szCs w:val="20"/>
          <w:color w:val="auto"/>
        </w:rPr>
      </w:pPr>
      <w:r>
        <w:rPr>
          <w:rFonts w:ascii="Arial" w:cs="Arial" w:eastAsia="Arial" w:hAnsi="Arial"/>
          <w:sz w:val="17"/>
          <w:szCs w:val="17"/>
          <w:color w:val="auto"/>
        </w:rPr>
        <w:t>We are subject to Section 203 of the Delaware General Corporation Law, which prohibits a Delaware corporation from engaging in any “business combination” with any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190" w:lineRule="exact"/>
        <w:rPr>
          <w:sz w:val="20"/>
          <w:szCs w:val="20"/>
          <w:color w:val="auto"/>
        </w:rPr>
      </w:pPr>
    </w:p>
    <w:p>
      <w:pPr>
        <w:ind w:left="600" w:right="160" w:hanging="301"/>
        <w:spacing w:after="0" w:line="277" w:lineRule="auto"/>
        <w:tabs>
          <w:tab w:leader="none" w:pos="596"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before the stockholder became interested, our board of directors approved either the business combination or the transaction which resulted in the stockholder becoming an interested stockholder;</w:t>
      </w:r>
    </w:p>
    <w:p>
      <w:pPr>
        <w:sectPr>
          <w:pgSz w:w="11900" w:h="16838" w:orient="portrait"/>
          <w:cols w:equalWidth="0" w:num="1">
            <w:col w:w="11240"/>
          </w:cols>
          <w:pgMar w:left="320" w:top="830" w:right="339" w:bottom="1440" w:gutter="0" w:footer="0" w:header="0"/>
        </w:sectPr>
      </w:pPr>
    </w:p>
    <w:bookmarkStart w:id="133" w:name="page134"/>
    <w:bookmarkEnd w:id="133"/>
    <w:p>
      <w:pPr>
        <w:ind w:left="600" w:hanging="301"/>
        <w:spacing w:after="0" w:line="256" w:lineRule="auto"/>
        <w:tabs>
          <w:tab w:leader="none" w:pos="596"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188" w:lineRule="exact"/>
        <w:rPr>
          <w:rFonts w:ascii="Times New Roman" w:cs="Times New Roman" w:eastAsia="Times New Roman" w:hAnsi="Times New Roman"/>
          <w:sz w:val="17"/>
          <w:szCs w:val="17"/>
          <w:color w:val="auto"/>
        </w:rPr>
      </w:pPr>
    </w:p>
    <w:p>
      <w:pPr>
        <w:ind w:left="600" w:right="100" w:hanging="301"/>
        <w:spacing w:after="0" w:line="261" w:lineRule="auto"/>
        <w:tabs>
          <w:tab w:leader="none" w:pos="596"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Section 203 defines a business combination to include:</w:t>
      </w:r>
    </w:p>
    <w:p>
      <w:pPr>
        <w:spacing w:after="0" w:line="229" w:lineRule="exact"/>
        <w:rPr>
          <w:sz w:val="20"/>
          <w:szCs w:val="20"/>
          <w:color w:val="auto"/>
        </w:rPr>
      </w:pPr>
    </w:p>
    <w:p>
      <w:pPr>
        <w:ind w:left="900" w:hanging="301"/>
        <w:spacing w:after="0"/>
        <w:tabs>
          <w:tab w:leader="none" w:pos="900" w:val="left"/>
        </w:tabs>
        <w:numPr>
          <w:ilvl w:val="0"/>
          <w:numId w:val="60"/>
        </w:numPr>
        <w:rPr>
          <w:rFonts w:ascii="Times New Roman" w:cs="Times New Roman" w:eastAsia="Times New Roman" w:hAnsi="Times New Roman"/>
          <w:sz w:val="17"/>
          <w:szCs w:val="17"/>
          <w:color w:val="auto"/>
        </w:rPr>
      </w:pPr>
      <w:r>
        <w:rPr>
          <w:rFonts w:ascii="Arial" w:cs="Arial" w:eastAsia="Arial" w:hAnsi="Arial"/>
          <w:sz w:val="17"/>
          <w:szCs w:val="17"/>
          <w:color w:val="auto"/>
        </w:rPr>
        <w:t>any merger or consolidation involving the corporation and the interested stockholder;</w:t>
      </w:r>
    </w:p>
    <w:p>
      <w:pPr>
        <w:spacing w:after="0" w:line="23" w:lineRule="exact"/>
        <w:rPr>
          <w:rFonts w:ascii="Times New Roman" w:cs="Times New Roman" w:eastAsia="Times New Roman" w:hAnsi="Times New Roman"/>
          <w:sz w:val="17"/>
          <w:szCs w:val="17"/>
          <w:color w:val="auto"/>
        </w:rPr>
      </w:pPr>
    </w:p>
    <w:p>
      <w:pPr>
        <w:ind w:left="900" w:hanging="301"/>
        <w:spacing w:after="0"/>
        <w:tabs>
          <w:tab w:leader="none" w:pos="900" w:val="left"/>
        </w:tabs>
        <w:numPr>
          <w:ilvl w:val="0"/>
          <w:numId w:val="60"/>
        </w:numPr>
        <w:rPr>
          <w:rFonts w:ascii="Times New Roman" w:cs="Times New Roman" w:eastAsia="Times New Roman" w:hAnsi="Times New Roman"/>
          <w:sz w:val="17"/>
          <w:szCs w:val="17"/>
          <w:color w:val="auto"/>
        </w:rPr>
      </w:pPr>
      <w:r>
        <w:rPr>
          <w:rFonts w:ascii="Arial" w:cs="Arial" w:eastAsia="Arial" w:hAnsi="Arial"/>
          <w:sz w:val="17"/>
          <w:szCs w:val="17"/>
          <w:color w:val="auto"/>
        </w:rPr>
        <w:t>any sale, transfer, lease, pledge or other disposition involving the interested stockholder of 10% or more of the assets of the corporation;</w:t>
      </w:r>
    </w:p>
    <w:p>
      <w:pPr>
        <w:spacing w:after="0" w:line="3" w:lineRule="exact"/>
        <w:rPr>
          <w:rFonts w:ascii="Times New Roman" w:cs="Times New Roman" w:eastAsia="Times New Roman" w:hAnsi="Times New Roman"/>
          <w:sz w:val="17"/>
          <w:szCs w:val="17"/>
          <w:color w:val="auto"/>
        </w:rPr>
      </w:pPr>
    </w:p>
    <w:p>
      <w:pPr>
        <w:ind w:left="900" w:right="620" w:hanging="301"/>
        <w:spacing w:after="0" w:line="244" w:lineRule="auto"/>
        <w:tabs>
          <w:tab w:leader="none" w:pos="896" w:val="left"/>
        </w:tabs>
        <w:numPr>
          <w:ilvl w:val="0"/>
          <w:numId w:val="60"/>
        </w:numPr>
        <w:rPr>
          <w:rFonts w:ascii="Times New Roman" w:cs="Times New Roman" w:eastAsia="Times New Roman" w:hAnsi="Times New Roman"/>
          <w:sz w:val="17"/>
          <w:szCs w:val="17"/>
          <w:color w:val="auto"/>
        </w:rPr>
      </w:pPr>
      <w:r>
        <w:rPr>
          <w:rFonts w:ascii="Arial" w:cs="Arial" w:eastAsia="Arial" w:hAnsi="Arial"/>
          <w:sz w:val="17"/>
          <w:szCs w:val="17"/>
          <w:color w:val="auto"/>
        </w:rPr>
        <w:t>subject to exceptions, any transaction that results in the issuance of transfer by the corporation of any stock of the corporation to the interested stockholder;</w:t>
      </w:r>
    </w:p>
    <w:p>
      <w:pPr>
        <w:spacing w:after="0" w:line="1" w:lineRule="exact"/>
        <w:rPr>
          <w:rFonts w:ascii="Times New Roman" w:cs="Times New Roman" w:eastAsia="Times New Roman" w:hAnsi="Times New Roman"/>
          <w:sz w:val="17"/>
          <w:szCs w:val="17"/>
          <w:color w:val="auto"/>
        </w:rPr>
      </w:pPr>
    </w:p>
    <w:p>
      <w:pPr>
        <w:ind w:left="900" w:right="180" w:hanging="301"/>
        <w:spacing w:after="0" w:line="244" w:lineRule="auto"/>
        <w:tabs>
          <w:tab w:leader="none" w:pos="896" w:val="left"/>
        </w:tabs>
        <w:numPr>
          <w:ilvl w:val="0"/>
          <w:numId w:val="60"/>
        </w:numPr>
        <w:rPr>
          <w:rFonts w:ascii="Times New Roman" w:cs="Times New Roman" w:eastAsia="Times New Roman" w:hAnsi="Times New Roman"/>
          <w:sz w:val="17"/>
          <w:szCs w:val="17"/>
          <w:color w:val="auto"/>
        </w:rPr>
      </w:pPr>
      <w:r>
        <w:rPr>
          <w:rFonts w:ascii="Arial" w:cs="Arial" w:eastAsia="Arial" w:hAnsi="Arial"/>
          <w:sz w:val="17"/>
          <w:szCs w:val="17"/>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1" w:lineRule="exact"/>
        <w:rPr>
          <w:rFonts w:ascii="Times New Roman" w:cs="Times New Roman" w:eastAsia="Times New Roman" w:hAnsi="Times New Roman"/>
          <w:sz w:val="17"/>
          <w:szCs w:val="17"/>
          <w:color w:val="auto"/>
        </w:rPr>
      </w:pPr>
    </w:p>
    <w:p>
      <w:pPr>
        <w:ind w:left="900" w:right="20" w:hanging="301"/>
        <w:spacing w:after="0" w:line="253" w:lineRule="auto"/>
        <w:tabs>
          <w:tab w:leader="none" w:pos="896" w:val="left"/>
        </w:tabs>
        <w:numPr>
          <w:ilvl w:val="0"/>
          <w:numId w:val="60"/>
        </w:numPr>
        <w:rPr>
          <w:rFonts w:ascii="Times New Roman" w:cs="Times New Roman" w:eastAsia="Times New Roman" w:hAnsi="Times New Roman"/>
          <w:sz w:val="17"/>
          <w:szCs w:val="17"/>
          <w:color w:val="auto"/>
        </w:rPr>
      </w:pPr>
      <w:r>
        <w:rPr>
          <w:rFonts w:ascii="Arial" w:cs="Arial" w:eastAsia="Arial" w:hAnsi="Arial"/>
          <w:sz w:val="17"/>
          <w:szCs w:val="17"/>
          <w:color w:val="auto"/>
        </w:rPr>
        <w:t>the receipt by the interested stockholder of the benefit of any loans, advances, guarantees, pledges or other financial benefits provided by or through the corporation.</w:t>
      </w:r>
    </w:p>
    <w:p>
      <w:pPr>
        <w:spacing w:after="0" w:line="191" w:lineRule="exact"/>
        <w:rPr>
          <w:sz w:val="20"/>
          <w:szCs w:val="20"/>
          <w:color w:val="auto"/>
        </w:rPr>
      </w:pPr>
    </w:p>
    <w:p>
      <w:pPr>
        <w:ind w:right="400" w:firstLine="599"/>
        <w:spacing w:after="0" w:line="278" w:lineRule="auto"/>
        <w:rPr>
          <w:sz w:val="20"/>
          <w:szCs w:val="20"/>
          <w:color w:val="auto"/>
        </w:rPr>
      </w:pPr>
      <w:r>
        <w:rPr>
          <w:rFonts w:ascii="Arial" w:cs="Arial" w:eastAsia="Arial" w:hAnsi="Arial"/>
          <w:sz w:val="17"/>
          <w:szCs w:val="17"/>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Choice of Forum</w:t>
      </w:r>
    </w:p>
    <w:p>
      <w:pPr>
        <w:spacing w:after="0" w:line="231" w:lineRule="exact"/>
        <w:rPr>
          <w:sz w:val="20"/>
          <w:szCs w:val="20"/>
          <w:color w:val="auto"/>
        </w:rPr>
      </w:pPr>
    </w:p>
    <w:p>
      <w:pPr>
        <w:ind w:right="300" w:firstLine="599"/>
        <w:spacing w:after="0" w:line="253" w:lineRule="auto"/>
        <w:rPr>
          <w:sz w:val="20"/>
          <w:szCs w:val="20"/>
          <w:color w:val="auto"/>
        </w:rPr>
      </w:pPr>
      <w:r>
        <w:rPr>
          <w:rFonts w:ascii="Arial" w:cs="Arial" w:eastAsia="Arial" w:hAnsi="Arial"/>
          <w:sz w:val="17"/>
          <w:szCs w:val="17"/>
          <w:color w:val="auto"/>
        </w:rPr>
        <w:t>Our restated certificate of incorporation provides that the Court of Chancery of the State of Delaware is the sole and exclusive forum for any derivative action or proceeding brought on our behalf, any action asserting a breach of fiduciary duty owed by any of our directors, officers or other employees to us or our stockholders, any action asserting a claim against us arising pursuant to any provisions of the Delaware General Corporation Law, our restated certificate of incorporation or our restated bylaws, or any action asserting a claim against us that is governed by the internal affairs doctrine.</w:t>
      </w:r>
    </w:p>
    <w:p>
      <w:pPr>
        <w:spacing w:after="0" w:line="193" w:lineRule="exact"/>
        <w:rPr>
          <w:sz w:val="20"/>
          <w:szCs w:val="20"/>
          <w:color w:val="auto"/>
        </w:rPr>
      </w:pPr>
    </w:p>
    <w:p>
      <w:pPr>
        <w:ind w:firstLine="599"/>
        <w:spacing w:after="0" w:line="256" w:lineRule="auto"/>
        <w:rPr>
          <w:sz w:val="20"/>
          <w:szCs w:val="20"/>
          <w:color w:val="auto"/>
        </w:rPr>
      </w:pPr>
      <w:r>
        <w:rPr>
          <w:rFonts w:ascii="Arial" w:cs="Arial" w:eastAsia="Arial" w:hAnsi="Arial"/>
          <w:sz w:val="17"/>
          <w:szCs w:val="17"/>
          <w:color w:val="auto"/>
        </w:rPr>
        <w:t>This choice of forum provision may limit a stockholder’s ability to bring a claim in a judicial forum that it finds favorable for disputes with us or any of our directors, officers, or other employees, which may discourage lawsuits against us and our directors, officers, and other employees. This exclusive forum provision will not apply to claims that are vested in the exclusive jurisdiction of a court or forum other than the Court of Chancery of the State of Delaware, or for which the Court of Chancery of the State of Delaware does not have subject matter jurisdiction.</w:t>
      </w:r>
    </w:p>
    <w:p>
      <w:pPr>
        <w:spacing w:after="0" w:line="190" w:lineRule="exact"/>
        <w:rPr>
          <w:sz w:val="20"/>
          <w:szCs w:val="20"/>
          <w:color w:val="auto"/>
        </w:rPr>
      </w:pPr>
    </w:p>
    <w:p>
      <w:pPr>
        <w:ind w:right="160" w:firstLine="599"/>
        <w:spacing w:after="0" w:line="241" w:lineRule="auto"/>
        <w:rPr>
          <w:sz w:val="20"/>
          <w:szCs w:val="20"/>
          <w:color w:val="auto"/>
        </w:rPr>
      </w:pPr>
      <w:r>
        <w:rPr>
          <w:rFonts w:ascii="Arial" w:cs="Arial" w:eastAsia="Arial" w:hAnsi="Arial"/>
          <w:sz w:val="17"/>
          <w:szCs w:val="17"/>
          <w:color w:val="auto"/>
        </w:rPr>
        <w:t>In addition, our restated bylaws provide that unless we consent in writing to the selection of an alternate forum, the federal district courts of the United States are the exclusive forum for the resolution of any complaint asserting a cause of action arising under the Securities Act of 1933, as amended. Nothing in our restated certificate of incorporation or restated bylaws precludes stockholders from asserting claims to enforce any liability or duty created by the Exchange Act, or any other claim for which the federal courts of the United States have exclusive jurisdiction.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transfer agent and registrar for our common stock is Broadridge Corporate Issuer Solutions, Inc.</w:t>
      </w: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common stock is traded on The Nasdaq Global Market under the symbol "VCYT".</w:t>
      </w:r>
    </w:p>
    <w:p>
      <w:pPr>
        <w:sectPr>
          <w:pgSz w:w="11900" w:h="16838" w:orient="portrait"/>
          <w:cols w:equalWidth="0" w:num="1">
            <w:col w:w="11220"/>
          </w:cols>
          <w:pgMar w:left="320" w:top="830" w:right="35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VERACYTE, INC.</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 OF CONTROL AND SEVERANCE AGREEMENT</w:t>
      </w:r>
    </w:p>
    <w:p>
      <w:pPr>
        <w:spacing w:after="0" w:line="205" w:lineRule="exact"/>
        <w:rPr>
          <w:sz w:val="20"/>
          <w:szCs w:val="20"/>
          <w:color w:val="auto"/>
        </w:rPr>
      </w:pPr>
    </w:p>
    <w:p>
      <w:pPr>
        <w:ind w:right="40" w:firstLine="599"/>
        <w:spacing w:after="0" w:line="287" w:lineRule="auto"/>
        <w:rPr>
          <w:sz w:val="20"/>
          <w:szCs w:val="20"/>
          <w:color w:val="auto"/>
        </w:rPr>
      </w:pPr>
      <w:r>
        <w:rPr>
          <w:rFonts w:ascii="Times New Roman" w:cs="Times New Roman" w:eastAsia="Times New Roman" w:hAnsi="Times New Roman"/>
          <w:sz w:val="18"/>
          <w:szCs w:val="18"/>
          <w:color w:val="auto"/>
        </w:rPr>
        <w:t>This Change of Control and Severance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by and between James Erlinger III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and Veracyte,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effective as of August 1, 2020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01" w:lineRule="exact"/>
        <w:rPr>
          <w:sz w:val="20"/>
          <w:szCs w:val="20"/>
          <w:color w:val="auto"/>
        </w:rPr>
      </w:pPr>
    </w:p>
    <w:p>
      <w:pPr>
        <w:jc w:val="both"/>
        <w:ind w:right="440" w:firstLine="599"/>
        <w:spacing w:after="0" w:line="260" w:lineRule="auto"/>
        <w:tabs>
          <w:tab w:leader="none" w:pos="91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believes that it is in the best interests of the Company and its stockholders (i) to assure that the Company will have the continued dedication and objectivity of Executive, notwithstanding the possibility, threat, or occurrence of a Change of Control and (ii) to provide Executive with an incentive to continue Executive’s employment Lea to a Change of Control and to motivate Executive to maximize the value of the Company upon a Change of Control for the benefit of its stockholders.</w:t>
      </w:r>
    </w:p>
    <w:p>
      <w:pPr>
        <w:spacing w:after="0" w:line="155" w:lineRule="exact"/>
        <w:rPr>
          <w:rFonts w:ascii="Times New Roman" w:cs="Times New Roman" w:eastAsia="Times New Roman" w:hAnsi="Times New Roman"/>
          <w:sz w:val="18"/>
          <w:szCs w:val="18"/>
          <w:color w:val="auto"/>
        </w:rPr>
      </w:pPr>
    </w:p>
    <w:p>
      <w:pPr>
        <w:ind w:right="40" w:firstLine="599"/>
        <w:spacing w:after="0" w:line="264" w:lineRule="auto"/>
        <w:tabs>
          <w:tab w:leader="none" w:pos="91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believes that it is imperative to provide Executive with certain severance benefits upon Executive’s termination of employment under certain circumstances. These benefits will provide Executive with enhanced financial security and incentive and encouragement to remain with the Company notwithstanding the possibility of a Change of Control.</w:t>
      </w:r>
    </w:p>
    <w:p>
      <w:pPr>
        <w:spacing w:after="0" w:line="153" w:lineRule="exact"/>
        <w:rPr>
          <w:rFonts w:ascii="Times New Roman" w:cs="Times New Roman" w:eastAsia="Times New Roman" w:hAnsi="Times New Roman"/>
          <w:sz w:val="18"/>
          <w:szCs w:val="18"/>
          <w:color w:val="auto"/>
        </w:rPr>
      </w:pPr>
    </w:p>
    <w:p>
      <w:pPr>
        <w:ind w:left="920" w:hanging="321"/>
        <w:spacing w:after="0"/>
        <w:tabs>
          <w:tab w:leader="none" w:pos="9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capitalized terms used in the Agreement are defined in Section 6 below.</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w:t>
      </w:r>
      <w:r>
        <w:rPr>
          <w:rFonts w:ascii="Times New Roman" w:cs="Times New Roman" w:eastAsia="Times New Roman" w:hAnsi="Times New Roman"/>
          <w:sz w:val="18"/>
          <w:szCs w:val="18"/>
          <w:b w:val="1"/>
          <w:bCs w:val="1"/>
          <w:u w:val="single" w:color="auto"/>
          <w:color w:val="auto"/>
        </w:rPr>
        <w:t>N</w:t>
      </w:r>
      <w:r>
        <w:rPr>
          <w:rFonts w:ascii="Times New Roman" w:cs="Times New Roman" w:eastAsia="Times New Roman" w:hAnsi="Times New Roman"/>
          <w:sz w:val="18"/>
          <w:szCs w:val="18"/>
          <w:u w:val="single" w:color="auto"/>
          <w:color w:val="auto"/>
        </w:rPr>
        <w:t>T</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 xml:space="preserve">NOW, THEREFORE, in consideration of the mutual covenants contained herein, the parties hereto agree as </w:t>
      </w:r>
      <w:r>
        <w:rPr>
          <w:rFonts w:ascii="Times New Roman" w:cs="Times New Roman" w:eastAsia="Times New Roman" w:hAnsi="Times New Roman"/>
          <w:sz w:val="18"/>
          <w:szCs w:val="18"/>
          <w:color w:val="1F1F24"/>
        </w:rPr>
        <w:t>follows:</w:t>
      </w:r>
    </w:p>
    <w:p>
      <w:pPr>
        <w:spacing w:after="0" w:line="201" w:lineRule="exact"/>
        <w:rPr>
          <w:sz w:val="20"/>
          <w:szCs w:val="20"/>
          <w:color w:val="auto"/>
        </w:rPr>
      </w:pPr>
    </w:p>
    <w:p>
      <w:pPr>
        <w:jc w:val="both"/>
        <w:ind w:right="80" w:firstLine="599"/>
        <w:spacing w:after="0" w:line="255" w:lineRule="auto"/>
        <w:tabs>
          <w:tab w:leader="none" w:pos="1198" w:val="left"/>
        </w:tabs>
        <w:numPr>
          <w:ilvl w:val="0"/>
          <w:numId w:val="6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Term of Agreement</w:t>
      </w:r>
      <w:r>
        <w:rPr>
          <w:rFonts w:ascii="Times New Roman" w:cs="Times New Roman" w:eastAsia="Times New Roman" w:hAnsi="Times New Roman"/>
          <w:sz w:val="18"/>
          <w:szCs w:val="18"/>
          <w:color w:val="auto"/>
        </w:rPr>
        <w:t>. This Agreement will have an initial term of four (4) years commencing on the Effective Date (the “</w:t>
      </w:r>
      <w:r>
        <w:rPr>
          <w:rFonts w:ascii="Times New Roman" w:cs="Times New Roman" w:eastAsia="Times New Roman" w:hAnsi="Times New Roman"/>
          <w:sz w:val="18"/>
          <w:szCs w:val="18"/>
          <w:b w:val="1"/>
          <w:bCs w:val="1"/>
          <w:i w:val="1"/>
          <w:iCs w:val="1"/>
          <w:color w:val="auto"/>
        </w:rPr>
        <w:t>Initial Term</w:t>
      </w:r>
      <w:r>
        <w:rPr>
          <w:rFonts w:ascii="Times New Roman" w:cs="Times New Roman" w:eastAsia="Times New Roman" w:hAnsi="Times New Roman"/>
          <w:sz w:val="18"/>
          <w:szCs w:val="18"/>
          <w:color w:val="auto"/>
        </w:rPr>
        <w:t>”). On the fourth anniversary of the Effective Date, this Agreement will renew automatically for additional one (1) year terms (each an “</w:t>
      </w:r>
      <w:r>
        <w:rPr>
          <w:rFonts w:ascii="Times New Roman" w:cs="Times New Roman" w:eastAsia="Times New Roman" w:hAnsi="Times New Roman"/>
          <w:sz w:val="18"/>
          <w:szCs w:val="18"/>
          <w:b w:val="1"/>
          <w:bCs w:val="1"/>
          <w:i w:val="1"/>
          <w:iCs w:val="1"/>
          <w:color w:val="auto"/>
        </w:rPr>
        <w:t>Additional Term</w:t>
      </w:r>
      <w:r>
        <w:rPr>
          <w:rFonts w:ascii="Times New Roman" w:cs="Times New Roman" w:eastAsia="Times New Roman" w:hAnsi="Times New Roman"/>
          <w:sz w:val="18"/>
          <w:szCs w:val="18"/>
          <w:color w:val="auto"/>
        </w:rPr>
        <w:t>”), unless either party provides the other party with written notice of non-renewal at least sixty (60) days prior to the date of automatic renewal.</w:t>
      </w:r>
    </w:p>
    <w:p>
      <w:pPr>
        <w:ind w:right="180"/>
        <w:spacing w:after="0" w:line="250" w:lineRule="auto"/>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Notwithstanding the foregoing provisions of this paragraph, if a Change of Control occurs when there are fewer than twelve (12) months remaining during the Initial Term or an Additional Term, the term of this Agreement will extend automatically through the date that is twelve (12) months following the effective date of the Change of Control. If Executive becomes entitled to benefits under Section 3 during the term of this Agreement, the Agreement will not terminate until all of the obligations of the parties hereto with respect to this Agreement have been satisfied.</w:t>
      </w:r>
    </w:p>
    <w:p>
      <w:pPr>
        <w:spacing w:after="0" w:line="166" w:lineRule="exact"/>
        <w:rPr>
          <w:rFonts w:ascii="Times New Roman" w:cs="Times New Roman" w:eastAsia="Times New Roman" w:hAnsi="Times New Roman"/>
          <w:sz w:val="18"/>
          <w:szCs w:val="18"/>
          <w:color w:val="010000"/>
        </w:rPr>
      </w:pPr>
    </w:p>
    <w:p>
      <w:pPr>
        <w:ind w:right="40" w:firstLine="599"/>
        <w:spacing w:after="0" w:line="264" w:lineRule="auto"/>
        <w:tabs>
          <w:tab w:leader="none" w:pos="1198" w:val="left"/>
        </w:tabs>
        <w:numPr>
          <w:ilvl w:val="0"/>
          <w:numId w:val="6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The Company and Executive acknowledge that Executive’s employment is and will continue to be at-will, as defined under applicable law</w:t>
      </w:r>
      <w:r>
        <w:rPr>
          <w:rFonts w:ascii="Times New Roman" w:cs="Times New Roman" w:eastAsia="Times New Roman" w:hAnsi="Times New Roman"/>
          <w:sz w:val="18"/>
          <w:szCs w:val="18"/>
          <w:color w:val="4B4B4B"/>
        </w:rPr>
        <w:t>.</w:t>
      </w:r>
      <w:r>
        <w:rPr>
          <w:rFonts w:ascii="Times New Roman" w:cs="Times New Roman" w:eastAsia="Times New Roman" w:hAnsi="Times New Roman"/>
          <w:sz w:val="18"/>
          <w:szCs w:val="18"/>
          <w:color w:val="auto"/>
        </w:rPr>
        <w:t xml:space="preserve"> As an at-will employee, either the Company or the Executive may terminate the employment relationship at any time, with or without Cause.</w:t>
      </w:r>
    </w:p>
    <w:p>
      <w:pPr>
        <w:spacing w:after="0" w:line="153" w:lineRule="exact"/>
        <w:rPr>
          <w:rFonts w:ascii="Times New Roman" w:cs="Times New Roman" w:eastAsia="Times New Roman" w:hAnsi="Times New Roman"/>
          <w:sz w:val="18"/>
          <w:szCs w:val="18"/>
          <w:color w:val="010000"/>
        </w:rPr>
      </w:pPr>
    </w:p>
    <w:p>
      <w:pPr>
        <w:ind w:left="1200" w:hanging="601"/>
        <w:spacing w:after="0"/>
        <w:tabs>
          <w:tab w:leader="none" w:pos="1200" w:val="left"/>
        </w:tabs>
        <w:numPr>
          <w:ilvl w:val="0"/>
          <w:numId w:val="6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w:t>
      </w:r>
    </w:p>
    <w:p>
      <w:pPr>
        <w:spacing w:after="0" w:line="204" w:lineRule="exact"/>
        <w:rPr>
          <w:rFonts w:ascii="Times New Roman" w:cs="Times New Roman" w:eastAsia="Times New Roman" w:hAnsi="Times New Roman"/>
          <w:sz w:val="18"/>
          <w:szCs w:val="18"/>
          <w:color w:val="010000"/>
        </w:rPr>
      </w:pPr>
    </w:p>
    <w:p>
      <w:pPr>
        <w:jc w:val="both"/>
        <w:ind w:right="480" w:firstLine="1198"/>
        <w:spacing w:after="0" w:line="264" w:lineRule="auto"/>
        <w:tabs>
          <w:tab w:leader="none" w:pos="1789" w:val="left"/>
        </w:tabs>
        <w:numPr>
          <w:ilvl w:val="1"/>
          <w:numId w:val="6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Termination without Cause or Resignation for Good Reason Unrelated to a Change of Control</w:t>
      </w:r>
      <w:r>
        <w:rPr>
          <w:rFonts w:ascii="Times New Roman" w:cs="Times New Roman" w:eastAsia="Times New Roman" w:hAnsi="Times New Roman"/>
          <w:sz w:val="18"/>
          <w:szCs w:val="18"/>
          <w:color w:val="auto"/>
        </w:rPr>
        <w:t>. If the Company terminates Executive’s employment with the Company without Cause (excluding death or Disability) or if Executive resigns from such employment for Good Reason, and such</w:t>
      </w:r>
    </w:p>
    <w:p>
      <w:pPr>
        <w:sectPr>
          <w:pgSz w:w="11900" w:h="16838" w:orient="portrait"/>
          <w:cols w:equalWidth="0" w:num="1">
            <w:col w:w="11240"/>
          </w:cols>
          <w:pgMar w:left="320" w:top="115"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color w:val="auto"/>
        </w:rPr>
        <w:t>termination occurs outside of the Change of Control Period, then subject to Section 4, Executive will receive the following:</w:t>
      </w:r>
    </w:p>
    <w:p>
      <w:pPr>
        <w:spacing w:after="0" w:line="205" w:lineRule="exact"/>
        <w:rPr>
          <w:sz w:val="20"/>
          <w:szCs w:val="20"/>
          <w:color w:val="auto"/>
        </w:rPr>
      </w:pPr>
    </w:p>
    <w:p>
      <w:pPr>
        <w:ind w:right="40" w:firstLine="1625"/>
        <w:spacing w:after="0" w:line="283" w:lineRule="auto"/>
        <w:rPr>
          <w:sz w:val="20"/>
          <w:szCs w:val="20"/>
          <w:color w:val="auto"/>
        </w:rPr>
      </w:pPr>
      <w:r>
        <w:rPr>
          <w:rFonts w:ascii="Times New Roman" w:cs="Times New Roman" w:eastAsia="Times New Roman" w:hAnsi="Times New Roman"/>
          <w:sz w:val="18"/>
          <w:szCs w:val="18"/>
          <w:color w:val="010000"/>
        </w:rPr>
        <w:t>(i)</w:t>
      </w:r>
      <w:r>
        <w:rPr>
          <w:rFonts w:ascii="Times New Roman" w:cs="Times New Roman" w:eastAsia="Times New Roman" w:hAnsi="Times New Roman"/>
          <w:sz w:val="18"/>
          <w:szCs w:val="18"/>
          <w:u w:val="single" w:color="auto"/>
          <w:color w:val="000000"/>
        </w:rPr>
        <w:t>Accrued Compensation</w:t>
      </w:r>
      <w:r>
        <w:rPr>
          <w:rFonts w:ascii="Times New Roman" w:cs="Times New Roman" w:eastAsia="Times New Roman" w:hAnsi="Times New Roman"/>
          <w:sz w:val="18"/>
          <w:szCs w:val="18"/>
          <w:color w:val="000000"/>
        </w:rPr>
        <w:t>. The Company will pay Executive all accrued but unpaid vacation, expense reimbursements, wages,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other benefits due to Executive under any Company-provided plans, policies, and arrangements.</w:t>
      </w:r>
    </w:p>
    <w:p>
      <w:pPr>
        <w:spacing w:after="0" w:line="136" w:lineRule="exact"/>
        <w:rPr>
          <w:sz w:val="20"/>
          <w:szCs w:val="20"/>
          <w:color w:val="auto"/>
        </w:rPr>
      </w:pPr>
    </w:p>
    <w:p>
      <w:pPr>
        <w:jc w:val="both"/>
        <w:ind w:right="320" w:firstLine="1574"/>
        <w:spacing w:after="0" w:line="264" w:lineRule="auto"/>
        <w:rPr>
          <w:sz w:val="20"/>
          <w:szCs w:val="20"/>
          <w:color w:val="auto"/>
        </w:rPr>
      </w:pPr>
      <w:r>
        <w:rPr>
          <w:rFonts w:ascii="Times New Roman" w:cs="Times New Roman" w:eastAsia="Times New Roman" w:hAnsi="Times New Roman"/>
          <w:sz w:val="18"/>
          <w:szCs w:val="18"/>
          <w:color w:val="010000"/>
        </w:rPr>
        <w:t>(ii)</w:t>
      </w:r>
      <w:r>
        <w:rPr>
          <w:rFonts w:ascii="Times New Roman" w:cs="Times New Roman" w:eastAsia="Times New Roman" w:hAnsi="Times New Roman"/>
          <w:sz w:val="18"/>
          <w:szCs w:val="18"/>
          <w:u w:val="single" w:color="auto"/>
          <w:color w:val="000000"/>
        </w:rPr>
        <w:t>Continuing Severance Payments</w:t>
      </w:r>
      <w:r>
        <w:rPr>
          <w:rFonts w:ascii="Times New Roman" w:cs="Times New Roman" w:eastAsia="Times New Roman" w:hAnsi="Times New Roman"/>
          <w:sz w:val="18"/>
          <w:szCs w:val="18"/>
          <w:color w:val="000000"/>
        </w:rPr>
        <w:t>. Executive will be paid continuing payments of severance pay at a rate equal to Executive’s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base salary rate, as then in effect, for six (6) months from the date of such termination of employment to be paid periodically in accordance with the Company’s normal payroll policies.</w:t>
      </w:r>
    </w:p>
    <w:p>
      <w:pPr>
        <w:spacing w:after="0" w:line="153" w:lineRule="exact"/>
        <w:rPr>
          <w:sz w:val="20"/>
          <w:szCs w:val="20"/>
          <w:color w:val="auto"/>
        </w:rPr>
      </w:pPr>
    </w:p>
    <w:p>
      <w:pPr>
        <w:ind w:firstLine="1524"/>
        <w:spacing w:after="0" w:line="248" w:lineRule="auto"/>
        <w:rPr>
          <w:sz w:val="20"/>
          <w:szCs w:val="20"/>
          <w:color w:val="auto"/>
        </w:rPr>
      </w:pPr>
      <w:r>
        <w:rPr>
          <w:rFonts w:ascii="Times New Roman" w:cs="Times New Roman" w:eastAsia="Times New Roman" w:hAnsi="Times New Roman"/>
          <w:sz w:val="18"/>
          <w:szCs w:val="18"/>
          <w:color w:val="010000"/>
        </w:rPr>
        <w:t>(iii)</w:t>
      </w:r>
      <w:r>
        <w:rPr>
          <w:rFonts w:ascii="Times New Roman" w:cs="Times New Roman" w:eastAsia="Times New Roman" w:hAnsi="Times New Roman"/>
          <w:sz w:val="18"/>
          <w:szCs w:val="18"/>
          <w:u w:val="single" w:color="auto"/>
          <w:color w:val="000000"/>
        </w:rPr>
        <w:t>Continuation Coverage</w:t>
      </w:r>
      <w:r>
        <w:rPr>
          <w:rFonts w:ascii="Times New Roman" w:cs="Times New Roman" w:eastAsia="Times New Roman" w:hAnsi="Times New Roman"/>
          <w:sz w:val="18"/>
          <w:szCs w:val="18"/>
          <w:color w:val="000000"/>
        </w:rPr>
        <w:t>. If Executive elects continuation coverage pursuant to the Consolidated Omnibus Budget Reconciliation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Act of 1985, as amended </w:t>
      </w:r>
      <w:r>
        <w:rPr>
          <w:rFonts w:ascii="Times New Roman" w:cs="Times New Roman" w:eastAsia="Times New Roman" w:hAnsi="Times New Roman"/>
          <w:sz w:val="18"/>
          <w:szCs w:val="18"/>
          <w:b w:val="1"/>
          <w:bCs w:val="1"/>
          <w:i w:val="1"/>
          <w:iCs w:val="1"/>
          <w:color w:val="000000"/>
        </w:rPr>
        <w:t>(“COBRA”)</w:t>
      </w:r>
      <w:r>
        <w:rPr>
          <w:rFonts w:ascii="Times New Roman" w:cs="Times New Roman" w:eastAsia="Times New Roman" w:hAnsi="Times New Roman"/>
          <w:sz w:val="18"/>
          <w:szCs w:val="18"/>
          <w:color w:val="000000"/>
        </w:rPr>
        <w:t xml:space="preserve">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six (6)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3(a)(iii),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six (6) payments. For the avoidance of doubt, the taxable payments in lieu of COBRA reimbursements may be used for any purpose, including, but not limited to continuation coverage under COBRA, and will be subject to all applicable tax withholdings.</w:t>
      </w:r>
    </w:p>
    <w:p>
      <w:pPr>
        <w:spacing w:after="0" w:line="177" w:lineRule="exact"/>
        <w:rPr>
          <w:sz w:val="20"/>
          <w:szCs w:val="20"/>
          <w:color w:val="auto"/>
        </w:rPr>
      </w:pPr>
    </w:p>
    <w:p>
      <w:pPr>
        <w:ind w:right="20" w:firstLine="1198"/>
        <w:spacing w:after="0" w:line="264" w:lineRule="auto"/>
        <w:tabs>
          <w:tab w:leader="none" w:pos="1786" w:val="left"/>
        </w:tabs>
        <w:numPr>
          <w:ilvl w:val="0"/>
          <w:numId w:val="6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Termination without Cause or Resignation for Good Reason in Connection with a Change of Control</w:t>
      </w:r>
      <w:r>
        <w:rPr>
          <w:rFonts w:ascii="Times New Roman" w:cs="Times New Roman" w:eastAsia="Times New Roman" w:hAnsi="Times New Roman"/>
          <w:sz w:val="18"/>
          <w:szCs w:val="18"/>
          <w:color w:val="auto"/>
        </w:rPr>
        <w:t>. If the Company terminates Executive’s employment with the Company without Cause (excluding death or Disability) or if Executive resigns from such employment for Good Reason, and, in each case, such termination occurs during the Change of Control Period, then subject to Section 4, Executive will receive the following</w:t>
      </w:r>
      <w:r>
        <w:rPr>
          <w:rFonts w:ascii="Times New Roman" w:cs="Times New Roman" w:eastAsia="Times New Roman" w:hAnsi="Times New Roman"/>
          <w:sz w:val="18"/>
          <w:szCs w:val="18"/>
          <w:color w:val="444444"/>
        </w:rPr>
        <w:t>:</w:t>
      </w:r>
    </w:p>
    <w:p>
      <w:pPr>
        <w:spacing w:after="0" w:line="153" w:lineRule="exact"/>
        <w:rPr>
          <w:sz w:val="20"/>
          <w:szCs w:val="20"/>
          <w:color w:val="auto"/>
        </w:rPr>
      </w:pPr>
    </w:p>
    <w:p>
      <w:pPr>
        <w:ind w:right="40" w:firstLine="1625"/>
        <w:spacing w:after="0" w:line="283" w:lineRule="auto"/>
        <w:rPr>
          <w:sz w:val="20"/>
          <w:szCs w:val="20"/>
          <w:color w:val="auto"/>
        </w:rPr>
      </w:pPr>
      <w:r>
        <w:rPr>
          <w:rFonts w:ascii="Times New Roman" w:cs="Times New Roman" w:eastAsia="Times New Roman" w:hAnsi="Times New Roman"/>
          <w:sz w:val="18"/>
          <w:szCs w:val="18"/>
          <w:color w:val="010000"/>
        </w:rPr>
        <w:t>(i)</w:t>
      </w:r>
      <w:r>
        <w:rPr>
          <w:rFonts w:ascii="Times New Roman" w:cs="Times New Roman" w:eastAsia="Times New Roman" w:hAnsi="Times New Roman"/>
          <w:sz w:val="18"/>
          <w:szCs w:val="18"/>
          <w:u w:val="single" w:color="auto"/>
          <w:color w:val="000000"/>
        </w:rPr>
        <w:t>Accrued Compensation</w:t>
      </w:r>
      <w:r>
        <w:rPr>
          <w:rFonts w:ascii="Times New Roman" w:cs="Times New Roman" w:eastAsia="Times New Roman" w:hAnsi="Times New Roman"/>
          <w:sz w:val="18"/>
          <w:szCs w:val="18"/>
          <w:color w:val="444444"/>
        </w:rPr>
        <w: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Company will pay Executive all accrued but unpaid vacation, expense reimbursements, wages,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other benefits due to Executive under any Company-provided plans, policies, and arrangements.</w:t>
      </w:r>
    </w:p>
    <w:p>
      <w:pPr>
        <w:spacing w:after="0" w:line="136" w:lineRule="exact"/>
        <w:rPr>
          <w:sz w:val="20"/>
          <w:szCs w:val="20"/>
          <w:color w:val="auto"/>
        </w:rPr>
      </w:pPr>
    </w:p>
    <w:p>
      <w:pPr>
        <w:ind w:right="140" w:firstLine="1574"/>
        <w:spacing w:after="0" w:line="258" w:lineRule="auto"/>
        <w:rPr>
          <w:sz w:val="20"/>
          <w:szCs w:val="20"/>
          <w:color w:val="auto"/>
        </w:rPr>
      </w:pPr>
      <w:r>
        <w:rPr>
          <w:rFonts w:ascii="Times New Roman" w:cs="Times New Roman" w:eastAsia="Times New Roman" w:hAnsi="Times New Roman"/>
          <w:sz w:val="18"/>
          <w:szCs w:val="18"/>
          <w:color w:val="010000"/>
        </w:rPr>
        <w:t>(ii)</w:t>
      </w:r>
      <w:r>
        <w:rPr>
          <w:rFonts w:ascii="Times New Roman" w:cs="Times New Roman" w:eastAsia="Times New Roman" w:hAnsi="Times New Roman"/>
          <w:sz w:val="18"/>
          <w:szCs w:val="18"/>
          <w:u w:val="single" w:color="auto"/>
          <w:color w:val="000000"/>
        </w:rPr>
        <w:t>Severance Payment</w:t>
      </w:r>
      <w:r>
        <w:rPr>
          <w:rFonts w:ascii="Times New Roman" w:cs="Times New Roman" w:eastAsia="Times New Roman" w:hAnsi="Times New Roman"/>
          <w:sz w:val="18"/>
          <w:szCs w:val="18"/>
          <w:color w:val="000000"/>
        </w:rPr>
        <w:t>. Executive will receive a lump-sum payment (less applicable withholding taxes) equal to eighteen (18)</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months of Executive’s annual base salary as in effect immediately prior to Executive’s termination date or, if greater, at the level in effect immediately prior to the Change of Control. For the avoidance of doubt, if (x) Executive </w:t>
      </w:r>
      <w:r>
        <w:rPr>
          <w:rFonts w:ascii="Times New Roman" w:cs="Times New Roman" w:eastAsia="Times New Roman" w:hAnsi="Times New Roman"/>
          <w:sz w:val="18"/>
          <w:szCs w:val="18"/>
          <w:color w:val="343436"/>
        </w:rPr>
        <w:t>incurred</w:t>
      </w:r>
      <w:r>
        <w:rPr>
          <w:rFonts w:ascii="Times New Roman" w:cs="Times New Roman" w:eastAsia="Times New Roman" w:hAnsi="Times New Roman"/>
          <w:sz w:val="18"/>
          <w:szCs w:val="18"/>
          <w:color w:val="000000"/>
        </w:rPr>
        <w:t xml:space="preserve"> a termination prior to a Change of Control that qualifies Executive for severance payments under Section 3(a)(ii); and (y)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30" w:right="339" w:bottom="1440" w:gutter="0" w:footer="0" w:header="0"/>
        </w:sectPr>
      </w:pPr>
    </w:p>
    <w:bookmarkStart w:id="136" w:name="page137"/>
    <w:bookmarkEnd w:id="136"/>
    <w:p>
      <w:pPr>
        <w:ind w:right="280"/>
        <w:spacing w:after="0" w:line="258" w:lineRule="auto"/>
        <w:rPr>
          <w:sz w:val="20"/>
          <w:szCs w:val="20"/>
          <w:color w:val="auto"/>
        </w:rPr>
      </w:pPr>
      <w:r>
        <w:rPr>
          <w:rFonts w:ascii="Times New Roman" w:cs="Times New Roman" w:eastAsia="Times New Roman" w:hAnsi="Times New Roman"/>
          <w:sz w:val="18"/>
          <w:szCs w:val="18"/>
          <w:color w:val="auto"/>
        </w:rPr>
        <w:t>Change of Control occurs within the two (2)-month period following Executive’s termination of employment that qualifies Executive for the superior benefits under this Section 3(b)(ii), then Executive shall be entitled to a lump-sum payment of the amount calculated under this Section 3(b)(ii), less amounts already paid under Section 3(a)(ii) and such amount lump-sum amount shall be payable upon the later of: (A) the Change of Control, (B) the date the Release (as defined below) is effective and irrevocable; or (C) such later date required by Section 4(c).</w:t>
      </w:r>
    </w:p>
    <w:p>
      <w:pPr>
        <w:spacing w:after="0" w:line="159" w:lineRule="exact"/>
        <w:rPr>
          <w:sz w:val="20"/>
          <w:szCs w:val="20"/>
          <w:color w:val="auto"/>
        </w:rPr>
      </w:pPr>
    </w:p>
    <w:p>
      <w:pPr>
        <w:ind w:firstLine="1524"/>
        <w:spacing w:after="0" w:line="253" w:lineRule="auto"/>
        <w:rPr>
          <w:sz w:val="20"/>
          <w:szCs w:val="20"/>
          <w:color w:val="auto"/>
        </w:rPr>
      </w:pPr>
      <w:r>
        <w:rPr>
          <w:rFonts w:ascii="Times New Roman" w:cs="Times New Roman" w:eastAsia="Times New Roman" w:hAnsi="Times New Roman"/>
          <w:sz w:val="18"/>
          <w:szCs w:val="18"/>
          <w:color w:val="010000"/>
        </w:rPr>
        <w:t>(iii)</w:t>
      </w:r>
      <w:r>
        <w:rPr>
          <w:rFonts w:ascii="Times New Roman" w:cs="Times New Roman" w:eastAsia="Times New Roman" w:hAnsi="Times New Roman"/>
          <w:sz w:val="18"/>
          <w:szCs w:val="18"/>
          <w:u w:val="single" w:color="auto"/>
          <w:color w:val="000000"/>
        </w:rPr>
        <w:t>Bonus Payment</w:t>
      </w:r>
      <w:r>
        <w:rPr>
          <w:rFonts w:ascii="Times New Roman" w:cs="Times New Roman" w:eastAsia="Times New Roman" w:hAnsi="Times New Roman"/>
          <w:sz w:val="18"/>
          <w:szCs w:val="18"/>
          <w:color w:val="000000"/>
        </w:rPr>
        <w:t>. Executive will receive a lump-sum payment equal to one hundred fifty percent (150%) of the higher of (A)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greater of (x) Executive’s target bonus for the fiscal year in which the Change of Control occurs (as in effect immediately prior to the Change of Control) or (y) Executive’s target bonus as in effect for the fiscal year in which Executive’s termination of employment occurs, or (B) Executive’s actual bonus for performance during the calendar year prior to the calendar year during which the termination of employment occurs. For avoidance of doubt, the amount paid to Executive pursuant to this Section 3(b)(iii) will not be prorated based on the actual amount of time Executive is employed by the Company during the fiscal year (or the relevant performance period if something different than a fiscal year) during which the termination occurs.</w:t>
      </w:r>
    </w:p>
    <w:p>
      <w:pPr>
        <w:spacing w:after="0" w:line="164" w:lineRule="exact"/>
        <w:rPr>
          <w:sz w:val="20"/>
          <w:szCs w:val="20"/>
          <w:color w:val="auto"/>
        </w:rPr>
      </w:pPr>
    </w:p>
    <w:p>
      <w:pPr>
        <w:ind w:right="100" w:firstLine="1533"/>
        <w:spacing w:after="0" w:line="248" w:lineRule="auto"/>
        <w:rPr>
          <w:sz w:val="20"/>
          <w:szCs w:val="20"/>
          <w:color w:val="auto"/>
        </w:rPr>
      </w:pPr>
      <w:r>
        <w:rPr>
          <w:rFonts w:ascii="Times New Roman" w:cs="Times New Roman" w:eastAsia="Times New Roman" w:hAnsi="Times New Roman"/>
          <w:sz w:val="18"/>
          <w:szCs w:val="18"/>
          <w:color w:val="010000"/>
        </w:rPr>
        <w:t>(iv)</w:t>
      </w:r>
      <w:r>
        <w:rPr>
          <w:rFonts w:ascii="Times New Roman" w:cs="Times New Roman" w:eastAsia="Times New Roman" w:hAnsi="Times New Roman"/>
          <w:sz w:val="18"/>
          <w:szCs w:val="18"/>
          <w:u w:val="single" w:color="auto"/>
          <w:color w:val="000000"/>
        </w:rPr>
        <w:t>Continuation Coverage</w:t>
      </w:r>
      <w:r>
        <w:rPr>
          <w:rFonts w:ascii="Times New Roman" w:cs="Times New Roman" w:eastAsia="Times New Roman" w:hAnsi="Times New Roman"/>
          <w:sz w:val="18"/>
          <w:szCs w:val="18"/>
          <w:color w:val="595959"/>
        </w:rPr>
        <w: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If Executive elects continuation coverage pursuant to COBRA within the time period prescribed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pursuant to COBRA for Executive and Executive’s eligible dependents, then the Company will reimburse Executive for the COBRA premiums for such coverage (at the coverage levels in effect immediately prior to Executive’s termination) until the earlier of(A) a period of eighteen (18)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3(b)(iv),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eighteen (18)payments. For the avoidance of doubt, the taxable payments in lieu of COBRA reimbursements may be used for any purpose, including, but not limited to continuation coverage under COBRA, and will be subject to all applicable tax withholdings.</w:t>
      </w:r>
    </w:p>
    <w:p>
      <w:pPr>
        <w:spacing w:after="0" w:line="177" w:lineRule="exact"/>
        <w:rPr>
          <w:sz w:val="20"/>
          <w:szCs w:val="20"/>
          <w:color w:val="auto"/>
        </w:rPr>
      </w:pPr>
    </w:p>
    <w:p>
      <w:pPr>
        <w:ind w:right="120" w:firstLine="1584"/>
        <w:spacing w:after="0" w:line="258" w:lineRule="auto"/>
        <w:rPr>
          <w:sz w:val="20"/>
          <w:szCs w:val="20"/>
          <w:color w:val="auto"/>
        </w:rPr>
      </w:pPr>
      <w:r>
        <w:rPr>
          <w:rFonts w:ascii="Times New Roman" w:cs="Times New Roman" w:eastAsia="Times New Roman" w:hAnsi="Times New Roman"/>
          <w:sz w:val="18"/>
          <w:szCs w:val="18"/>
          <w:color w:val="010000"/>
        </w:rPr>
        <w:t>(v)</w:t>
      </w:r>
      <w:r>
        <w:rPr>
          <w:rFonts w:ascii="Times New Roman" w:cs="Times New Roman" w:eastAsia="Times New Roman" w:hAnsi="Times New Roman"/>
          <w:sz w:val="18"/>
          <w:szCs w:val="18"/>
          <w:u w:val="single" w:color="auto"/>
          <w:color w:val="000000"/>
        </w:rPr>
        <w:t>Accelerated Vesting of Equity Awards</w:t>
      </w:r>
      <w:r>
        <w:rPr>
          <w:rFonts w:ascii="Times New Roman" w:cs="Times New Roman" w:eastAsia="Times New Roman" w:hAnsi="Times New Roman"/>
          <w:sz w:val="18"/>
          <w:szCs w:val="18"/>
          <w:color w:val="000000"/>
        </w:rPr>
        <w:t>. One hundred percent (100%) of Executive’s then-outstanding and unvested Equity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Awards will become vested in full. If, however, an outstanding Equity Award is to vest and/or the amount of the award to vest is to be determined based on the achievement of performance criteria, then the Equity Award will vest as to one hundred percent (100%) of the amount of the Equity Award assuming the performance criteria had been achieved at target levels for the relevant performance period(s).</w:t>
      </w:r>
    </w:p>
    <w:p>
      <w:pPr>
        <w:spacing w:after="0" w:line="159" w:lineRule="exact"/>
        <w:rPr>
          <w:sz w:val="20"/>
          <w:szCs w:val="20"/>
          <w:color w:val="auto"/>
        </w:rPr>
      </w:pPr>
    </w:p>
    <w:p>
      <w:pPr>
        <w:jc w:val="both"/>
        <w:ind w:right="460" w:firstLine="1198"/>
        <w:spacing w:after="0" w:line="264" w:lineRule="auto"/>
        <w:tabs>
          <w:tab w:leader="none" w:pos="1789" w:val="left"/>
        </w:tabs>
        <w:numPr>
          <w:ilvl w:val="0"/>
          <w:numId w:val="6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Voluntary Resignation; Termination for Cause</w:t>
      </w:r>
      <w:r>
        <w:rPr>
          <w:rFonts w:ascii="Times New Roman" w:cs="Times New Roman" w:eastAsia="Times New Roman" w:hAnsi="Times New Roman"/>
          <w:sz w:val="18"/>
          <w:szCs w:val="18"/>
          <w:color w:val="auto"/>
        </w:rPr>
        <w:t>. If Executive’s employment with the Company terminates (i) voluntarily by Executive (other than for Good Reason) or (ii) for Cause by the Company, then Executive will not be entitled to receive severance or other benefits except for those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17" w:right="339" w:bottom="1440" w:gutter="0" w:footer="0" w:header="0"/>
        </w:sectPr>
      </w:pPr>
    </w:p>
    <w:bookmarkStart w:id="137" w:name="page138"/>
    <w:bookmarkEnd w:id="137"/>
    <w:p>
      <w:pPr>
        <w:ind w:right="260"/>
        <w:spacing w:after="0" w:line="283" w:lineRule="auto"/>
        <w:rPr>
          <w:sz w:val="20"/>
          <w:szCs w:val="20"/>
          <w:color w:val="auto"/>
        </w:rPr>
      </w:pPr>
      <w:r>
        <w:rPr>
          <w:rFonts w:ascii="Times New Roman" w:cs="Times New Roman" w:eastAsia="Times New Roman" w:hAnsi="Times New Roman"/>
          <w:sz w:val="18"/>
          <w:szCs w:val="18"/>
          <w:color w:val="auto"/>
        </w:rPr>
        <w:t>any) as may then be established under the Company’s then existing severance and benefits plans and practices or pursuant to other written agreements with the Company.</w:t>
      </w:r>
    </w:p>
    <w:p>
      <w:pPr>
        <w:spacing w:after="0" w:line="136" w:lineRule="exact"/>
        <w:rPr>
          <w:sz w:val="20"/>
          <w:szCs w:val="20"/>
          <w:color w:val="auto"/>
        </w:rPr>
      </w:pPr>
    </w:p>
    <w:p>
      <w:pPr>
        <w:ind w:right="80" w:firstLine="1198"/>
        <w:spacing w:after="0" w:line="258" w:lineRule="auto"/>
        <w:tabs>
          <w:tab w:leader="none" w:pos="1786" w:val="left"/>
        </w:tabs>
        <w:numPr>
          <w:ilvl w:val="1"/>
          <w:numId w:val="6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Disability; Death</w:t>
      </w:r>
      <w:r>
        <w:rPr>
          <w:rFonts w:ascii="Times New Roman" w:cs="Times New Roman" w:eastAsia="Times New Roman" w:hAnsi="Times New Roman"/>
          <w:sz w:val="18"/>
          <w:szCs w:val="18"/>
          <w:color w:val="auto"/>
        </w:rPr>
        <w:t>. If the Company terminates Executive’s employment as a result of Executive’s Disability, or Executive’s employment terminates due to Executive’s death, then Executive will not be entitled to receive any other severance or other benefits, except for those (if any) as may then be established under the Company’s then existing written severance and benefits plans and practices or pursuant to other written agreements with the Company.</w:t>
      </w:r>
    </w:p>
    <w:p>
      <w:pPr>
        <w:spacing w:after="0" w:line="158" w:lineRule="exact"/>
        <w:rPr>
          <w:rFonts w:ascii="Times New Roman" w:cs="Times New Roman" w:eastAsia="Times New Roman" w:hAnsi="Times New Roman"/>
          <w:sz w:val="18"/>
          <w:szCs w:val="18"/>
          <w:color w:val="010000"/>
        </w:rPr>
      </w:pPr>
    </w:p>
    <w:p>
      <w:pPr>
        <w:ind w:firstLine="1198"/>
        <w:spacing w:after="0" w:line="255" w:lineRule="auto"/>
        <w:tabs>
          <w:tab w:leader="none" w:pos="1789" w:val="left"/>
        </w:tabs>
        <w:numPr>
          <w:ilvl w:val="1"/>
          <w:numId w:val="6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Exclusive Remedy</w:t>
      </w:r>
      <w:r>
        <w:rPr>
          <w:rFonts w:ascii="Times New Roman" w:cs="Times New Roman" w:eastAsia="Times New Roman" w:hAnsi="Times New Roman"/>
          <w:sz w:val="18"/>
          <w:szCs w:val="18"/>
          <w:color w:val="auto"/>
        </w:rPr>
        <w:t>. In the event of a termination of Executive’s employment as set forth in Section 3(a) or (b) of this Agreement, the provisions of Section 3 are intended to be and are exclusive and in lieu of any other rights or remedies to which Executive or the Company otherwise may be entitled, whether at law, tort or contract, in equity, or under this Agreement (other than the payment of accrued but unpaid wages, as required by law, and any unreimbursed reimbursable expenses). Executive will be entitled to no benefits, compensation or other payments or rights upon a termination of employment other than those benefits expressly set forth in Section 3 of this Agreement.</w:t>
      </w:r>
    </w:p>
    <w:p>
      <w:pPr>
        <w:spacing w:after="0" w:line="161" w:lineRule="exact"/>
        <w:rPr>
          <w:rFonts w:ascii="Times New Roman" w:cs="Times New Roman" w:eastAsia="Times New Roman" w:hAnsi="Times New Roman"/>
          <w:sz w:val="18"/>
          <w:szCs w:val="18"/>
          <w:color w:val="010000"/>
        </w:rPr>
      </w:pPr>
    </w:p>
    <w:p>
      <w:pPr>
        <w:ind w:left="1200" w:hanging="601"/>
        <w:spacing w:after="0"/>
        <w:tabs>
          <w:tab w:leader="none" w:pos="1200" w:val="left"/>
        </w:tabs>
        <w:numPr>
          <w:ilvl w:val="0"/>
          <w:numId w:val="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Conditions to Receipt of Severance</w:t>
      </w:r>
    </w:p>
    <w:p>
      <w:pPr>
        <w:spacing w:after="0" w:line="204" w:lineRule="exact"/>
        <w:rPr>
          <w:rFonts w:ascii="Times New Roman" w:cs="Times New Roman" w:eastAsia="Times New Roman" w:hAnsi="Times New Roman"/>
          <w:sz w:val="18"/>
          <w:szCs w:val="18"/>
          <w:color w:val="010000"/>
        </w:rPr>
      </w:pPr>
    </w:p>
    <w:p>
      <w:pPr>
        <w:ind w:right="140" w:firstLine="1198"/>
        <w:spacing w:after="0" w:line="253" w:lineRule="auto"/>
        <w:tabs>
          <w:tab w:leader="none" w:pos="1789" w:val="left"/>
        </w:tabs>
        <w:numPr>
          <w:ilvl w:val="1"/>
          <w:numId w:val="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Release of Claims Agreement. The receipt of any severance payments or benefits (other than the accrued benefits set forth in either Sections 3(a)(i) or 3(b)(i)) pursuant to this Agreement is subject to Executive signing and not revoking a separation agreement and release of claims in substantially the form attached hereto as Exhibit A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which must become effective and irrevocable no later than the sixtieth (60th) day following Executive’s termination of employment (the “</w:t>
      </w:r>
      <w:r>
        <w:rPr>
          <w:rFonts w:ascii="Times New Roman" w:cs="Times New Roman" w:eastAsia="Times New Roman" w:hAnsi="Times New Roman"/>
          <w:sz w:val="18"/>
          <w:szCs w:val="18"/>
          <w:b w:val="1"/>
          <w:bCs w:val="1"/>
          <w:i w:val="1"/>
          <w:iCs w:val="1"/>
          <w:color w:val="auto"/>
        </w:rPr>
        <w:t>Release Deadline</w:t>
      </w:r>
      <w:r>
        <w:rPr>
          <w:rFonts w:ascii="Times New Roman" w:cs="Times New Roman" w:eastAsia="Times New Roman" w:hAnsi="Times New Roman"/>
          <w:sz w:val="18"/>
          <w:szCs w:val="18"/>
          <w:color w:val="auto"/>
        </w:rPr>
        <w:t>”). If the Release does not become effective and irrevocable by the Release Deadline, Executive will forfeit any right to severance payments or benefits under this Agreement. In no event will severance payments or benefits be paid or provided until the Release actually becomes effective and irrevocable.</w:t>
      </w:r>
    </w:p>
    <w:p>
      <w:pPr>
        <w:spacing w:after="0" w:line="163" w:lineRule="exact"/>
        <w:rPr>
          <w:rFonts w:ascii="Times New Roman" w:cs="Times New Roman" w:eastAsia="Times New Roman" w:hAnsi="Times New Roman"/>
          <w:sz w:val="18"/>
          <w:szCs w:val="18"/>
          <w:color w:val="010000"/>
        </w:rPr>
      </w:pPr>
    </w:p>
    <w:p>
      <w:pPr>
        <w:ind w:right="80" w:firstLine="1198"/>
        <w:spacing w:after="0" w:line="258" w:lineRule="auto"/>
        <w:tabs>
          <w:tab w:leader="none" w:pos="1786" w:val="left"/>
        </w:tabs>
        <w:numPr>
          <w:ilvl w:val="1"/>
          <w:numId w:val="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Confidential Information and Invention Assignment Agreements</w:t>
      </w:r>
      <w:r>
        <w:rPr>
          <w:rFonts w:ascii="Times New Roman" w:cs="Times New Roman" w:eastAsia="Times New Roman" w:hAnsi="Times New Roman"/>
          <w:sz w:val="18"/>
          <w:szCs w:val="18"/>
          <w:color w:val="auto"/>
        </w:rPr>
        <w:t>. Executive’s receipt of any payments or benefits under Section 3 (other than the accrued benefits set forth in either Sections 3(a)(i) or 3(b)(i)) will be subject to Executive continuing to comply with the terms of the Confidentiality Agreement, dated on or about September 12, 2011, between the Company and Executive, as such agreement may be amended from time to time.</w:t>
      </w:r>
    </w:p>
    <w:p>
      <w:pPr>
        <w:spacing w:after="0" w:line="158" w:lineRule="exact"/>
        <w:rPr>
          <w:rFonts w:ascii="Times New Roman" w:cs="Times New Roman" w:eastAsia="Times New Roman" w:hAnsi="Times New Roman"/>
          <w:sz w:val="18"/>
          <w:szCs w:val="18"/>
          <w:color w:val="010000"/>
        </w:rPr>
      </w:pPr>
    </w:p>
    <w:p>
      <w:pPr>
        <w:ind w:left="1780" w:hanging="582"/>
        <w:spacing w:after="0"/>
        <w:tabs>
          <w:tab w:leader="none" w:pos="1780" w:val="left"/>
        </w:tabs>
        <w:numPr>
          <w:ilvl w:val="1"/>
          <w:numId w:val="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010000"/>
        </w:rPr>
        <w:t>(i)</w:t>
      </w:r>
      <w:r>
        <w:rPr>
          <w:rFonts w:ascii="Times New Roman" w:cs="Times New Roman" w:eastAsia="Times New Roman" w:hAnsi="Times New Roman"/>
          <w:sz w:val="18"/>
          <w:szCs w:val="18"/>
          <w:color w:val="000000"/>
        </w:rPr>
        <w:t>Notwithstanding anything to the contrary in this Agreement, no severance pay or benefits to be paid or provided to Executive, if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pursuant to this Agreement that, when considered together with any other severance payments or separation benefits, are considered deferred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under Section 409A of the Code, and the final regulations and any guidance promulgated thereunder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(together,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Deferred Payments</w:t>
      </w:r>
      <w:r>
        <w:rPr>
          <w:rFonts w:ascii="Times New Roman" w:cs="Times New Roman" w:eastAsia="Times New Roman" w:hAnsi="Times New Roman"/>
          <w:sz w:val="18"/>
          <w:szCs w:val="18"/>
          <w:color w:val="auto"/>
        </w:rPr>
        <w:t>”) will be paid or otherwise provided until Executive has a “separation from service” within the meaning of Section 409A. Similarly,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severance payable to Executive, if any, pursuant to this Agreement that otherwise would be exempt from Section 409A pursuant to Treasury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Section 1.409A-1(b)(9) will be payable until Executive has a “separation from service” within the meaning of Section 409A.</w:t>
      </w:r>
    </w:p>
    <w:p>
      <w:pPr>
        <w:spacing w:after="0" w:line="185" w:lineRule="exact"/>
        <w:rPr>
          <w:sz w:val="20"/>
          <w:szCs w:val="20"/>
          <w:color w:val="auto"/>
        </w:rPr>
      </w:pPr>
    </w:p>
    <w:p>
      <w:pPr>
        <w:ind w:right="140" w:firstLine="1574"/>
        <w:spacing w:after="0" w:line="264" w:lineRule="auto"/>
        <w:rPr>
          <w:sz w:val="20"/>
          <w:szCs w:val="20"/>
          <w:color w:val="auto"/>
        </w:rPr>
      </w:pPr>
      <w:r>
        <w:rPr>
          <w:rFonts w:ascii="Times New Roman" w:cs="Times New Roman" w:eastAsia="Times New Roman" w:hAnsi="Times New Roman"/>
          <w:sz w:val="18"/>
          <w:szCs w:val="18"/>
          <w:color w:val="010000"/>
        </w:rPr>
        <w:t>(ii)</w:t>
      </w:r>
      <w:r>
        <w:rPr>
          <w:rFonts w:ascii="Times New Roman" w:cs="Times New Roman" w:eastAsia="Times New Roman" w:hAnsi="Times New Roman"/>
          <w:sz w:val="18"/>
          <w:szCs w:val="18"/>
          <w:color w:val="000000"/>
        </w:rPr>
        <w:t>It is intended that none of the severance payments under this Agreement will constitute Deferred Payments but rather will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exempt from Section 409A as a payment that would fall within the </w:t>
      </w:r>
      <w:r>
        <w:rPr>
          <w:rFonts w:ascii="Times New Roman" w:cs="Times New Roman" w:eastAsia="Times New Roman" w:hAnsi="Times New Roman"/>
          <w:sz w:val="18"/>
          <w:szCs w:val="18"/>
          <w:color w:val="343436"/>
        </w:rPr>
        <w:t>“short-term</w:t>
      </w:r>
      <w:r>
        <w:rPr>
          <w:rFonts w:ascii="Times New Roman" w:cs="Times New Roman" w:eastAsia="Times New Roman" w:hAnsi="Times New Roman"/>
          <w:sz w:val="18"/>
          <w:szCs w:val="18"/>
          <w:color w:val="000000"/>
        </w:rPr>
        <w:t xml:space="preserve"> deferral period” as described in Section 4(c)(iv) below or resulting from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17" w:right="339" w:bottom="1440" w:gutter="0" w:footer="0" w:header="0"/>
        </w:sectPr>
      </w:pPr>
    </w:p>
    <w:bookmarkStart w:id="138" w:name="page139"/>
    <w:bookmarkEnd w:id="138"/>
    <w:p>
      <w:pPr>
        <w:ind w:right="40"/>
        <w:spacing w:after="0" w:line="227" w:lineRule="auto"/>
        <w:rPr>
          <w:sz w:val="20"/>
          <w:szCs w:val="20"/>
          <w:color w:val="auto"/>
        </w:rPr>
      </w:pPr>
      <w:r>
        <w:rPr>
          <w:rFonts w:ascii="Times New Roman" w:cs="Times New Roman" w:eastAsia="Times New Roman" w:hAnsi="Times New Roman"/>
          <w:sz w:val="18"/>
          <w:szCs w:val="18"/>
          <w:color w:val="auto"/>
        </w:rPr>
        <w:t>involuntary separation from service as described in Section 4(c)(v) below. Any severance payments or benefits under this Agreement will be paid on, or, in the case of installments, will commence on, the sixty-first (61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day following Executive’s separation from service, or, if later, such time as required by Section 4(c)(iii). Except as required by Section 4(c)(iii), any installment payments that would have been made to Executive during the sixty (60) day period immediately following Executive’s separation from service but for the preceding sentence will be paid to Executive on the sixty-first (61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day following Executive’s separation from service and the remaining payments will be made as provided in this Agreement.</w:t>
      </w:r>
    </w:p>
    <w:p>
      <w:pPr>
        <w:spacing w:after="0" w:line="173" w:lineRule="exact"/>
        <w:rPr>
          <w:sz w:val="20"/>
          <w:szCs w:val="20"/>
          <w:color w:val="auto"/>
        </w:rPr>
      </w:pPr>
    </w:p>
    <w:p>
      <w:pPr>
        <w:ind w:right="20" w:firstLine="1524"/>
        <w:spacing w:after="0" w:line="250" w:lineRule="auto"/>
        <w:rPr>
          <w:sz w:val="20"/>
          <w:szCs w:val="20"/>
          <w:color w:val="auto"/>
        </w:rPr>
      </w:pPr>
      <w:r>
        <w:rPr>
          <w:rFonts w:ascii="Times New Roman" w:cs="Times New Roman" w:eastAsia="Times New Roman" w:hAnsi="Times New Roman"/>
          <w:sz w:val="18"/>
          <w:szCs w:val="18"/>
          <w:color w:val="010000"/>
        </w:rPr>
        <w:t>(iii)</w:t>
      </w:r>
      <w:r>
        <w:rPr>
          <w:rFonts w:ascii="Times New Roman" w:cs="Times New Roman" w:eastAsia="Times New Roman" w:hAnsi="Times New Roman"/>
          <w:sz w:val="18"/>
          <w:szCs w:val="18"/>
          <w:color w:val="000000"/>
        </w:rPr>
        <w:t>Notwithstanding anything to the contrary in this Agreement, if Executive is a “specified employee” within the meaning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Section 409A at the time of Executive’s termination (other than due to death), then the Deferred Payments, if any, that are payable within the first six (6) months following Executive’s separation from service, will become payable on the first payroll date that occurs on or after the date six (6) months and one (I)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before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this Agreement is intended to constitute a separate payment under Section 1.409A-2(b)(2) of the Treasury Regulations.</w:t>
      </w:r>
    </w:p>
    <w:p>
      <w:pPr>
        <w:spacing w:after="0" w:line="169" w:lineRule="exact"/>
        <w:rPr>
          <w:sz w:val="20"/>
          <w:szCs w:val="20"/>
          <w:color w:val="auto"/>
        </w:rPr>
      </w:pPr>
    </w:p>
    <w:p>
      <w:pPr>
        <w:ind w:right="460" w:firstLine="1533"/>
        <w:spacing w:after="0" w:line="283" w:lineRule="auto"/>
        <w:rPr>
          <w:sz w:val="20"/>
          <w:szCs w:val="20"/>
          <w:color w:val="auto"/>
        </w:rPr>
      </w:pPr>
      <w:r>
        <w:rPr>
          <w:rFonts w:ascii="Times New Roman" w:cs="Times New Roman" w:eastAsia="Times New Roman" w:hAnsi="Times New Roman"/>
          <w:sz w:val="18"/>
          <w:szCs w:val="18"/>
          <w:color w:val="010000"/>
        </w:rPr>
        <w:t>(iv)</w:t>
      </w:r>
      <w:r>
        <w:rPr>
          <w:rFonts w:ascii="Times New Roman" w:cs="Times New Roman" w:eastAsia="Times New Roman" w:hAnsi="Times New Roman"/>
          <w:sz w:val="18"/>
          <w:szCs w:val="18"/>
          <w:color w:val="000000"/>
        </w:rPr>
        <w:t>Any amount paid under this Agreement that satisfies the requirements of the “short-term deferral” rule set forth in Section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1.409A-1(b)(4) of the Treasury Regulations will not constitute Deferred Payments for purposes of clause (i) above.</w:t>
      </w:r>
    </w:p>
    <w:p>
      <w:pPr>
        <w:spacing w:after="0" w:line="136" w:lineRule="exact"/>
        <w:rPr>
          <w:sz w:val="20"/>
          <w:szCs w:val="20"/>
          <w:color w:val="auto"/>
        </w:rPr>
      </w:pPr>
    </w:p>
    <w:p>
      <w:pPr>
        <w:jc w:val="both"/>
        <w:ind w:right="200" w:firstLine="1584"/>
        <w:spacing w:after="0" w:line="264" w:lineRule="auto"/>
        <w:rPr>
          <w:sz w:val="20"/>
          <w:szCs w:val="20"/>
          <w:color w:val="auto"/>
        </w:rPr>
      </w:pPr>
      <w:r>
        <w:rPr>
          <w:rFonts w:ascii="Times New Roman" w:cs="Times New Roman" w:eastAsia="Times New Roman" w:hAnsi="Times New Roman"/>
          <w:sz w:val="18"/>
          <w:szCs w:val="18"/>
          <w:color w:val="010000"/>
        </w:rPr>
        <w:t>(v)</w:t>
      </w:r>
      <w:r>
        <w:rPr>
          <w:rFonts w:ascii="Times New Roman" w:cs="Times New Roman" w:eastAsia="Times New Roman" w:hAnsi="Times New Roman"/>
          <w:sz w:val="18"/>
          <w:szCs w:val="18"/>
          <w:color w:val="000000"/>
        </w:rPr>
        <w:t>Any amount paid under this Agreement that qualifies as a payment made as a result of an involuntary separation from service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pursuant to Section 1.409A-1(b)(9)(iii) of the Treasury Regulations that does not exceed the Section 409A Limit (as defined below) will not constitute Deferred Payments for purposes of clause (i) above.</w:t>
      </w:r>
    </w:p>
    <w:p>
      <w:pPr>
        <w:spacing w:after="0" w:line="153" w:lineRule="exact"/>
        <w:rPr>
          <w:sz w:val="20"/>
          <w:szCs w:val="20"/>
          <w:color w:val="auto"/>
        </w:rPr>
      </w:pPr>
    </w:p>
    <w:p>
      <w:pPr>
        <w:ind w:firstLine="1533"/>
        <w:spacing w:after="0" w:line="255" w:lineRule="auto"/>
        <w:rPr>
          <w:sz w:val="20"/>
          <w:szCs w:val="20"/>
          <w:color w:val="auto"/>
        </w:rPr>
      </w:pPr>
      <w:r>
        <w:rPr>
          <w:rFonts w:ascii="Times New Roman" w:cs="Times New Roman" w:eastAsia="Times New Roman" w:hAnsi="Times New Roman"/>
          <w:sz w:val="18"/>
          <w:szCs w:val="18"/>
          <w:color w:val="010000"/>
        </w:rPr>
        <w:t>(vi)</w:t>
      </w:r>
      <w:r>
        <w:rPr>
          <w:rFonts w:ascii="Times New Roman" w:cs="Times New Roman" w:eastAsia="Times New Roman" w:hAnsi="Times New Roman"/>
          <w:sz w:val="18"/>
          <w:szCs w:val="18"/>
          <w:color w:val="000000"/>
        </w:rPr>
        <w:t>The foregoing provisions are intended to comply with the requirements of Section 409A so that none of the severance payments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before actual payment to Executive under Section 409A.</w:t>
      </w:r>
    </w:p>
    <w:p>
      <w:pPr>
        <w:spacing w:after="0" w:line="161" w:lineRule="exact"/>
        <w:rPr>
          <w:sz w:val="20"/>
          <w:szCs w:val="20"/>
          <w:color w:val="auto"/>
        </w:rPr>
      </w:pPr>
    </w:p>
    <w:p>
      <w:pPr>
        <w:ind w:right="220" w:firstLine="599"/>
        <w:spacing w:after="0" w:line="264" w:lineRule="auto"/>
        <w:tabs>
          <w:tab w:leader="none" w:pos="1198" w:val="left"/>
        </w:tabs>
        <w:numPr>
          <w:ilvl w:val="0"/>
          <w:numId w:val="6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Limitation on Payments</w:t>
      </w:r>
      <w:r>
        <w:rPr>
          <w:rFonts w:ascii="Times New Roman" w:cs="Times New Roman" w:eastAsia="Times New Roman" w:hAnsi="Times New Roman"/>
          <w:sz w:val="18"/>
          <w:szCs w:val="18"/>
          <w:color w:val="auto"/>
        </w:rPr>
        <w:t>. In the event that the severance and other benefits provided for in this Agreement or otherwise payable to Executive (i) constitute “parachute payments” within the meaning of Section 280G of the Code, and (ii) but for this Section 5, would be subject to the excise tax imposed by Section 4999 of the Code, then Executive’s benefits under Section 3 will be either:</w:t>
      </w:r>
    </w:p>
    <w:p>
      <w:pPr>
        <w:spacing w:after="0" w:line="153" w:lineRule="exact"/>
        <w:rPr>
          <w:rFonts w:ascii="Times New Roman" w:cs="Times New Roman" w:eastAsia="Times New Roman" w:hAnsi="Times New Roman"/>
          <w:sz w:val="18"/>
          <w:szCs w:val="18"/>
          <w:color w:val="010000"/>
        </w:rPr>
      </w:pPr>
    </w:p>
    <w:p>
      <w:pPr>
        <w:ind w:left="1780" w:hanging="582"/>
        <w:spacing w:after="0"/>
        <w:tabs>
          <w:tab w:leader="none" w:pos="1780" w:val="left"/>
        </w:tabs>
        <w:numPr>
          <w:ilvl w:val="1"/>
          <w:numId w:val="6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delivered in full, or</w:t>
      </w:r>
    </w:p>
    <w:p>
      <w:pPr>
        <w:spacing w:after="0" w:line="204" w:lineRule="exact"/>
        <w:rPr>
          <w:rFonts w:ascii="Times New Roman" w:cs="Times New Roman" w:eastAsia="Times New Roman" w:hAnsi="Times New Roman"/>
          <w:sz w:val="18"/>
          <w:szCs w:val="18"/>
          <w:color w:val="010000"/>
        </w:rPr>
      </w:pPr>
    </w:p>
    <w:p>
      <w:pPr>
        <w:ind w:left="1780" w:hanging="582"/>
        <w:spacing w:after="0"/>
        <w:tabs>
          <w:tab w:leader="none" w:pos="1780" w:val="left"/>
        </w:tabs>
        <w:numPr>
          <w:ilvl w:val="1"/>
          <w:numId w:val="6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delivered as to such lesser extent which would result in no portion of such benefits being subject to excise tax under Section</w:t>
      </w:r>
    </w:p>
    <w:p>
      <w:pPr>
        <w:spacing w:after="0" w:line="25"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4999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00"/>
          </w:cols>
          <w:pgMar w:left="320" w:top="1317" w:right="379" w:bottom="1440" w:gutter="0" w:footer="0" w:header="0"/>
        </w:sectPr>
      </w:pPr>
    </w:p>
    <w:bookmarkStart w:id="139" w:name="page140"/>
    <w:bookmarkEnd w:id="139"/>
    <w:p>
      <w:pPr>
        <w:ind w:right="40"/>
        <w:spacing w:after="0" w:line="250" w:lineRule="auto"/>
        <w:rPr>
          <w:sz w:val="20"/>
          <w:szCs w:val="20"/>
          <w:color w:val="auto"/>
        </w:rPr>
      </w:pPr>
      <w:r>
        <w:rPr>
          <w:rFonts w:ascii="Times New Roman" w:cs="Times New Roman" w:eastAsia="Times New Roman" w:hAnsi="Times New Roman"/>
          <w:sz w:val="18"/>
          <w:szCs w:val="18"/>
          <w:color w:val="auto"/>
        </w:rPr>
        <w:t>whichever of the foregoing amounts, taking into account the applicable federal, state and local income taxes and the excise tax imposed by Section 4999, results in the receipt by Executive on an after-tax basis, of the greatest amount of benefits, notwithstanding that all or some portion of such benefits may be taxable under Section 4999 of the Code. If a reduction in severance and other benefits constituting “parachute payments” is necessary so that benefits are delivered to a lesser extent, reduction will occur in the following order: (i) reduction of cash payments; (ii) cancellation of awards granted “contingent on a change in ownership or control” (within the meaning of Code Section 280G), (iii) cancellation of accelerated vesting of equity awards;</w:t>
      </w:r>
    </w:p>
    <w:p>
      <w:pPr>
        <w:spacing w:after="0" w:line="3" w:lineRule="exact"/>
        <w:rPr>
          <w:sz w:val="20"/>
          <w:szCs w:val="20"/>
          <w:color w:val="auto"/>
        </w:rPr>
      </w:pPr>
    </w:p>
    <w:p>
      <w:pPr>
        <w:ind w:right="100"/>
        <w:spacing w:after="0" w:line="260" w:lineRule="auto"/>
        <w:tabs>
          <w:tab w:leader="none" w:pos="31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employee benefits. In the event that acceleration of vesting of equity award compensation is to be reduced, such acceleration of vesting will be cancelled in the reverse order of the date of grant of Executive’s equity awards.</w:t>
      </w:r>
    </w:p>
    <w:p>
      <w:pPr>
        <w:spacing w:after="0" w:line="156" w:lineRule="exact"/>
        <w:rPr>
          <w:sz w:val="20"/>
          <w:szCs w:val="20"/>
          <w:color w:val="auto"/>
        </w:rPr>
      </w:pPr>
    </w:p>
    <w:p>
      <w:pPr>
        <w:ind w:firstLine="599"/>
        <w:spacing w:after="0" w:line="252" w:lineRule="auto"/>
        <w:rPr>
          <w:sz w:val="20"/>
          <w:szCs w:val="20"/>
          <w:color w:val="auto"/>
        </w:rPr>
      </w:pPr>
      <w:r>
        <w:rPr>
          <w:rFonts w:ascii="Times New Roman" w:cs="Times New Roman" w:eastAsia="Times New Roman" w:hAnsi="Times New Roman"/>
          <w:sz w:val="18"/>
          <w:szCs w:val="18"/>
          <w:color w:val="auto"/>
        </w:rPr>
        <w:t>Unless the Company and Executive otherwise agree in writing, any determination required under this Section 5 will be made in writing by the Company’s independent public accountants immediately prior to a Change of Control or such other person or entity to which the parties mutually agree (the “</w:t>
      </w:r>
      <w:r>
        <w:rPr>
          <w:rFonts w:ascii="Times New Roman" w:cs="Times New Roman" w:eastAsia="Times New Roman" w:hAnsi="Times New Roman"/>
          <w:sz w:val="18"/>
          <w:szCs w:val="18"/>
          <w:b w:val="1"/>
          <w:bCs w:val="1"/>
          <w:i w:val="1"/>
          <w:iCs w:val="1"/>
          <w:color w:val="auto"/>
        </w:rPr>
        <w:t>Firm</w:t>
      </w:r>
      <w:r>
        <w:rPr>
          <w:rFonts w:ascii="Times New Roman" w:cs="Times New Roman" w:eastAsia="Times New Roman" w:hAnsi="Times New Roman"/>
          <w:sz w:val="18"/>
          <w:szCs w:val="18"/>
          <w:color w:val="auto"/>
        </w:rPr>
        <w:t>”), whose determination will be conclusive and binding upon Executive and the Company. For purposes of making the calculations required by this Section 5,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the Firm may incur in connection with any calculations contemplated by this Section 5.</w:t>
      </w:r>
    </w:p>
    <w:p>
      <w:pPr>
        <w:spacing w:after="0" w:line="164" w:lineRule="exact"/>
        <w:rPr>
          <w:sz w:val="20"/>
          <w:szCs w:val="20"/>
          <w:color w:val="auto"/>
        </w:rPr>
      </w:pPr>
    </w:p>
    <w:p>
      <w:pPr>
        <w:ind w:left="1200" w:hanging="601"/>
        <w:spacing w:after="0"/>
        <w:tabs>
          <w:tab w:leader="none" w:pos="1200" w:val="left"/>
        </w:tabs>
        <w:numPr>
          <w:ilvl w:val="0"/>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Definition of Terms</w:t>
      </w:r>
      <w:r>
        <w:rPr>
          <w:rFonts w:ascii="Times New Roman" w:cs="Times New Roman" w:eastAsia="Times New Roman" w:hAnsi="Times New Roman"/>
          <w:sz w:val="18"/>
          <w:szCs w:val="18"/>
          <w:color w:val="auto"/>
        </w:rPr>
        <w:t>. The following terms referred to in this Agreement will have the following meanings:</w:t>
      </w:r>
    </w:p>
    <w:p>
      <w:pPr>
        <w:spacing w:after="0" w:line="200" w:lineRule="exact"/>
        <w:rPr>
          <w:rFonts w:ascii="Times New Roman" w:cs="Times New Roman" w:eastAsia="Times New Roman" w:hAnsi="Times New Roman"/>
          <w:sz w:val="18"/>
          <w:szCs w:val="18"/>
          <w:color w:val="010000"/>
        </w:rPr>
      </w:pPr>
    </w:p>
    <w:p>
      <w:pPr>
        <w:ind w:left="1780" w:hanging="582"/>
        <w:spacing w:after="0"/>
        <w:tabs>
          <w:tab w:leader="none" w:pos="1780" w:val="left"/>
        </w:tabs>
        <w:numPr>
          <w:ilvl w:val="1"/>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will mean:</w:t>
      </w:r>
    </w:p>
    <w:p>
      <w:pPr>
        <w:spacing w:after="0" w:line="2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010000"/>
        </w:rPr>
        <w:t>(i)</w:t>
      </w:r>
      <w:r>
        <w:rPr>
          <w:rFonts w:ascii="Times New Roman" w:cs="Times New Roman" w:eastAsia="Times New Roman" w:hAnsi="Times New Roman"/>
          <w:sz w:val="18"/>
          <w:szCs w:val="18"/>
          <w:color w:val="000000"/>
        </w:rPr>
        <w:t>The willful or grossly negligent failure of the Executive to substantially perform his or her duties as an employee of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18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010000"/>
        </w:rPr>
        <w:t>(ii)</w:t>
      </w:r>
      <w:r>
        <w:rPr>
          <w:rFonts w:ascii="Times New Roman" w:cs="Times New Roman" w:eastAsia="Times New Roman" w:hAnsi="Times New Roman"/>
          <w:sz w:val="18"/>
          <w:szCs w:val="18"/>
          <w:color w:val="000000"/>
        </w:rPr>
        <w:t>Executive’s commission of a gross misconduct which is injurious to the Company;</w:t>
      </w:r>
    </w:p>
    <w:p>
      <w:pPr>
        <w:spacing w:after="0" w:line="20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010000"/>
        </w:rPr>
        <w:t>(iii)</w:t>
      </w:r>
      <w:r>
        <w:rPr>
          <w:rFonts w:ascii="Times New Roman" w:cs="Times New Roman" w:eastAsia="Times New Roman" w:hAnsi="Times New Roman"/>
          <w:sz w:val="18"/>
          <w:szCs w:val="18"/>
          <w:color w:val="000000"/>
        </w:rPr>
        <w:t>Executive’s breach of a material provision of any agreement between Executive and the Company;</w:t>
      </w:r>
    </w:p>
    <w:p>
      <w:pPr>
        <w:spacing w:after="0" w:line="20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010000"/>
        </w:rPr>
        <w:t>(iv)</w:t>
      </w:r>
      <w:r>
        <w:rPr>
          <w:rFonts w:ascii="Times New Roman" w:cs="Times New Roman" w:eastAsia="Times New Roman" w:hAnsi="Times New Roman"/>
          <w:sz w:val="18"/>
          <w:szCs w:val="18"/>
          <w:color w:val="000000"/>
        </w:rPr>
        <w:t>Executive’s material and willful violation of a federal or state law or regulation applicable to the business of the Company;</w:t>
      </w:r>
    </w:p>
    <w:p>
      <w:pPr>
        <w:spacing w:after="0" w:line="20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010000"/>
        </w:rPr>
        <w:t>(v)</w:t>
      </w:r>
      <w:r>
        <w:rPr>
          <w:rFonts w:ascii="Times New Roman" w:cs="Times New Roman" w:eastAsia="Times New Roman" w:hAnsi="Times New Roman"/>
          <w:sz w:val="18"/>
          <w:szCs w:val="18"/>
          <w:color w:val="000000"/>
        </w:rPr>
        <w:t>Executive’s misappropriation or embezzlement of Company funds or Executive’s act of fraud or dishonesty upon the Company;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185" w:lineRule="exact"/>
        <w:rPr>
          <w:sz w:val="20"/>
          <w:szCs w:val="20"/>
          <w:color w:val="auto"/>
        </w:rPr>
      </w:pPr>
    </w:p>
    <w:p>
      <w:pPr>
        <w:ind w:right="200" w:firstLine="1533"/>
        <w:spacing w:after="0" w:line="283" w:lineRule="auto"/>
        <w:rPr>
          <w:sz w:val="20"/>
          <w:szCs w:val="20"/>
          <w:color w:val="auto"/>
        </w:rPr>
      </w:pPr>
      <w:r>
        <w:rPr>
          <w:rFonts w:ascii="Times New Roman" w:cs="Times New Roman" w:eastAsia="Times New Roman" w:hAnsi="Times New Roman"/>
          <w:sz w:val="18"/>
          <w:szCs w:val="18"/>
          <w:color w:val="010000"/>
        </w:rPr>
        <w:t>(vi)</w:t>
      </w:r>
      <w:r>
        <w:rPr>
          <w:rFonts w:ascii="Times New Roman" w:cs="Times New Roman" w:eastAsia="Times New Roman" w:hAnsi="Times New Roman"/>
          <w:sz w:val="18"/>
          <w:szCs w:val="18"/>
          <w:color w:val="000000"/>
        </w:rPr>
        <w:t>Executive’s conviction of, or plea of nolo contendere, to a felony (other than motor vehicle offenses the effect of which do not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materially impair Executive’s performance of Executive’s duties for the Company).</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will not terminate Executive’s employment for Cause without first providing Executive with written notice specifically identifying the acts or omissions constituting the grounds for a Cause termination and, with respect to clauses (i), (iii) and (iv), a reasonable opportunity to cure (to the extent curable) for a period of not less than ten (10) business days following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317" w:right="339" w:bottom="1440" w:gutter="0" w:footer="0" w:header="0"/>
        </w:sectPr>
      </w:pPr>
    </w:p>
    <w:bookmarkStart w:id="140" w:name="page141"/>
    <w:bookmarkEnd w:id="140"/>
    <w:p>
      <w:pPr>
        <w:ind w:right="240"/>
        <w:spacing w:after="0" w:line="264" w:lineRule="auto"/>
        <w:rPr>
          <w:sz w:val="20"/>
          <w:szCs w:val="20"/>
          <w:color w:val="auto"/>
        </w:rPr>
      </w:pPr>
      <w:r>
        <w:rPr>
          <w:rFonts w:ascii="Times New Roman" w:cs="Times New Roman" w:eastAsia="Times New Roman" w:hAnsi="Times New Roman"/>
          <w:sz w:val="18"/>
          <w:szCs w:val="18"/>
          <w:color w:val="auto"/>
        </w:rPr>
        <w:t>The determination as to whether Executive is being terminated for Cause will be made in good faith by the Board and will be final and binding on Executive. The foregoing definition does not in any way limit the Company’s ability to terminate Executive’s employment relationship at any time as provided in Section 2 above, and the term “Company” will be interpreted to include any subsidiary, parent, affiliate or successor thereto, if applicable.</w:t>
      </w:r>
    </w:p>
    <w:p>
      <w:pPr>
        <w:spacing w:after="0" w:line="149" w:lineRule="exact"/>
        <w:rPr>
          <w:sz w:val="20"/>
          <w:szCs w:val="20"/>
          <w:color w:val="auto"/>
        </w:rPr>
      </w:pPr>
    </w:p>
    <w:p>
      <w:pPr>
        <w:ind w:left="1780" w:hanging="582"/>
        <w:spacing w:after="0"/>
        <w:tabs>
          <w:tab w:leader="none" w:pos="1780" w:val="left"/>
        </w:tabs>
        <w:numPr>
          <w:ilvl w:val="0"/>
          <w:numId w:val="7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of any of the following events:</w:t>
      </w:r>
    </w:p>
    <w:p>
      <w:pPr>
        <w:spacing w:after="0" w:line="209" w:lineRule="exact"/>
        <w:rPr>
          <w:sz w:val="20"/>
          <w:szCs w:val="20"/>
          <w:color w:val="auto"/>
        </w:rPr>
      </w:pPr>
    </w:p>
    <w:p>
      <w:pPr>
        <w:ind w:right="40" w:firstLine="1625"/>
        <w:spacing w:after="0" w:line="255" w:lineRule="auto"/>
        <w:rPr>
          <w:sz w:val="20"/>
          <w:szCs w:val="20"/>
          <w:color w:val="auto"/>
        </w:rPr>
      </w:pPr>
      <w:r>
        <w:rPr>
          <w:rFonts w:ascii="Times New Roman" w:cs="Times New Roman" w:eastAsia="Times New Roman" w:hAnsi="Times New Roman"/>
          <w:sz w:val="18"/>
          <w:szCs w:val="18"/>
          <w:color w:val="010000"/>
        </w:rPr>
        <w:t>(i)</w:t>
      </w:r>
      <w:r>
        <w:rPr>
          <w:rFonts w:ascii="Times New Roman" w:cs="Times New Roman" w:eastAsia="Times New Roman" w:hAnsi="Times New Roman"/>
          <w:sz w:val="18"/>
          <w:szCs w:val="18"/>
          <w:color w:val="000000"/>
        </w:rPr>
        <w:t>A change in the ownership of the Company which occurs on the date that any one person, or more than one person acting as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group (“</w:t>
      </w:r>
      <w:r>
        <w:rPr>
          <w:rFonts w:ascii="Times New Roman" w:cs="Times New Roman" w:eastAsia="Times New Roman" w:hAnsi="Times New Roman"/>
          <w:sz w:val="18"/>
          <w:szCs w:val="18"/>
          <w:b w:val="1"/>
          <w:bCs w:val="1"/>
          <w:i w:val="1"/>
          <w:iCs w:val="1"/>
          <w:color w:val="000000"/>
        </w:rPr>
        <w:t>Person</w:t>
      </w:r>
      <w:r>
        <w:rPr>
          <w:rFonts w:ascii="Times New Roman" w:cs="Times New Roman" w:eastAsia="Times New Roman" w:hAnsi="Times New Roman"/>
          <w:sz w:val="18"/>
          <w:szCs w:val="18"/>
          <w:color w:val="000000"/>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of Control; or</w:t>
      </w:r>
    </w:p>
    <w:p>
      <w:pPr>
        <w:spacing w:after="0" w:line="161" w:lineRule="exact"/>
        <w:rPr>
          <w:sz w:val="20"/>
          <w:szCs w:val="20"/>
          <w:color w:val="auto"/>
        </w:rPr>
      </w:pPr>
    </w:p>
    <w:p>
      <w:pPr>
        <w:jc w:val="both"/>
        <w:ind w:right="60" w:firstLine="1574"/>
        <w:spacing w:after="0" w:line="258" w:lineRule="auto"/>
        <w:rPr>
          <w:sz w:val="20"/>
          <w:szCs w:val="20"/>
          <w:color w:val="auto"/>
        </w:rPr>
      </w:pPr>
      <w:r>
        <w:rPr>
          <w:rFonts w:ascii="Times New Roman" w:cs="Times New Roman" w:eastAsia="Times New Roman" w:hAnsi="Times New Roman"/>
          <w:sz w:val="18"/>
          <w:szCs w:val="18"/>
          <w:color w:val="010000"/>
        </w:rPr>
        <w:t>(ii)</w:t>
      </w:r>
      <w:r>
        <w:rPr>
          <w:rFonts w:ascii="Times New Roman" w:cs="Times New Roman" w:eastAsia="Times New Roman" w:hAnsi="Times New Roman"/>
          <w:sz w:val="18"/>
          <w:szCs w:val="18"/>
          <w:color w:val="000000"/>
        </w:rPr>
        <w:t>A change in the effective control of the Company which occurs on the date that a majority of members of the Board is replaced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of Control; or</w:t>
      </w:r>
    </w:p>
    <w:p>
      <w:pPr>
        <w:spacing w:after="0" w:line="159" w:lineRule="exact"/>
        <w:rPr>
          <w:sz w:val="20"/>
          <w:szCs w:val="20"/>
          <w:color w:val="auto"/>
        </w:rPr>
      </w:pPr>
    </w:p>
    <w:p>
      <w:pPr>
        <w:ind w:right="120" w:firstLine="1524"/>
        <w:spacing w:after="0" w:line="249" w:lineRule="auto"/>
        <w:rPr>
          <w:sz w:val="20"/>
          <w:szCs w:val="20"/>
          <w:color w:val="auto"/>
        </w:rPr>
      </w:pPr>
      <w:r>
        <w:rPr>
          <w:rFonts w:ascii="Times New Roman" w:cs="Times New Roman" w:eastAsia="Times New Roman" w:hAnsi="Times New Roman"/>
          <w:sz w:val="18"/>
          <w:szCs w:val="18"/>
          <w:color w:val="010000"/>
        </w:rPr>
        <w:t>(iii)</w:t>
      </w:r>
      <w:r>
        <w:rPr>
          <w:rFonts w:ascii="Times New Roman" w:cs="Times New Roman" w:eastAsia="Times New Roman" w:hAnsi="Times New Roman"/>
          <w:sz w:val="18"/>
          <w:szCs w:val="18"/>
          <w:color w:val="000000"/>
        </w:rPr>
        <w:t>A change in the ownership of a substantial portion of the Company’s assets which occurs on the date that any Person acquires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72" w:lineRule="exact"/>
        <w:rPr>
          <w:sz w:val="20"/>
          <w:szCs w:val="20"/>
          <w:color w:val="auto"/>
        </w:rPr>
      </w:pPr>
    </w:p>
    <w:p>
      <w:pPr>
        <w:ind w:right="240" w:firstLine="599"/>
        <w:spacing w:after="0" w:line="283" w:lineRule="auto"/>
        <w:rPr>
          <w:sz w:val="20"/>
          <w:szCs w:val="20"/>
          <w:color w:val="auto"/>
        </w:rPr>
      </w:pPr>
      <w:r>
        <w:rPr>
          <w:rFonts w:ascii="Times New Roman" w:cs="Times New Roman" w:eastAsia="Times New Roman" w:hAnsi="Times New Roman"/>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36" w:lineRule="exact"/>
        <w:rPr>
          <w:sz w:val="20"/>
          <w:szCs w:val="20"/>
          <w:color w:val="auto"/>
        </w:rPr>
      </w:pPr>
    </w:p>
    <w:p>
      <w:pPr>
        <w:ind w:firstLine="599"/>
        <w:spacing w:after="0" w:line="264"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of Control unless the transaction qualifies as a change in control event within the meaning of Code Section 409A, as it has been and may be amended from time to time, and any proposed or final Treasury Regulations and Internal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20" w:top="1317" w:right="3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color w:val="auto"/>
        </w:rPr>
        <w:t>Revenue Service guidance that has been promulgated or may be promulgated thereunder from time to time.</w:t>
      </w:r>
    </w:p>
    <w:p>
      <w:pPr>
        <w:spacing w:after="0" w:line="205" w:lineRule="exact"/>
        <w:rPr>
          <w:sz w:val="20"/>
          <w:szCs w:val="20"/>
          <w:color w:val="auto"/>
        </w:rPr>
      </w:pPr>
    </w:p>
    <w:p>
      <w:pPr>
        <w:ind w:right="140" w:firstLine="599"/>
        <w:spacing w:after="0" w:line="264" w:lineRule="auto"/>
        <w:rPr>
          <w:sz w:val="20"/>
          <w:szCs w:val="20"/>
          <w:color w:val="auto"/>
        </w:rPr>
      </w:pPr>
      <w:r>
        <w:rPr>
          <w:rFonts w:ascii="Times New Roman" w:cs="Times New Roman" w:eastAsia="Times New Roman" w:hAnsi="Times New Roman"/>
          <w:sz w:val="18"/>
          <w:szCs w:val="18"/>
          <w:color w:val="auto"/>
        </w:rPr>
        <w:t>Further and for the avoidance of doubt, a transaction will not constitute a Change of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49" w:lineRule="exact"/>
        <w:rPr>
          <w:sz w:val="20"/>
          <w:szCs w:val="20"/>
          <w:color w:val="auto"/>
        </w:rPr>
      </w:pPr>
    </w:p>
    <w:p>
      <w:pPr>
        <w:ind w:right="340" w:firstLine="1198"/>
        <w:spacing w:after="0" w:line="287" w:lineRule="auto"/>
        <w:tabs>
          <w:tab w:leader="none" w:pos="1789"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Change of Control Period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Change of Control Period</w:t>
      </w:r>
      <w:r>
        <w:rPr>
          <w:rFonts w:ascii="Times New Roman" w:cs="Times New Roman" w:eastAsia="Times New Roman" w:hAnsi="Times New Roman"/>
          <w:sz w:val="18"/>
          <w:szCs w:val="18"/>
          <w:color w:val="auto"/>
        </w:rPr>
        <w:t>’’ will mean the period beginning two (2) months prior to, and ending twelve (12) months following, a Change of Control.</w:t>
      </w:r>
    </w:p>
    <w:p>
      <w:pPr>
        <w:spacing w:after="0" w:line="129" w:lineRule="exact"/>
        <w:rPr>
          <w:rFonts w:ascii="Times New Roman" w:cs="Times New Roman" w:eastAsia="Times New Roman" w:hAnsi="Times New Roman"/>
          <w:sz w:val="18"/>
          <w:szCs w:val="18"/>
          <w:color w:val="010000"/>
        </w:rPr>
      </w:pPr>
    </w:p>
    <w:p>
      <w:pPr>
        <w:ind w:left="1840" w:hanging="642"/>
        <w:spacing w:after="0"/>
        <w:tabs>
          <w:tab w:leader="none" w:pos="1840"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will mean the Internal Revenue Code of 1986, as amended.</w:t>
      </w:r>
    </w:p>
    <w:p>
      <w:pPr>
        <w:spacing w:after="0" w:line="204" w:lineRule="exact"/>
        <w:rPr>
          <w:rFonts w:ascii="Times New Roman" w:cs="Times New Roman" w:eastAsia="Times New Roman" w:hAnsi="Times New Roman"/>
          <w:sz w:val="18"/>
          <w:szCs w:val="18"/>
          <w:color w:val="010000"/>
        </w:rPr>
      </w:pPr>
    </w:p>
    <w:p>
      <w:pPr>
        <w:ind w:firstLine="1198"/>
        <w:spacing w:after="0" w:line="254" w:lineRule="auto"/>
        <w:tabs>
          <w:tab w:leader="none" w:pos="1789"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will mean that Executive has been unable to engage in any substantial gainful activity by reason of any medically determinable physical or mental impairment that can be expected to result in death or can be expected to last for a continuous period of not less than twelve (12) months. Alternatively, Executive will be deemed disabled if determined to be totally disabled by the Social Security Administration. Termination resulting from Disability may only be effected after at least thirty (30) days’ written notice by the Company of its intention to terminate Executive’s employment. In the event that Executive resumes the performance of substantially all of Executive’s duties hereunder before the termination of Executive’s employment becomes effective, the notice of intent to terminate based on Disability will automatically be deemed to have been revoked.</w:t>
      </w:r>
    </w:p>
    <w:p>
      <w:pPr>
        <w:spacing w:after="0" w:line="158" w:lineRule="exact"/>
        <w:rPr>
          <w:rFonts w:ascii="Times New Roman" w:cs="Times New Roman" w:eastAsia="Times New Roman" w:hAnsi="Times New Roman"/>
          <w:sz w:val="18"/>
          <w:szCs w:val="18"/>
          <w:color w:val="010000"/>
        </w:rPr>
      </w:pPr>
    </w:p>
    <w:p>
      <w:pPr>
        <w:ind w:right="320" w:firstLine="1198"/>
        <w:spacing w:after="0" w:line="287" w:lineRule="auto"/>
        <w:tabs>
          <w:tab w:leader="none" w:pos="1793"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Equity Awards</w:t>
      </w:r>
      <w:r>
        <w:rPr>
          <w:rFonts w:ascii="Times New Roman" w:cs="Times New Roman" w:eastAsia="Times New Roman" w:hAnsi="Times New Roman"/>
          <w:sz w:val="18"/>
          <w:szCs w:val="18"/>
          <w:color w:val="auto"/>
        </w:rPr>
        <w:t>” will mean Executive’s outstanding stock options, stock appreciation rights, restricted stock units, performance shares, performance stock units and any other Company equity compensation awards.</w:t>
      </w:r>
    </w:p>
    <w:p>
      <w:pPr>
        <w:spacing w:after="0" w:line="129" w:lineRule="exact"/>
        <w:rPr>
          <w:rFonts w:ascii="Times New Roman" w:cs="Times New Roman" w:eastAsia="Times New Roman" w:hAnsi="Times New Roman"/>
          <w:sz w:val="18"/>
          <w:szCs w:val="18"/>
          <w:color w:val="010000"/>
        </w:rPr>
      </w:pPr>
    </w:p>
    <w:p>
      <w:pPr>
        <w:ind w:right="60" w:firstLine="1198"/>
        <w:spacing w:after="0" w:line="287" w:lineRule="auto"/>
        <w:tabs>
          <w:tab w:leader="none" w:pos="1786"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will mean termination of employment within forty-five (45) days following the expiration of any cure period (discussed below) following the occurrence of one or more of the following, without Executive’s express written consent:</w:t>
      </w:r>
    </w:p>
    <w:p>
      <w:pPr>
        <w:spacing w:after="0" w:line="133" w:lineRule="exact"/>
        <w:rPr>
          <w:rFonts w:ascii="Times New Roman" w:cs="Times New Roman" w:eastAsia="Times New Roman" w:hAnsi="Times New Roman"/>
          <w:sz w:val="18"/>
          <w:szCs w:val="18"/>
          <w:color w:val="010000"/>
        </w:rPr>
      </w:pPr>
    </w:p>
    <w:p>
      <w:pPr>
        <w:ind w:right="500" w:firstLine="1798"/>
        <w:spacing w:after="0" w:line="283" w:lineRule="auto"/>
        <w:tabs>
          <w:tab w:leader="none" w:pos="2385"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material reduction of Executive’s authorities, duties or responsibilities relative to Executive’s authorities, duties or responsibilities in effect immediately prior to such reduction;</w:t>
      </w:r>
    </w:p>
    <w:p>
      <w:pPr>
        <w:spacing w:after="0" w:line="136" w:lineRule="exact"/>
        <w:rPr>
          <w:rFonts w:ascii="Times New Roman" w:cs="Times New Roman" w:eastAsia="Times New Roman" w:hAnsi="Times New Roman"/>
          <w:sz w:val="17"/>
          <w:szCs w:val="17"/>
          <w:color w:val="auto"/>
        </w:rPr>
      </w:pPr>
    </w:p>
    <w:p>
      <w:pPr>
        <w:ind w:right="420" w:firstLine="1798"/>
        <w:spacing w:after="0" w:line="283" w:lineRule="auto"/>
        <w:tabs>
          <w:tab w:leader="none" w:pos="2394"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material reduction in Executive’s base salary and/or target bonus opportunity, other than a reduction applicable to similarly situated employees generally that does not adversely affect Executive to a greater extent than other similarly situated employees;</w:t>
      </w:r>
    </w:p>
    <w:p>
      <w:pPr>
        <w:spacing w:after="0" w:line="136" w:lineRule="exact"/>
        <w:rPr>
          <w:rFonts w:ascii="Times New Roman" w:cs="Times New Roman" w:eastAsia="Times New Roman" w:hAnsi="Times New Roman"/>
          <w:sz w:val="17"/>
          <w:szCs w:val="17"/>
          <w:color w:val="auto"/>
        </w:rPr>
      </w:pPr>
    </w:p>
    <w:p>
      <w:pPr>
        <w:ind w:left="2380" w:hanging="582"/>
        <w:spacing w:after="0"/>
        <w:tabs>
          <w:tab w:leader="none" w:pos="238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relocation of Executive’s principal place of performing his or her duties as an employee of the Company by more</w:t>
      </w:r>
    </w:p>
    <w:p>
      <w:pPr>
        <w:spacing w:after="0" w:line="2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than fifty (50) miles; or</w:t>
      </w:r>
    </w:p>
    <w:p>
      <w:pPr>
        <w:spacing w:after="0" w:line="184" w:lineRule="exact"/>
        <w:rPr>
          <w:rFonts w:ascii="Times New Roman" w:cs="Times New Roman" w:eastAsia="Times New Roman" w:hAnsi="Times New Roman"/>
          <w:sz w:val="17"/>
          <w:szCs w:val="17"/>
          <w:color w:val="auto"/>
        </w:rPr>
      </w:pPr>
    </w:p>
    <w:p>
      <w:pPr>
        <w:ind w:left="2380" w:hanging="582"/>
        <w:spacing w:after="0"/>
        <w:tabs>
          <w:tab w:leader="none" w:pos="238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successor of the Company as set forth in Section 7(a) hereof does not assume this Agreement.</w:t>
      </w:r>
    </w:p>
    <w:p>
      <w:pPr>
        <w:spacing w:after="0" w:line="20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color w:val="auto"/>
        </w:rPr>
        <w:t>In order for an event to qualify as Good Reason, Executive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end of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317" w:right="339" w:bottom="1440" w:gutter="0" w:footer="0" w:header="0"/>
        </w:sectPr>
      </w:pPr>
    </w:p>
    <w:bookmarkStart w:id="142" w:name="page143"/>
    <w:bookmarkEnd w:id="142"/>
    <w:p>
      <w:pPr>
        <w:ind w:right="60"/>
        <w:spacing w:after="0" w:line="283" w:lineRule="auto"/>
        <w:rPr>
          <w:sz w:val="20"/>
          <w:szCs w:val="20"/>
          <w:color w:val="auto"/>
        </w:rPr>
      </w:pPr>
      <w:r>
        <w:rPr>
          <w:rFonts w:ascii="Times New Roman" w:cs="Times New Roman" w:eastAsia="Times New Roman" w:hAnsi="Times New Roman"/>
          <w:sz w:val="18"/>
          <w:szCs w:val="18"/>
          <w:color w:val="auto"/>
        </w:rPr>
        <w:t>For purposes of the “Good Reason” definition, the term “Company” will be interpreted to include any subsidiary, parent, affiliate or successor thereto, if applicable.</w:t>
      </w:r>
    </w:p>
    <w:p>
      <w:pPr>
        <w:spacing w:after="0" w:line="132" w:lineRule="exact"/>
        <w:rPr>
          <w:sz w:val="20"/>
          <w:szCs w:val="20"/>
          <w:color w:val="auto"/>
        </w:rPr>
      </w:pPr>
    </w:p>
    <w:p>
      <w:pPr>
        <w:ind w:firstLine="1198"/>
        <w:spacing w:after="0" w:line="256" w:lineRule="auto"/>
        <w:tabs>
          <w:tab w:leader="none" w:pos="159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Limit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Section 409A Limit”</w:t>
      </w:r>
      <w:r>
        <w:rPr>
          <w:rFonts w:ascii="Times New Roman" w:cs="Times New Roman" w:eastAsia="Times New Roman" w:hAnsi="Times New Roman"/>
          <w:sz w:val="18"/>
          <w:szCs w:val="18"/>
          <w:color w:val="auto"/>
        </w:rPr>
        <w:t xml:space="preserve"> will mean two (2) times the lesser of: Executive’s annualized compensation based upon the annual rate of pay paid to Executive during the Executive’s taxable year preceding the Executive’s taxable year of Executive’s termination of employment as determined under, and with such adjustments as are set forth in, Treasury Regulation 1.409A-1(b)(9)(iii)(A)(l) and any Internal Revenue Service guidance issued with respect thereto; or (ii) the maximum amount that may be taken into account under a qualified plan pursuant to Section 401(a)(17) of the Code for the year in which Executive’s employment is terminated.</w:t>
      </w:r>
    </w:p>
    <w:p>
      <w:pPr>
        <w:spacing w:after="0" w:line="160" w:lineRule="exact"/>
        <w:rPr>
          <w:rFonts w:ascii="Times New Roman" w:cs="Times New Roman" w:eastAsia="Times New Roman" w:hAnsi="Times New Roman"/>
          <w:sz w:val="18"/>
          <w:szCs w:val="18"/>
          <w:color w:val="auto"/>
        </w:rPr>
      </w:pPr>
    </w:p>
    <w:p>
      <w:pPr>
        <w:ind w:left="1200" w:hanging="601"/>
        <w:spacing w:after="0"/>
        <w:tabs>
          <w:tab w:leader="none" w:pos="1200" w:val="left"/>
        </w:tabs>
        <w:numPr>
          <w:ilvl w:val="0"/>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w:t>
      </w:r>
    </w:p>
    <w:p>
      <w:pPr>
        <w:spacing w:after="0" w:line="204" w:lineRule="exact"/>
        <w:rPr>
          <w:rFonts w:ascii="Times New Roman" w:cs="Times New Roman" w:eastAsia="Times New Roman" w:hAnsi="Times New Roman"/>
          <w:sz w:val="18"/>
          <w:szCs w:val="18"/>
          <w:color w:val="010000"/>
        </w:rPr>
      </w:pPr>
    </w:p>
    <w:p>
      <w:pPr>
        <w:ind w:right="240" w:firstLine="1198"/>
        <w:spacing w:after="0" w:line="253" w:lineRule="auto"/>
        <w:tabs>
          <w:tab w:leader="none" w:pos="1789" w:val="left"/>
        </w:tabs>
        <w:numPr>
          <w:ilvl w:val="1"/>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The Company’s Successors</w:t>
      </w:r>
      <w:r>
        <w:rPr>
          <w:rFonts w:ascii="Times New Roman" w:cs="Times New Roman" w:eastAsia="Times New Roman" w:hAnsi="Times New Roman"/>
          <w:sz w:val="18"/>
          <w:szCs w:val="18"/>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7(a) or which becomes bound by the terms of this Agreement by operation of law.</w:t>
      </w:r>
    </w:p>
    <w:p>
      <w:pPr>
        <w:spacing w:after="0" w:line="163" w:lineRule="exact"/>
        <w:rPr>
          <w:rFonts w:ascii="Times New Roman" w:cs="Times New Roman" w:eastAsia="Times New Roman" w:hAnsi="Times New Roman"/>
          <w:sz w:val="18"/>
          <w:szCs w:val="18"/>
          <w:color w:val="010000"/>
        </w:rPr>
      </w:pPr>
    </w:p>
    <w:p>
      <w:pPr>
        <w:ind w:right="240" w:firstLine="1198"/>
        <w:spacing w:after="0" w:line="283" w:lineRule="auto"/>
        <w:tabs>
          <w:tab w:leader="none" w:pos="1786" w:val="left"/>
        </w:tabs>
        <w:numPr>
          <w:ilvl w:val="1"/>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Executive’s Successors</w:t>
      </w:r>
      <w:r>
        <w:rPr>
          <w:rFonts w:ascii="Times New Roman" w:cs="Times New Roman" w:eastAsia="Times New Roman" w:hAnsi="Times New Roman"/>
          <w:sz w:val="18"/>
          <w:szCs w:val="18"/>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36" w:lineRule="exact"/>
        <w:rPr>
          <w:rFonts w:ascii="Times New Roman" w:cs="Times New Roman" w:eastAsia="Times New Roman" w:hAnsi="Times New Roman"/>
          <w:sz w:val="18"/>
          <w:szCs w:val="18"/>
          <w:color w:val="010000"/>
        </w:rPr>
      </w:pPr>
    </w:p>
    <w:p>
      <w:pPr>
        <w:ind w:left="1200" w:hanging="601"/>
        <w:spacing w:after="0"/>
        <w:tabs>
          <w:tab w:leader="none" w:pos="1200" w:val="left"/>
        </w:tabs>
        <w:numPr>
          <w:ilvl w:val="0"/>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w:t>
      </w:r>
    </w:p>
    <w:p>
      <w:pPr>
        <w:spacing w:after="0" w:line="204" w:lineRule="exact"/>
        <w:rPr>
          <w:rFonts w:ascii="Times New Roman" w:cs="Times New Roman" w:eastAsia="Times New Roman" w:hAnsi="Times New Roman"/>
          <w:sz w:val="18"/>
          <w:szCs w:val="18"/>
          <w:color w:val="010000"/>
        </w:rPr>
      </w:pPr>
    </w:p>
    <w:p>
      <w:pPr>
        <w:ind w:right="80" w:firstLine="1198"/>
        <w:spacing w:after="0" w:line="252" w:lineRule="auto"/>
        <w:tabs>
          <w:tab w:leader="none" w:pos="178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Notices and all other communications contemplated by this Agreement will be in writing and will be deemed to have been duly given when sent electronically or personally delivered when mailed by U.S. registered or certified mail, return receipt requested and postage prepaid or when delivered by a private courier service such as UPS, DHL or Federal Express that has tracking capability. In the case of Executive, notices will be sent to the e-mail address or addressed to Executive at the home address, in either case which Executive most recently communicated to the Company in writing. In the case of the Company, electronic notices will be sent to the e-mail address of the Chief Executive Officer and the General Counsel and mailed notices will be addressed to its corporate headquarters, and all notices will be directed to the attention of its Chief Executive Officer and General Counsel.</w:t>
      </w:r>
    </w:p>
    <w:p>
      <w:pPr>
        <w:spacing w:after="0" w:line="164" w:lineRule="exact"/>
        <w:rPr>
          <w:rFonts w:ascii="Times New Roman" w:cs="Times New Roman" w:eastAsia="Times New Roman" w:hAnsi="Times New Roman"/>
          <w:sz w:val="18"/>
          <w:szCs w:val="18"/>
          <w:color w:val="auto"/>
        </w:rPr>
      </w:pPr>
    </w:p>
    <w:p>
      <w:pPr>
        <w:ind w:right="80" w:firstLine="1198"/>
        <w:spacing w:after="0" w:line="256" w:lineRule="auto"/>
        <w:tabs>
          <w:tab w:leader="none" w:pos="1786" w:val="left"/>
        </w:tabs>
        <w:numPr>
          <w:ilvl w:val="1"/>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Any termination by the Company for Cause or by Executive for Good Reason will be communicated by a notice of termination to the other party hereto given in accordance with Section 8(a)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ninety (90) days after the giving of such notice).</w:t>
      </w:r>
    </w:p>
    <w:p>
      <w:pPr>
        <w:spacing w:after="0" w:line="377" w:lineRule="exact"/>
        <w:rPr>
          <w:rFonts w:ascii="Times New Roman" w:cs="Times New Roman" w:eastAsia="Times New Roman" w:hAnsi="Times New Roman"/>
          <w:sz w:val="18"/>
          <w:szCs w:val="18"/>
          <w:color w:val="010000"/>
        </w:rPr>
      </w:pPr>
    </w:p>
    <w:p>
      <w:pPr>
        <w:ind w:right="420" w:firstLine="599"/>
        <w:spacing w:after="0" w:line="264" w:lineRule="auto"/>
        <w:tabs>
          <w:tab w:leader="none" w:pos="1198" w:val="left"/>
        </w:tabs>
        <w:numPr>
          <w:ilvl w:val="0"/>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Upon the termination of Executive’s employment for any reason, Executive will be deemed to have resigned from all officer and/or director positions held at the Company and its affiliates voluntarily, without any further required action by Executive, as of the end of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317" w:right="3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color w:val="auto"/>
        </w:rPr>
        <w:t>employment and Executive, at the Board’s request, will execute any documents reasonably necessary to reflect Executive’s resignation.</w:t>
      </w:r>
    </w:p>
    <w:p>
      <w:pPr>
        <w:spacing w:after="0" w:line="205" w:lineRule="exact"/>
        <w:rPr>
          <w:sz w:val="20"/>
          <w:szCs w:val="20"/>
          <w:color w:val="auto"/>
        </w:rPr>
      </w:pPr>
    </w:p>
    <w:p>
      <w:pPr>
        <w:ind w:left="1180" w:hanging="581"/>
        <w:spacing w:after="0"/>
        <w:tabs>
          <w:tab w:leader="none" w:pos="1180" w:val="left"/>
        </w:tabs>
        <w:numPr>
          <w:ilvl w:val="0"/>
          <w:numId w:val="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w:t>
      </w:r>
    </w:p>
    <w:p>
      <w:pPr>
        <w:spacing w:after="0" w:line="204" w:lineRule="exact"/>
        <w:rPr>
          <w:rFonts w:ascii="Times New Roman" w:cs="Times New Roman" w:eastAsia="Times New Roman" w:hAnsi="Times New Roman"/>
          <w:sz w:val="18"/>
          <w:szCs w:val="18"/>
          <w:color w:val="010000"/>
        </w:rPr>
      </w:pPr>
    </w:p>
    <w:p>
      <w:pPr>
        <w:ind w:right="40" w:firstLine="1198"/>
        <w:spacing w:after="0" w:line="252" w:lineRule="auto"/>
        <w:tabs>
          <w:tab w:leader="none" w:pos="1789" w:val="left"/>
        </w:tabs>
        <w:numPr>
          <w:ilvl w:val="1"/>
          <w:numId w:val="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In consideration of Executive’s employment with the Company, its promise to arbitrate all employment-related disputes, and Executive’s receipt of the compensation, pay raises and other benefits paid to Executive by the Company, at present and in the future, Executive agrees that any and all controversies, claims, or disputes with anyone (including the Company and any employee, officer, director, stockholder or benefit plan of the Company in their capacity as such or otherwise) arising out of, relating to, or resulting from Executive’s employment with the Company or termination thereof, including any breach of this Agreement, will be subject to binding arbitration under the Arbitration Rules set forth in California Code of Civil Procedure Section 1280 through 1294.2, including Section 1281.8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 and pursuant to California law . The Federal Arbitration Act will also apply with full force and effect, notwithstanding the application of procedural rules set forth under the Act.</w:t>
      </w:r>
    </w:p>
    <w:p>
      <w:pPr>
        <w:spacing w:after="0" w:line="164" w:lineRule="exact"/>
        <w:rPr>
          <w:rFonts w:ascii="Times New Roman" w:cs="Times New Roman" w:eastAsia="Times New Roman" w:hAnsi="Times New Roman"/>
          <w:sz w:val="18"/>
          <w:szCs w:val="18"/>
          <w:color w:val="010000"/>
        </w:rPr>
      </w:pPr>
    </w:p>
    <w:p>
      <w:pPr>
        <w:ind w:left="20" w:right="40" w:firstLine="1191"/>
        <w:spacing w:after="0" w:line="253" w:lineRule="auto"/>
        <w:tabs>
          <w:tab w:leader="none" w:pos="1794" w:val="left"/>
        </w:tabs>
        <w:numPr>
          <w:ilvl w:val="2"/>
          <w:numId w:val="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Disputes that Executive agrees to arbitrate, and thereby agrees to waive any right to a trial by jury, include any statutory claims under local, state, or federal law, including, but not limited to, claims under Title VII of the Civil Rights Act of 1964, the Americans with Disabilities Act of 1990, the Age Discrimination in Employment Act of 1967, the Older Workers Benefit Protection Act, the Sarbanes Oxley Act, the Worker Adjustment and Retraining Notification Act, the California Fair Employment and Housing Act, the Family and Medical Leave Act, the California Family Rights Act, the California Labor Code, claims of harassment, discrimination, and wrongful termination, and any statutory or common law claims. Executive further understands that this Agreement to arbitrate also applies to any disputes that the Company may have with Executive.</w:t>
      </w:r>
    </w:p>
    <w:p>
      <w:pPr>
        <w:spacing w:after="0" w:line="164" w:lineRule="exact"/>
        <w:rPr>
          <w:sz w:val="20"/>
          <w:szCs w:val="20"/>
          <w:color w:val="auto"/>
        </w:rPr>
      </w:pPr>
    </w:p>
    <w:p>
      <w:pPr>
        <w:ind w:left="1780" w:hanging="582"/>
        <w:spacing w:after="0"/>
        <w:tabs>
          <w:tab w:leader="none" w:pos="1780" w:val="left"/>
        </w:tabs>
        <w:numPr>
          <w:ilvl w:val="0"/>
          <w:numId w:val="7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Executive agrees that any arbitration will be administered by the Judicial Arbitration &amp; Mediation Services, Inc.</w:t>
      </w:r>
    </w:p>
    <w:p>
      <w:pPr>
        <w:spacing w:after="0" w:line="2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JAMS</w:t>
      </w:r>
      <w:r>
        <w:rPr>
          <w:rFonts w:ascii="Times New Roman" w:cs="Times New Roman" w:eastAsia="Times New Roman" w:hAnsi="Times New Roman"/>
          <w:sz w:val="18"/>
          <w:szCs w:val="18"/>
          <w:color w:val="auto"/>
        </w:rPr>
        <w:t>”), pursuant to its Employment Arbitration Rules &amp; Procedures (the “</w:t>
      </w:r>
      <w:r>
        <w:rPr>
          <w:rFonts w:ascii="Times New Roman" w:cs="Times New Roman" w:eastAsia="Times New Roman" w:hAnsi="Times New Roman"/>
          <w:sz w:val="18"/>
          <w:szCs w:val="18"/>
          <w:b w:val="1"/>
          <w:bCs w:val="1"/>
          <w:i w:val="1"/>
          <w:iCs w:val="1"/>
          <w:color w:val="auto"/>
        </w:rPr>
        <w:t>JAMS Rules</w:t>
      </w:r>
      <w:r>
        <w:rPr>
          <w:rFonts w:ascii="Times New Roman" w:cs="Times New Roman" w:eastAsia="Times New Roman" w:hAnsi="Times New Roman"/>
          <w:sz w:val="18"/>
          <w:szCs w:val="18"/>
          <w:color w:val="auto"/>
        </w:rPr>
        <w:t>”). The arbitrator will have the power to decide any motions brought by any party to the arbitration, including motions for summary judgment and/or adjudication, motions to dismiss and demurrers, and motions for class certification, prior to any arbitration hearing. The arbitrator will have the power to award any remedies available under applicable law, and the arbitrator will award attorneys’ fees and costs to the prevailing party, except as prohibited by law. The Company will pay for any administrative or hearing fees charged by the administrator or JAMS, and all arbitrator’s fees, except that Executive will pay any filing fees associated with any arbitration that Executive initiates, but only so much of the filing fee as Executive would have instead paid had Executive filed a complaint in a court of law. Executive agrees that the arbitrator will administer and conduct any arbitration in accordance with California law, including the California Code of Civil Procedure and the California Evidence Code, and that the arbitrator will apply substantive and procedural California law to any dispute or claim, without reference to the rules of conflict of law. To the extent that the JAMS Rules conflict with California law, California law will take precedence. The decision of the arbitrator will be in writing. Any arbitration under this Agreement will be conducted in San Mateo County, California.</w:t>
      </w:r>
    </w:p>
    <w:p>
      <w:pPr>
        <w:spacing w:after="0" w:line="172" w:lineRule="exact"/>
        <w:rPr>
          <w:sz w:val="20"/>
          <w:szCs w:val="20"/>
          <w:color w:val="auto"/>
        </w:rPr>
      </w:pPr>
    </w:p>
    <w:p>
      <w:pPr>
        <w:ind w:right="260" w:firstLine="1198"/>
        <w:spacing w:after="0" w:line="258" w:lineRule="auto"/>
        <w:tabs>
          <w:tab w:leader="none" w:pos="1786" w:val="left"/>
        </w:tabs>
        <w:numPr>
          <w:ilvl w:val="0"/>
          <w:numId w:val="7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Remedy</w:t>
      </w:r>
      <w:r>
        <w:rPr>
          <w:rFonts w:ascii="Times New Roman" w:cs="Times New Roman" w:eastAsia="Times New Roman" w:hAnsi="Times New Roman"/>
          <w:sz w:val="18"/>
          <w:szCs w:val="18"/>
          <w:color w:val="auto"/>
        </w:rPr>
        <w:t>. Except as provided by the Act, arbitration will be the sole, exclusive, and final remedy for any dispute between Executive and the Company. Accordingly, except as provided by the Act and this Agreement, neither Executive nor the Company will be permitted to pursue court action regarding claims that are subject to arbitration. Notwithstanding, the arbitrator will not have the authority to disregard or refuse to enforce any lawful Company policy, and the arbitrator will not order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317"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color w:val="auto"/>
        </w:rPr>
        <w:t>require the Company to adopt a policy not otherwise required by law which the Company has not adopted.</w:t>
      </w:r>
    </w:p>
    <w:p>
      <w:pPr>
        <w:spacing w:after="0" w:line="205" w:lineRule="exact"/>
        <w:rPr>
          <w:sz w:val="20"/>
          <w:szCs w:val="20"/>
          <w:color w:val="auto"/>
        </w:rPr>
      </w:pPr>
    </w:p>
    <w:p>
      <w:pPr>
        <w:ind w:right="220" w:firstLine="1198"/>
        <w:spacing w:after="0" w:line="258" w:lineRule="auto"/>
        <w:tabs>
          <w:tab w:leader="none" w:pos="1789" w:val="left"/>
        </w:tabs>
        <w:numPr>
          <w:ilvl w:val="1"/>
          <w:numId w:val="7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Administrative Relief</w:t>
      </w:r>
      <w:r>
        <w:rPr>
          <w:rFonts w:ascii="Times New Roman" w:cs="Times New Roman" w:eastAsia="Times New Roman" w:hAnsi="Times New Roman"/>
          <w:sz w:val="18"/>
          <w:szCs w:val="18"/>
          <w:color w:val="auto"/>
        </w:rPr>
        <w:t>. Executive is not prohibited from pursuing an administrative claim with a local, state, or federal administrative body or government agency that is authorized to enforce or administer laws related to employment, including, but not limited to, the Department of Fair Employment and Housing, the Equal Employment Opportunity Commission, the National Labor Relations Board, or the Workers’ Compensation Board. However, Executive may not pursue court action regarding any such claim, except as permitted by law.</w:t>
      </w:r>
    </w:p>
    <w:p>
      <w:pPr>
        <w:spacing w:after="0" w:line="158" w:lineRule="exact"/>
        <w:rPr>
          <w:rFonts w:ascii="Times New Roman" w:cs="Times New Roman" w:eastAsia="Times New Roman" w:hAnsi="Times New Roman"/>
          <w:sz w:val="18"/>
          <w:szCs w:val="18"/>
          <w:color w:val="010000"/>
        </w:rPr>
      </w:pPr>
    </w:p>
    <w:p>
      <w:pPr>
        <w:ind w:firstLine="1198"/>
        <w:spacing w:after="0" w:line="255" w:lineRule="auto"/>
        <w:tabs>
          <w:tab w:leader="none" w:pos="1793" w:val="left"/>
        </w:tabs>
        <w:numPr>
          <w:ilvl w:val="1"/>
          <w:numId w:val="7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Voluntary Nature of Agreement</w:t>
      </w:r>
      <w:r>
        <w:rPr>
          <w:rFonts w:ascii="Times New Roman" w:cs="Times New Roman" w:eastAsia="Times New Roman" w:hAnsi="Times New Roman"/>
          <w:sz w:val="18"/>
          <w:szCs w:val="18"/>
          <w:color w:val="auto"/>
        </w:rPr>
        <w:t xml:space="preserve">. Executive acknowledges and agrees that Executive is executing this Agreement voluntarily and without any duress or undue influence by the Company or anyone else. Executive further acknowledges and agrees that Executive has carefully read this Agreement and that Executive has asked any questions needed for Executive to understand the terms, consequences and binding effect of this Agreement and fully understands it, including that </w:t>
      </w:r>
      <w:r>
        <w:rPr>
          <w:rFonts w:ascii="Times New Roman" w:cs="Times New Roman" w:eastAsia="Times New Roman" w:hAnsi="Times New Roman"/>
          <w:sz w:val="18"/>
          <w:szCs w:val="18"/>
          <w:b w:val="1"/>
          <w:bCs w:val="1"/>
          <w:i w:val="1"/>
          <w:iCs w:val="1"/>
          <w:color w:val="auto"/>
        </w:rPr>
        <w:t>EXECUTIVE IS WAIVING EXECUTIVE’S RIGHT TO A JURY TRIAL</w:t>
      </w:r>
      <w:r>
        <w:rPr>
          <w:rFonts w:ascii="Times New Roman" w:cs="Times New Roman" w:eastAsia="Times New Roman" w:hAnsi="Times New Roman"/>
          <w:sz w:val="18"/>
          <w:szCs w:val="18"/>
          <w:color w:val="auto"/>
        </w:rPr>
        <w:t>. Finally, Executive agrees that Executive has been provided an opportunity to seek the advice of an attorney of Executive’s choice before signing this Agreement.</w:t>
      </w:r>
    </w:p>
    <w:p>
      <w:pPr>
        <w:spacing w:after="0" w:line="161" w:lineRule="exact"/>
        <w:rPr>
          <w:rFonts w:ascii="Times New Roman" w:cs="Times New Roman" w:eastAsia="Times New Roman" w:hAnsi="Times New Roman"/>
          <w:sz w:val="18"/>
          <w:szCs w:val="18"/>
          <w:color w:val="010000"/>
        </w:rPr>
      </w:pPr>
    </w:p>
    <w:p>
      <w:pPr>
        <w:ind w:left="1180" w:hanging="581"/>
        <w:spacing w:after="0"/>
        <w:tabs>
          <w:tab w:leader="none" w:pos="1180" w:val="left"/>
        </w:tabs>
        <w:numPr>
          <w:ilvl w:val="0"/>
          <w:numId w:val="7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04" w:lineRule="exact"/>
        <w:rPr>
          <w:rFonts w:ascii="Times New Roman" w:cs="Times New Roman" w:eastAsia="Times New Roman" w:hAnsi="Times New Roman"/>
          <w:sz w:val="18"/>
          <w:szCs w:val="18"/>
          <w:color w:val="010000"/>
        </w:rPr>
      </w:pPr>
    </w:p>
    <w:p>
      <w:pPr>
        <w:ind w:firstLine="1198"/>
        <w:spacing w:after="0" w:line="283" w:lineRule="auto"/>
        <w:tabs>
          <w:tab w:leader="none" w:pos="1789" w:val="left"/>
        </w:tabs>
        <w:numPr>
          <w:ilvl w:val="1"/>
          <w:numId w:val="7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 Duty to Mitigate</w:t>
      </w:r>
      <w:r>
        <w:rPr>
          <w:rFonts w:ascii="Times New Roman" w:cs="Times New Roman" w:eastAsia="Times New Roman" w:hAnsi="Times New Roman"/>
          <w:sz w:val="18"/>
          <w:szCs w:val="18"/>
          <w:color w:val="auto"/>
        </w:rPr>
        <w:t>. Executive will not be required to mitigate the amount of any payment contemplated by this Agreement, nor will any such payment be reduced by any earnings that Executive may receive from any other source.</w:t>
      </w:r>
    </w:p>
    <w:p>
      <w:pPr>
        <w:spacing w:after="0" w:line="136" w:lineRule="exact"/>
        <w:rPr>
          <w:rFonts w:ascii="Times New Roman" w:cs="Times New Roman" w:eastAsia="Times New Roman" w:hAnsi="Times New Roman"/>
          <w:sz w:val="18"/>
          <w:szCs w:val="18"/>
          <w:color w:val="010000"/>
        </w:rPr>
      </w:pPr>
    </w:p>
    <w:p>
      <w:pPr>
        <w:ind w:right="140" w:firstLine="1198"/>
        <w:spacing w:after="0" w:line="258" w:lineRule="auto"/>
        <w:tabs>
          <w:tab w:leader="none" w:pos="1786" w:val="left"/>
        </w:tabs>
        <w:numPr>
          <w:ilvl w:val="1"/>
          <w:numId w:val="7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58" w:lineRule="exact"/>
        <w:rPr>
          <w:rFonts w:ascii="Times New Roman" w:cs="Times New Roman" w:eastAsia="Times New Roman" w:hAnsi="Times New Roman"/>
          <w:sz w:val="18"/>
          <w:szCs w:val="18"/>
          <w:color w:val="010000"/>
        </w:rPr>
      </w:pPr>
    </w:p>
    <w:p>
      <w:pPr>
        <w:ind w:left="1780" w:hanging="582"/>
        <w:spacing w:after="0"/>
        <w:tabs>
          <w:tab w:leader="none" w:pos="1780" w:val="left"/>
        </w:tabs>
        <w:numPr>
          <w:ilvl w:val="1"/>
          <w:numId w:val="7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All captions and section headings used in this Agreement are for convenient reference only and do not form a part of</w:t>
      </w:r>
    </w:p>
    <w:p>
      <w:pPr>
        <w:spacing w:after="0" w:line="25"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Agreement.</w:t>
      </w:r>
    </w:p>
    <w:p>
      <w:pPr>
        <w:spacing w:after="0" w:line="184" w:lineRule="exact"/>
        <w:rPr>
          <w:rFonts w:ascii="Times New Roman" w:cs="Times New Roman" w:eastAsia="Times New Roman" w:hAnsi="Times New Roman"/>
          <w:sz w:val="18"/>
          <w:szCs w:val="18"/>
          <w:color w:val="010000"/>
        </w:rPr>
      </w:pPr>
    </w:p>
    <w:p>
      <w:pPr>
        <w:jc w:val="both"/>
        <w:ind w:right="20" w:firstLine="1198"/>
        <w:spacing w:after="0" w:line="258" w:lineRule="auto"/>
        <w:tabs>
          <w:tab w:leader="none" w:pos="1786" w:val="left"/>
        </w:tabs>
        <w:numPr>
          <w:ilvl w:val="1"/>
          <w:numId w:val="7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of the parties hereto and supersedes in their entirety all prior representations, understandings, undertakings or agreements (whether oral or written and whether expressed or implied) of the parties with respect to the subject matter hereof. No waiver, alteration, or modification of any of the provisions of this Agreement will be binding unless in writing and signed by duly authorized representatives of the parties hereto and which specifically mention this Agreement.</w:t>
      </w:r>
    </w:p>
    <w:p>
      <w:pPr>
        <w:spacing w:after="0" w:line="158" w:lineRule="exact"/>
        <w:rPr>
          <w:rFonts w:ascii="Times New Roman" w:cs="Times New Roman" w:eastAsia="Times New Roman" w:hAnsi="Times New Roman"/>
          <w:sz w:val="18"/>
          <w:szCs w:val="18"/>
          <w:color w:val="010000"/>
        </w:rPr>
      </w:pPr>
    </w:p>
    <w:p>
      <w:pPr>
        <w:ind w:right="40" w:firstLine="1198"/>
        <w:spacing w:after="0" w:line="255" w:lineRule="auto"/>
        <w:tabs>
          <w:tab w:leader="none" w:pos="1789" w:val="left"/>
        </w:tabs>
        <w:numPr>
          <w:ilvl w:val="1"/>
          <w:numId w:val="7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The validity, interpretation, construction and performance of this Agreement will be governed by the laws of the State of California (with the exception of its conflict of laws provisions). Any claims or legal actions by one party against the other arising out of the relationship between the parties contemplated herein (whether or not arising under this Agreement) will be commenced or maintained in any state or federal court located in the jurisdiction where Executive -resides, and Executive and the Company hereby submit to the jurisdiction and venue of any such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1317" w:right="359" w:bottom="1440" w:gutter="0" w:footer="0" w:header="0"/>
        </w:sectPr>
      </w:pPr>
    </w:p>
    <w:bookmarkStart w:id="145" w:name="page146"/>
    <w:bookmarkEnd w:id="145"/>
    <w:p>
      <w:pPr>
        <w:ind w:right="60" w:firstLine="1198"/>
        <w:spacing w:after="0" w:line="283" w:lineRule="auto"/>
        <w:tabs>
          <w:tab w:leader="none" w:pos="1793" w:val="left"/>
        </w:tabs>
        <w:numPr>
          <w:ilvl w:val="0"/>
          <w:numId w:val="7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or provisions of this Agreement will not affect the validity or enforceability of any other provision hereof, which will remain in full force and effect.</w:t>
      </w:r>
    </w:p>
    <w:p>
      <w:pPr>
        <w:spacing w:after="0" w:line="136" w:lineRule="exact"/>
        <w:rPr>
          <w:rFonts w:ascii="Times New Roman" w:cs="Times New Roman" w:eastAsia="Times New Roman" w:hAnsi="Times New Roman"/>
          <w:sz w:val="18"/>
          <w:szCs w:val="18"/>
          <w:color w:val="010000"/>
        </w:rPr>
      </w:pPr>
    </w:p>
    <w:p>
      <w:pPr>
        <w:ind w:left="1780" w:hanging="582"/>
        <w:spacing w:after="0"/>
        <w:tabs>
          <w:tab w:leader="none" w:pos="1780" w:val="left"/>
        </w:tabs>
        <w:numPr>
          <w:ilvl w:val="0"/>
          <w:numId w:val="7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All payments made pursuant to this Agreement will be subject to withholding of applicable income, employment</w:t>
      </w:r>
    </w:p>
    <w:p>
      <w:pPr>
        <w:spacing w:after="0" w:line="25"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and other taxes.</w:t>
      </w:r>
    </w:p>
    <w:p>
      <w:pPr>
        <w:spacing w:after="0" w:line="184" w:lineRule="exact"/>
        <w:rPr>
          <w:rFonts w:ascii="Times New Roman" w:cs="Times New Roman" w:eastAsia="Times New Roman" w:hAnsi="Times New Roman"/>
          <w:sz w:val="18"/>
          <w:szCs w:val="18"/>
          <w:color w:val="010000"/>
        </w:rPr>
      </w:pPr>
    </w:p>
    <w:p>
      <w:pPr>
        <w:ind w:right="280" w:firstLine="1198"/>
        <w:spacing w:after="0" w:line="283" w:lineRule="auto"/>
        <w:tabs>
          <w:tab w:leader="none" w:pos="1786" w:val="left"/>
        </w:tabs>
        <w:numPr>
          <w:ilvl w:val="0"/>
          <w:numId w:val="7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will be deemed an original, but all of which together will constitute one and the same instrument.</w:t>
      </w:r>
    </w:p>
    <w:p>
      <w:pPr>
        <w:spacing w:after="0" w:line="200" w:lineRule="exact"/>
        <w:rPr>
          <w:sz w:val="20"/>
          <w:szCs w:val="20"/>
          <w:color w:val="auto"/>
        </w:rPr>
      </w:pPr>
    </w:p>
    <w:p>
      <w:pPr>
        <w:spacing w:after="0" w:line="3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60"/>
          </w:cols>
          <w:pgMar w:left="320" w:top="1317" w:right="519" w:bottom="1440" w:gutter="0" w:footer="0" w:header="0"/>
        </w:sectPr>
      </w:pPr>
    </w:p>
    <w:bookmarkStart w:id="146" w:name="page147"/>
    <w:bookmarkEnd w:id="146"/>
    <w:p>
      <w:pPr>
        <w:ind w:right="160" w:firstLine="599"/>
        <w:spacing w:after="0" w:line="283" w:lineRule="auto"/>
        <w:rPr>
          <w:sz w:val="20"/>
          <w:szCs w:val="20"/>
          <w:color w:val="auto"/>
        </w:rPr>
      </w:pPr>
      <w:r>
        <w:rPr>
          <w:rFonts w:ascii="Times New Roman" w:cs="Times New Roman" w:eastAsia="Times New Roman" w:hAnsi="Times New Roman"/>
          <w:sz w:val="18"/>
          <w:szCs w:val="18"/>
          <w:color w:val="auto"/>
        </w:rPr>
        <w:t>IN WITNESS WHEREOF, each of the parties has executed this Agreement, in the case of the Company by its duly authorized officer, as of the day and year set forth below.</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266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VERACYTE, INC.</w:t>
            </w:r>
          </w:p>
        </w:tc>
      </w:tr>
      <w:tr>
        <w:trPr>
          <w:trHeight w:val="473"/>
        </w:trPr>
        <w:tc>
          <w:tcPr>
            <w:tcW w:w="2520" w:type="dxa"/>
            <w:vAlign w:val="bottom"/>
          </w:tcPr>
          <w:p>
            <w:pPr>
              <w:spacing w:after="0"/>
              <w:rPr>
                <w:sz w:val="24"/>
                <w:szCs w:val="24"/>
                <w:color w:val="auto"/>
              </w:rPr>
            </w:pPr>
          </w:p>
        </w:tc>
        <w:tc>
          <w:tcPr>
            <w:tcW w:w="2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By:</w:t>
            </w:r>
          </w:p>
        </w:tc>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Bonnie Anderson</w:t>
            </w:r>
          </w:p>
        </w:tc>
      </w:tr>
      <w:tr>
        <w:trPr>
          <w:trHeight w:val="255"/>
        </w:trPr>
        <w:tc>
          <w:tcPr>
            <w:tcW w:w="2520" w:type="dxa"/>
            <w:vAlign w:val="bottom"/>
          </w:tcPr>
          <w:p>
            <w:pPr>
              <w:spacing w:after="0"/>
              <w:rPr>
                <w:sz w:val="22"/>
                <w:szCs w:val="22"/>
                <w:color w:val="auto"/>
              </w:rPr>
            </w:pPr>
          </w:p>
        </w:tc>
        <w:tc>
          <w:tcPr>
            <w:tcW w:w="2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Title:</w:t>
            </w:r>
          </w:p>
        </w:tc>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55"/>
        </w:trPr>
        <w:tc>
          <w:tcPr>
            <w:tcW w:w="2520" w:type="dxa"/>
            <w:vAlign w:val="bottom"/>
          </w:tcPr>
          <w:p>
            <w:pPr>
              <w:spacing w:after="0"/>
              <w:rPr>
                <w:sz w:val="22"/>
                <w:szCs w:val="22"/>
                <w:color w:val="auto"/>
              </w:rPr>
            </w:pPr>
          </w:p>
        </w:tc>
        <w:tc>
          <w:tcPr>
            <w:tcW w:w="2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Date:</w:t>
            </w:r>
          </w:p>
        </w:tc>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6/24/2020</w:t>
            </w:r>
          </w:p>
        </w:tc>
      </w:tr>
      <w:tr>
        <w:trPr>
          <w:trHeight w:val="492"/>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EXECUTIVE</w:t>
            </w:r>
          </w:p>
        </w:tc>
        <w:tc>
          <w:tcPr>
            <w:tcW w:w="2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By:</w:t>
            </w:r>
          </w:p>
        </w:tc>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Erlinger III</w:t>
            </w:r>
          </w:p>
        </w:tc>
      </w:tr>
      <w:tr>
        <w:trPr>
          <w:trHeight w:val="255"/>
        </w:trPr>
        <w:tc>
          <w:tcPr>
            <w:tcW w:w="2520" w:type="dxa"/>
            <w:vAlign w:val="bottom"/>
          </w:tcPr>
          <w:p>
            <w:pPr>
              <w:spacing w:after="0"/>
              <w:rPr>
                <w:sz w:val="22"/>
                <w:szCs w:val="22"/>
                <w:color w:val="auto"/>
              </w:rPr>
            </w:pPr>
          </w:p>
        </w:tc>
        <w:tc>
          <w:tcPr>
            <w:tcW w:w="2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Title:</w:t>
            </w:r>
          </w:p>
        </w:tc>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EVP, General Counsel</w:t>
            </w:r>
          </w:p>
        </w:tc>
      </w:tr>
      <w:tr>
        <w:trPr>
          <w:trHeight w:val="255"/>
        </w:trPr>
        <w:tc>
          <w:tcPr>
            <w:tcW w:w="2520" w:type="dxa"/>
            <w:vAlign w:val="bottom"/>
          </w:tcPr>
          <w:p>
            <w:pPr>
              <w:spacing w:after="0"/>
              <w:rPr>
                <w:sz w:val="22"/>
                <w:szCs w:val="22"/>
                <w:color w:val="auto"/>
              </w:rPr>
            </w:pPr>
          </w:p>
        </w:tc>
        <w:tc>
          <w:tcPr>
            <w:tcW w:w="2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Date:</w:t>
            </w:r>
          </w:p>
        </w:tc>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6/24/2020</w:t>
            </w:r>
          </w:p>
        </w:tc>
      </w:tr>
    </w:tbl>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F1D23"/>
        </w:rPr>
        <w:t>[</w:t>
      </w:r>
      <w:r>
        <w:rPr>
          <w:rFonts w:ascii="Times New Roman" w:cs="Times New Roman" w:eastAsia="Times New Roman" w:hAnsi="Times New Roman"/>
          <w:sz w:val="18"/>
          <w:szCs w:val="18"/>
          <w:b w:val="1"/>
          <w:bCs w:val="1"/>
          <w:i w:val="1"/>
          <w:iCs w:val="1"/>
          <w:color w:val="1F1D23"/>
        </w:rPr>
        <w:t>signature page of the Change of Control and Severance Agreement]</w:t>
      </w:r>
    </w:p>
    <w:p>
      <w:pPr>
        <w:sectPr>
          <w:pgSz w:w="11900" w:h="16838" w:orient="portrait"/>
          <w:cols w:equalWidth="0" w:num="1">
            <w:col w:w="11240"/>
          </w:cols>
          <w:pgMar w:left="320" w:top="1317" w:right="339" w:bottom="1440" w:gutter="0" w:footer="0" w:header="0"/>
        </w:sectPr>
      </w:pPr>
    </w:p>
    <w:bookmarkStart w:id="147" w:name="page148"/>
    <w:bookmarkEnd w:id="147"/>
    <w:p>
      <w:pPr>
        <w:spacing w:after="0" w:line="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OF RELEASE OF CLAIMS</w:t>
      </w:r>
    </w:p>
    <w:p>
      <w:pPr>
        <w:spacing w:after="0" w:line="205" w:lineRule="exact"/>
        <w:rPr>
          <w:sz w:val="20"/>
          <w:szCs w:val="20"/>
          <w:color w:val="auto"/>
        </w:rPr>
      </w:pPr>
    </w:p>
    <w:p>
      <w:pPr>
        <w:ind w:right="20" w:firstLine="599"/>
        <w:spacing w:after="0" w:line="287" w:lineRule="auto"/>
        <w:rPr>
          <w:sz w:val="20"/>
          <w:szCs w:val="20"/>
          <w:color w:val="auto"/>
        </w:rPr>
      </w:pPr>
      <w:r>
        <w:rPr>
          <w:rFonts w:ascii="Times New Roman" w:cs="Times New Roman" w:eastAsia="Times New Roman" w:hAnsi="Times New Roman"/>
          <w:sz w:val="18"/>
          <w:szCs w:val="18"/>
          <w:color w:val="auto"/>
        </w:rPr>
        <w:t>This release of claims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by and between Veracyte,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Name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The Company and Executive are sometimes collectively referred to herein as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and individually referred to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05" w:lineRule="exact"/>
        <w:rPr>
          <w:sz w:val="20"/>
          <w:szCs w:val="20"/>
          <w:color w:val="auto"/>
        </w:rPr>
      </w:pPr>
    </w:p>
    <w:p>
      <w:pPr>
        <w:ind w:right="940" w:firstLine="599"/>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Executive signed a [Confidential Information and Invention Assignment Agreement] with the Company on Date (the “</w:t>
      </w:r>
      <w:r>
        <w:rPr>
          <w:rFonts w:ascii="Times New Roman" w:cs="Times New Roman" w:eastAsia="Times New Roman" w:hAnsi="Times New Roman"/>
          <w:sz w:val="18"/>
          <w:szCs w:val="18"/>
          <w:b w:val="1"/>
          <w:bCs w:val="1"/>
          <w:i w:val="1"/>
          <w:iCs w:val="1"/>
          <w:color w:val="auto"/>
        </w:rPr>
        <w:t>Confidentiality Agreement</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Executive signed a Change of Control and Severance Agreement with the company on ________________ (the “</w:t>
      </w:r>
      <w:r>
        <w:rPr>
          <w:rFonts w:ascii="Times New Roman" w:cs="Times New Roman" w:eastAsia="Times New Roman" w:hAnsi="Times New Roman"/>
          <w:sz w:val="18"/>
          <w:szCs w:val="18"/>
          <w:b w:val="1"/>
          <w:bCs w:val="1"/>
          <w:i w:val="1"/>
          <w:iCs w:val="1"/>
          <w:color w:val="auto"/>
        </w:rPr>
        <w:t>Severance</w:t>
      </w:r>
    </w:p>
    <w:p>
      <w:pPr>
        <w:spacing w:after="0" w:line="29" w:lineRule="exact"/>
        <w:rPr>
          <w:sz w:val="20"/>
          <w:szCs w:val="20"/>
          <w:color w:val="auto"/>
        </w:rPr>
      </w:pPr>
    </w:p>
    <w:p>
      <w:pPr>
        <w:ind w:right="5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which, among other things, provides for certain severance benefits to be paid to Executive by the Company upon the termination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Executive’s employment;</w:t>
      </w:r>
    </w:p>
    <w:p>
      <w:pPr>
        <w:spacing w:after="0" w:line="15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Executive was employed by the Company until __________________, when Executive’s employment was terminated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firstLine="599"/>
        <w:spacing w:after="0" w:line="26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accordance with Section 4 of the Severance Agreement between the Company and Executive, Executive has agreed to enter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not revoke a standard release of claims in favor of the Company as a condition to receiving the severance benefits described in the Severance Agreement; and</w:t>
      </w:r>
    </w:p>
    <w:p>
      <w:pPr>
        <w:spacing w:after="0" w:line="146" w:lineRule="exact"/>
        <w:rPr>
          <w:sz w:val="20"/>
          <w:szCs w:val="20"/>
          <w:color w:val="auto"/>
        </w:rPr>
      </w:pPr>
    </w:p>
    <w:p>
      <w:pPr>
        <w:ind w:right="80" w:firstLine="599"/>
        <w:spacing w:after="0" w:line="26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wish to resolve any and all disputes, claims, complaints, grievances, charges, actions, petitions and demands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may have against the Company and any of the Releasees (as defined below), including, but not limited to, any and all claims arising out of or in any way related to Executive’s employment relationship with the Company and the termination of that relationship.</w:t>
      </w:r>
    </w:p>
    <w:p>
      <w:pPr>
        <w:spacing w:after="0" w:line="14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including the mutual promises and covenants made herein, the Company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hereby agree as follows: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9" w:lineRule="exact"/>
        <w:rPr>
          <w:sz w:val="20"/>
          <w:szCs w:val="20"/>
          <w:color w:val="auto"/>
        </w:rPr>
      </w:pPr>
    </w:p>
    <w:p>
      <w:pPr>
        <w:ind w:left="1200" w:hanging="601"/>
        <w:spacing w:after="0"/>
        <w:tabs>
          <w:tab w:leader="none" w:pos="1200" w:val="left"/>
        </w:tabs>
        <w:numPr>
          <w:ilvl w:val="0"/>
          <w:numId w:val="8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Executive’s employment with the Company terminated on the Termination Date.</w:t>
      </w:r>
    </w:p>
    <w:p>
      <w:pPr>
        <w:spacing w:after="0" w:line="204" w:lineRule="exact"/>
        <w:rPr>
          <w:rFonts w:ascii="Times New Roman" w:cs="Times New Roman" w:eastAsia="Times New Roman" w:hAnsi="Times New Roman"/>
          <w:sz w:val="18"/>
          <w:szCs w:val="18"/>
          <w:color w:val="010000"/>
        </w:rPr>
      </w:pPr>
    </w:p>
    <w:p>
      <w:pPr>
        <w:ind w:right="200" w:firstLine="599"/>
        <w:spacing w:after="0" w:line="255" w:lineRule="auto"/>
        <w:tabs>
          <w:tab w:leader="none" w:pos="1198" w:val="left"/>
        </w:tabs>
        <w:numPr>
          <w:ilvl w:val="0"/>
          <w:numId w:val="8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Payment of Salary and Receipt of All Benefits</w:t>
      </w:r>
      <w:r>
        <w:rPr>
          <w:rFonts w:ascii="Times New Roman" w:cs="Times New Roman" w:eastAsia="Times New Roman" w:hAnsi="Times New Roman"/>
          <w:sz w:val="18"/>
          <w:szCs w:val="18"/>
          <w:color w:val="auto"/>
        </w:rPr>
        <w:t>. Executive acknowledges and represents that, other than the consideration to be paid in accordance with the terms and conditions of the Severance Agreement, the Company has paid or provided all salary, wages, bonuses, accrued vacation/paid time off, premiums, leaves, housing allowances, relocation costs, interest, severance, outplacement costs, fees, reimbursable expenses, commissions, draws, stock, stock options or other equity awards (including restricted stock unit awards), vesting, and any and all other benefits and compensation due to Executive and that no other reimbursements or compensation are owed to Executive.</w:t>
      </w:r>
    </w:p>
    <w:p>
      <w:pPr>
        <w:spacing w:after="0" w:line="161" w:lineRule="exact"/>
        <w:rPr>
          <w:rFonts w:ascii="Times New Roman" w:cs="Times New Roman" w:eastAsia="Times New Roman" w:hAnsi="Times New Roman"/>
          <w:sz w:val="18"/>
          <w:szCs w:val="18"/>
          <w:color w:val="010000"/>
        </w:rPr>
      </w:pPr>
    </w:p>
    <w:p>
      <w:pPr>
        <w:ind w:right="420" w:firstLine="599"/>
        <w:spacing w:after="0" w:line="283" w:lineRule="auto"/>
        <w:tabs>
          <w:tab w:leader="none" w:pos="1198" w:val="left"/>
        </w:tabs>
        <w:numPr>
          <w:ilvl w:val="0"/>
          <w:numId w:val="8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Executive agrees that the consideration to be paid in accordance with the terms and conditions of the Severance Agreement represents settlement in full of all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1F1D23"/>
        </w:rPr>
        <w:t>A-1</w:t>
      </w:r>
    </w:p>
    <w:p>
      <w:pPr>
        <w:sectPr>
          <w:pgSz w:w="11900" w:h="16838" w:orient="portrait"/>
          <w:cols w:equalWidth="0" w:num="1">
            <w:col w:w="11200"/>
          </w:cols>
          <w:pgMar w:left="320" w:top="1440" w:right="379" w:bottom="1440" w:gutter="0" w:footer="0" w:header="0"/>
        </w:sectPr>
      </w:pPr>
    </w:p>
    <w:bookmarkStart w:id="148" w:name="page149"/>
    <w:bookmarkEnd w:id="148"/>
    <w:p>
      <w:pPr>
        <w:spacing w:after="0" w:line="252" w:lineRule="auto"/>
        <w:rPr>
          <w:sz w:val="20"/>
          <w:szCs w:val="20"/>
          <w:color w:val="auto"/>
        </w:rPr>
      </w:pPr>
      <w:r>
        <w:rPr>
          <w:rFonts w:ascii="Times New Roman" w:cs="Times New Roman" w:eastAsia="Times New Roman" w:hAnsi="Times New Roman"/>
          <w:sz w:val="18"/>
          <w:szCs w:val="18"/>
          <w:color w:val="auto"/>
        </w:rPr>
        <w:t>obligations owed to Executive by the Company and its current and former officers, directors, employees, agents, investors, attorneys, stockholders, administrators, affiliates, benefit plans, plan administrators, insurers, trustees, divisions, and subsidiaries, and predecessor and successor corporations and assigns (collectively, the “</w:t>
      </w:r>
      <w:r>
        <w:rPr>
          <w:rFonts w:ascii="Times New Roman" w:cs="Times New Roman" w:eastAsia="Times New Roman" w:hAnsi="Times New Roman"/>
          <w:sz w:val="18"/>
          <w:szCs w:val="18"/>
          <w:b w:val="1"/>
          <w:bCs w:val="1"/>
          <w:i w:val="1"/>
          <w:iCs w:val="1"/>
          <w:color w:val="auto"/>
        </w:rPr>
        <w:t>Releasees</w:t>
      </w:r>
      <w:r>
        <w:rPr>
          <w:rFonts w:ascii="Times New Roman" w:cs="Times New Roman" w:eastAsia="Times New Roman" w:hAnsi="Times New Roman"/>
          <w:sz w:val="18"/>
          <w:szCs w:val="18"/>
          <w:color w:val="auto"/>
        </w:rPr>
        <w:t>”). Executive, on Executive’s own behalf and on behalf of Executive’s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Executive may possess against any of the Releasees arising from any omissions, acts, facts, or damages that have occurred up until and including the Effective Date of this Agreement, including, without limitation the following:</w:t>
      </w:r>
    </w:p>
    <w:p>
      <w:pPr>
        <w:spacing w:after="0" w:line="164" w:lineRule="exact"/>
        <w:rPr>
          <w:sz w:val="20"/>
          <w:szCs w:val="20"/>
          <w:color w:val="auto"/>
        </w:rPr>
      </w:pPr>
    </w:p>
    <w:p>
      <w:pPr>
        <w:ind w:left="1780" w:hanging="582"/>
        <w:spacing w:after="0"/>
        <w:tabs>
          <w:tab w:leader="none" w:pos="1780" w:val="left"/>
        </w:tabs>
        <w:numPr>
          <w:ilvl w:val="0"/>
          <w:numId w:val="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and all claims relating to or arising from Executive’s employment relationship with the Company and the termination of that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relationship;</w:t>
      </w:r>
    </w:p>
    <w:p>
      <w:pPr>
        <w:spacing w:after="0" w:line="185" w:lineRule="exact"/>
        <w:rPr>
          <w:sz w:val="20"/>
          <w:szCs w:val="20"/>
          <w:color w:val="auto"/>
        </w:rPr>
      </w:pPr>
    </w:p>
    <w:p>
      <w:pPr>
        <w:ind w:right="20" w:firstLine="1198"/>
        <w:spacing w:after="0" w:line="264" w:lineRule="auto"/>
        <w:tabs>
          <w:tab w:leader="none" w:pos="1798" w:val="left"/>
        </w:tabs>
        <w:numPr>
          <w:ilvl w:val="0"/>
          <w:numId w:val="8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53" w:lineRule="exact"/>
        <w:rPr>
          <w:rFonts w:ascii="Times New Roman" w:cs="Times New Roman" w:eastAsia="Times New Roman" w:hAnsi="Times New Roman"/>
          <w:sz w:val="18"/>
          <w:szCs w:val="18"/>
          <w:color w:val="010000"/>
        </w:rPr>
      </w:pPr>
    </w:p>
    <w:p>
      <w:pPr>
        <w:ind w:right="100" w:firstLine="1198"/>
        <w:spacing w:after="0" w:line="255" w:lineRule="auto"/>
        <w:tabs>
          <w:tab w:leader="none" w:pos="1787" w:val="left"/>
        </w:tabs>
        <w:numPr>
          <w:ilvl w:val="0"/>
          <w:numId w:val="8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61" w:lineRule="exact"/>
        <w:rPr>
          <w:rFonts w:ascii="Times New Roman" w:cs="Times New Roman" w:eastAsia="Times New Roman" w:hAnsi="Times New Roman"/>
          <w:sz w:val="18"/>
          <w:szCs w:val="18"/>
          <w:color w:val="010000"/>
        </w:rPr>
      </w:pPr>
    </w:p>
    <w:p>
      <w:pPr>
        <w:ind w:right="40" w:firstLine="1198"/>
        <w:spacing w:after="0" w:line="257" w:lineRule="auto"/>
        <w:tabs>
          <w:tab w:leader="none" w:pos="1798" w:val="left"/>
        </w:tabs>
        <w:numPr>
          <w:ilvl w:val="0"/>
          <w:numId w:val="8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of2002; [the California Family Rights Act]; [the California Labor Code]; [the California Workers’ Compensation Act]; and [the California Fair Employment and Housing Act];</w:t>
      </w:r>
      <w:r>
        <w:rPr>
          <w:rFonts w:ascii="Times New Roman" w:cs="Times New Roman" w:eastAsia="Times New Roman" w:hAnsi="Times New Roman"/>
          <w:sz w:val="23"/>
          <w:szCs w:val="23"/>
          <w:color w:val="auto"/>
          <w:vertAlign w:val="superscript"/>
        </w:rPr>
        <w:t>1</w:t>
      </w:r>
    </w:p>
    <w:p>
      <w:pPr>
        <w:spacing w:after="0" w:line="81" w:lineRule="exact"/>
        <w:rPr>
          <w:rFonts w:ascii="Times New Roman" w:cs="Times New Roman" w:eastAsia="Times New Roman" w:hAnsi="Times New Roman"/>
          <w:sz w:val="18"/>
          <w:szCs w:val="18"/>
          <w:color w:val="010000"/>
        </w:rPr>
      </w:pPr>
    </w:p>
    <w:p>
      <w:pPr>
        <w:ind w:left="1780" w:hanging="582"/>
        <w:spacing w:after="0"/>
        <w:tabs>
          <w:tab w:leader="none" w:pos="1780" w:val="left"/>
        </w:tabs>
        <w:numPr>
          <w:ilvl w:val="0"/>
          <w:numId w:val="8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and all claims for violation of the federal, or any state, constitution;</w:t>
      </w:r>
    </w:p>
    <w:p>
      <w:pPr>
        <w:spacing w:after="0" w:line="204" w:lineRule="exact"/>
        <w:rPr>
          <w:rFonts w:ascii="Times New Roman" w:cs="Times New Roman" w:eastAsia="Times New Roman" w:hAnsi="Times New Roman"/>
          <w:sz w:val="18"/>
          <w:szCs w:val="18"/>
          <w:color w:val="010000"/>
        </w:rPr>
      </w:pPr>
    </w:p>
    <w:p>
      <w:pPr>
        <w:ind w:left="1800" w:hanging="602"/>
        <w:spacing w:after="0"/>
        <w:tabs>
          <w:tab w:leader="none" w:pos="1800" w:val="left"/>
        </w:tabs>
        <w:numPr>
          <w:ilvl w:val="0"/>
          <w:numId w:val="8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and all claims arising out of any other laws and regulations relating to employment or employment discrimination;</w:t>
      </w:r>
    </w:p>
    <w:p>
      <w:pPr>
        <w:spacing w:after="0" w:line="204" w:lineRule="exact"/>
        <w:rPr>
          <w:rFonts w:ascii="Times New Roman" w:cs="Times New Roman" w:eastAsia="Times New Roman" w:hAnsi="Times New Roman"/>
          <w:sz w:val="18"/>
          <w:szCs w:val="18"/>
          <w:color w:val="010000"/>
        </w:rPr>
      </w:pPr>
    </w:p>
    <w:p>
      <w:pPr>
        <w:ind w:right="220" w:firstLine="1198"/>
        <w:spacing w:after="0" w:line="283" w:lineRule="auto"/>
        <w:tabs>
          <w:tab w:leader="none" w:pos="1798" w:val="left"/>
        </w:tabs>
        <w:numPr>
          <w:ilvl w:val="0"/>
          <w:numId w:val="8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claim for any loss, cost, damage, or expense arising out of any dispute over the non- withholding or other tax treatment of any of the proceeds received by Executive as a result of this Agreement; and</w:t>
      </w:r>
    </w:p>
    <w:p>
      <w:pPr>
        <w:spacing w:after="0" w:line="136" w:lineRule="exact"/>
        <w:rPr>
          <w:rFonts w:ascii="Times New Roman" w:cs="Times New Roman" w:eastAsia="Times New Roman" w:hAnsi="Times New Roman"/>
          <w:sz w:val="18"/>
          <w:szCs w:val="18"/>
          <w:color w:val="010000"/>
        </w:rPr>
      </w:pPr>
    </w:p>
    <w:p>
      <w:pPr>
        <w:ind w:left="1800" w:hanging="602"/>
        <w:spacing w:after="0"/>
        <w:tabs>
          <w:tab w:leader="none" w:pos="1800" w:val="left"/>
        </w:tabs>
        <w:numPr>
          <w:ilvl w:val="0"/>
          <w:numId w:val="8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and all claims for attorneys’ fees and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158559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3">
                      <a:extLst>
                        <a:ext uri="{28A0092B-C50C-407E-A947-70E740481C1C}"/>
                      </a:extLst>
                    </a:blip>
                    <a:srcRect/>
                    <a:stretch>
                      <a:fillRect/>
                    </a:stretch>
                  </pic:blipFill>
                  <pic:spPr bwMode="auto">
                    <a:xfrm>
                      <a:off x="0" y="0"/>
                      <a:ext cx="1585595" cy="7620"/>
                    </a:xfrm>
                    <a:prstGeom prst="rect">
                      <a:avLst/>
                    </a:prstGeom>
                    <a:noFill/>
                  </pic:spPr>
                </pic:pic>
              </a:graphicData>
            </a:graphic>
          </wp:anchor>
        </w:drawing>
      </w:r>
    </w:p>
    <w:p>
      <w:pPr>
        <w:spacing w:after="0" w:line="289" w:lineRule="exact"/>
        <w:rPr>
          <w:sz w:val="20"/>
          <w:szCs w:val="20"/>
          <w:color w:val="auto"/>
        </w:rPr>
      </w:pPr>
    </w:p>
    <w:p>
      <w:pPr>
        <w:ind w:right="640"/>
        <w:spacing w:after="0" w:line="222" w:lineRule="auto"/>
        <w:tabs>
          <w:tab w:leader="none" w:pos="96" w:val="left"/>
        </w:tabs>
        <w:numPr>
          <w:ilvl w:val="0"/>
          <w:numId w:val="8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References to California statutes will only be included in this Agreement if Executive resides in California at the time Executive’s employment relationship is terminated. Otherwise, statutes specific to the state in which Executive resides at the time of termination will be substituted.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240"/>
          </w:cols>
          <w:pgMar w:left="320" w:top="1317" w:right="339" w:bottom="1440" w:gutter="0" w:footer="0" w:header="0"/>
        </w:sectPr>
      </w:pPr>
    </w:p>
    <w:bookmarkStart w:id="149" w:name="page150"/>
    <w:bookmarkEnd w:id="149"/>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Executive agrees that the release set forth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will be and remain in effect in all respects as a complete general release as to the matters released. The Release does not extend to any severance obligations due Executive under the Severance Agreement. The Release does not release claims that cannot be released as a matter of law. Executive represents that Executive has made no assignment or transfer of any right, claim, complaint, charge, duty, obligation, demand, cause of action, or other matter waived or released by this Section 3. Nothing in this Agreement waives Executive’s rights to indemnification or any payments under any fiduciary insurance policy, if any, provided by any act or agreement of the Company, state or federal law or policy of insurance.</w:t>
      </w:r>
    </w:p>
    <w:p>
      <w:pPr>
        <w:spacing w:after="0" w:line="163" w:lineRule="exact"/>
        <w:rPr>
          <w:sz w:val="20"/>
          <w:szCs w:val="20"/>
          <w:color w:val="auto"/>
        </w:rPr>
      </w:pPr>
    </w:p>
    <w:p>
      <w:pPr>
        <w:ind w:right="120" w:firstLine="599"/>
        <w:spacing w:after="0" w:line="252" w:lineRule="auto"/>
        <w:tabs>
          <w:tab w:leader="none" w:pos="9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Protected Rights</w:t>
      </w:r>
      <w:r>
        <w:rPr>
          <w:rFonts w:ascii="Times New Roman" w:cs="Times New Roman" w:eastAsia="Times New Roman" w:hAnsi="Times New Roman"/>
          <w:sz w:val="18"/>
          <w:szCs w:val="18"/>
          <w:color w:val="auto"/>
        </w:rPr>
        <w:t>. Executive understands that nothing in Section 3 above, or otherwise in this Agreement, limits Executive’s ability to file a charge or complaint with the Equal Employment Opportunity Commission, the National Labor Relations Board, the Occupational Safety and Health Administration, the Securities and Exchange Commission or any other federal, state or local government agency or commission (“</w:t>
      </w:r>
      <w:r>
        <w:rPr>
          <w:rFonts w:ascii="Times New Roman" w:cs="Times New Roman" w:eastAsia="Times New Roman" w:hAnsi="Times New Roman"/>
          <w:sz w:val="18"/>
          <w:szCs w:val="18"/>
          <w:b w:val="1"/>
          <w:bCs w:val="1"/>
          <w:i w:val="1"/>
          <w:iCs w:val="1"/>
          <w:color w:val="auto"/>
        </w:rPr>
        <w:t>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Agencies</w:t>
      </w:r>
      <w:r>
        <w:rPr>
          <w:rFonts w:ascii="Times New Roman" w:cs="Times New Roman" w:eastAsia="Times New Roman" w:hAnsi="Times New Roman"/>
          <w:sz w:val="18"/>
          <w:szCs w:val="18"/>
          <w:color w:val="auto"/>
        </w:rPr>
        <w:t>”). Executive further understands that this Agreement does not limit Executive’s ability to communicate with any Government Agencies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otherwise participate in any investigation or proceeding that may be conducted by any Government Agency, including providing documents or other information, without notice to the Company. This Agreement does not limit Executive’s right to receive an award for information provided to any Government Agencies.</w:t>
      </w:r>
    </w:p>
    <w:p>
      <w:pPr>
        <w:spacing w:after="0" w:line="164" w:lineRule="exact"/>
        <w:rPr>
          <w:rFonts w:ascii="Times New Roman" w:cs="Times New Roman" w:eastAsia="Times New Roman" w:hAnsi="Times New Roman"/>
          <w:sz w:val="18"/>
          <w:szCs w:val="18"/>
          <w:color w:val="auto"/>
        </w:rPr>
      </w:pPr>
    </w:p>
    <w:p>
      <w:pPr>
        <w:ind w:firstLine="599"/>
        <w:spacing w:after="0" w:line="249" w:lineRule="auto"/>
        <w:tabs>
          <w:tab w:leader="none" w:pos="9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Acknowledgment of Waiver of Claims under ADEA</w:t>
      </w:r>
      <w:r>
        <w:rPr>
          <w:rFonts w:ascii="Times New Roman" w:cs="Times New Roman" w:eastAsia="Times New Roman" w:hAnsi="Times New Roman"/>
          <w:sz w:val="18"/>
          <w:szCs w:val="18"/>
          <w:color w:val="auto"/>
        </w:rPr>
        <w:t>. Executive acknowledges that Executive is waiving and releasing any rights Executive may have under the Age Discrimination in Employment Act of 1967 (“</w:t>
      </w:r>
      <w:r>
        <w:rPr>
          <w:rFonts w:ascii="Times New Roman" w:cs="Times New Roman" w:eastAsia="Times New Roman" w:hAnsi="Times New Roman"/>
          <w:sz w:val="18"/>
          <w:szCs w:val="18"/>
          <w:b w:val="1"/>
          <w:bCs w:val="1"/>
          <w:i w:val="1"/>
          <w:iCs w:val="1"/>
          <w:color w:val="auto"/>
        </w:rPr>
        <w:t>ADEA</w:t>
      </w:r>
      <w:r>
        <w:rPr>
          <w:rFonts w:ascii="Times New Roman" w:cs="Times New Roman" w:eastAsia="Times New Roman" w:hAnsi="Times New Roman"/>
          <w:sz w:val="18"/>
          <w:szCs w:val="18"/>
          <w:color w:val="auto"/>
        </w:rPr>
        <w:t xml:space="preserve">”) and that this waiver and release is knowing and voluntary. Executive agrees that this waiver and release does not apply to any rights or claims that may arise under the ADEA after the Effective Date of this Agreement. Executive acknowledges that the consideration given for this waiver and release Agreement is in addition to anything of value to which Executive was already entitled. Executive further acknowledges that Executive has been advised by this writing that (a) Executive should consult with an attorney </w:t>
      </w:r>
      <w:r>
        <w:rPr>
          <w:rFonts w:ascii="Times New Roman" w:cs="Times New Roman" w:eastAsia="Times New Roman" w:hAnsi="Times New Roman"/>
          <w:sz w:val="18"/>
          <w:szCs w:val="18"/>
          <w:b w:val="1"/>
          <w:bCs w:val="1"/>
          <w:i w:val="1"/>
          <w:iCs w:val="1"/>
          <w:color w:val="auto"/>
        </w:rPr>
        <w:t>prior</w:t>
      </w:r>
      <w:r>
        <w:rPr>
          <w:rFonts w:ascii="Times New Roman" w:cs="Times New Roman" w:eastAsia="Times New Roman" w:hAnsi="Times New Roman"/>
          <w:sz w:val="18"/>
          <w:szCs w:val="18"/>
          <w:color w:val="auto"/>
        </w:rPr>
        <w:t xml:space="preserve"> to executing this Agreement; (b) Executive has at least 21 days within which to consider this Agreement; (c) Executive has 7 days following the execution of this Agreement by the parties to revoke the Agreement; (d) this Agreement will not be effective until the revocation period has expired; and</w:t>
      </w:r>
    </w:p>
    <w:p>
      <w:pPr>
        <w:spacing w:after="0" w:line="2" w:lineRule="exact"/>
        <w:rPr>
          <w:rFonts w:ascii="Times New Roman" w:cs="Times New Roman" w:eastAsia="Times New Roman" w:hAnsi="Times New Roman"/>
          <w:sz w:val="18"/>
          <w:szCs w:val="18"/>
          <w:color w:val="auto"/>
        </w:rPr>
      </w:pPr>
    </w:p>
    <w:p>
      <w:pPr>
        <w:ind w:right="120"/>
        <w:spacing w:after="0" w:line="252" w:lineRule="auto"/>
        <w:tabs>
          <w:tab w:leader="none" w:pos="24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delivers it to the Company in less than the 21-day period identified above, Executive hereby acknowledges that Executive has freely and voluntarily chosen to waive the time period allotted for considering this Agreement. Executive acknowledges and understands that revocation must be accomplished by a written notification to the Chief Executive Officer of the Company that is received prior to the Effective Date.]</w:t>
      </w:r>
      <w:r>
        <w:rPr>
          <w:rFonts w:ascii="Times New Roman" w:cs="Times New Roman" w:eastAsia="Times New Roman" w:hAnsi="Times New Roman"/>
          <w:sz w:val="23"/>
          <w:szCs w:val="23"/>
          <w:color w:val="auto"/>
          <w:vertAlign w:val="superscript"/>
        </w:rPr>
        <w:t>2</w:t>
      </w:r>
    </w:p>
    <w:p>
      <w:pPr>
        <w:spacing w:after="0" w:line="88" w:lineRule="exact"/>
        <w:rPr>
          <w:rFonts w:ascii="Times New Roman" w:cs="Times New Roman" w:eastAsia="Times New Roman" w:hAnsi="Times New Roman"/>
          <w:sz w:val="18"/>
          <w:szCs w:val="18"/>
          <w:color w:val="auto"/>
        </w:rPr>
      </w:pPr>
    </w:p>
    <w:p>
      <w:pPr>
        <w:ind w:right="100" w:firstLine="599"/>
        <w:spacing w:after="0" w:line="283" w:lineRule="auto"/>
        <w:tabs>
          <w:tab w:leader="none" w:pos="9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California Civil Code Section 1542</w:t>
      </w:r>
      <w:r>
        <w:rPr>
          <w:rFonts w:ascii="Times New Roman" w:cs="Times New Roman" w:eastAsia="Times New Roman" w:hAnsi="Times New Roman"/>
          <w:sz w:val="18"/>
          <w:szCs w:val="18"/>
          <w:color w:val="auto"/>
        </w:rPr>
        <w:t>. Executive acknowledges that Executive has been advised to consult with legal counsel and is familiar with the provisions of California Civil Code Section 1542, a statute that otherwise prohibits the release of unknown claims, which provides as follows:</w:t>
      </w:r>
    </w:p>
    <w:p>
      <w:pPr>
        <w:spacing w:after="0" w:line="136" w:lineRule="exact"/>
        <w:rPr>
          <w:sz w:val="20"/>
          <w:szCs w:val="20"/>
          <w:color w:val="auto"/>
        </w:rPr>
      </w:pPr>
    </w:p>
    <w:p>
      <w:pPr>
        <w:ind w:left="1200" w:right="380"/>
        <w:spacing w:after="0" w:line="283" w:lineRule="auto"/>
        <w:rPr>
          <w:sz w:val="20"/>
          <w:szCs w:val="20"/>
          <w:color w:val="auto"/>
        </w:rPr>
      </w:pPr>
      <w:r>
        <w:rPr>
          <w:rFonts w:ascii="Times New Roman" w:cs="Times New Roman" w:eastAsia="Times New Roman" w:hAnsi="Times New Roman"/>
          <w:sz w:val="18"/>
          <w:szCs w:val="18"/>
          <w:color w:val="auto"/>
        </w:rPr>
        <w:t>A GENERAL RELEASE DOES NOT EXTEND TO CLAIMS WHICH THE CREDITOR DOES NOT KNOW OR SUSPECT TO EXIST IN HIS OR HER FAVOR AT THE TIME OF EXECUTING THE RELEASE, WHICH IF KNOWN BY HIM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158559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4">
                      <a:extLst>
                        <a:ext uri="{28A0092B-C50C-407E-A947-70E740481C1C}"/>
                      </a:extLst>
                    </a:blip>
                    <a:srcRect/>
                    <a:stretch>
                      <a:fillRect/>
                    </a:stretch>
                  </pic:blipFill>
                  <pic:spPr bwMode="auto">
                    <a:xfrm>
                      <a:off x="0" y="0"/>
                      <a:ext cx="1585595" cy="7620"/>
                    </a:xfrm>
                    <a:prstGeom prst="rect">
                      <a:avLst/>
                    </a:prstGeom>
                    <a:noFill/>
                  </pic:spPr>
                </pic:pic>
              </a:graphicData>
            </a:graphic>
          </wp:anchor>
        </w:drawing>
      </w:r>
    </w:p>
    <w:p>
      <w:pPr>
        <w:spacing w:after="0" w:line="184" w:lineRule="exact"/>
        <w:rPr>
          <w:sz w:val="20"/>
          <w:szCs w:val="20"/>
          <w:color w:val="auto"/>
        </w:rPr>
      </w:pPr>
    </w:p>
    <w:p>
      <w:pPr>
        <w:ind w:left="100" w:hanging="100"/>
        <w:spacing w:after="0"/>
        <w:tabs>
          <w:tab w:leader="none" w:pos="100" w:val="left"/>
        </w:tabs>
        <w:numPr>
          <w:ilvl w:val="0"/>
          <w:numId w:val="8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This provision will only be included in this Agreement if Executive is age 40 or older at the time Executive’s employment relationship is terminated.</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365" w:lineRule="exact"/>
        <w:rPr>
          <w:rFonts w:ascii="Times New Roman" w:cs="Times New Roman" w:eastAsia="Times New Roman" w:hAnsi="Times New Roman"/>
          <w:sz w:val="22"/>
          <w:szCs w:val="22"/>
          <w:color w:val="auto"/>
          <w:vertAlign w:val="superscript"/>
        </w:rPr>
      </w:pPr>
    </w:p>
    <w:p>
      <w:pPr>
        <w:ind w:left="548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A-3</w:t>
      </w:r>
    </w:p>
    <w:p>
      <w:pPr>
        <w:sectPr>
          <w:pgSz w:w="11900" w:h="16838" w:orient="portrait"/>
          <w:cols w:equalWidth="0" w:num="1">
            <w:col w:w="11200"/>
          </w:cols>
          <w:pgMar w:left="320" w:top="1313" w:right="379" w:bottom="1440" w:gutter="0" w:footer="0" w:header="0"/>
        </w:sectPr>
      </w:pPr>
    </w:p>
    <w:bookmarkStart w:id="150" w:name="page151"/>
    <w:bookmarkEnd w:id="150"/>
    <w:p>
      <w:pPr>
        <w:ind w:left="1200"/>
        <w:spacing w:after="0"/>
        <w:rPr>
          <w:sz w:val="20"/>
          <w:szCs w:val="20"/>
          <w:color w:val="auto"/>
        </w:rPr>
      </w:pPr>
      <w:r>
        <w:rPr>
          <w:rFonts w:ascii="Times New Roman" w:cs="Times New Roman" w:eastAsia="Times New Roman" w:hAnsi="Times New Roman"/>
          <w:sz w:val="18"/>
          <w:szCs w:val="18"/>
          <w:color w:val="auto"/>
        </w:rPr>
        <w:t>HER MUST HAVE MATERIALLY AFFECTED HIS OR HER SETTLEMENT WITH THE DEBTOR.</w:t>
      </w:r>
    </w:p>
    <w:p>
      <w:pPr>
        <w:spacing w:after="0" w:line="20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8"/>
          <w:szCs w:val="18"/>
          <w:color w:val="auto"/>
        </w:rPr>
        <w:t>Executive, being aware of California Civil Code Section 1542, agrees to expressly waive any rights Executive may have thereunder, as well as under any other statute or common law principles of similar effect.</w:t>
      </w:r>
    </w:p>
    <w:p>
      <w:pPr>
        <w:spacing w:after="0" w:line="1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OR</w:t>
      </w:r>
    </w:p>
    <w:p>
      <w:pPr>
        <w:spacing w:after="0" w:line="20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u w:val="single" w:color="auto"/>
          <w:color w:val="auto"/>
        </w:rPr>
        <w:t>Unknown Claims</w:t>
      </w:r>
      <w:r>
        <w:rPr>
          <w:rFonts w:ascii="Times New Roman" w:cs="Times New Roman" w:eastAsia="Times New Roman" w:hAnsi="Times New Roman"/>
          <w:sz w:val="18"/>
          <w:szCs w:val="18"/>
          <w:color w:val="auto"/>
        </w:rPr>
        <w:t>. Executive acknowledges that Executive has been advised to consult with legal counsel and that Executive is familiar with the principle that a general release does not extend to claims that the releaser does not know or suspect to exist in his or her favor at the time of executing the release, which, if known by him or her, must have materially affected his or her settlement with the releasee. Executive, being aware of this principle, agrees to expressly waive any rights Executive may have to that effect, as well as under any other statute or common law principles of similar effect.]</w:t>
      </w:r>
      <w:r>
        <w:rPr>
          <w:rFonts w:ascii="Times New Roman" w:cs="Times New Roman" w:eastAsia="Times New Roman" w:hAnsi="Times New Roman"/>
          <w:sz w:val="23"/>
          <w:szCs w:val="23"/>
          <w:color w:val="auto"/>
          <w:vertAlign w:val="superscript"/>
        </w:rPr>
        <w:t>3</w:t>
      </w:r>
    </w:p>
    <w:p>
      <w:pPr>
        <w:spacing w:after="0" w:line="78" w:lineRule="exact"/>
        <w:rPr>
          <w:sz w:val="20"/>
          <w:szCs w:val="20"/>
          <w:color w:val="auto"/>
        </w:rPr>
      </w:pPr>
    </w:p>
    <w:p>
      <w:pPr>
        <w:ind w:right="20" w:firstLine="599"/>
        <w:spacing w:after="0" w:line="264" w:lineRule="auto"/>
        <w:tabs>
          <w:tab w:leader="none" w:pos="9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Pending or Future Lawsuits</w:t>
      </w:r>
      <w:r>
        <w:rPr>
          <w:rFonts w:ascii="Times New Roman" w:cs="Times New Roman" w:eastAsia="Times New Roman" w:hAnsi="Times New Roman"/>
          <w:sz w:val="18"/>
          <w:szCs w:val="18"/>
          <w:color w:val="auto"/>
        </w:rPr>
        <w:t>. Executive represents that Executive has no lawsuits, claims, or actions pending in Executive’s name, or on behalf of any other person or entity, against the Company or any of the other Releasees. Executive also represents that Executive does not intend to bring any claims on Executive’s own behalf or on behalf of any other person or entity against the Company or any of the other Releasees.</w:t>
      </w:r>
    </w:p>
    <w:p>
      <w:pPr>
        <w:spacing w:after="0" w:line="153" w:lineRule="exact"/>
        <w:rPr>
          <w:rFonts w:ascii="Times New Roman" w:cs="Times New Roman" w:eastAsia="Times New Roman" w:hAnsi="Times New Roman"/>
          <w:sz w:val="18"/>
          <w:szCs w:val="18"/>
          <w:color w:val="auto"/>
        </w:rPr>
      </w:pPr>
    </w:p>
    <w:p>
      <w:pPr>
        <w:ind w:right="120" w:firstLine="599"/>
        <w:spacing w:after="0" w:line="283" w:lineRule="auto"/>
        <w:tabs>
          <w:tab w:leader="none" w:pos="9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Sufficiency of Consideration</w:t>
      </w:r>
      <w:r>
        <w:rPr>
          <w:rFonts w:ascii="Times New Roman" w:cs="Times New Roman" w:eastAsia="Times New Roman" w:hAnsi="Times New Roman"/>
          <w:sz w:val="18"/>
          <w:szCs w:val="18"/>
          <w:color w:val="auto"/>
        </w:rPr>
        <w:t>. Executive hereby acknowledges and agrees that Executive has received good and sufficient consideration for every promise, duty, release, obligation, agreement and right contained in this Release.</w:t>
      </w:r>
    </w:p>
    <w:p>
      <w:pPr>
        <w:spacing w:after="0" w:line="136" w:lineRule="exact"/>
        <w:rPr>
          <w:rFonts w:ascii="Times New Roman" w:cs="Times New Roman" w:eastAsia="Times New Roman" w:hAnsi="Times New Roman"/>
          <w:sz w:val="18"/>
          <w:szCs w:val="18"/>
          <w:color w:val="auto"/>
        </w:rPr>
      </w:pPr>
    </w:p>
    <w:p>
      <w:pPr>
        <w:ind w:right="140" w:firstLine="599"/>
        <w:spacing w:after="0" w:line="253" w:lineRule="auto"/>
        <w:tabs>
          <w:tab w:leader="none" w:pos="9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Executive reaffirms and agrees to observe and abide by the terms of the Confidentiality Agreement, specifically including the provisions therein regarding nondisclosure of the Company’s trade secrets and confidential and proprietary information, which agreement will continue in force;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as to any provisions regarding competition contained in the Confidentiality Agreement that conflict with the provisions regarding competition contained in the Severance Agreement, the provisions of the Severance Agreement will control; (b) as to any provisions regarding solicitation of employees contained in the Confidentiality Agreement that conflict with the provisions regarding solicitation of employees contained in this Agreement, the provisions of this Agreement will control.</w:t>
      </w:r>
    </w:p>
    <w:p>
      <w:pPr>
        <w:spacing w:after="0" w:line="163" w:lineRule="exact"/>
        <w:rPr>
          <w:rFonts w:ascii="Times New Roman" w:cs="Times New Roman" w:eastAsia="Times New Roman" w:hAnsi="Times New Roman"/>
          <w:sz w:val="18"/>
          <w:szCs w:val="18"/>
          <w:color w:val="auto"/>
        </w:rPr>
      </w:pPr>
    </w:p>
    <w:p>
      <w:pPr>
        <w:ind w:right="20" w:firstLine="599"/>
        <w:spacing w:after="0" w:line="252" w:lineRule="auto"/>
        <w:tabs>
          <w:tab w:leader="none" w:pos="101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Company Property; Passwords and Password-protected Documents</w:t>
      </w:r>
      <w:r>
        <w:rPr>
          <w:rFonts w:ascii="Times New Roman" w:cs="Times New Roman" w:eastAsia="Times New Roman" w:hAnsi="Times New Roman"/>
          <w:sz w:val="18"/>
          <w:szCs w:val="18"/>
          <w:color w:val="auto"/>
        </w:rPr>
        <w:t>. Executive confirms that Executive has returned to the Company in good working order all keys, files, records (and copies thereof), equipment (including, but not limited to, computer hardware, software and printers, wireless handheld devices, cellular phones and pagers), access or credit cards, Company identification, and any other Company-owned property in Executive’s possession or control. Executive further confirms that Executive has cancelled all accounts for Executive’s benefit, if any, in the Company’s name, including, but not limited to, credit cards, telephone charge cards, cellular phone and/or pager accounts and computer accounts. Executive also confirms that Executive has delivered all passwords in use by Executive at the time of Executive’s termination, a list of any documents that Executive created 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58559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5">
                      <a:extLst>
                        <a:ext uri="{28A0092B-C50C-407E-A947-70E740481C1C}"/>
                      </a:extLst>
                    </a:blip>
                    <a:srcRect/>
                    <a:stretch>
                      <a:fillRect/>
                    </a:stretch>
                  </pic:blipFill>
                  <pic:spPr bwMode="auto">
                    <a:xfrm>
                      <a:off x="0" y="0"/>
                      <a:ext cx="1585595" cy="7620"/>
                    </a:xfrm>
                    <a:prstGeom prst="rect">
                      <a:avLst/>
                    </a:prstGeom>
                    <a:noFill/>
                  </pic:spPr>
                </pic:pic>
              </a:graphicData>
            </a:graphic>
          </wp:anchor>
        </w:drawing>
      </w:r>
    </w:p>
    <w:p>
      <w:pPr>
        <w:spacing w:after="0" w:line="246" w:lineRule="exact"/>
        <w:rPr>
          <w:sz w:val="20"/>
          <w:szCs w:val="20"/>
          <w:color w:val="auto"/>
        </w:rPr>
      </w:pPr>
    </w:p>
    <w:p>
      <w:pPr>
        <w:ind w:right="240"/>
        <w:spacing w:after="0" w:line="223" w:lineRule="auto"/>
        <w:tabs>
          <w:tab w:leader="none" w:pos="96" w:val="left"/>
        </w:tabs>
        <w:numPr>
          <w:ilvl w:val="0"/>
          <w:numId w:val="8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If Executive resides in California at the time Executive’s employment relationship is terminated, the first provision - “</w:t>
      </w:r>
      <w:r>
        <w:rPr>
          <w:rFonts w:ascii="Times New Roman" w:cs="Times New Roman" w:eastAsia="Times New Roman" w:hAnsi="Times New Roman"/>
          <w:sz w:val="17"/>
          <w:szCs w:val="17"/>
          <w:i w:val="1"/>
          <w:iCs w:val="1"/>
          <w:color w:val="auto"/>
        </w:rPr>
        <w:t>California Civil Code Section 1542</w:t>
      </w:r>
      <w:r>
        <w:rPr>
          <w:rFonts w:ascii="Times New Roman" w:cs="Times New Roman" w:eastAsia="Times New Roman" w:hAnsi="Times New Roman"/>
          <w:sz w:val="17"/>
          <w:szCs w:val="17"/>
          <w:color w:val="auto"/>
        </w:rPr>
        <w:t>” - will be included in this Agreement, otherwise the second provision - “</w:t>
      </w:r>
      <w:r>
        <w:rPr>
          <w:rFonts w:ascii="Times New Roman" w:cs="Times New Roman" w:eastAsia="Times New Roman" w:hAnsi="Times New Roman"/>
          <w:sz w:val="17"/>
          <w:szCs w:val="17"/>
          <w:i w:val="1"/>
          <w:iCs w:val="1"/>
          <w:color w:val="auto"/>
        </w:rPr>
        <w:t>Unknown Claims</w:t>
      </w:r>
      <w:r>
        <w:rPr>
          <w:rFonts w:ascii="Times New Roman" w:cs="Times New Roman" w:eastAsia="Times New Roman" w:hAnsi="Times New Roman"/>
          <w:sz w:val="17"/>
          <w:szCs w:val="17"/>
          <w:color w:val="auto"/>
        </w:rPr>
        <w:t>” - will be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220"/>
          </w:cols>
          <w:pgMar w:left="320" w:top="1317" w:right="3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color w:val="auto"/>
        </w:rPr>
        <w:t>which Executive is otherwise aware that are password-protected, along with the password(s) necessary to access such password-protected documents.</w:t>
      </w:r>
    </w:p>
    <w:p>
      <w:pPr>
        <w:spacing w:after="0" w:line="205" w:lineRule="exact"/>
        <w:rPr>
          <w:sz w:val="20"/>
          <w:szCs w:val="20"/>
          <w:color w:val="auto"/>
        </w:rPr>
      </w:pPr>
    </w:p>
    <w:p>
      <w:pPr>
        <w:ind w:firstLine="599"/>
        <w:spacing w:after="0" w:line="255" w:lineRule="auto"/>
        <w:tabs>
          <w:tab w:leader="none" w:pos="100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Cooperation</w:t>
      </w:r>
      <w:r>
        <w:rPr>
          <w:rFonts w:ascii="Times New Roman" w:cs="Times New Roman" w:eastAsia="Times New Roman" w:hAnsi="Times New Roman"/>
          <w:sz w:val="18"/>
          <w:szCs w:val="18"/>
          <w:color w:val="auto"/>
        </w:rPr>
        <w:t>.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this Agreement. If approached by anyone for counsel or assistance in the presentation or prosecution of any disputes, differences, grievances, claims, charges, or complaints against any of the Releasees, Executive will state no more than that Executive cannot provide any such counsel or assistance.</w:t>
      </w:r>
    </w:p>
    <w:p>
      <w:pPr>
        <w:spacing w:after="0" w:line="161" w:lineRule="exact"/>
        <w:rPr>
          <w:rFonts w:ascii="Times New Roman" w:cs="Times New Roman" w:eastAsia="Times New Roman" w:hAnsi="Times New Roman"/>
          <w:sz w:val="18"/>
          <w:szCs w:val="18"/>
          <w:color w:val="auto"/>
        </w:rPr>
      </w:pPr>
    </w:p>
    <w:p>
      <w:pPr>
        <w:ind w:right="580" w:firstLine="599"/>
        <w:spacing w:after="0" w:line="283" w:lineRule="auto"/>
        <w:tabs>
          <w:tab w:leader="none" w:pos="101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Executive agrees that Executive will not in any way, directly or indirectly, do or say anything at any time which disparages the Company, its business interests or reputation, or that of any of the other Released Parties.</w:t>
      </w:r>
    </w:p>
    <w:p>
      <w:pPr>
        <w:spacing w:after="0" w:line="136" w:lineRule="exact"/>
        <w:rPr>
          <w:rFonts w:ascii="Times New Roman" w:cs="Times New Roman" w:eastAsia="Times New Roman" w:hAnsi="Times New Roman"/>
          <w:sz w:val="18"/>
          <w:szCs w:val="18"/>
          <w:color w:val="auto"/>
        </w:rPr>
      </w:pPr>
    </w:p>
    <w:p>
      <w:pPr>
        <w:ind w:right="40" w:firstLine="599"/>
        <w:spacing w:after="0" w:line="258" w:lineRule="auto"/>
        <w:tabs>
          <w:tab w:leader="none" w:pos="101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Admission of Liability</w:t>
      </w:r>
      <w:r>
        <w:rPr>
          <w:rFonts w:ascii="Times New Roman" w:cs="Times New Roman" w:eastAsia="Times New Roman" w:hAnsi="Times New Roman"/>
          <w:sz w:val="18"/>
          <w:szCs w:val="18"/>
          <w:color w:val="auto"/>
        </w:rPr>
        <w:t>. Executive understands and acknowledges that this Agreement constitutes a compromise and settlement of any and all actual or potential disputed claims by Executive. No action taken by the Company hereto, either previously or in connection with this Agreement, will be deemed or construed to be (a) an admission of the truth or falsity of any actual or potential claims or (b) an acknowledgment or admission by the Company of any fault or liability whatsoever to Executive or to any third party.</w:t>
      </w:r>
    </w:p>
    <w:p>
      <w:pPr>
        <w:spacing w:after="0" w:line="158" w:lineRule="exact"/>
        <w:rPr>
          <w:rFonts w:ascii="Times New Roman" w:cs="Times New Roman" w:eastAsia="Times New Roman" w:hAnsi="Times New Roman"/>
          <w:sz w:val="18"/>
          <w:szCs w:val="18"/>
          <w:color w:val="auto"/>
        </w:rPr>
      </w:pPr>
    </w:p>
    <w:p>
      <w:pPr>
        <w:ind w:right="20" w:firstLine="599"/>
        <w:spacing w:after="0" w:line="258" w:lineRule="auto"/>
        <w:tabs>
          <w:tab w:leader="none" w:pos="101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Solicitation of Employees</w:t>
      </w:r>
      <w:r>
        <w:rPr>
          <w:rFonts w:ascii="Times New Roman" w:cs="Times New Roman" w:eastAsia="Times New Roman" w:hAnsi="Times New Roman"/>
          <w:sz w:val="18"/>
          <w:szCs w:val="18"/>
          <w:color w:val="auto"/>
        </w:rPr>
        <w:t>. Executive agrees that for a period of 12 months immediately following the Effective Date of this Agreement, Executive will not directly or indirectly (a) solicit, induce, recruit or encourage any of the Company’s employees to leave their employment at the Company or (b) attempt to solicit, induce, recruit or encourage, either for Executive or for any other person or entity, any of the Company’s employees to leave their employment.</w:t>
      </w:r>
    </w:p>
    <w:p>
      <w:pPr>
        <w:spacing w:after="0" w:line="158" w:lineRule="exact"/>
        <w:rPr>
          <w:rFonts w:ascii="Times New Roman" w:cs="Times New Roman" w:eastAsia="Times New Roman" w:hAnsi="Times New Roman"/>
          <w:sz w:val="18"/>
          <w:szCs w:val="18"/>
          <w:color w:val="auto"/>
        </w:rPr>
      </w:pPr>
    </w:p>
    <w:p>
      <w:pPr>
        <w:ind w:left="1020" w:hanging="421"/>
        <w:spacing w:after="0"/>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w:t>
      </w:r>
      <w:r>
        <w:rPr>
          <w:rFonts w:ascii="Times New Roman" w:cs="Times New Roman" w:eastAsia="Times New Roman" w:hAnsi="Times New Roman"/>
          <w:sz w:val="18"/>
          <w:szCs w:val="18"/>
          <w:color w:val="auto"/>
        </w:rPr>
        <w:t>. The Parties will each bear their own costs, attorneys’ fees and other fees incurred in connection with the preparation of this</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184" w:lineRule="exact"/>
        <w:rPr>
          <w:rFonts w:ascii="Times New Roman" w:cs="Times New Roman" w:eastAsia="Times New Roman" w:hAnsi="Times New Roman"/>
          <w:sz w:val="18"/>
          <w:szCs w:val="18"/>
          <w:color w:val="auto"/>
        </w:rPr>
      </w:pPr>
    </w:p>
    <w:p>
      <w:pPr>
        <w:jc w:val="both"/>
        <w:ind w:right="320" w:firstLine="599"/>
        <w:spacing w:after="0" w:line="251" w:lineRule="auto"/>
        <w:tabs>
          <w:tab w:leader="none" w:pos="101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THE PARTIES AGREE THAT ANY AND ALL DISPUTES ARISING OUT OF THE TERMS OF THIS AGREEMENT, THEIR INTERPRETATION, AND ANY OF THE MATTERS HEREIN RELEASED, WILL BE SUBJECT TO ARBITRATION IN SAN MATEO COUNTY, BEFORE JUDICIAL ARBITRATION &amp; MEDIATION SERVICES (“</w:t>
      </w:r>
      <w:r>
        <w:rPr>
          <w:rFonts w:ascii="Times New Roman" w:cs="Times New Roman" w:eastAsia="Times New Roman" w:hAnsi="Times New Roman"/>
          <w:sz w:val="18"/>
          <w:szCs w:val="18"/>
          <w:b w:val="1"/>
          <w:bCs w:val="1"/>
          <w:i w:val="1"/>
          <w:iCs w:val="1"/>
          <w:color w:val="auto"/>
        </w:rPr>
        <w:t>JAMS</w:t>
      </w:r>
      <w:r>
        <w:rPr>
          <w:rFonts w:ascii="Times New Roman" w:cs="Times New Roman" w:eastAsia="Times New Roman" w:hAnsi="Times New Roman"/>
          <w:sz w:val="18"/>
          <w:szCs w:val="18"/>
          <w:color w:val="auto"/>
        </w:rPr>
        <w:t>”), PURSUANT TO ITS EMPLOYMENT ARBITRATION RULES &amp; PROCEDURES (“</w:t>
      </w:r>
      <w:r>
        <w:rPr>
          <w:rFonts w:ascii="Times New Roman" w:cs="Times New Roman" w:eastAsia="Times New Roman" w:hAnsi="Times New Roman"/>
          <w:sz w:val="18"/>
          <w:szCs w:val="18"/>
          <w:b w:val="1"/>
          <w:bCs w:val="1"/>
          <w:i w:val="1"/>
          <w:iCs w:val="1"/>
          <w:color w:val="auto"/>
        </w:rPr>
        <w:t>JAMS RULES</w:t>
      </w:r>
      <w:r>
        <w:rPr>
          <w:rFonts w:ascii="Times New Roman" w:cs="Times New Roman" w:eastAsia="Times New Roman" w:hAnsi="Times New Roman"/>
          <w:sz w:val="18"/>
          <w:szCs w:val="18"/>
          <w:color w:val="auto"/>
        </w:rPr>
        <w:t>”). THE ARBITRATOR MAY GRANT INJUNCTIONS AND OTHER RELIEF IN SUCH DISPUTES.</w:t>
      </w:r>
    </w:p>
    <w:p>
      <w:pPr>
        <w:spacing w:after="0" w:line="3" w:lineRule="exact"/>
        <w:rPr>
          <w:rFonts w:ascii="Times New Roman" w:cs="Times New Roman" w:eastAsia="Times New Roman" w:hAnsi="Times New Roman"/>
          <w:sz w:val="18"/>
          <w:szCs w:val="18"/>
          <w:color w:val="auto"/>
        </w:rPr>
      </w:pPr>
    </w:p>
    <w:p>
      <w:pPr>
        <w:ind w:right="60"/>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ARBITRATOR WILL ADMINISTER AND CONDUCT ANY ARBITRATION IN ACCORDANCE WITH CALIFORNIA LAW, INCLUDING THE CALIFORNIA CODE OF CIVIL PROCEDURE, AND THE ARBITRATOR WILL APPLY SUBSTANTIVE AND PROCEDURAL CALIFORNIA LAW TO ANY DISPUTE OR CLAIM, WITHOUT REFERENCE TO ANY CONFLICT-OF-LAW PROVISIONS OF ANY JURISDICTION. TO THE EXTENT THAT THE JAMS RULES CONFLICT WITH CALIFORNIA LAW, CALIFORNIA LAW WILL TAKE PRECEDENCE. THE DECISION OF THE ARBITRATOR WILL BE FINAL, CONCLUSIVE, AND BINDING ON THE PARTIES TO THE ARBITRATION. THE PARTIES AGREE THAT THE PREVAILING PARTY IN ANY ARBITRATION WILL BE ENTITLED TO INJUNCTIVE RELIEF IN ANY COURT OF COMPETENT JURISDICTION TO ENFORCE THE ARBITRATION AWARD. THE PARTIES TO THE ARBITRATION WILL EACH PAY AN EQUAL SHARE OF THE COSTS AND EXPENSES OF SUCH ARBITRATION, AND EACH PARTY WILL SEPARATELY PAY FOR ITS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240"/>
          </w:cols>
          <w:pgMar w:left="320" w:top="1317" w:right="339" w:bottom="1440" w:gutter="0" w:footer="0" w:header="0"/>
        </w:sectPr>
      </w:pPr>
    </w:p>
    <w:bookmarkStart w:id="152" w:name="page153"/>
    <w:bookmarkEnd w:id="152"/>
    <w:p>
      <w:pPr>
        <w:spacing w:after="0" w:line="254" w:lineRule="auto"/>
        <w:rPr>
          <w:sz w:val="20"/>
          <w:szCs w:val="20"/>
          <w:color w:val="auto"/>
        </w:rPr>
      </w:pPr>
      <w:r>
        <w:rPr>
          <w:rFonts w:ascii="Times New Roman" w:cs="Times New Roman" w:eastAsia="Times New Roman" w:hAnsi="Times New Roman"/>
          <w:sz w:val="18"/>
          <w:szCs w:val="18"/>
          <w:color w:val="auto"/>
        </w:rPr>
        <w:t xml:space="preserve">COUNSEL FEES AND EXPENSES; PROVIDED, HOWEVER, THAT THE ARBITRATOR WILL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WILL GOVERN. </w:t>
      </w:r>
      <w:r>
        <w:rPr>
          <w:rFonts w:ascii="Times New Roman" w:cs="Times New Roman" w:eastAsia="Times New Roman" w:hAnsi="Times New Roman"/>
          <w:sz w:val="23"/>
          <w:szCs w:val="23"/>
          <w:color w:val="auto"/>
          <w:vertAlign w:val="superscript"/>
        </w:rPr>
        <w:t>4</w:t>
      </w:r>
    </w:p>
    <w:p>
      <w:pPr>
        <w:spacing w:after="0" w:line="84" w:lineRule="exact"/>
        <w:rPr>
          <w:sz w:val="20"/>
          <w:szCs w:val="20"/>
          <w:color w:val="auto"/>
        </w:rPr>
      </w:pPr>
    </w:p>
    <w:p>
      <w:pPr>
        <w:ind w:right="120" w:firstLine="599"/>
        <w:spacing w:after="0" w:line="255" w:lineRule="auto"/>
        <w:tabs>
          <w:tab w:leader="none" w:pos="101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61" w:lineRule="exact"/>
        <w:rPr>
          <w:rFonts w:ascii="Times New Roman" w:cs="Times New Roman" w:eastAsia="Times New Roman" w:hAnsi="Times New Roman"/>
          <w:sz w:val="18"/>
          <w:szCs w:val="18"/>
          <w:color w:val="auto"/>
        </w:rPr>
      </w:pPr>
    </w:p>
    <w:p>
      <w:pPr>
        <w:ind w:right="40" w:firstLine="599"/>
        <w:spacing w:after="0" w:line="264" w:lineRule="auto"/>
        <w:tabs>
          <w:tab w:leader="none" w:pos="101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Representations</w:t>
      </w:r>
      <w:r>
        <w:rPr>
          <w:rFonts w:ascii="Times New Roman" w:cs="Times New Roman" w:eastAsia="Times New Roman" w:hAnsi="Times New Roman"/>
          <w:sz w:val="18"/>
          <w:szCs w:val="18"/>
          <w:color w:val="auto"/>
        </w:rPr>
        <w:t>. Executive represents that Executive has had the opportunity to consult with an attorney, and has carefully read and understands the scope and effect of the provisions of this Agreement. Executive has relied upon any representations or statements made by the Company that are not specifically set forth in this Agreement.</w:t>
      </w:r>
    </w:p>
    <w:p>
      <w:pPr>
        <w:spacing w:after="0" w:line="153" w:lineRule="exact"/>
        <w:rPr>
          <w:rFonts w:ascii="Times New Roman" w:cs="Times New Roman" w:eastAsia="Times New Roman" w:hAnsi="Times New Roman"/>
          <w:sz w:val="18"/>
          <w:szCs w:val="18"/>
          <w:color w:val="auto"/>
        </w:rPr>
      </w:pPr>
    </w:p>
    <w:p>
      <w:pPr>
        <w:ind w:right="20" w:firstLine="599"/>
        <w:spacing w:after="0" w:line="264" w:lineRule="auto"/>
        <w:tabs>
          <w:tab w:leader="none" w:pos="101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or any portion of any provision hereof or any surviving agreement made a part hereof becomes or is declared by a court of competent jurisdiction or arbitrator to be illegal, unenforceable, or void, this Agreement will continue in full force and effect without said provision or portion of provision.</w:t>
      </w:r>
    </w:p>
    <w:p>
      <w:pPr>
        <w:spacing w:after="0" w:line="153" w:lineRule="exact"/>
        <w:rPr>
          <w:rFonts w:ascii="Times New Roman" w:cs="Times New Roman" w:eastAsia="Times New Roman" w:hAnsi="Times New Roman"/>
          <w:sz w:val="18"/>
          <w:szCs w:val="18"/>
          <w:color w:val="auto"/>
        </w:rPr>
      </w:pPr>
    </w:p>
    <w:p>
      <w:pPr>
        <w:ind w:firstLine="599"/>
        <w:spacing w:after="0" w:line="255" w:lineRule="auto"/>
        <w:tabs>
          <w:tab w:leader="none" w:pos="101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with the exception of the Severance Agreement, the Confidentiality Agreement, and Executive’s written equity compensation agreements with the Company.</w:t>
      </w:r>
    </w:p>
    <w:p>
      <w:pPr>
        <w:spacing w:after="0" w:line="161" w:lineRule="exact"/>
        <w:rPr>
          <w:rFonts w:ascii="Times New Roman" w:cs="Times New Roman" w:eastAsia="Times New Roman" w:hAnsi="Times New Roman"/>
          <w:sz w:val="18"/>
          <w:szCs w:val="18"/>
          <w:color w:val="auto"/>
        </w:rPr>
      </w:pPr>
    </w:p>
    <w:p>
      <w:pPr>
        <w:ind w:right="160" w:firstLine="599"/>
        <w:spacing w:after="0" w:line="283" w:lineRule="auto"/>
        <w:tabs>
          <w:tab w:leader="none" w:pos="101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Oral Modification</w:t>
      </w:r>
      <w:r>
        <w:rPr>
          <w:rFonts w:ascii="Times New Roman" w:cs="Times New Roman" w:eastAsia="Times New Roman" w:hAnsi="Times New Roman"/>
          <w:sz w:val="18"/>
          <w:szCs w:val="18"/>
          <w:color w:val="auto"/>
        </w:rPr>
        <w:t>. This Agreement may only be amended in writing signed by Executive and the Chairman of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158559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6">
                      <a:extLst>
                        <a:ext uri="{28A0092B-C50C-407E-A947-70E740481C1C}"/>
                      </a:extLst>
                    </a:blip>
                    <a:srcRect/>
                    <a:stretch>
                      <a:fillRect/>
                    </a:stretch>
                  </pic:blipFill>
                  <pic:spPr bwMode="auto">
                    <a:xfrm>
                      <a:off x="0" y="0"/>
                      <a:ext cx="1585595" cy="7620"/>
                    </a:xfrm>
                    <a:prstGeom prst="rect">
                      <a:avLst/>
                    </a:prstGeom>
                    <a:noFill/>
                  </pic:spPr>
                </pic:pic>
              </a:graphicData>
            </a:graphic>
          </wp:anchor>
        </w:drawing>
      </w:r>
    </w:p>
    <w:p>
      <w:pPr>
        <w:spacing w:after="0" w:line="184" w:lineRule="exact"/>
        <w:rPr>
          <w:sz w:val="20"/>
          <w:szCs w:val="20"/>
          <w:color w:val="auto"/>
        </w:rPr>
      </w:pPr>
    </w:p>
    <w:p>
      <w:pPr>
        <w:ind w:left="100" w:hanging="100"/>
        <w:spacing w:after="0"/>
        <w:tabs>
          <w:tab w:leader="none" w:pos="100" w:val="left"/>
        </w:tabs>
        <w:numPr>
          <w:ilvl w:val="0"/>
          <w:numId w:val="9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References to California will only be included in this Agreement if Executive resides in California at the time Executive’s employment relationship is terminated.</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365" w:lineRule="exact"/>
        <w:rPr>
          <w:rFonts w:ascii="Times New Roman" w:cs="Times New Roman" w:eastAsia="Times New Roman" w:hAnsi="Times New Roman"/>
          <w:sz w:val="22"/>
          <w:szCs w:val="22"/>
          <w:color w:val="auto"/>
          <w:vertAlign w:val="superscript"/>
        </w:rPr>
      </w:pPr>
    </w:p>
    <w:p>
      <w:pPr>
        <w:ind w:left="548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A-6</w:t>
      </w:r>
    </w:p>
    <w:p>
      <w:pPr>
        <w:sectPr>
          <w:pgSz w:w="11900" w:h="16838" w:orient="portrait"/>
          <w:cols w:equalWidth="0" w:num="1">
            <w:col w:w="11220"/>
          </w:cols>
          <w:pgMar w:left="320" w:top="1317" w:right="359" w:bottom="1440" w:gutter="0" w:footer="0" w:header="0"/>
        </w:sectPr>
      </w:pPr>
    </w:p>
    <w:bookmarkStart w:id="153" w:name="page154"/>
    <w:bookmarkEnd w:id="153"/>
    <w:p>
      <w:pPr>
        <w:ind w:right="440" w:firstLine="599"/>
        <w:spacing w:after="0" w:line="291" w:lineRule="auto"/>
        <w:tabs>
          <w:tab w:leader="none" w:pos="101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Agreement will be governed by the laws of the State of California, without regard for choice-of-law provisions. Executive consents to personal and exclusive jurisdiction and venue in the State of California. </w:t>
      </w:r>
      <w:r>
        <w:rPr>
          <w:rFonts w:ascii="Times New Roman" w:cs="Times New Roman" w:eastAsia="Times New Roman" w:hAnsi="Times New Roman"/>
          <w:sz w:val="23"/>
          <w:szCs w:val="23"/>
          <w:color w:val="auto"/>
          <w:vertAlign w:val="superscript"/>
        </w:rPr>
        <w:t>5</w:t>
      </w:r>
    </w:p>
    <w:p>
      <w:pPr>
        <w:spacing w:after="0" w:line="52" w:lineRule="exact"/>
        <w:rPr>
          <w:rFonts w:ascii="Times New Roman" w:cs="Times New Roman" w:eastAsia="Times New Roman" w:hAnsi="Times New Roman"/>
          <w:sz w:val="18"/>
          <w:szCs w:val="18"/>
          <w:color w:val="auto"/>
        </w:rPr>
      </w:pPr>
    </w:p>
    <w:p>
      <w:pPr>
        <w:ind w:firstLine="599"/>
        <w:spacing w:after="0" w:line="228" w:lineRule="auto"/>
        <w:tabs>
          <w:tab w:leader="none" w:pos="101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[Executive understands that this Agreement will be null and void if not executed by Executive within 21 days. Each Party has seven days after that Party signs this Agreement to revoke it. This Agreement will become effective on the eighth (8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after Executive signed this Agreement, so long as it has been signed by the Parties and has not been revoked by either Party before that date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OR</w:t>
      </w:r>
      <w:r>
        <w:rPr>
          <w:rFonts w:ascii="Times New Roman" w:cs="Times New Roman" w:eastAsia="Times New Roman" w:hAnsi="Times New Roman"/>
          <w:sz w:val="18"/>
          <w:szCs w:val="18"/>
          <w:color w:val="auto"/>
        </w:rPr>
        <w:t xml:space="preserve"> [This Agreement will be effective after it has been signed or executed by both Parties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perscript"/>
        </w:rPr>
        <w:t>7</w:t>
      </w:r>
    </w:p>
    <w:p>
      <w:pPr>
        <w:spacing w:after="0" w:line="98" w:lineRule="exact"/>
        <w:rPr>
          <w:rFonts w:ascii="Times New Roman" w:cs="Times New Roman" w:eastAsia="Times New Roman" w:hAnsi="Times New Roman"/>
          <w:sz w:val="18"/>
          <w:szCs w:val="18"/>
          <w:color w:val="auto"/>
        </w:rPr>
      </w:pPr>
    </w:p>
    <w:p>
      <w:pPr>
        <w:ind w:right="280" w:firstLine="599"/>
        <w:spacing w:after="0" w:line="283" w:lineRule="auto"/>
        <w:tabs>
          <w:tab w:leader="none" w:pos="101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and by facsimile, and each counterpart and facsimile will have the same force and effect as an original and will constitute an effective, binding agreement on the part of each of the undersigned.</w:t>
      </w:r>
    </w:p>
    <w:p>
      <w:pPr>
        <w:spacing w:after="0" w:line="136" w:lineRule="exact"/>
        <w:rPr>
          <w:rFonts w:ascii="Times New Roman" w:cs="Times New Roman" w:eastAsia="Times New Roman" w:hAnsi="Times New Roman"/>
          <w:sz w:val="18"/>
          <w:szCs w:val="18"/>
          <w:color w:val="auto"/>
        </w:rPr>
      </w:pPr>
    </w:p>
    <w:p>
      <w:pPr>
        <w:ind w:right="260" w:firstLine="599"/>
        <w:spacing w:after="0" w:line="264" w:lineRule="auto"/>
        <w:tabs>
          <w:tab w:leader="none" w:pos="101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Execution of Agreement</w:t>
      </w:r>
      <w:r>
        <w:rPr>
          <w:rFonts w:ascii="Times New Roman" w:cs="Times New Roman" w:eastAsia="Times New Roman" w:hAnsi="Times New Roman"/>
          <w:sz w:val="18"/>
          <w:szCs w:val="18"/>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expressly acknowledges that:</w:t>
      </w:r>
    </w:p>
    <w:p>
      <w:pPr>
        <w:spacing w:after="0" w:line="153" w:lineRule="exact"/>
        <w:rPr>
          <w:rFonts w:ascii="Times New Roman" w:cs="Times New Roman" w:eastAsia="Times New Roman" w:hAnsi="Times New Roman"/>
          <w:sz w:val="18"/>
          <w:szCs w:val="18"/>
          <w:color w:val="auto"/>
        </w:rPr>
      </w:pPr>
    </w:p>
    <w:p>
      <w:pPr>
        <w:ind w:left="1580" w:hanging="382"/>
        <w:spacing w:after="0"/>
        <w:tabs>
          <w:tab w:leader="none" w:pos="158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has read this Agreement;</w:t>
      </w:r>
    </w:p>
    <w:p>
      <w:pPr>
        <w:spacing w:after="0" w:line="204" w:lineRule="exact"/>
        <w:rPr>
          <w:rFonts w:ascii="Times New Roman" w:cs="Times New Roman" w:eastAsia="Times New Roman" w:hAnsi="Times New Roman"/>
          <w:sz w:val="18"/>
          <w:szCs w:val="18"/>
          <w:color w:val="auto"/>
        </w:rPr>
      </w:pPr>
    </w:p>
    <w:p>
      <w:pPr>
        <w:ind w:left="1800" w:right="280" w:hanging="602"/>
        <w:spacing w:after="0" w:line="283" w:lineRule="auto"/>
        <w:tabs>
          <w:tab w:leader="none" w:pos="1597"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has been represented in the preparation, negotiation, and execution of this Agreement by legal counsel of Executive’s own choice or has elected not to retain legal counsel;</w:t>
      </w:r>
    </w:p>
    <w:p>
      <w:pPr>
        <w:spacing w:after="0" w:line="136" w:lineRule="exact"/>
        <w:rPr>
          <w:rFonts w:ascii="Times New Roman" w:cs="Times New Roman" w:eastAsia="Times New Roman" w:hAnsi="Times New Roman"/>
          <w:sz w:val="18"/>
          <w:szCs w:val="18"/>
          <w:color w:val="auto"/>
        </w:rPr>
      </w:pPr>
    </w:p>
    <w:p>
      <w:pPr>
        <w:ind w:left="1580" w:hanging="382"/>
        <w:spacing w:after="0"/>
        <w:tabs>
          <w:tab w:leader="none" w:pos="158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understands the terms and consequences of this Agreement and of the releases it contains; and</w:t>
      </w:r>
    </w:p>
    <w:p>
      <w:pPr>
        <w:spacing w:after="0" w:line="204" w:lineRule="exact"/>
        <w:rPr>
          <w:rFonts w:ascii="Times New Roman" w:cs="Times New Roman" w:eastAsia="Times New Roman" w:hAnsi="Times New Roman"/>
          <w:sz w:val="18"/>
          <w:szCs w:val="18"/>
          <w:color w:val="auto"/>
        </w:rPr>
      </w:pPr>
    </w:p>
    <w:p>
      <w:pPr>
        <w:ind w:left="1600" w:hanging="402"/>
        <w:spacing w:after="0"/>
        <w:tabs>
          <w:tab w:leader="none" w:pos="16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is fully aware of the legal and binding effect of this Agreement.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558800</wp:posOffset>
            </wp:positionV>
            <wp:extent cx="158559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7">
                      <a:extLst>
                        <a:ext uri="{28A0092B-C50C-407E-A947-70E740481C1C}"/>
                      </a:extLst>
                    </a:blip>
                    <a:srcRect/>
                    <a:stretch>
                      <a:fillRect/>
                    </a:stretch>
                  </pic:blipFill>
                  <pic:spPr bwMode="auto">
                    <a:xfrm>
                      <a:off x="0" y="0"/>
                      <a:ext cx="15855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0" w:hanging="100"/>
        <w:spacing w:after="0"/>
        <w:tabs>
          <w:tab w:leader="none" w:pos="100" w:val="left"/>
        </w:tabs>
        <w:numPr>
          <w:ilvl w:val="0"/>
          <w:numId w:val="9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References to California will only be included in this Agreement if Executive resides in California at the time Executive’s employment relationship is terminated.</w:t>
      </w:r>
    </w:p>
    <w:p>
      <w:pPr>
        <w:spacing w:after="0" w:line="1" w:lineRule="exact"/>
        <w:rPr>
          <w:rFonts w:ascii="Times New Roman" w:cs="Times New Roman" w:eastAsia="Times New Roman" w:hAnsi="Times New Roman"/>
          <w:sz w:val="22"/>
          <w:szCs w:val="22"/>
          <w:color w:val="auto"/>
          <w:vertAlign w:val="superscript"/>
        </w:rPr>
      </w:pPr>
    </w:p>
    <w:p>
      <w:pPr>
        <w:spacing w:after="0" w:line="198"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1"/>
          <w:szCs w:val="21"/>
          <w:color w:val="auto"/>
          <w:vertAlign w:val="superscript"/>
        </w:rPr>
        <w:t>6</w:t>
      </w:r>
      <w:r>
        <w:rPr>
          <w:rFonts w:ascii="Times New Roman" w:cs="Times New Roman" w:eastAsia="Times New Roman" w:hAnsi="Times New Roman"/>
          <w:sz w:val="17"/>
          <w:szCs w:val="17"/>
          <w:color w:val="auto"/>
        </w:rPr>
        <w:t xml:space="preserve"> This provision will only be included in this Agreement if Executive is age 40 or older at the time Executive’s employment relationship is terminated.</w:t>
      </w:r>
    </w:p>
    <w:p>
      <w:pPr>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1"/>
          <w:szCs w:val="21"/>
          <w:color w:val="auto"/>
          <w:vertAlign w:val="superscript"/>
        </w:rPr>
        <w:t>7</w:t>
      </w:r>
      <w:r>
        <w:rPr>
          <w:rFonts w:ascii="Times New Roman" w:cs="Times New Roman" w:eastAsia="Times New Roman" w:hAnsi="Times New Roman"/>
          <w:sz w:val="17"/>
          <w:szCs w:val="17"/>
          <w:color w:val="auto"/>
        </w:rPr>
        <w:t xml:space="preserve"> This provision will only be included in this Agreement if Executive is under the age of 40 at the time Executive’s employment relationship is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240"/>
          </w:cols>
          <w:pgMar w:left="320" w:top="1317"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on the respective dates set forth below.</w:t>
      </w:r>
    </w:p>
    <w:p>
      <w:pPr>
        <w:spacing w:after="0" w:line="200" w:lineRule="exact"/>
        <w:rPr>
          <w:sz w:val="20"/>
          <w:szCs w:val="20"/>
          <w:color w:val="auto"/>
        </w:rPr>
      </w:pPr>
    </w:p>
    <w:p>
      <w:pPr>
        <w:spacing w:after="0" w:line="280" w:lineRule="exact"/>
        <w:rPr>
          <w:sz w:val="20"/>
          <w:szCs w:val="20"/>
          <w:color w:val="auto"/>
        </w:rPr>
      </w:pPr>
    </w:p>
    <w:p>
      <w:pPr>
        <w:ind w:left="20"/>
        <w:spacing w:after="0"/>
        <w:tabs>
          <w:tab w:leader="none" w:pos="6040" w:val="left"/>
        </w:tabs>
        <w:rPr>
          <w:sz w:val="20"/>
          <w:szCs w:val="20"/>
          <w:color w:val="auto"/>
        </w:rPr>
      </w:pPr>
      <w:r>
        <w:rPr>
          <w:rFonts w:ascii="Times New Roman" w:cs="Times New Roman" w:eastAsia="Times New Roman" w:hAnsi="Times New Roman"/>
          <w:sz w:val="18"/>
          <w:szCs w:val="18"/>
          <w:color w:val="auto"/>
        </w:rPr>
        <w:t>COMPANY</w:t>
      </w:r>
      <w:r>
        <w:rPr>
          <w:sz w:val="20"/>
          <w:szCs w:val="20"/>
          <w:color w:val="auto"/>
        </w:rPr>
        <w:tab/>
      </w:r>
      <w:r>
        <w:rPr>
          <w:rFonts w:ascii="Times New Roman" w:cs="Times New Roman" w:eastAsia="Times New Roman" w:hAnsi="Times New Roman"/>
          <w:sz w:val="18"/>
          <w:szCs w:val="18"/>
          <w:color w:val="auto"/>
        </w:rPr>
        <w:t>VERACYTE, INC.</w:t>
      </w:r>
    </w:p>
    <w:p>
      <w:pPr>
        <w:spacing w:after="0" w:line="25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32385</wp:posOffset>
            </wp:positionV>
            <wp:extent cx="261620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8">
                      <a:extLst>
                        <a:ext uri="{28A0092B-C50C-407E-A947-70E740481C1C}"/>
                      </a:extLst>
                    </a:blip>
                    <a:srcRect/>
                    <a:stretch>
                      <a:fillRect/>
                    </a:stretch>
                  </pic:blipFill>
                  <pic:spPr bwMode="auto">
                    <a:xfrm>
                      <a:off x="0" y="0"/>
                      <a:ext cx="2616200" cy="7620"/>
                    </a:xfrm>
                    <a:prstGeom prst="rect">
                      <a:avLst/>
                    </a:prstGeom>
                    <a:noFill/>
                  </pic:spPr>
                </pic:pic>
              </a:graphicData>
            </a:graphic>
          </wp:anchor>
        </w:drawing>
      </w:r>
    </w:p>
    <w:p>
      <w:pPr>
        <w:spacing w:after="0" w:line="3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32385</wp:posOffset>
            </wp:positionV>
            <wp:extent cx="261620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9">
                      <a:extLst>
                        <a:ext uri="{28A0092B-C50C-407E-A947-70E740481C1C}"/>
                      </a:extLst>
                    </a:blip>
                    <a:srcRect/>
                    <a:stretch>
                      <a:fillRect/>
                    </a:stretch>
                  </pic:blipFill>
                  <pic:spPr bwMode="auto">
                    <a:xfrm>
                      <a:off x="0" y="0"/>
                      <a:ext cx="2616200" cy="7620"/>
                    </a:xfrm>
                    <a:prstGeom prst="rect">
                      <a:avLst/>
                    </a:prstGeom>
                    <a:noFill/>
                  </pic:spPr>
                </pic:pic>
              </a:graphicData>
            </a:graphic>
          </wp:anchor>
        </w:drawing>
      </w:r>
    </w:p>
    <w:p>
      <w:pPr>
        <w:spacing w:after="0" w:line="3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32385</wp:posOffset>
            </wp:positionV>
            <wp:extent cx="261620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0">
                      <a:extLst>
                        <a:ext uri="{28A0092B-C50C-407E-A947-70E740481C1C}"/>
                      </a:extLst>
                    </a:blip>
                    <a:srcRect/>
                    <a:stretch>
                      <a:fillRect/>
                    </a:stretch>
                  </pic:blipFill>
                  <pic:spPr bwMode="auto">
                    <a:xfrm>
                      <a:off x="0" y="0"/>
                      <a:ext cx="2616200" cy="7620"/>
                    </a:xfrm>
                    <a:prstGeom prst="rect">
                      <a:avLst/>
                    </a:prstGeom>
                    <a:noFill/>
                  </pic:spPr>
                </pic:pic>
              </a:graphicData>
            </a:graphic>
          </wp:anchor>
        </w:drawing>
      </w:r>
    </w:p>
    <w:p>
      <w:pPr>
        <w:spacing w:after="0" w:line="3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32385</wp:posOffset>
            </wp:positionV>
            <wp:extent cx="261620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1">
                      <a:extLst>
                        <a:ext uri="{28A0092B-C50C-407E-A947-70E740481C1C}"/>
                      </a:extLst>
                    </a:blip>
                    <a:srcRect/>
                    <a:stretch>
                      <a:fillRect/>
                    </a:stretch>
                  </pic:blipFill>
                  <pic:spPr bwMode="auto">
                    <a:xfrm>
                      <a:off x="0" y="0"/>
                      <a:ext cx="2616200" cy="7620"/>
                    </a:xfrm>
                    <a:prstGeom prst="rect">
                      <a:avLst/>
                    </a:prstGeom>
                    <a:noFill/>
                  </pic:spPr>
                </pic:pic>
              </a:graphicData>
            </a:graphic>
          </wp:anchor>
        </w:drawing>
      </w:r>
    </w:p>
    <w:p>
      <w:pPr>
        <w:spacing w:after="0" w:line="285" w:lineRule="exact"/>
        <w:rPr>
          <w:sz w:val="20"/>
          <w:szCs w:val="20"/>
          <w:color w:val="auto"/>
        </w:rPr>
      </w:pPr>
    </w:p>
    <w:p>
      <w:pPr>
        <w:ind w:left="20"/>
        <w:spacing w:after="0"/>
        <w:tabs>
          <w:tab w:leader="none" w:pos="4960" w:val="left"/>
        </w:tabs>
        <w:rPr>
          <w:sz w:val="20"/>
          <w:szCs w:val="20"/>
          <w:color w:val="auto"/>
        </w:rPr>
      </w:pPr>
      <w:r>
        <w:rPr>
          <w:rFonts w:ascii="Times New Roman" w:cs="Times New Roman" w:eastAsia="Times New Roman" w:hAnsi="Times New Roman"/>
          <w:sz w:val="18"/>
          <w:szCs w:val="18"/>
          <w:color w:val="auto"/>
        </w:rPr>
        <w:t>EXECUTIVE</w:t>
      </w:r>
      <w:r>
        <w:rPr>
          <w:sz w:val="20"/>
          <w:szCs w:val="20"/>
          <w:color w:val="auto"/>
        </w:rPr>
        <w:tab/>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32385</wp:posOffset>
            </wp:positionV>
            <wp:extent cx="261620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2">
                      <a:extLst>
                        <a:ext uri="{28A0092B-C50C-407E-A947-70E740481C1C}"/>
                      </a:extLst>
                    </a:blip>
                    <a:srcRect/>
                    <a:stretch>
                      <a:fillRect/>
                    </a:stretch>
                  </pic:blipFill>
                  <pic:spPr bwMode="auto">
                    <a:xfrm>
                      <a:off x="0" y="0"/>
                      <a:ext cx="2616200" cy="7620"/>
                    </a:xfrm>
                    <a:prstGeom prst="rect">
                      <a:avLst/>
                    </a:prstGeom>
                    <a:noFill/>
                  </pic:spPr>
                </pic:pic>
              </a:graphicData>
            </a:graphic>
          </wp:anchor>
        </w:drawing>
      </w:r>
    </w:p>
    <w:p>
      <w:pPr>
        <w:spacing w:after="0" w:line="4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(Signature)</w:t>
      </w:r>
    </w:p>
    <w:p>
      <w:pPr>
        <w:spacing w:after="0" w:line="5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32385</wp:posOffset>
            </wp:positionV>
            <wp:extent cx="261620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3">
                      <a:extLst>
                        <a:ext uri="{28A0092B-C50C-407E-A947-70E740481C1C}"/>
                      </a:extLst>
                    </a:blip>
                    <a:srcRect/>
                    <a:stretch>
                      <a:fillRect/>
                    </a:stretch>
                  </pic:blipFill>
                  <pic:spPr bwMode="auto">
                    <a:xfrm>
                      <a:off x="0" y="0"/>
                      <a:ext cx="2616200" cy="7620"/>
                    </a:xfrm>
                    <a:prstGeom prst="rect">
                      <a:avLst/>
                    </a:prstGeom>
                    <a:noFill/>
                  </pic:spPr>
                </pic:pic>
              </a:graphicData>
            </a:graphic>
          </wp:anchor>
        </w:drawing>
      </w:r>
    </w:p>
    <w:p>
      <w:pPr>
        <w:spacing w:after="0" w:line="3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32385</wp:posOffset>
            </wp:positionV>
            <wp:extent cx="261620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4">
                      <a:extLst>
                        <a:ext uri="{28A0092B-C50C-407E-A947-70E740481C1C}"/>
                      </a:extLst>
                    </a:blip>
                    <a:srcRect/>
                    <a:stretch>
                      <a:fillRect/>
                    </a:stretch>
                  </pic:blipFill>
                  <pic:spPr bwMode="auto">
                    <a:xfrm>
                      <a:off x="0" y="0"/>
                      <a:ext cx="26162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0139"/>
          </w:cols>
          <w:pgMar w:left="320" w:top="1318" w:right="1440" w:bottom="1440" w:gutter="0" w:footer="0" w:header="0"/>
        </w:sectPr>
      </w:pPr>
    </w:p>
    <w:bookmarkStart w:id="155" w:name="page156"/>
    <w:bookmarkEnd w:id="155"/>
    <w:p>
      <w:pPr>
        <w:jc w:val="right"/>
        <w:spacing w:after="0"/>
        <w:rPr>
          <w:sz w:val="20"/>
          <w:szCs w:val="20"/>
          <w:color w:val="auto"/>
        </w:rPr>
      </w:pPr>
      <w:r>
        <w:rPr>
          <w:rFonts w:ascii="Arial" w:cs="Arial" w:eastAsia="Arial" w:hAnsi="Arial"/>
          <w:sz w:val="20"/>
          <w:szCs w:val="20"/>
          <w:b w:val="1"/>
          <w:bCs w:val="1"/>
          <w:color w:val="auto"/>
        </w:rPr>
        <w:t>Exhibit 10.25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144780</wp:posOffset>
            </wp:positionV>
            <wp:extent cx="895985" cy="650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5">
                      <a:extLst>
                        <a:ext uri="{28A0092B-C50C-407E-A947-70E740481C1C}"/>
                      </a:extLst>
                    </a:blip>
                    <a:srcRect/>
                    <a:stretch>
                      <a:fillRect/>
                    </a:stretch>
                  </pic:blipFill>
                  <pic:spPr bwMode="auto">
                    <a:xfrm>
                      <a:off x="0" y="0"/>
                      <a:ext cx="895985" cy="65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color w:val="auto"/>
        </w:rPr>
        <w:t>June 22,2020</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James H. Erlinger III</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6213 Carlyle Dr.</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Raleigh, NC 27614</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Dear Jim:</w:t>
      </w:r>
    </w:p>
    <w:p>
      <w:pPr>
        <w:spacing w:after="0" w:line="229" w:lineRule="exact"/>
        <w:rPr>
          <w:sz w:val="20"/>
          <w:szCs w:val="20"/>
          <w:color w:val="auto"/>
        </w:rPr>
      </w:pPr>
    </w:p>
    <w:p>
      <w:pPr>
        <w:spacing w:after="0" w:line="310" w:lineRule="auto"/>
        <w:rPr>
          <w:sz w:val="20"/>
          <w:szCs w:val="20"/>
          <w:color w:val="auto"/>
        </w:rPr>
      </w:pPr>
      <w:r>
        <w:rPr>
          <w:rFonts w:ascii="Arial" w:cs="Arial" w:eastAsia="Arial" w:hAnsi="Arial"/>
          <w:sz w:val="16"/>
          <w:szCs w:val="16"/>
          <w:color w:val="auto"/>
        </w:rPr>
        <w:t>We’re delighted to confirm our offer of employment as Veracyte’s EVP, General Counsel. In this role, you will report to Bonnie Anderson, Chairman and Chief Executive Officer. (You should note that the Company may modify job titles and reporting relationships from time to time as it deems necessary.)</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The terms of this offer are as follows:</w:t>
      </w:r>
    </w:p>
    <w:p>
      <w:pPr>
        <w:spacing w:after="0" w:line="241" w:lineRule="exact"/>
        <w:rPr>
          <w:sz w:val="20"/>
          <w:szCs w:val="20"/>
          <w:color w:val="auto"/>
        </w:rPr>
      </w:pPr>
    </w:p>
    <w:p>
      <w:pPr>
        <w:ind w:left="520" w:hanging="295"/>
        <w:spacing w:after="0" w:line="293" w:lineRule="auto"/>
        <w:tabs>
          <w:tab w:leader="none" w:pos="509" w:val="left"/>
        </w:tabs>
        <w:numPr>
          <w:ilvl w:val="0"/>
          <w:numId w:val="94"/>
        </w:numPr>
        <w:rPr>
          <w:rFonts w:ascii="Arial" w:cs="Arial" w:eastAsia="Arial" w:hAnsi="Arial"/>
          <w:sz w:val="17"/>
          <w:szCs w:val="17"/>
          <w:color w:val="auto"/>
        </w:rPr>
      </w:pPr>
      <w:r>
        <w:rPr>
          <w:rFonts w:ascii="Arial" w:cs="Arial" w:eastAsia="Arial" w:hAnsi="Arial"/>
          <w:sz w:val="17"/>
          <w:szCs w:val="17"/>
          <w:color w:val="auto"/>
        </w:rPr>
        <w:t>You will receive a base salary of $400,000 per year, less all applicable taxes and withholdings, paid in accordance with Veracyte’s established payroll schedule, presently semi-monthly.</w:t>
      </w:r>
    </w:p>
    <w:p>
      <w:pPr>
        <w:spacing w:after="0" w:line="109" w:lineRule="exact"/>
        <w:rPr>
          <w:rFonts w:ascii="Arial" w:cs="Arial" w:eastAsia="Arial" w:hAnsi="Arial"/>
          <w:sz w:val="17"/>
          <w:szCs w:val="17"/>
          <w:color w:val="auto"/>
        </w:rPr>
      </w:pPr>
    </w:p>
    <w:p>
      <w:pPr>
        <w:jc w:val="both"/>
        <w:ind w:left="520"/>
        <w:spacing w:after="0" w:line="277" w:lineRule="auto"/>
        <w:rPr>
          <w:rFonts w:ascii="Arial" w:cs="Arial" w:eastAsia="Arial" w:hAnsi="Arial"/>
          <w:sz w:val="17"/>
          <w:szCs w:val="17"/>
          <w:color w:val="auto"/>
        </w:rPr>
      </w:pPr>
      <w:r>
        <w:rPr>
          <w:rFonts w:ascii="Arial" w:cs="Arial" w:eastAsia="Arial" w:hAnsi="Arial"/>
          <w:sz w:val="17"/>
          <w:szCs w:val="17"/>
          <w:color w:val="auto"/>
        </w:rPr>
        <w:t>In addition, you will be eligible to participate in the Company’s 2020 Bonus Plan. Your target bonus for 2020 will be 55% of eligible annual earnings. Payout is dependent on company and individual performance and is not guaranteed. For purposes of 2020, your individual performance multiplier will be not less than 100%.</w:t>
      </w:r>
    </w:p>
    <w:p>
      <w:pPr>
        <w:spacing w:after="0" w:line="134" w:lineRule="exact"/>
        <w:rPr>
          <w:rFonts w:ascii="Arial" w:cs="Arial" w:eastAsia="Arial" w:hAnsi="Arial"/>
          <w:sz w:val="17"/>
          <w:szCs w:val="17"/>
          <w:color w:val="auto"/>
        </w:rPr>
      </w:pPr>
    </w:p>
    <w:p>
      <w:pPr>
        <w:jc w:val="both"/>
        <w:ind w:left="600" w:hanging="301"/>
        <w:spacing w:after="0" w:line="271" w:lineRule="auto"/>
        <w:tabs>
          <w:tab w:leader="none" w:pos="589" w:val="left"/>
        </w:tabs>
        <w:numPr>
          <w:ilvl w:val="1"/>
          <w:numId w:val="94"/>
        </w:numPr>
        <w:rPr>
          <w:rFonts w:ascii="Arial" w:cs="Arial" w:eastAsia="Arial" w:hAnsi="Arial"/>
          <w:sz w:val="17"/>
          <w:szCs w:val="17"/>
          <w:color w:val="auto"/>
        </w:rPr>
      </w:pPr>
      <w:r>
        <w:rPr>
          <w:rFonts w:ascii="Arial" w:cs="Arial" w:eastAsia="Arial" w:hAnsi="Arial"/>
          <w:sz w:val="17"/>
          <w:szCs w:val="17"/>
          <w:color w:val="auto"/>
        </w:rPr>
        <w:t>The Company’s Board of Directors has agreed to offer equity participation to you. You will be granted the option to purchase 175,000 shares of Veracyte Common Stock. The price per share will be equal to the fair market value of the Common Stock on the date of grant (your hire date). The vesting schedule will be 1/4 of the shares vesting on the first anniversary of your employment, and then 1/48 of the shares vesting each month for the next 36 months.</w:t>
      </w:r>
    </w:p>
    <w:p>
      <w:pPr>
        <w:spacing w:after="0" w:line="128" w:lineRule="exact"/>
        <w:rPr>
          <w:sz w:val="20"/>
          <w:szCs w:val="20"/>
          <w:color w:val="auto"/>
        </w:rPr>
      </w:pPr>
    </w:p>
    <w:p>
      <w:pPr>
        <w:ind w:left="520" w:hanging="295"/>
        <w:spacing w:after="0"/>
        <w:tabs>
          <w:tab w:leader="none" w:pos="5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You will be eligible for the provisions of our Change in Control and Severance Agreement, which is attached for your review and signature.</w:t>
      </w:r>
    </w:p>
    <w:p>
      <w:pPr>
        <w:spacing w:after="0" w:line="179" w:lineRule="exact"/>
        <w:rPr>
          <w:rFonts w:ascii="Arial" w:cs="Arial" w:eastAsia="Arial" w:hAnsi="Arial"/>
          <w:sz w:val="17"/>
          <w:szCs w:val="17"/>
          <w:color w:val="auto"/>
        </w:rPr>
      </w:pPr>
    </w:p>
    <w:p>
      <w:pPr>
        <w:ind w:left="520" w:hanging="295"/>
        <w:spacing w:after="0" w:line="293" w:lineRule="auto"/>
        <w:tabs>
          <w:tab w:leader="none" w:pos="509" w:val="left"/>
        </w:tabs>
        <w:numPr>
          <w:ilvl w:val="0"/>
          <w:numId w:val="95"/>
        </w:numPr>
        <w:rPr>
          <w:rFonts w:ascii="Arial" w:cs="Arial" w:eastAsia="Arial" w:hAnsi="Arial"/>
          <w:sz w:val="17"/>
          <w:szCs w:val="17"/>
          <w:color w:val="auto"/>
        </w:rPr>
      </w:pPr>
      <w:r>
        <w:rPr>
          <w:rFonts w:ascii="Arial" w:cs="Arial" w:eastAsia="Arial" w:hAnsi="Arial"/>
          <w:sz w:val="17"/>
          <w:szCs w:val="17"/>
          <w:color w:val="auto"/>
        </w:rPr>
        <w:t>You also will be eligible for medical, dental, vision and life insurance benefits, and participation in the Company’s 401(k) and Employee Stock Purchase Plans, which will be further detailed in a separate conversation with Human Resources.</w:t>
      </w:r>
    </w:p>
    <w:p>
      <w:pPr>
        <w:spacing w:after="0" w:line="121" w:lineRule="exact"/>
        <w:rPr>
          <w:rFonts w:ascii="Arial" w:cs="Arial" w:eastAsia="Arial" w:hAnsi="Arial"/>
          <w:sz w:val="17"/>
          <w:szCs w:val="17"/>
          <w:color w:val="auto"/>
        </w:rPr>
      </w:pPr>
    </w:p>
    <w:p>
      <w:pPr>
        <w:ind w:left="520"/>
        <w:spacing w:after="0" w:line="293" w:lineRule="auto"/>
        <w:rPr>
          <w:rFonts w:ascii="Arial" w:cs="Arial" w:eastAsia="Arial" w:hAnsi="Arial"/>
          <w:sz w:val="17"/>
          <w:szCs w:val="17"/>
          <w:color w:val="auto"/>
        </w:rPr>
      </w:pPr>
      <w:r>
        <w:rPr>
          <w:rFonts w:ascii="Arial" w:cs="Arial" w:eastAsia="Arial" w:hAnsi="Arial"/>
          <w:sz w:val="17"/>
          <w:szCs w:val="17"/>
          <w:color w:val="auto"/>
        </w:rPr>
        <w:t>Also, you will be eligible for paid time off and company paid holidays in accordance with Veracyte’s established policies. These and other policies are explained fully in the Company’s employee handbook.</w:t>
      </w:r>
    </w:p>
    <w:p>
      <w:pPr>
        <w:spacing w:after="0" w:line="109" w:lineRule="exact"/>
        <w:rPr>
          <w:rFonts w:ascii="Arial" w:cs="Arial" w:eastAsia="Arial" w:hAnsi="Arial"/>
          <w:sz w:val="17"/>
          <w:szCs w:val="17"/>
          <w:color w:val="auto"/>
        </w:rPr>
      </w:pPr>
    </w:p>
    <w:p>
      <w:pPr>
        <w:ind w:left="520"/>
        <w:spacing w:after="0" w:line="293" w:lineRule="auto"/>
        <w:rPr>
          <w:rFonts w:ascii="Arial" w:cs="Arial" w:eastAsia="Arial" w:hAnsi="Arial"/>
          <w:sz w:val="17"/>
          <w:szCs w:val="17"/>
          <w:color w:val="auto"/>
        </w:rPr>
      </w:pPr>
      <w:r>
        <w:rPr>
          <w:rFonts w:ascii="Arial" w:cs="Arial" w:eastAsia="Arial" w:hAnsi="Arial"/>
          <w:sz w:val="17"/>
          <w:szCs w:val="17"/>
          <w:color w:val="auto"/>
        </w:rPr>
        <w:t>The Company will reimburse you for all bar related expenses, including bar membership fees for Missouri and North Carolina and all continuing legal education expenses.</w:t>
      </w:r>
    </w:p>
    <w:p>
      <w:pPr>
        <w:spacing w:after="0" w:line="109" w:lineRule="exact"/>
        <w:rPr>
          <w:rFonts w:ascii="Arial" w:cs="Arial" w:eastAsia="Arial" w:hAnsi="Arial"/>
          <w:sz w:val="17"/>
          <w:szCs w:val="17"/>
          <w:color w:val="auto"/>
        </w:rPr>
      </w:pPr>
    </w:p>
    <w:p>
      <w:pPr>
        <w:jc w:val="both"/>
        <w:ind w:left="520" w:hanging="295"/>
        <w:spacing w:after="0" w:line="277" w:lineRule="auto"/>
        <w:tabs>
          <w:tab w:leader="none" w:pos="509" w:val="left"/>
        </w:tabs>
        <w:numPr>
          <w:ilvl w:val="0"/>
          <w:numId w:val="95"/>
        </w:numPr>
        <w:rPr>
          <w:rFonts w:ascii="Arial" w:cs="Arial" w:eastAsia="Arial" w:hAnsi="Arial"/>
          <w:sz w:val="17"/>
          <w:szCs w:val="17"/>
          <w:color w:val="auto"/>
        </w:rPr>
      </w:pPr>
      <w:r>
        <w:rPr>
          <w:rFonts w:ascii="Arial" w:cs="Arial" w:eastAsia="Arial" w:hAnsi="Arial"/>
          <w:sz w:val="17"/>
          <w:szCs w:val="17"/>
          <w:color w:val="auto"/>
        </w:rPr>
        <w:t>In accordance with Federal immigration law, you will be required to provide the Company documentary evidence of your identity and eligibility for employment in the United States. This documentation must be provided to the Company within three (3) business days of your date of hire, or the Company may terminate its employment relationship with you.</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3"/>
          <w:szCs w:val="13"/>
          <w:color w:val="auto"/>
        </w:rPr>
        <w:t>6000 Shoreline Court, Suite 300, South San Francisco, CA 94080 | T: 650.243.6300 | F: 650.243.6301</w:t>
      </w:r>
    </w:p>
    <w:p>
      <w:pPr>
        <w:sectPr>
          <w:pgSz w:w="11900" w:h="16838" w:orient="portrait"/>
          <w:cols w:equalWidth="0" w:num="1">
            <w:col w:w="11240"/>
          </w:cols>
          <w:pgMar w:left="320" w:top="118" w:right="339" w:bottom="1440" w:gutter="0" w:footer="0" w:header="0"/>
        </w:sectPr>
      </w:pPr>
    </w:p>
    <w:bookmarkStart w:id="156" w:name="page157"/>
    <w:bookmarkEnd w:id="156"/>
    <w:p>
      <w:pPr>
        <w:jc w:val="both"/>
        <w:ind w:left="600" w:hanging="301"/>
        <w:spacing w:after="0" w:line="262" w:lineRule="auto"/>
        <w:tabs>
          <w:tab w:leader="none" w:pos="589" w:val="left"/>
        </w:tabs>
        <w:numPr>
          <w:ilvl w:val="0"/>
          <w:numId w:val="96"/>
        </w:numPr>
        <w:rPr>
          <w:rFonts w:ascii="Arial" w:cs="Arial" w:eastAsia="Arial" w:hAnsi="Arial"/>
          <w:sz w:val="17"/>
          <w:szCs w:val="17"/>
          <w:color w:val="auto"/>
        </w:rPr>
      </w:pPr>
      <w:r>
        <w:rPr>
          <w:rFonts w:ascii="Arial" w:cs="Arial" w:eastAsia="Arial" w:hAnsi="Arial"/>
          <w:sz w:val="17"/>
          <w:szCs w:val="17"/>
          <w:color w:val="auto"/>
        </w:rPr>
        <w:t>In accordance with the law, employment with the Company is at-will, and may be terminated at any time by you or the Company, with or without cause and with or without notice. However, if employment is terminated by you, the Company requests that you provide as much notice as possible.</w:t>
      </w:r>
    </w:p>
    <w:p>
      <w:pPr>
        <w:spacing w:after="0" w:line="184" w:lineRule="exact"/>
        <w:rPr>
          <w:rFonts w:ascii="Arial" w:cs="Arial" w:eastAsia="Arial" w:hAnsi="Arial"/>
          <w:sz w:val="17"/>
          <w:szCs w:val="17"/>
          <w:color w:val="auto"/>
        </w:rPr>
      </w:pPr>
    </w:p>
    <w:p>
      <w:pPr>
        <w:jc w:val="both"/>
        <w:ind w:left="600" w:hanging="301"/>
        <w:spacing w:after="0" w:line="251" w:lineRule="auto"/>
        <w:tabs>
          <w:tab w:leader="none" w:pos="589" w:val="left"/>
        </w:tabs>
        <w:numPr>
          <w:ilvl w:val="0"/>
          <w:numId w:val="96"/>
        </w:numPr>
        <w:rPr>
          <w:rFonts w:ascii="Arial" w:cs="Arial" w:eastAsia="Arial" w:hAnsi="Arial"/>
          <w:sz w:val="17"/>
          <w:szCs w:val="17"/>
          <w:color w:val="auto"/>
        </w:rPr>
      </w:pPr>
      <w:r>
        <w:rPr>
          <w:rFonts w:ascii="Arial" w:cs="Arial" w:eastAsia="Arial" w:hAnsi="Arial"/>
          <w:sz w:val="17"/>
          <w:szCs w:val="17"/>
          <w:color w:val="auto"/>
        </w:rPr>
        <w:t>Employment with the Company is contingent upon your signature of, and compliance with, its At-Will Employment, Confidential Information and Invention Assignment and Arbitration Agreement. This requires, among other provisions, the assignment of patent rights to any invention made during your employment with the Company, as well as non-disclosure of Company proprietary information. There is also a requirement for resolution by binding arbitration of any dispute arising out of our employment relationship. The arbitration requirement is described in detail in the agreement, a copy of which is enclosed with this offer. Kindly send a signed copy of this agreement to Geraldine Yamaguchi (</w:t>
      </w:r>
      <w:r>
        <w:rPr>
          <w:rFonts w:ascii="Arial" w:cs="Arial" w:eastAsia="Arial" w:hAnsi="Arial"/>
          <w:sz w:val="17"/>
          <w:szCs w:val="17"/>
          <w:u w:val="single" w:color="auto"/>
          <w:color w:val="0563C1"/>
        </w:rPr>
        <w:t>geraldine@veracyte.com</w:t>
      </w:r>
      <w:r>
        <w:rPr>
          <w:rFonts w:ascii="Arial" w:cs="Arial" w:eastAsia="Arial" w:hAnsi="Arial"/>
          <w:sz w:val="17"/>
          <w:szCs w:val="17"/>
          <w:color w:val="auto"/>
        </w:rPr>
        <w:t>) prior to your first day of employment.</w:t>
      </w:r>
    </w:p>
    <w:p>
      <w:pPr>
        <w:spacing w:after="0" w:line="196" w:lineRule="exact"/>
        <w:rPr>
          <w:rFonts w:ascii="Arial" w:cs="Arial" w:eastAsia="Arial" w:hAnsi="Arial"/>
          <w:sz w:val="17"/>
          <w:szCs w:val="17"/>
          <w:color w:val="auto"/>
        </w:rPr>
      </w:pPr>
    </w:p>
    <w:p>
      <w:pPr>
        <w:ind w:left="580" w:hanging="281"/>
        <w:spacing w:after="0"/>
        <w:tabs>
          <w:tab w:leader="none" w:pos="5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This offer is contingent upon a successfully completed background report.</w:t>
      </w:r>
    </w:p>
    <w:p>
      <w:pPr>
        <w:spacing w:after="0" w:line="15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 accept the Company’s offer, please sign and date this letter in the space provided below. Your start date is targeted to be August 1, 2020. This letter, together with any agreements relating to proprietary rights as herein described, sets forth the terms of your employment with the Company, and supersedes any prior representations or agreements including, but not limited to, any representations made during your recruitment, interviews or pre-employment negotiations, whether written or oral. This letter including, but not limited to, its at-will employment provision, may not be modified or amended except by written agreement signed by an Officer of the Company and you.</w:t>
      </w:r>
    </w:p>
    <w:p>
      <w:pPr>
        <w:spacing w:after="0" w:line="12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We’re all keenly looking forward to welcoming you aboard! If you have any questions about this offer or its terms, please feel free to contact Jennifer Harvey, HR Director, directly at 650-243-6328.</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/s/ Bonnie Anderson</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Bonnie Anderson</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Chairman and Chief Executive Officer</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Agreed to and accepted:</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Signature: ________</w:t>
      </w:r>
      <w:r>
        <w:rPr>
          <w:rFonts w:ascii="Arial" w:cs="Arial" w:eastAsia="Arial" w:hAnsi="Arial"/>
          <w:sz w:val="17"/>
          <w:szCs w:val="17"/>
          <w:u w:val="single" w:color="auto"/>
          <w:color w:val="auto"/>
        </w:rPr>
        <w:t>/s/ James Erlinger</w:t>
      </w:r>
      <w:r>
        <w:rPr>
          <w:rFonts w:ascii="Arial" w:cs="Arial" w:eastAsia="Arial" w:hAnsi="Arial"/>
          <w:sz w:val="17"/>
          <w:szCs w:val="17"/>
          <w:color w:val="auto"/>
        </w:rPr>
        <w:t>_________</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Printed Name: ____</w:t>
      </w:r>
      <w:r>
        <w:rPr>
          <w:rFonts w:ascii="Arial" w:cs="Arial" w:eastAsia="Arial" w:hAnsi="Arial"/>
          <w:sz w:val="17"/>
          <w:szCs w:val="17"/>
          <w:u w:val="single" w:color="auto"/>
          <w:color w:val="auto"/>
        </w:rPr>
        <w:t>James Erlinger</w:t>
      </w:r>
      <w:r>
        <w:rPr>
          <w:rFonts w:ascii="Arial" w:cs="Arial" w:eastAsia="Arial" w:hAnsi="Arial"/>
          <w:sz w:val="17"/>
          <w:szCs w:val="17"/>
          <w:color w:val="auto"/>
        </w:rPr>
        <w:t>_____________</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Date: ___________6/24/2020_________________</w:t>
      </w:r>
    </w:p>
    <w:p>
      <w:pPr>
        <w:sectPr>
          <w:pgSz w:w="11900" w:h="16838" w:orient="portrait"/>
          <w:cols w:equalWidth="0" w:num="1">
            <w:col w:w="11240"/>
          </w:cols>
          <w:pgMar w:left="320" w:top="118"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940" w:type="dxa"/>
            <w:vAlign w:val="bottom"/>
          </w:tcPr>
          <w:p>
            <w:pPr>
              <w:spacing w:after="0"/>
              <w:rPr>
                <w:sz w:val="17"/>
                <w:szCs w:val="17"/>
                <w:color w:val="auto"/>
              </w:rPr>
            </w:pPr>
          </w:p>
        </w:tc>
        <w:tc>
          <w:tcPr>
            <w:tcW w:w="6300" w:type="dxa"/>
            <w:vAlign w:val="bottom"/>
            <w:gridSpan w:val="2"/>
          </w:tcPr>
          <w:p>
            <w:pPr>
              <w:jc w:val="center"/>
              <w:ind w:right="4920"/>
              <w:spacing w:after="0"/>
              <w:rPr>
                <w:sz w:val="20"/>
                <w:szCs w:val="20"/>
                <w:color w:val="auto"/>
              </w:rPr>
            </w:pPr>
            <w:r>
              <w:rPr>
                <w:rFonts w:ascii="Times New Roman" w:cs="Times New Roman" w:eastAsia="Times New Roman" w:hAnsi="Times New Roman"/>
                <w:sz w:val="17"/>
                <w:szCs w:val="17"/>
                <w:b w:val="1"/>
                <w:bCs w:val="1"/>
                <w:color w:val="auto"/>
                <w:w w:val="96"/>
              </w:rPr>
              <w:t>Veracyte, Inc.</w:t>
            </w:r>
          </w:p>
        </w:tc>
      </w:tr>
      <w:tr>
        <w:trPr>
          <w:trHeight w:val="183"/>
        </w:trPr>
        <w:tc>
          <w:tcPr>
            <w:tcW w:w="4940" w:type="dxa"/>
            <w:vAlign w:val="bottom"/>
          </w:tcPr>
          <w:p>
            <w:pPr>
              <w:spacing w:after="0"/>
              <w:rPr>
                <w:sz w:val="15"/>
                <w:szCs w:val="15"/>
                <w:color w:val="auto"/>
              </w:rPr>
            </w:pPr>
          </w:p>
        </w:tc>
        <w:tc>
          <w:tcPr>
            <w:tcW w:w="6300" w:type="dxa"/>
            <w:vAlign w:val="bottom"/>
            <w:gridSpan w:val="2"/>
          </w:tcPr>
          <w:p>
            <w:pPr>
              <w:jc w:val="center"/>
              <w:ind w:right="4940"/>
              <w:spacing w:after="0" w:line="183" w:lineRule="exact"/>
              <w:rPr>
                <w:sz w:val="20"/>
                <w:szCs w:val="20"/>
                <w:color w:val="auto"/>
              </w:rPr>
            </w:pPr>
            <w:r>
              <w:rPr>
                <w:rFonts w:ascii="Times New Roman" w:cs="Times New Roman" w:eastAsia="Times New Roman" w:hAnsi="Times New Roman"/>
                <w:sz w:val="17"/>
                <w:szCs w:val="17"/>
                <w:b w:val="1"/>
                <w:bCs w:val="1"/>
                <w:color w:val="auto"/>
                <w:w w:val="97"/>
              </w:rPr>
              <w:t>List of Subsidiaries</w:t>
            </w:r>
          </w:p>
        </w:tc>
      </w:tr>
      <w:tr>
        <w:trPr>
          <w:trHeight w:val="20"/>
        </w:trPr>
        <w:tc>
          <w:tcPr>
            <w:tcW w:w="49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567"/>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Legal Entity Name</w:t>
            </w:r>
          </w:p>
        </w:tc>
        <w:tc>
          <w:tcPr>
            <w:tcW w:w="63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Jurisdiction of Incorporation</w:t>
            </w:r>
          </w:p>
        </w:tc>
      </w:tr>
      <w:tr>
        <w:trPr>
          <w:trHeight w:val="20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Veracyte International Corp.</w:t>
            </w:r>
          </w:p>
        </w:tc>
        <w:tc>
          <w:tcPr>
            <w:tcW w:w="6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Delaware</w:t>
            </w:r>
          </w:p>
        </w:tc>
      </w:tr>
      <w:tr>
        <w:trPr>
          <w:trHeight w:val="23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Veracyte Global, B.V.</w:t>
            </w:r>
          </w:p>
        </w:tc>
        <w:tc>
          <w:tcPr>
            <w:tcW w:w="6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Netherlands</w:t>
            </w:r>
          </w:p>
        </w:tc>
      </w:tr>
    </w:tbl>
    <w:p>
      <w:pPr>
        <w:sectPr>
          <w:pgSz w:w="11900" w:h="16838" w:orient="portrait"/>
          <w:cols w:equalWidth="0" w:num="1">
            <w:col w:w="11240"/>
          </w:cols>
          <w:pgMar w:left="320" w:top="1280" w:right="339" w:bottom="1440" w:gutter="0" w:footer="0" w:header="0"/>
        </w:sectPr>
      </w:pPr>
    </w:p>
    <w:bookmarkStart w:id="158" w:name="page159"/>
    <w:bookmarkEnd w:id="158"/>
    <w:p>
      <w:pPr>
        <w:ind w:left="10340"/>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29" w:lineRule="exact"/>
        <w:rPr>
          <w:sz w:val="20"/>
          <w:szCs w:val="20"/>
          <w:color w:val="auto"/>
        </w:rPr>
      </w:pPr>
    </w:p>
    <w:p>
      <w:pPr>
        <w:ind w:right="2700" w:firstLine="2717"/>
        <w:spacing w:after="0" w:line="454" w:lineRule="auto"/>
        <w:rPr>
          <w:sz w:val="20"/>
          <w:szCs w:val="20"/>
          <w:color w:val="auto"/>
        </w:rPr>
      </w:pPr>
      <w:r>
        <w:rPr>
          <w:rFonts w:ascii="Times New Roman" w:cs="Times New Roman" w:eastAsia="Times New Roman" w:hAnsi="Times New Roman"/>
          <w:sz w:val="17"/>
          <w:szCs w:val="17"/>
          <w:b w:val="1"/>
          <w:bCs w:val="1"/>
          <w:color w:val="auto"/>
        </w:rPr>
        <w:t xml:space="preserve">CONSENT OF INDEPENDENT REGISTERED PUBLIC ACCOUNTING FIRM </w:t>
      </w:r>
      <w:r>
        <w:rPr>
          <w:rFonts w:ascii="Times New Roman" w:cs="Times New Roman" w:eastAsia="Times New Roman" w:hAnsi="Times New Roman"/>
          <w:sz w:val="17"/>
          <w:szCs w:val="17"/>
          <w:color w:val="auto"/>
        </w:rPr>
        <w:t>We consent to the incorporation by reference in the following Registration Statements:</w:t>
      </w:r>
    </w:p>
    <w:p>
      <w:pPr>
        <w:spacing w:after="0" w:line="1" w:lineRule="exact"/>
        <w:rPr>
          <w:sz w:val="20"/>
          <w:szCs w:val="20"/>
          <w:color w:val="auto"/>
        </w:rPr>
      </w:pPr>
    </w:p>
    <w:p>
      <w:pPr>
        <w:ind w:left="740" w:right="160" w:hanging="441"/>
        <w:spacing w:after="0" w:line="255" w:lineRule="auto"/>
        <w:tabs>
          <w:tab w:leader="none" w:pos="734"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Statements (Forms S-8 Nos. 333-191992, 333-203097, 333-210185, 333-216388, 333-223292, 333-229848 and 333-236630) pertaining to the 2008 Stock Plan and 2013 Stock Incentive Plan of Veracyte, Inc.,</w:t>
      </w:r>
    </w:p>
    <w:p>
      <w:pPr>
        <w:ind w:left="740" w:right="120" w:hanging="441"/>
        <w:spacing w:after="0" w:line="245" w:lineRule="auto"/>
        <w:tabs>
          <w:tab w:leader="none" w:pos="734"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Statements (Forms S-8 No. 333-205206 and 333-240214) pertaining to the Amended and Restated Employee Stock Purchase Plan of Veracyte, Inc., and</w:t>
      </w:r>
    </w:p>
    <w:p>
      <w:pPr>
        <w:ind w:left="740" w:hanging="441"/>
        <w:spacing w:after="0"/>
        <w:tabs>
          <w:tab w:leader="none" w:pos="7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Statements (Forms S-3 Nos. 333-204368, 333-205204, and 333-252681) of Veracyte, Inc.;</w:t>
      </w:r>
    </w:p>
    <w:p>
      <w:pPr>
        <w:spacing w:after="0" w:line="21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of our reports dated February 22, 2021, with respect to the consolidated financial statements of Veracyte, Inc. and the effectiveness of internal control over financial reporting of Veracyte, Inc. included in this Annual Report (Form 10-K) of Veracyte, Inc. for the year ended December 31, 2020.</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Redwood City,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2021</w:t>
      </w:r>
    </w:p>
    <w:p>
      <w:pPr>
        <w:sectPr>
          <w:pgSz w:w="11900" w:h="16838" w:orient="portrait"/>
          <w:cols w:equalWidth="0" w:num="1">
            <w:col w:w="11240"/>
          </w:cols>
          <w:pgMar w:left="320" w:top="831"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PRINCIPAL EXECUTIVE OFFICER’S 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Bonnie H. Anderson, certify that:</w:t>
      </w:r>
    </w:p>
    <w:p>
      <w:pPr>
        <w:spacing w:after="0" w:line="204" w:lineRule="exact"/>
        <w:rPr>
          <w:sz w:val="20"/>
          <w:szCs w:val="20"/>
          <w:color w:val="auto"/>
        </w:rPr>
      </w:pPr>
    </w:p>
    <w:p>
      <w:pPr>
        <w:ind w:left="1220" w:hanging="621"/>
        <w:spacing w:after="0"/>
        <w:tabs>
          <w:tab w:leader="none" w:pos="122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Veracyte, Inc.;</w:t>
      </w:r>
    </w:p>
    <w:p>
      <w:pPr>
        <w:spacing w:after="0" w:line="204" w:lineRule="exact"/>
        <w:rPr>
          <w:rFonts w:ascii="Times New Roman" w:cs="Times New Roman" w:eastAsia="Times New Roman" w:hAnsi="Times New Roman"/>
          <w:sz w:val="17"/>
          <w:szCs w:val="17"/>
          <w:color w:val="auto"/>
        </w:rPr>
      </w:pPr>
    </w:p>
    <w:p>
      <w:pPr>
        <w:ind w:right="340" w:firstLine="599"/>
        <w:spacing w:after="0" w:line="270" w:lineRule="auto"/>
        <w:tabs>
          <w:tab w:leader="none" w:pos="1227"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9" w:lineRule="exact"/>
        <w:rPr>
          <w:rFonts w:ascii="Times New Roman" w:cs="Times New Roman" w:eastAsia="Times New Roman" w:hAnsi="Times New Roman"/>
          <w:sz w:val="17"/>
          <w:szCs w:val="17"/>
          <w:color w:val="auto"/>
        </w:rPr>
      </w:pPr>
    </w:p>
    <w:p>
      <w:pPr>
        <w:ind w:right="300" w:firstLine="599"/>
        <w:spacing w:after="0" w:line="270" w:lineRule="auto"/>
        <w:tabs>
          <w:tab w:leader="none" w:pos="1227"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Times New Roman" w:cs="Times New Roman" w:eastAsia="Times New Roman" w:hAnsi="Times New Roman"/>
          <w:sz w:val="17"/>
          <w:szCs w:val="17"/>
          <w:color w:val="auto"/>
        </w:rPr>
      </w:pPr>
    </w:p>
    <w:p>
      <w:pPr>
        <w:ind w:right="20" w:firstLine="599"/>
        <w:spacing w:after="0" w:line="257" w:lineRule="auto"/>
        <w:tabs>
          <w:tab w:leader="none" w:pos="1227"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Times New Roman" w:cs="Times New Roman" w:eastAsia="Times New Roman" w:hAnsi="Times New Roman"/>
          <w:sz w:val="17"/>
          <w:szCs w:val="17"/>
          <w:color w:val="auto"/>
        </w:rPr>
      </w:pPr>
    </w:p>
    <w:p>
      <w:pPr>
        <w:ind w:left="600" w:right="160" w:firstLine="598"/>
        <w:spacing w:after="0" w:line="257" w:lineRule="auto"/>
        <w:tabs>
          <w:tab w:leader="none" w:pos="1819"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Times New Roman" w:cs="Times New Roman" w:eastAsia="Times New Roman" w:hAnsi="Times New Roman"/>
          <w:sz w:val="17"/>
          <w:szCs w:val="17"/>
          <w:color w:val="auto"/>
        </w:rPr>
      </w:pPr>
    </w:p>
    <w:p>
      <w:pPr>
        <w:ind w:left="600" w:right="120" w:firstLine="598"/>
        <w:spacing w:after="0" w:line="257" w:lineRule="auto"/>
        <w:tabs>
          <w:tab w:leader="none" w:pos="1829"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Times New Roman" w:cs="Times New Roman" w:eastAsia="Times New Roman" w:hAnsi="Times New Roman"/>
          <w:sz w:val="17"/>
          <w:szCs w:val="17"/>
          <w:color w:val="auto"/>
        </w:rPr>
      </w:pPr>
    </w:p>
    <w:p>
      <w:pPr>
        <w:ind w:left="600" w:right="440" w:firstLine="598"/>
        <w:spacing w:after="0" w:line="270" w:lineRule="auto"/>
        <w:tabs>
          <w:tab w:leader="none" w:pos="1832"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Times New Roman" w:cs="Times New Roman" w:eastAsia="Times New Roman" w:hAnsi="Times New Roman"/>
          <w:sz w:val="17"/>
          <w:szCs w:val="17"/>
          <w:color w:val="auto"/>
        </w:rPr>
      </w:pPr>
    </w:p>
    <w:p>
      <w:pPr>
        <w:ind w:left="600" w:right="20" w:firstLine="598"/>
        <w:spacing w:after="0" w:line="257" w:lineRule="auto"/>
        <w:tabs>
          <w:tab w:leader="none" w:pos="1829"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Times New Roman" w:cs="Times New Roman" w:eastAsia="Times New Roman" w:hAnsi="Times New Roman"/>
          <w:sz w:val="17"/>
          <w:szCs w:val="17"/>
          <w:color w:val="auto"/>
        </w:rPr>
      </w:pPr>
    </w:p>
    <w:p>
      <w:pPr>
        <w:ind w:right="60" w:firstLine="599"/>
        <w:spacing w:after="0" w:line="270" w:lineRule="auto"/>
        <w:tabs>
          <w:tab w:leader="none" w:pos="1227"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Times New Roman" w:cs="Times New Roman" w:eastAsia="Times New Roman" w:hAnsi="Times New Roman"/>
          <w:sz w:val="17"/>
          <w:szCs w:val="17"/>
          <w:color w:val="auto"/>
        </w:rPr>
      </w:pPr>
    </w:p>
    <w:p>
      <w:pPr>
        <w:ind w:left="600" w:right="660" w:firstLine="598"/>
        <w:spacing w:after="0" w:line="270" w:lineRule="auto"/>
        <w:tabs>
          <w:tab w:leader="none" w:pos="1819"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Times New Roman" w:cs="Times New Roman" w:eastAsia="Times New Roman" w:hAnsi="Times New Roman"/>
          <w:sz w:val="17"/>
          <w:szCs w:val="17"/>
          <w:color w:val="auto"/>
        </w:rPr>
      </w:pPr>
    </w:p>
    <w:p>
      <w:pPr>
        <w:ind w:left="600" w:right="360" w:firstLine="598"/>
        <w:spacing w:after="0" w:line="270" w:lineRule="auto"/>
        <w:tabs>
          <w:tab w:leader="none" w:pos="1829"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84"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7"/>
          <w:szCs w:val="17"/>
          <w:color w:val="auto"/>
        </w:rPr>
        <w:t>Date:</w:t>
        <w:tab/>
        <w:t>February 22, 2021</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3583305</wp:posOffset>
            </wp:positionH>
            <wp:positionV relativeFrom="paragraph">
              <wp:posOffset>10795</wp:posOffset>
            </wp:positionV>
            <wp:extent cx="354330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6">
                      <a:extLst>
                        <a:ext uri="{28A0092B-C50C-407E-A947-70E740481C1C}"/>
                      </a:extLst>
                    </a:blip>
                    <a:srcRect/>
                    <a:stretch>
                      <a:fillRect/>
                    </a:stretch>
                  </pic:blipFill>
                  <pic:spPr bwMode="auto">
                    <a:xfrm>
                      <a:off x="0" y="0"/>
                      <a:ext cx="3543300" cy="7620"/>
                    </a:xfrm>
                    <a:prstGeom prst="rect">
                      <a:avLst/>
                    </a:prstGeom>
                    <a:noFill/>
                  </pic:spPr>
                </pic:pic>
              </a:graphicData>
            </a:graphic>
          </wp:anchor>
        </w:drawing>
      </w:r>
    </w:p>
    <w:p>
      <w:pPr>
        <w:spacing w:after="0" w:line="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Bonnie H. Anderson</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i w:val="1"/>
          <w:iCs w:val="1"/>
          <w:color w:val="auto"/>
        </w:rPr>
        <w:t>Chairman and Chief Executive Officer</w:t>
      </w:r>
    </w:p>
    <w:p>
      <w:pPr>
        <w:spacing w:after="0" w:line="1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240"/>
          </w:cols>
          <w:pgMar w:left="320" w:top="831"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PRINCIPAL FINANCIAL OFFICER’S 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Keith Kennedy, certify that:</w:t>
      </w:r>
    </w:p>
    <w:p>
      <w:pPr>
        <w:spacing w:after="0" w:line="204" w:lineRule="exact"/>
        <w:rPr>
          <w:sz w:val="20"/>
          <w:szCs w:val="20"/>
          <w:color w:val="auto"/>
        </w:rPr>
      </w:pPr>
    </w:p>
    <w:p>
      <w:pPr>
        <w:ind w:left="1220" w:hanging="621"/>
        <w:spacing w:after="0"/>
        <w:tabs>
          <w:tab w:leader="none" w:pos="122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Veracyte, Inc.;</w:t>
      </w:r>
    </w:p>
    <w:p>
      <w:pPr>
        <w:spacing w:after="0" w:line="204" w:lineRule="exact"/>
        <w:rPr>
          <w:rFonts w:ascii="Times New Roman" w:cs="Times New Roman" w:eastAsia="Times New Roman" w:hAnsi="Times New Roman"/>
          <w:sz w:val="17"/>
          <w:szCs w:val="17"/>
          <w:color w:val="auto"/>
        </w:rPr>
      </w:pPr>
    </w:p>
    <w:p>
      <w:pPr>
        <w:ind w:right="340" w:firstLine="599"/>
        <w:spacing w:after="0" w:line="270" w:lineRule="auto"/>
        <w:tabs>
          <w:tab w:leader="none" w:pos="1227"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9" w:lineRule="exact"/>
        <w:rPr>
          <w:rFonts w:ascii="Times New Roman" w:cs="Times New Roman" w:eastAsia="Times New Roman" w:hAnsi="Times New Roman"/>
          <w:sz w:val="17"/>
          <w:szCs w:val="17"/>
          <w:color w:val="auto"/>
        </w:rPr>
      </w:pPr>
    </w:p>
    <w:p>
      <w:pPr>
        <w:ind w:right="300" w:firstLine="599"/>
        <w:spacing w:after="0" w:line="270" w:lineRule="auto"/>
        <w:tabs>
          <w:tab w:leader="none" w:pos="1227"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Times New Roman" w:cs="Times New Roman" w:eastAsia="Times New Roman" w:hAnsi="Times New Roman"/>
          <w:sz w:val="17"/>
          <w:szCs w:val="17"/>
          <w:color w:val="auto"/>
        </w:rPr>
      </w:pPr>
    </w:p>
    <w:p>
      <w:pPr>
        <w:ind w:right="20" w:firstLine="599"/>
        <w:spacing w:after="0" w:line="257" w:lineRule="auto"/>
        <w:tabs>
          <w:tab w:leader="none" w:pos="1227"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sz w:val="20"/>
          <w:szCs w:val="20"/>
          <w:color w:val="auto"/>
        </w:rPr>
      </w:pPr>
    </w:p>
    <w:p>
      <w:pPr>
        <w:ind w:left="600" w:right="640" w:firstLine="598"/>
        <w:spacing w:after="0" w:line="257" w:lineRule="auto"/>
        <w:tabs>
          <w:tab w:leader="none" w:pos="1819"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Times New Roman" w:cs="Times New Roman" w:eastAsia="Times New Roman" w:hAnsi="Times New Roman"/>
          <w:sz w:val="17"/>
          <w:szCs w:val="17"/>
          <w:color w:val="auto"/>
        </w:rPr>
      </w:pPr>
    </w:p>
    <w:p>
      <w:pPr>
        <w:jc w:val="both"/>
        <w:ind w:left="600" w:right="600" w:firstLine="598"/>
        <w:spacing w:after="0" w:line="257" w:lineRule="auto"/>
        <w:tabs>
          <w:tab w:leader="none" w:pos="1829"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Times New Roman" w:cs="Times New Roman" w:eastAsia="Times New Roman" w:hAnsi="Times New Roman"/>
          <w:sz w:val="17"/>
          <w:szCs w:val="17"/>
          <w:color w:val="auto"/>
        </w:rPr>
      </w:pPr>
    </w:p>
    <w:p>
      <w:pPr>
        <w:ind w:left="600" w:right="680" w:firstLine="598"/>
        <w:spacing w:after="0" w:line="270" w:lineRule="auto"/>
        <w:tabs>
          <w:tab w:leader="none" w:pos="1832"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Times New Roman" w:cs="Times New Roman" w:eastAsia="Times New Roman" w:hAnsi="Times New Roman"/>
          <w:sz w:val="17"/>
          <w:szCs w:val="17"/>
          <w:color w:val="auto"/>
        </w:rPr>
      </w:pPr>
    </w:p>
    <w:p>
      <w:pPr>
        <w:jc w:val="both"/>
        <w:ind w:left="600" w:right="780" w:firstLine="598"/>
        <w:spacing w:after="0" w:line="257" w:lineRule="auto"/>
        <w:tabs>
          <w:tab w:leader="none" w:pos="1829"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Times New Roman" w:cs="Times New Roman" w:eastAsia="Times New Roman" w:hAnsi="Times New Roman"/>
          <w:sz w:val="17"/>
          <w:szCs w:val="17"/>
          <w:color w:val="auto"/>
        </w:rPr>
      </w:pPr>
    </w:p>
    <w:p>
      <w:pPr>
        <w:ind w:right="60" w:firstLine="599"/>
        <w:spacing w:after="0" w:line="270" w:lineRule="auto"/>
        <w:tabs>
          <w:tab w:leader="none" w:pos="1227"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Times New Roman" w:cs="Times New Roman" w:eastAsia="Times New Roman" w:hAnsi="Times New Roman"/>
          <w:sz w:val="17"/>
          <w:szCs w:val="17"/>
          <w:color w:val="auto"/>
        </w:rPr>
      </w:pPr>
    </w:p>
    <w:p>
      <w:pPr>
        <w:ind w:left="600" w:right="660" w:firstLine="598"/>
        <w:spacing w:after="0" w:line="270" w:lineRule="auto"/>
        <w:tabs>
          <w:tab w:leader="none" w:pos="1819"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Times New Roman" w:cs="Times New Roman" w:eastAsia="Times New Roman" w:hAnsi="Times New Roman"/>
          <w:sz w:val="17"/>
          <w:szCs w:val="17"/>
          <w:color w:val="auto"/>
        </w:rPr>
      </w:pPr>
    </w:p>
    <w:p>
      <w:pPr>
        <w:ind w:left="1820" w:hanging="622"/>
        <w:spacing w:after="0"/>
        <w:tabs>
          <w:tab w:leader="none" w:pos="1820"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internal control over financial reporting.</w:t>
      </w:r>
    </w:p>
    <w:p>
      <w:pPr>
        <w:spacing w:after="0" w:line="312"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7"/>
          <w:szCs w:val="17"/>
          <w:color w:val="auto"/>
        </w:rPr>
        <w:t>Date:</w:t>
        <w:tab/>
        <w:t>February 22, 2021</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3583305</wp:posOffset>
            </wp:positionH>
            <wp:positionV relativeFrom="paragraph">
              <wp:posOffset>10795</wp:posOffset>
            </wp:positionV>
            <wp:extent cx="354330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7">
                      <a:extLst>
                        <a:ext uri="{28A0092B-C50C-407E-A947-70E740481C1C}"/>
                      </a:extLst>
                    </a:blip>
                    <a:srcRect/>
                    <a:stretch>
                      <a:fillRect/>
                    </a:stretch>
                  </pic:blipFill>
                  <pic:spPr bwMode="auto">
                    <a:xfrm>
                      <a:off x="0" y="0"/>
                      <a:ext cx="3543300" cy="7620"/>
                    </a:xfrm>
                    <a:prstGeom prst="rect">
                      <a:avLst/>
                    </a:prstGeom>
                    <a:noFill/>
                  </pic:spPr>
                </pic:pic>
              </a:graphicData>
            </a:graphic>
          </wp:anchor>
        </w:drawing>
      </w:r>
    </w:p>
    <w:p>
      <w:pPr>
        <w:spacing w:after="0" w:line="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Keith Kennedy</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i w:val="1"/>
          <w:iCs w:val="1"/>
          <w:color w:val="auto"/>
        </w:rPr>
        <w:t>Chief Financial Officer and Chief Operating Officer</w:t>
      </w:r>
    </w:p>
    <w:p>
      <w:pPr>
        <w:spacing w:after="0" w:line="1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p>
      <w:pPr>
        <w:sectPr>
          <w:pgSz w:w="11900" w:h="16838" w:orient="portrait"/>
          <w:cols w:equalWidth="0" w:num="1">
            <w:col w:w="11240"/>
          </w:cols>
          <w:pgMar w:left="320" w:top="831"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4" w:lineRule="exact"/>
        <w:rPr>
          <w:sz w:val="20"/>
          <w:szCs w:val="20"/>
          <w:color w:val="auto"/>
        </w:rPr>
      </w:pPr>
    </w:p>
    <w:p>
      <w:pPr>
        <w:ind w:right="100" w:firstLine="333"/>
        <w:spacing w:after="0" w:line="247" w:lineRule="auto"/>
        <w:rPr>
          <w:sz w:val="20"/>
          <w:szCs w:val="20"/>
          <w:color w:val="auto"/>
        </w:rPr>
      </w:pPr>
      <w:r>
        <w:rPr>
          <w:rFonts w:ascii="Times New Roman" w:cs="Times New Roman" w:eastAsia="Times New Roman" w:hAnsi="Times New Roman"/>
          <w:sz w:val="17"/>
          <w:szCs w:val="17"/>
          <w:color w:val="auto"/>
        </w:rPr>
        <w:t>In connection with the annual report of Veracyte, Inc. (the "Company") on Form 10-K for the year ended December 31, 2020,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204" w:lineRule="exact"/>
        <w:rPr>
          <w:sz w:val="20"/>
          <w:szCs w:val="20"/>
          <w:color w:val="auto"/>
        </w:rPr>
      </w:pPr>
    </w:p>
    <w:p>
      <w:pPr>
        <w:ind w:left="1200" w:hanging="601"/>
        <w:spacing w:after="0"/>
        <w:tabs>
          <w:tab w:leader="none" w:pos="12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28" w:lineRule="exact"/>
        <w:rPr>
          <w:rFonts w:ascii="Times New Roman" w:cs="Times New Roman" w:eastAsia="Times New Roman" w:hAnsi="Times New Roman"/>
          <w:sz w:val="17"/>
          <w:szCs w:val="17"/>
          <w:color w:val="auto"/>
        </w:rPr>
      </w:pPr>
    </w:p>
    <w:p>
      <w:pPr>
        <w:ind w:left="1200" w:hanging="601"/>
        <w:spacing w:after="0"/>
        <w:tabs>
          <w:tab w:leader="none" w:pos="12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7"/>
          <w:szCs w:val="17"/>
          <w:color w:val="auto"/>
        </w:rPr>
        <w:t>Date:</w:t>
        <w:tab/>
        <w:t>February 22, 2021</w:t>
      </w:r>
    </w:p>
    <w:p>
      <w:pPr>
        <w:spacing w:after="0" w:line="22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13335</wp:posOffset>
            </wp:positionV>
            <wp:extent cx="354330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8">
                      <a:extLst>
                        <a:ext uri="{28A0092B-C50C-407E-A947-70E740481C1C}"/>
                      </a:extLst>
                    </a:blip>
                    <a:srcRect/>
                    <a:stretch>
                      <a:fillRect/>
                    </a:stretch>
                  </pic:blipFill>
                  <pic:spPr bwMode="auto">
                    <a:xfrm>
                      <a:off x="0" y="0"/>
                      <a:ext cx="3543300" cy="7620"/>
                    </a:xfrm>
                    <a:prstGeom prst="rect">
                      <a:avLst/>
                    </a:prstGeom>
                    <a:noFill/>
                  </pic:spPr>
                </pic:pic>
              </a:graphicData>
            </a:graphic>
          </wp:anchor>
        </w:drawing>
      </w:r>
    </w:p>
    <w:p>
      <w:pPr>
        <w:spacing w:after="0" w:line="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Bonnie H. Anderson</w:t>
      </w:r>
    </w:p>
    <w:p>
      <w:pPr>
        <w:spacing w:after="0" w:line="2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i w:val="1"/>
          <w:iCs w:val="1"/>
          <w:color w:val="auto"/>
        </w:rPr>
        <w:t>Chairman and Chief Executive Officer</w:t>
      </w:r>
    </w:p>
    <w:p>
      <w:pPr>
        <w:spacing w:after="0" w:line="1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200"/>
          </w:cols>
          <w:pgMar w:left="320" w:top="831" w:right="37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4" w:lineRule="exact"/>
        <w:rPr>
          <w:sz w:val="20"/>
          <w:szCs w:val="20"/>
          <w:color w:val="auto"/>
        </w:rPr>
      </w:pPr>
    </w:p>
    <w:p>
      <w:pPr>
        <w:ind w:right="140" w:firstLine="333"/>
        <w:spacing w:after="0" w:line="247" w:lineRule="auto"/>
        <w:rPr>
          <w:sz w:val="20"/>
          <w:szCs w:val="20"/>
          <w:color w:val="auto"/>
        </w:rPr>
      </w:pPr>
      <w:r>
        <w:rPr>
          <w:rFonts w:ascii="Times New Roman" w:cs="Times New Roman" w:eastAsia="Times New Roman" w:hAnsi="Times New Roman"/>
          <w:sz w:val="17"/>
          <w:szCs w:val="17"/>
          <w:color w:val="auto"/>
        </w:rPr>
        <w:t>In connection with the annual report of Veracyte, Inc. (the "Company") on Form 10-K for the year ended December 31, 2020,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204" w:lineRule="exact"/>
        <w:rPr>
          <w:sz w:val="20"/>
          <w:szCs w:val="20"/>
          <w:color w:val="auto"/>
        </w:rPr>
      </w:pPr>
    </w:p>
    <w:p>
      <w:pPr>
        <w:ind w:left="1200" w:hanging="601"/>
        <w:spacing w:after="0"/>
        <w:tabs>
          <w:tab w:leader="none" w:pos="120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28" w:lineRule="exact"/>
        <w:rPr>
          <w:rFonts w:ascii="Times New Roman" w:cs="Times New Roman" w:eastAsia="Times New Roman" w:hAnsi="Times New Roman"/>
          <w:sz w:val="17"/>
          <w:szCs w:val="17"/>
          <w:color w:val="auto"/>
        </w:rPr>
      </w:pPr>
    </w:p>
    <w:p>
      <w:pPr>
        <w:ind w:left="1200" w:hanging="601"/>
        <w:spacing w:after="0"/>
        <w:tabs>
          <w:tab w:leader="none" w:pos="120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7"/>
          <w:szCs w:val="17"/>
          <w:color w:val="auto"/>
        </w:rPr>
        <w:t>Date:</w:t>
        <w:tab/>
        <w:t>February 22, 2021</w:t>
      </w:r>
    </w:p>
    <w:p>
      <w:pPr>
        <w:spacing w:after="0" w:line="22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13335</wp:posOffset>
            </wp:positionV>
            <wp:extent cx="354330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9">
                      <a:extLst>
                        <a:ext uri="{28A0092B-C50C-407E-A947-70E740481C1C}"/>
                      </a:extLst>
                    </a:blip>
                    <a:srcRect/>
                    <a:stretch>
                      <a:fillRect/>
                    </a:stretch>
                  </pic:blipFill>
                  <pic:spPr bwMode="auto">
                    <a:xfrm>
                      <a:off x="0" y="0"/>
                      <a:ext cx="3543300" cy="7620"/>
                    </a:xfrm>
                    <a:prstGeom prst="rect">
                      <a:avLst/>
                    </a:prstGeom>
                    <a:noFill/>
                  </pic:spPr>
                </pic:pic>
              </a:graphicData>
            </a:graphic>
          </wp:anchor>
        </w:drawing>
      </w:r>
    </w:p>
    <w:p>
      <w:pPr>
        <w:spacing w:after="0" w:line="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Keith Kennedy</w:t>
      </w:r>
    </w:p>
    <w:p>
      <w:pPr>
        <w:spacing w:after="0" w:line="2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i w:val="1"/>
          <w:iCs w:val="1"/>
          <w:color w:val="auto"/>
        </w:rPr>
        <w:t>Chief Financial Officer and Chief Operating Officer</w:t>
      </w:r>
    </w:p>
    <w:p>
      <w:pPr>
        <w:spacing w:after="0" w:line="1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sectPr>
      <w:pgSz w:w="11900" w:h="16838" w:orient="portrait"/>
      <w:cols w:equalWidth="0" w:num="1">
        <w:col w:w="11240"/>
      </w:cols>
      <w:pgMar w:left="320" w:top="8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
      <w:numFmt w:val="bullet"/>
      <w:start w:val="1"/>
    </w:lvl>
  </w:abstractNum>
  <w:abstractNum w:abstractNumId="10">
    <w:nsid w:val="1CF10FD8"/>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11">
    <w:nsid w:val="180115BE"/>
    <w:multiLevelType w:val="hybridMultilevel"/>
    <w:lvl w:ilvl="0">
      <w:lvlJc w:val="left"/>
      <w:lvlText w:val="•"/>
      <w:numFmt w:val="bullet"/>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
      <w:numFmt w:val="bullet"/>
      <w:start w:val="1"/>
    </w:lvl>
  </w:abstractNum>
  <w:abstractNum w:abstractNumId="19">
    <w:nsid w:val="3F6AB60F"/>
    <w:multiLevelType w:val="hybridMultilevel"/>
    <w:lvl w:ilvl="0">
      <w:lvlJc w:val="left"/>
      <w:lvlText w:val="•"/>
      <w:numFmt w:val="bullet"/>
      <w:start w:val="1"/>
    </w:lvl>
  </w:abstractNum>
  <w:abstractNum w:abstractNumId="20">
    <w:nsid w:val="61574095"/>
    <w:multiLevelType w:val="hybridMultilevel"/>
    <w:lvl w:ilvl="0">
      <w:lvlJc w:val="left"/>
      <w:lvlText w:val="•"/>
      <w:numFmt w:val="bullet"/>
      <w:start w:val="1"/>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
      <w:numFmt w:val="bullet"/>
      <w:start w:val="1"/>
    </w:lvl>
  </w:abstractNum>
  <w:abstractNum w:abstractNumId="23">
    <w:nsid w:val="579BE4F1"/>
    <w:multiLevelType w:val="hybridMultilevel"/>
    <w:lvl w:ilvl="0">
      <w:lvlJc w:val="left"/>
      <w:lvlText w:val="•"/>
      <w:numFmt w:val="bullet"/>
      <w:start w:val="1"/>
    </w:lvl>
  </w:abstractNum>
  <w:abstractNum w:abstractNumId="24">
    <w:nsid w:val="310C50B3"/>
    <w:multiLevelType w:val="hybridMultilevel"/>
    <w:lvl w:ilvl="0">
      <w:lvlJc w:val="left"/>
      <w:lvlText w:val="•"/>
      <w:numFmt w:val="bullet"/>
      <w:start w:val="1"/>
    </w:lvl>
  </w:abstractNum>
  <w:abstractNum w:abstractNumId="25">
    <w:nsid w:val="5FF87E05"/>
    <w:multiLevelType w:val="hybridMultilevel"/>
    <w:lvl w:ilvl="0">
      <w:lvlJc w:val="left"/>
      <w:lvlText w:val="•"/>
      <w:numFmt w:val="bullet"/>
      <w:start w:val="1"/>
    </w:lvl>
  </w:abstractNum>
  <w:abstractNum w:abstractNumId="26">
    <w:nsid w:val="2F305DEF"/>
    <w:multiLevelType w:val="hybridMultilevel"/>
    <w:lvl w:ilvl="0">
      <w:lvlJc w:val="left"/>
      <w:lvlText w:val="•"/>
      <w:numFmt w:val="bullet"/>
      <w:start w:val="1"/>
    </w:lvl>
  </w:abstractNum>
  <w:abstractNum w:abstractNumId="27">
    <w:nsid w:val="25A70BF7"/>
    <w:multiLevelType w:val="hybridMultilevel"/>
    <w:lvl w:ilvl="0">
      <w:lvlJc w:val="left"/>
      <w:lvlText w:val="•"/>
      <w:numFmt w:val="bullet"/>
      <w:start w:val="1"/>
    </w:lvl>
  </w:abstractNum>
  <w:abstractNum w:abstractNumId="28">
    <w:nsid w:val="1DBABF00"/>
    <w:multiLevelType w:val="hybridMultilevel"/>
    <w:lvl w:ilvl="0">
      <w:lvlJc w:val="left"/>
      <w:lvlText w:val="•"/>
      <w:numFmt w:val="bullet"/>
      <w:start w:val="1"/>
    </w:lvl>
  </w:abstractNum>
  <w:abstractNum w:abstractNumId="29">
    <w:nsid w:val="4AD084E9"/>
    <w:multiLevelType w:val="hybridMultilevel"/>
    <w:lvl w:ilvl="0">
      <w:lvlJc w:val="left"/>
      <w:lvlText w:val="•"/>
      <w:numFmt w:val="bullet"/>
      <w:start w:val="1"/>
    </w:lvl>
  </w:abstractNum>
  <w:abstractNum w:abstractNumId="30">
    <w:nsid w:val="1F48EAA1"/>
    <w:multiLevelType w:val="hybridMultilevel"/>
    <w:lvl w:ilvl="0">
      <w:lvlJc w:val="left"/>
      <w:lvlText w:val="•"/>
      <w:numFmt w:val="bullet"/>
      <w:start w:val="1"/>
    </w:lvl>
  </w:abstractNum>
  <w:abstractNum w:abstractNumId="31">
    <w:nsid w:val="1381823A"/>
    <w:multiLevelType w:val="hybridMultilevel"/>
    <w:lvl w:ilvl="0">
      <w:lvlJc w:val="left"/>
      <w:lvlText w:val="•"/>
      <w:numFmt w:val="bullet"/>
      <w:start w:val="1"/>
    </w:lvl>
  </w:abstractNum>
  <w:abstractNum w:abstractNumId="32">
    <w:nsid w:val="5DB70AE5"/>
    <w:multiLevelType w:val="hybridMultilevel"/>
    <w:lvl w:ilvl="0">
      <w:lvlJc w:val="left"/>
      <w:lvlText w:val="•"/>
      <w:numFmt w:val="bullet"/>
      <w:start w:val="1"/>
    </w:lvl>
  </w:abstractNum>
  <w:abstractNum w:abstractNumId="33">
    <w:nsid w:val="100F8FCA"/>
    <w:multiLevelType w:val="hybridMultilevel"/>
    <w:lvl w:ilvl="0">
      <w:lvlJc w:val="left"/>
      <w:lvlText w:val="•"/>
      <w:numFmt w:val="bullet"/>
      <w:start w:val="1"/>
    </w:lvl>
  </w:abstractNum>
  <w:abstractNum w:abstractNumId="34">
    <w:nsid w:val="6590700B"/>
    <w:multiLevelType w:val="hybridMultilevel"/>
    <w:lvl w:ilvl="0">
      <w:lvlJc w:val="left"/>
      <w:lvlText w:val="•"/>
      <w:numFmt w:val="bullet"/>
      <w:start w:val="1"/>
    </w:lvl>
  </w:abstractNum>
  <w:abstractNum w:abstractNumId="35">
    <w:nsid w:val="15014ACB"/>
    <w:multiLevelType w:val="hybridMultilevel"/>
    <w:lvl w:ilvl="0">
      <w:lvlJc w:val="left"/>
      <w:lvlText w:val="•"/>
      <w:numFmt w:val="bullet"/>
      <w:start w:val="1"/>
    </w:lvl>
  </w:abstractNum>
  <w:abstractNum w:abstractNumId="36">
    <w:nsid w:val="5F5E7FD0"/>
    <w:multiLevelType w:val="hybridMultilevel"/>
    <w:lvl w:ilvl="0">
      <w:lvlJc w:val="left"/>
      <w:lvlText w:val="•"/>
      <w:numFmt w:val="bullet"/>
      <w:start w:val="1"/>
    </w:lvl>
  </w:abstractNum>
  <w:abstractNum w:abstractNumId="37">
    <w:nsid w:val="98A3148"/>
    <w:multiLevelType w:val="hybridMultilevel"/>
    <w:lvl w:ilvl="0">
      <w:lvlJc w:val="left"/>
      <w:lvlText w:val="•"/>
      <w:numFmt w:val="bullet"/>
      <w:start w:val="1"/>
    </w:lvl>
  </w:abstractNum>
  <w:abstractNum w:abstractNumId="38">
    <w:nsid w:val="799D0247"/>
    <w:multiLevelType w:val="hybridMultilevel"/>
    <w:lvl w:ilvl="0">
      <w:lvlJc w:val="left"/>
      <w:lvlText w:val="•"/>
      <w:numFmt w:val="bullet"/>
      <w:start w:val="1"/>
    </w:lvl>
  </w:abstractNum>
  <w:abstractNum w:abstractNumId="39">
    <w:nsid w:val="6B94764"/>
    <w:multiLevelType w:val="hybridMultilevel"/>
    <w:lvl w:ilvl="0">
      <w:lvlJc w:val="left"/>
      <w:lvlText w:val="•"/>
      <w:numFmt w:val="bullet"/>
      <w:start w:val="1"/>
    </w:lvl>
  </w:abstractNum>
  <w:abstractNum w:abstractNumId="40">
    <w:nsid w:val="42C296BD"/>
    <w:multiLevelType w:val="hybridMultilevel"/>
    <w:lvl w:ilvl="0">
      <w:lvlJc w:val="left"/>
      <w:lvlText w:val="•"/>
      <w:numFmt w:val="bullet"/>
      <w:start w:val="1"/>
    </w:lvl>
  </w:abstractNum>
  <w:abstractNum w:abstractNumId="41">
    <w:nsid w:val="168E121F"/>
    <w:multiLevelType w:val="hybridMultilevel"/>
    <w:lvl w:ilvl="0">
      <w:lvlJc w:val="left"/>
      <w:lvlText w:val="•"/>
      <w:numFmt w:val="bullet"/>
      <w:start w:val="1"/>
    </w:lvl>
  </w:abstractNum>
  <w:abstractNum w:abstractNumId="42">
    <w:nsid w:val="1EBA5D23"/>
    <w:multiLevelType w:val="hybridMultilevel"/>
    <w:lvl w:ilvl="0">
      <w:lvlJc w:val="left"/>
      <w:lvlText w:val="•"/>
      <w:numFmt w:val="bullet"/>
      <w:start w:val="1"/>
    </w:lvl>
  </w:abstractNum>
  <w:abstractNum w:abstractNumId="43">
    <w:nsid w:val="661E3F1E"/>
    <w:multiLevelType w:val="hybridMultilevel"/>
    <w:lvl w:ilvl="0">
      <w:lvlJc w:val="left"/>
      <w:lvlText w:val="•"/>
      <w:numFmt w:val="bullet"/>
      <w:start w:val="1"/>
    </w:lvl>
  </w:abstractNum>
  <w:abstractNum w:abstractNumId="44">
    <w:nsid w:val="5DC79EA8"/>
    <w:multiLevelType w:val="hybridMultilevel"/>
    <w:lvl w:ilvl="0">
      <w:lvlJc w:val="left"/>
      <w:lvlText w:val="•"/>
      <w:numFmt w:val="bullet"/>
      <w:start w:val="1"/>
    </w:lvl>
  </w:abstractNum>
  <w:abstractNum w:abstractNumId="45">
    <w:nsid w:val="540A471C"/>
    <w:multiLevelType w:val="hybridMultilevel"/>
    <w:lvl w:ilvl="0">
      <w:lvlJc w:val="left"/>
      <w:lvlText w:val="&amp;"/>
      <w:numFmt w:val="bullet"/>
      <w:start w:val="1"/>
    </w:lvl>
  </w:abstractNum>
  <w:abstractNum w:abstractNumId="46">
    <w:nsid w:val="7BD3EE7B"/>
    <w:multiLevelType w:val="hybridMultilevel"/>
    <w:lvl w:ilvl="0">
      <w:lvlJc w:val="left"/>
      <w:lvlText w:val="(%1)"/>
      <w:numFmt w:val="decimal"/>
      <w:start w:val="1"/>
    </w:lvl>
  </w:abstractNum>
  <w:abstractNum w:abstractNumId="47">
    <w:nsid w:val="51D9C564"/>
    <w:multiLevelType w:val="hybridMultilevel"/>
    <w:lvl w:ilvl="0">
      <w:lvlJc w:val="left"/>
      <w:lvlText w:val="(%1)"/>
      <w:numFmt w:val="lowerRoman"/>
      <w:start w:val="2"/>
    </w:lvl>
  </w:abstractNum>
  <w:abstractNum w:abstractNumId="48">
    <w:nsid w:val="613EFDC5"/>
    <w:multiLevelType w:val="hybridMultilevel"/>
    <w:lvl w:ilvl="0">
      <w:lvlJc w:val="left"/>
      <w:lvlText w:val="•"/>
      <w:numFmt w:val="bullet"/>
      <w:start w:val="1"/>
    </w:lvl>
  </w:abstractNum>
  <w:abstractNum w:abstractNumId="49">
    <w:nsid w:val="BF72B14"/>
    <w:multiLevelType w:val="hybridMultilevel"/>
    <w:lvl w:ilvl="0">
      <w:lvlJc w:val="left"/>
      <w:lvlText w:val="•"/>
      <w:numFmt w:val="bullet"/>
      <w:start w:val="1"/>
    </w:lvl>
  </w:abstractNum>
  <w:abstractNum w:abstractNumId="50">
    <w:nsid w:val="11447B73"/>
    <w:multiLevelType w:val="hybridMultilevel"/>
    <w:lvl w:ilvl="0">
      <w:lvlJc w:val="left"/>
      <w:lvlText w:val="(%1)"/>
      <w:numFmt w:val="lowerLetter"/>
      <w:start w:val="1"/>
    </w:lvl>
    <w:lvl w:ilvl="1">
      <w:lvlJc w:val="left"/>
      <w:lvlText w:val="%2."/>
      <w:numFmt w:val="decimal"/>
      <w:start w:val="1"/>
    </w:lvl>
  </w:abstractNum>
  <w:abstractNum w:abstractNumId="51">
    <w:nsid w:val="42963E5A"/>
    <w:multiLevelType w:val="hybridMultilevel"/>
    <w:lvl w:ilvl="0">
      <w:lvlJc w:val="left"/>
      <w:lvlText w:val="%1."/>
      <w:numFmt w:val="decimal"/>
      <w:start w:val="2"/>
    </w:lvl>
  </w:abstractNum>
  <w:abstractNum w:abstractNumId="52">
    <w:nsid w:val="A0382C5"/>
    <w:multiLevelType w:val="hybridMultilevel"/>
    <w:lvl w:ilvl="0">
      <w:lvlJc w:val="left"/>
      <w:lvlText w:val="%1."/>
      <w:numFmt w:val="decimal"/>
      <w:start w:val="3"/>
    </w:lvl>
  </w:abstractNum>
  <w:abstractNum w:abstractNumId="53">
    <w:nsid w:val="8F2B15E"/>
    <w:multiLevelType w:val="hybridMultilevel"/>
    <w:lvl w:ilvl="0">
      <w:lvlJc w:val="left"/>
      <w:lvlText w:val="#"/>
      <w:numFmt w:val="bullet"/>
      <w:start w:val="1"/>
    </w:lvl>
  </w:abstractNum>
  <w:abstractNum w:abstractNumId="54">
    <w:nsid w:val="1A32234B"/>
    <w:multiLevelType w:val="hybridMultilevel"/>
    <w:lvl w:ilvl="0">
      <w:lvlJc w:val="left"/>
      <w:lvlText w:val="*"/>
      <w:numFmt w:val="bullet"/>
      <w:start w:val="1"/>
    </w:lvl>
  </w:abstractNum>
  <w:abstractNum w:abstractNumId="55">
    <w:nsid w:val="3B0FD379"/>
    <w:multiLevelType w:val="hybridMultilevel"/>
    <w:lvl w:ilvl="0">
      <w:lvlJc w:val="left"/>
      <w:lvlText w:val="(%1)"/>
      <w:numFmt w:val="lowerLetter"/>
      <w:start w:val="3"/>
    </w:lvl>
  </w:abstractNum>
  <w:abstractNum w:abstractNumId="56">
    <w:nsid w:val="68EB2F63"/>
    <w:multiLevelType w:val="hybridMultilevel"/>
    <w:lvl w:ilvl="0">
      <w:lvlJc w:val="left"/>
      <w:lvlText w:val="•"/>
      <w:numFmt w:val="bullet"/>
      <w:start w:val="1"/>
    </w:lvl>
  </w:abstractNum>
  <w:abstractNum w:abstractNumId="57">
    <w:nsid w:val="4962813B"/>
    <w:multiLevelType w:val="hybridMultilevel"/>
    <w:lvl w:ilvl="0">
      <w:lvlJc w:val="left"/>
      <w:lvlText w:val="•"/>
      <w:numFmt w:val="bullet"/>
      <w:start w:val="1"/>
    </w:lvl>
  </w:abstractNum>
  <w:abstractNum w:abstractNumId="58">
    <w:nsid w:val="60B6DF70"/>
    <w:multiLevelType w:val="hybridMultilevel"/>
    <w:lvl w:ilvl="0">
      <w:lvlJc w:val="left"/>
      <w:lvlText w:val="•"/>
      <w:numFmt w:val="bullet"/>
      <w:start w:val="1"/>
    </w:lvl>
  </w:abstractNum>
  <w:abstractNum w:abstractNumId="59">
    <w:nsid w:val="6A5EE64"/>
    <w:multiLevelType w:val="hybridMultilevel"/>
    <w:lvl w:ilvl="0">
      <w:lvlJc w:val="left"/>
      <w:lvlText w:val="•"/>
      <w:numFmt w:val="bullet"/>
      <w:start w:val="1"/>
    </w:lvl>
  </w:abstractNum>
  <w:abstractNum w:abstractNumId="60">
    <w:nsid w:val="14330624"/>
    <w:multiLevelType w:val="hybridMultilevel"/>
    <w:lvl w:ilvl="0">
      <w:lvlJc w:val="left"/>
      <w:lvlText w:val="%1."/>
      <w:numFmt w:val="decimal"/>
      <w:start w:val="1"/>
    </w:lvl>
  </w:abstractNum>
  <w:abstractNum w:abstractNumId="61">
    <w:nsid w:val="7FFFCA11"/>
    <w:multiLevelType w:val="hybridMultilevel"/>
    <w:lvl w:ilvl="0">
      <w:lvlJc w:val="left"/>
      <w:lvlText w:val="%1."/>
      <w:numFmt w:val="decimal"/>
      <w:start w:val="1"/>
    </w:lvl>
    <w:lvl w:ilvl="1">
      <w:lvlJc w:val="left"/>
      <w:lvlText w:val="(%2)"/>
      <w:numFmt w:val="lowerLetter"/>
      <w:start w:val="1"/>
    </w:lvl>
  </w:abstractNum>
  <w:abstractNum w:abstractNumId="62">
    <w:nsid w:val="1A27709E"/>
    <w:multiLevelType w:val="hybridMultilevel"/>
    <w:lvl w:ilvl="0">
      <w:lvlJc w:val="left"/>
      <w:lvlText w:val="(%1)"/>
      <w:numFmt w:val="lowerLetter"/>
      <w:start w:val="2"/>
    </w:lvl>
  </w:abstractNum>
  <w:abstractNum w:abstractNumId="63">
    <w:nsid w:val="71EA1109"/>
    <w:multiLevelType w:val="hybridMultilevel"/>
    <w:lvl w:ilvl="0">
      <w:lvlJc w:val="left"/>
      <w:lvlText w:val="(%1)"/>
      <w:numFmt w:val="lowerLetter"/>
      <w:start w:val="3"/>
    </w:lvl>
  </w:abstractNum>
  <w:abstractNum w:abstractNumId="64">
    <w:nsid w:val="100F59DC"/>
    <w:multiLevelType w:val="hybridMultilevel"/>
    <w:lvl w:ilvl="0">
      <w:lvlJc w:val="left"/>
      <w:lvlText w:val="%1"/>
      <w:numFmt w:val="decimal"/>
      <w:start w:val="1"/>
    </w:lvl>
    <w:lvl w:ilvl="1">
      <w:lvlJc w:val="left"/>
      <w:lvlText w:val="(%2)"/>
      <w:numFmt w:val="lowerLetter"/>
      <w:start w:val="4"/>
    </w:lvl>
  </w:abstractNum>
  <w:abstractNum w:abstractNumId="65">
    <w:nsid w:val="7FB7E0AA"/>
    <w:multiLevelType w:val="hybridMultilevel"/>
    <w:lvl w:ilvl="0">
      <w:lvlJc w:val="left"/>
      <w:lvlText w:val="%1."/>
      <w:numFmt w:val="decimal"/>
      <w:start w:val="4"/>
    </w:lvl>
    <w:lvl w:ilvl="1">
      <w:lvlJc w:val="left"/>
      <w:lvlText w:val="(%2)"/>
      <w:numFmt w:val="lowerLetter"/>
      <w:start w:val="1"/>
    </w:lvl>
  </w:abstractNum>
  <w:abstractNum w:abstractNumId="66">
    <w:nsid w:val="6EB5BD4"/>
    <w:multiLevelType w:val="hybridMultilevel"/>
    <w:lvl w:ilvl="0">
      <w:lvlJc w:val="left"/>
      <w:lvlText w:val="%1."/>
      <w:numFmt w:val="decimal"/>
      <w:start w:val="5"/>
    </w:lvl>
    <w:lvl w:ilvl="1">
      <w:lvlJc w:val="left"/>
      <w:lvlText w:val="(%2)"/>
      <w:numFmt w:val="lowerLetter"/>
      <w:start w:val="1"/>
    </w:lvl>
  </w:abstractNum>
  <w:abstractNum w:abstractNumId="67">
    <w:nsid w:val="6F6DD9AC"/>
    <w:multiLevelType w:val="hybridMultilevel"/>
    <w:lvl w:ilvl="0">
      <w:lvlJc w:val="left"/>
      <w:lvlText w:val="(%1)"/>
      <w:numFmt w:val="lowerRoman"/>
      <w:start w:val="4"/>
    </w:lvl>
  </w:abstractNum>
  <w:abstractNum w:abstractNumId="68">
    <w:nsid w:val="94211F2"/>
    <w:multiLevelType w:val="hybridMultilevel"/>
    <w:lvl w:ilvl="0">
      <w:lvlJc w:val="left"/>
      <w:lvlText w:val="%1."/>
      <w:numFmt w:val="decimal"/>
      <w:start w:val="6"/>
    </w:lvl>
    <w:lvl w:ilvl="1">
      <w:lvlJc w:val="left"/>
      <w:lvlText w:val="(%2)"/>
      <w:numFmt w:val="lowerLetter"/>
      <w:start w:val="1"/>
    </w:lvl>
  </w:abstractNum>
  <w:abstractNum w:abstractNumId="69">
    <w:nsid w:val="885E1B"/>
    <w:multiLevelType w:val="hybridMultilevel"/>
    <w:lvl w:ilvl="0">
      <w:lvlJc w:val="left"/>
      <w:lvlText w:val="(%1)"/>
      <w:numFmt w:val="lowerLetter"/>
      <w:start w:val="2"/>
    </w:lvl>
  </w:abstractNum>
  <w:abstractNum w:abstractNumId="70">
    <w:nsid w:val="76272110"/>
    <w:multiLevelType w:val="hybridMultilevel"/>
    <w:lvl w:ilvl="0">
      <w:lvlJc w:val="left"/>
      <w:lvlText w:val="(%1)"/>
      <w:numFmt w:val="lowerLetter"/>
      <w:start w:val="3"/>
    </w:lvl>
    <w:lvl w:ilvl="1">
      <w:lvlJc w:val="left"/>
      <w:lvlText w:val="%2."/>
      <w:numFmt w:val="lowerRoman"/>
      <w:start w:val="1"/>
    </w:lvl>
  </w:abstractNum>
  <w:abstractNum w:abstractNumId="71">
    <w:nsid w:val="4C04A8AF"/>
    <w:multiLevelType w:val="hybridMultilevel"/>
    <w:lvl w:ilvl="0">
      <w:lvlJc w:val="left"/>
      <w:lvlText w:val="%1"/>
      <w:numFmt w:val="decimal"/>
      <w:start w:val="1"/>
    </w:lvl>
    <w:lvl w:ilvl="1">
      <w:lvlJc w:val="left"/>
      <w:lvlText w:val="(%2)"/>
      <w:numFmt w:val="lowerLetter"/>
      <w:start w:val="8"/>
    </w:lvl>
  </w:abstractNum>
  <w:abstractNum w:abstractNumId="72">
    <w:nsid w:val="1716703B"/>
    <w:multiLevelType w:val="hybridMultilevel"/>
    <w:lvl w:ilvl="0">
      <w:lvlJc w:val="left"/>
      <w:lvlText w:val="%1."/>
      <w:numFmt w:val="decimal"/>
      <w:start w:val="7"/>
    </w:lvl>
    <w:lvl w:ilvl="1">
      <w:lvlJc w:val="left"/>
      <w:lvlText w:val="(%2)"/>
      <w:numFmt w:val="lowerLetter"/>
      <w:start w:val="1"/>
    </w:lvl>
  </w:abstractNum>
  <w:abstractNum w:abstractNumId="73">
    <w:nsid w:val="14E17E33"/>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2"/>
    </w:lvl>
  </w:abstractNum>
  <w:abstractNum w:abstractNumId="74">
    <w:nsid w:val="3222E7CD"/>
    <w:multiLevelType w:val="hybridMultilevel"/>
    <w:lvl w:ilvl="0">
      <w:lvlJc w:val="left"/>
      <w:lvlText w:val="(%1)"/>
      <w:numFmt w:val="lowerLetter"/>
      <w:start w:val="3"/>
    </w:lvl>
  </w:abstractNum>
  <w:abstractNum w:abstractNumId="75">
    <w:nsid w:val="74DE0EE3"/>
    <w:multiLevelType w:val="hybridMultilevel"/>
    <w:lvl w:ilvl="0">
      <w:lvlJc w:val="left"/>
      <w:lvlText w:val="(%1)"/>
      <w:numFmt w:val="lowerLetter"/>
      <w:start w:val="4"/>
    </w:lvl>
  </w:abstractNum>
  <w:abstractNum w:abstractNumId="76">
    <w:nsid w:val="68EBC550"/>
    <w:multiLevelType w:val="hybridMultilevel"/>
    <w:lvl w:ilvl="0">
      <w:lvlJc w:val="left"/>
      <w:lvlText w:val="%1"/>
      <w:numFmt w:val="decimal"/>
      <w:start w:val="1"/>
    </w:lvl>
    <w:lvl w:ilvl="1">
      <w:lvlJc w:val="left"/>
      <w:lvlText w:val="(%2)"/>
      <w:numFmt w:val="lowerLetter"/>
      <w:start w:val="5"/>
    </w:lvl>
  </w:abstractNum>
  <w:abstractNum w:abstractNumId="77">
    <w:nsid w:val="2DF6D648"/>
    <w:multiLevelType w:val="hybridMultilevel"/>
    <w:lvl w:ilvl="0">
      <w:lvlJc w:val="left"/>
      <w:lvlText w:val="%1."/>
      <w:numFmt w:val="decimal"/>
      <w:start w:val="11"/>
    </w:lvl>
    <w:lvl w:ilvl="1">
      <w:lvlJc w:val="left"/>
      <w:lvlText w:val="(%2)"/>
      <w:numFmt w:val="lowerLetter"/>
      <w:start w:val="1"/>
    </w:lvl>
  </w:abstractNum>
  <w:abstractNum w:abstractNumId="78">
    <w:nsid w:val="46B7D447"/>
    <w:multiLevelType w:val="hybridMultilevel"/>
    <w:lvl w:ilvl="0">
      <w:lvlJc w:val="left"/>
      <w:lvlText w:val="(%1)"/>
      <w:numFmt w:val="lowerLetter"/>
      <w:start w:val="6"/>
    </w:lvl>
  </w:abstractNum>
  <w:abstractNum w:abstractNumId="79">
    <w:nsid w:val="4A2AC315"/>
    <w:multiLevelType w:val="hybridMultilevel"/>
    <w:lvl w:ilvl="0">
      <w:lvlJc w:val="left"/>
      <w:lvlText w:val="%1."/>
      <w:numFmt w:val="decimal"/>
      <w:start w:val="1"/>
    </w:lvl>
  </w:abstractNum>
  <w:abstractNum w:abstractNumId="80">
    <w:nsid w:val="39EE015C"/>
    <w:multiLevelType w:val="hybridMultilevel"/>
    <w:lvl w:ilvl="0">
      <w:lvlJc w:val="left"/>
      <w:lvlText w:val="%1."/>
      <w:numFmt w:val="lowerLetter"/>
      <w:start w:val="1"/>
    </w:lvl>
  </w:abstractNum>
  <w:abstractNum w:abstractNumId="81">
    <w:nsid w:val="57FC4FBB"/>
    <w:multiLevelType w:val="hybridMultilevel"/>
    <w:lvl w:ilvl="0">
      <w:lvlJc w:val="left"/>
      <w:lvlText w:val="%1."/>
      <w:numFmt w:val="lowerLetter"/>
      <w:start w:val="2"/>
    </w:lvl>
  </w:abstractNum>
  <w:abstractNum w:abstractNumId="82">
    <w:nsid w:val="CC1016F"/>
    <w:multiLevelType w:val="hybridMultilevel"/>
    <w:lvl w:ilvl="0">
      <w:lvlJc w:val="left"/>
      <w:lvlText w:val="1"/>
      <w:numFmt w:val="bullet"/>
      <w:start w:val="1"/>
    </w:lvl>
  </w:abstractNum>
  <w:abstractNum w:abstractNumId="83">
    <w:nsid w:val="43F18422"/>
    <w:multiLevelType w:val="hybridMultilevel"/>
    <w:lvl w:ilvl="0">
      <w:lvlJc w:val="left"/>
      <w:lvlText w:val="%1"/>
      <w:numFmt w:val="lowerLetter"/>
      <w:start w:val="1"/>
    </w:lvl>
    <w:lvl w:ilvl="1">
      <w:lvlJc w:val="left"/>
      <w:lvlText w:val="%2."/>
      <w:numFmt w:val="decimal"/>
      <w:start w:val="4"/>
    </w:lvl>
  </w:abstractNum>
  <w:abstractNum w:abstractNumId="84">
    <w:nsid w:val="60EF0119"/>
    <w:multiLevelType w:val="hybridMultilevel"/>
    <w:lvl w:ilvl="0">
      <w:lvlJc w:val="left"/>
      <w:lvlText w:val="(%1)"/>
      <w:numFmt w:val="lowerLetter"/>
      <w:start w:val="5"/>
    </w:lvl>
    <w:lvl w:ilvl="1">
      <w:lvlJc w:val="left"/>
      <w:lvlText w:val="%2."/>
      <w:numFmt w:val="decimal"/>
      <w:start w:val="6"/>
    </w:lvl>
  </w:abstractNum>
  <w:abstractNum w:abstractNumId="85">
    <w:nsid w:val="26F324BA"/>
    <w:multiLevelType w:val="hybridMultilevel"/>
    <w:lvl w:ilvl="0">
      <w:lvlJc w:val="left"/>
      <w:lvlText w:val="2"/>
      <w:numFmt w:val="bullet"/>
      <w:start w:val="1"/>
    </w:lvl>
  </w:abstractNum>
  <w:abstractNum w:abstractNumId="86">
    <w:nsid w:val="7F01579B"/>
    <w:multiLevelType w:val="hybridMultilevel"/>
    <w:lvl w:ilvl="0">
      <w:lvlJc w:val="left"/>
      <w:lvlText w:val="%1."/>
      <w:numFmt w:val="decimal"/>
      <w:start w:val="7"/>
    </w:lvl>
  </w:abstractNum>
  <w:abstractNum w:abstractNumId="87">
    <w:nsid w:val="49DA307D"/>
    <w:multiLevelType w:val="hybridMultilevel"/>
    <w:lvl w:ilvl="0">
      <w:lvlJc w:val="left"/>
      <w:lvlText w:val="3"/>
      <w:numFmt w:val="bullet"/>
      <w:start w:val="1"/>
    </w:lvl>
  </w:abstractNum>
  <w:abstractNum w:abstractNumId="88">
    <w:nsid w:val="7055A5F5"/>
    <w:multiLevelType w:val="hybridMultilevel"/>
    <w:lvl w:ilvl="0">
      <w:lvlJc w:val="left"/>
      <w:lvlText w:val="%1."/>
      <w:numFmt w:val="decimal"/>
      <w:start w:val="11"/>
    </w:lvl>
  </w:abstractNum>
  <w:abstractNum w:abstractNumId="89">
    <w:nsid w:val="5FB8370B"/>
    <w:multiLevelType w:val="hybridMultilevel"/>
    <w:lvl w:ilvl="0">
      <w:lvlJc w:val="left"/>
      <w:lvlText w:val="%1."/>
      <w:numFmt w:val="decimal"/>
      <w:start w:val="17"/>
    </w:lvl>
  </w:abstractNum>
  <w:abstractNum w:abstractNumId="90">
    <w:nsid w:val="50801EE1"/>
    <w:multiLevelType w:val="hybridMultilevel"/>
    <w:lvl w:ilvl="0">
      <w:lvlJc w:val="left"/>
      <w:lvlText w:val="4"/>
      <w:numFmt w:val="bullet"/>
      <w:start w:val="1"/>
    </w:lvl>
  </w:abstractNum>
  <w:abstractNum w:abstractNumId="91">
    <w:nsid w:val="488AC1A"/>
    <w:multiLevelType w:val="hybridMultilevel"/>
    <w:lvl w:ilvl="0">
      <w:lvlJc w:val="left"/>
      <w:lvlText w:val="%1."/>
      <w:numFmt w:val="decimal"/>
      <w:start w:val="22"/>
    </w:lvl>
    <w:lvl w:ilvl="1">
      <w:lvlJc w:val="left"/>
      <w:lvlText w:val="(%2)"/>
      <w:numFmt w:val="lowerLetter"/>
      <w:start w:val="1"/>
    </w:lvl>
  </w:abstractNum>
  <w:abstractNum w:abstractNumId="92">
    <w:nsid w:val="5FB8011C"/>
    <w:multiLevelType w:val="hybridMultilevel"/>
    <w:lvl w:ilvl="0">
      <w:lvlJc w:val="left"/>
      <w:lvlText w:val="5"/>
      <w:numFmt w:val="bullet"/>
      <w:start w:val="1"/>
    </w:lvl>
  </w:abstractNum>
  <w:abstractNum w:abstractNumId="93">
    <w:nsid w:val="6AA78F7F"/>
    <w:multiLevelType w:val="hybridMultilevel"/>
    <w:lvl w:ilvl="0">
      <w:lvlJc w:val="left"/>
      <w:lvlText w:val="%1."/>
      <w:numFmt w:val="decimal"/>
      <w:start w:val="1"/>
    </w:lvl>
    <w:lvl w:ilvl="1">
      <w:lvlJc w:val="left"/>
      <w:lvlText w:val="%2."/>
      <w:numFmt w:val="decimal"/>
      <w:start w:val="2"/>
    </w:lvl>
  </w:abstractNum>
  <w:abstractNum w:abstractNumId="94">
    <w:nsid w:val="7672BD23"/>
    <w:multiLevelType w:val="hybridMultilevel"/>
    <w:lvl w:ilvl="0">
      <w:lvlJc w:val="left"/>
      <w:lvlText w:val="%1."/>
      <w:numFmt w:val="decimal"/>
      <w:start w:val="3"/>
    </w:lvl>
  </w:abstractNum>
  <w:abstractNum w:abstractNumId="95">
    <w:nsid w:val="6FC75AF8"/>
    <w:multiLevelType w:val="hybridMultilevel"/>
    <w:lvl w:ilvl="0">
      <w:lvlJc w:val="left"/>
      <w:lvlText w:val="%1."/>
      <w:numFmt w:val="decimal"/>
      <w:start w:val="6"/>
    </w:lvl>
  </w:abstractNum>
  <w:abstractNum w:abstractNumId="96">
    <w:nsid w:val="6A5F7029"/>
    <w:multiLevelType w:val="hybridMultilevel"/>
    <w:lvl w:ilvl="0">
      <w:lvlJc w:val="left"/>
      <w:lvlText w:val="(%1)"/>
      <w:numFmt w:val="decimal"/>
      <w:start w:val="1"/>
    </w:lvl>
  </w:abstractNum>
  <w:abstractNum w:abstractNumId="97">
    <w:nsid w:val="7D5E18F8"/>
    <w:multiLevelType w:val="hybridMultilevel"/>
    <w:lvl w:ilvl="0">
      <w:lvlJc w:val="left"/>
      <w:lvlText w:val="%1."/>
      <w:numFmt w:val="decimal"/>
      <w:start w:val="1"/>
    </w:lvl>
    <w:lvl w:ilvl="1">
      <w:lvlJc w:val="left"/>
      <w:lvlText w:val="%2)"/>
      <w:numFmt w:val="lowerLetter"/>
      <w:start w:val="1"/>
    </w:lvl>
  </w:abstractNum>
  <w:abstractNum w:abstractNumId="98">
    <w:nsid w:val="5F3534A4"/>
    <w:multiLevelType w:val="hybridMultilevel"/>
    <w:lvl w:ilvl="0">
      <w:lvlJc w:val="left"/>
      <w:lvlText w:val="%1."/>
      <w:numFmt w:val="decimal"/>
      <w:start w:val="1"/>
    </w:lvl>
  </w:abstractNum>
  <w:abstractNum w:abstractNumId="99">
    <w:nsid w:val="73A1821B"/>
    <w:multiLevelType w:val="hybridMultilevel"/>
    <w:lvl w:ilvl="0">
      <w:lvlJc w:val="left"/>
      <w:lvlText w:val="%1"/>
      <w:numFmt w:val="decimal"/>
      <w:start w:val="1"/>
    </w:lvl>
    <w:lvl w:ilvl="1">
      <w:lvlJc w:val="left"/>
      <w:lvlText w:val="%2)"/>
      <w:numFmt w:val="lowerLetter"/>
      <w:start w:val="1"/>
    </w:lvl>
  </w:abstractNum>
  <w:abstractNum w:abstractNumId="100">
    <w:nsid w:val="7DE67713"/>
    <w:multiLevelType w:val="hybridMultilevel"/>
    <w:lvl w:ilvl="0">
      <w:lvlJc w:val="left"/>
      <w:lvlText w:val="%1."/>
      <w:numFmt w:val="decimal"/>
      <w:start w:val="5"/>
    </w:lvl>
    <w:lvl w:ilvl="1">
      <w:lvlJc w:val="left"/>
      <w:lvlText w:val="%2)"/>
      <w:numFmt w:val="lowerLetter"/>
      <w:start w:val="1"/>
    </w:lvl>
  </w:abstractNum>
  <w:abstractNum w:abstractNumId="101">
    <w:nsid w:val="555C55B5"/>
    <w:multiLevelType w:val="hybridMultilevel"/>
    <w:lvl w:ilvl="0">
      <w:lvlJc w:val="left"/>
      <w:lvlText w:val="(%1)"/>
      <w:numFmt w:val="decimal"/>
      <w:start w:val="1"/>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60" Type="http://schemas.openxmlformats.org/officeDocument/2006/relationships/image" Target="media/image142.png"/><Relationship Id="rId176" Type="http://schemas.openxmlformats.org/officeDocument/2006/relationships/image" Target="media/image143.png"/><Relationship Id="rId180" Type="http://schemas.openxmlformats.org/officeDocument/2006/relationships/image" Target="media/image144.png"/><Relationship Id="rId181" Type="http://schemas.openxmlformats.org/officeDocument/2006/relationships/image" Target="media/image145.png"/><Relationship Id="rId182" Type="http://schemas.openxmlformats.org/officeDocument/2006/relationships/image" Target="media/image146.png"/><Relationship Id="rId183" Type="http://schemas.openxmlformats.org/officeDocument/2006/relationships/image" Target="media/image147.png"/><Relationship Id="rId184" Type="http://schemas.openxmlformats.org/officeDocument/2006/relationships/image" Target="media/image148.png"/><Relationship Id="rId185" Type="http://schemas.openxmlformats.org/officeDocument/2006/relationships/image" Target="media/image149.png"/><Relationship Id="rId186" Type="http://schemas.openxmlformats.org/officeDocument/2006/relationships/image" Target="media/image150.png"/><Relationship Id="rId187" Type="http://schemas.openxmlformats.org/officeDocument/2006/relationships/image" Target="media/image151.png"/><Relationship Id="rId188" Type="http://schemas.openxmlformats.org/officeDocument/2006/relationships/image" Target="media/image152.png"/><Relationship Id="rId189" Type="http://schemas.openxmlformats.org/officeDocument/2006/relationships/image" Target="media/image153.png"/><Relationship Id="rId190" Type="http://schemas.openxmlformats.org/officeDocument/2006/relationships/image" Target="media/image154.png"/><Relationship Id="rId191" Type="http://schemas.openxmlformats.org/officeDocument/2006/relationships/image" Target="media/image155.png"/><Relationship Id="rId192" Type="http://schemas.openxmlformats.org/officeDocument/2006/relationships/image" Target="media/image156.png"/><Relationship Id="rId193" Type="http://schemas.openxmlformats.org/officeDocument/2006/relationships/image" Target="media/image157.png"/><Relationship Id="rId194" Type="http://schemas.openxmlformats.org/officeDocument/2006/relationships/image" Target="media/image158.png"/><Relationship Id="rId195" Type="http://schemas.openxmlformats.org/officeDocument/2006/relationships/image" Target="media/image159.jpeg"/><Relationship Id="rId196" Type="http://schemas.openxmlformats.org/officeDocument/2006/relationships/image" Target="media/image160.png"/><Relationship Id="rId197" Type="http://schemas.openxmlformats.org/officeDocument/2006/relationships/image" Target="media/image161.png"/><Relationship Id="rId198" Type="http://schemas.openxmlformats.org/officeDocument/2006/relationships/image" Target="media/image162.png"/><Relationship Id="rId199" Type="http://schemas.openxmlformats.org/officeDocument/2006/relationships/image" Target="media/image163.png"/><Relationship Id="rId149" Type="http://schemas.openxmlformats.org/officeDocument/2006/relationships/hyperlink" Target="http://www.sec.gov/Archives/edgar/data/1384101/000110465913082910/a13-23874_1ex3d1.htm" TargetMode="External"/><Relationship Id="rId150" Type="http://schemas.openxmlformats.org/officeDocument/2006/relationships/hyperlink" Target="https://www.sec.gov/Archives/edgar/data/1384101/000143774921001142/ex_222251.htm" TargetMode="External"/><Relationship Id="rId151" Type="http://schemas.openxmlformats.org/officeDocument/2006/relationships/hyperlink" Target="http://www.sec.gov/Archives/edgar/data/1384101/000104746913009631/a2216954zex-4_1.htm" TargetMode="External"/><Relationship Id="rId152" Type="http://schemas.openxmlformats.org/officeDocument/2006/relationships/hyperlink" Target="http://www.sec.gov/Archives/edgar/data/1384101/000104746913009532/a2216908zex-10_1.htm" TargetMode="External"/><Relationship Id="rId153" Type="http://schemas.openxmlformats.org/officeDocument/2006/relationships/hyperlink" Target="http://www.sec.gov/Archives/edgar/data/1384101/000104746913009208/a2216719zex-10_2.htm" TargetMode="External"/><Relationship Id="rId154" Type="http://schemas.openxmlformats.org/officeDocument/2006/relationships/hyperlink" Target="http://www.sec.gov/Archives/edgar/data/1384101/000138410118000006/vcyt-12312017xex103.htm" TargetMode="External"/><Relationship Id="rId155" Type="http://schemas.openxmlformats.org/officeDocument/2006/relationships/hyperlink" Target="https://www.sec.gov/Archives/edgar/data/1384101/000143774920022261/ex_207290.htm" TargetMode="External"/><Relationship Id="rId156" Type="http://schemas.openxmlformats.org/officeDocument/2006/relationships/hyperlink" Target="https://www.sec.gov/Archives/edgar/data/1384101/000143774920022261/ex_207336.htm" TargetMode="External"/><Relationship Id="rId157" Type="http://schemas.openxmlformats.org/officeDocument/2006/relationships/hyperlink" Target="http://www.sec.gov/Archives/edgar/data/1384101/000110465915059626/a15-12130_1ex10d1.htm" TargetMode="External"/><Relationship Id="rId158" Type="http://schemas.openxmlformats.org/officeDocument/2006/relationships/hyperlink" Target="http://www.sec.gov/Archives/edgar/data/1384101/000104746913009208/a2216719zex-10_6.htm" TargetMode="External"/><Relationship Id="rId159" Type="http://schemas.openxmlformats.org/officeDocument/2006/relationships/hyperlink" Target="http://www.sec.gov/Archives/edgar/data/1384101/000138410117000068/vcyt-09302017xex101.htm" TargetMode="External"/><Relationship Id="rId161" Type="http://schemas.openxmlformats.org/officeDocument/2006/relationships/hyperlink" Target="http://www.sec.gov/Archives/edgar/data/1384101/000104746914002734/a2219000zex-10_7.htm" TargetMode="External"/><Relationship Id="rId162" Type="http://schemas.openxmlformats.org/officeDocument/2006/relationships/hyperlink" Target="http://www.sec.gov/Archives/edgar/data/1384101/000110465915059626/a15-12130_1ex10d2.htm" TargetMode="External"/><Relationship Id="rId163" Type="http://schemas.openxmlformats.org/officeDocument/2006/relationships/hyperlink" Target="http://www.sec.gov/Archives/edgar/data/1384101/000138410118000006/vcty-12312017xex109.htm" TargetMode="External"/><Relationship Id="rId164" Type="http://schemas.openxmlformats.org/officeDocument/2006/relationships/hyperlink" Target="http://www.sec.gov/Archives/edgar/data/1384101/000138410117000008/vcyt-12312016xex1010.htm" TargetMode="External"/><Relationship Id="rId165" Type="http://schemas.openxmlformats.org/officeDocument/2006/relationships/hyperlink" Target="http://www.sec.gov/Archives/edgar/data/1384101/000104746913009208/a2216719zex-10_10.htm" TargetMode="External"/><Relationship Id="rId166" Type="http://schemas.openxmlformats.org/officeDocument/2006/relationships/hyperlink" Target="http://www.sec.gov/Archives/edgar/data/1384101/000104746913009208/a2216719zex-10_11.htm" TargetMode="External"/><Relationship Id="rId167" Type="http://schemas.openxmlformats.org/officeDocument/2006/relationships/hyperlink" Target="http://www.sec.gov/Archives/edgar/data/1384101/000104746913009208/a2216719zex-10_12.htm" TargetMode="External"/><Relationship Id="rId168" Type="http://schemas.openxmlformats.org/officeDocument/2006/relationships/hyperlink" Target="https://www.sec.gov/Archives/edgar/data/1384101/000138410120000015/vcyt-12312019xex1015.htm" TargetMode="External"/><Relationship Id="rId169" Type="http://schemas.openxmlformats.org/officeDocument/2006/relationships/hyperlink" Target="http://www.sec.gov/Archives/edgar/data/1384101/000138410119000046/vcyt-03312019xex101.htm" TargetMode="External"/><Relationship Id="rId170" Type="http://schemas.openxmlformats.org/officeDocument/2006/relationships/hyperlink" Target="http://www.sec.gov/Archives/edgar/data/1384101/000138410118000006/vcyt-12312017xex1019.htm" TargetMode="External"/><Relationship Id="rId171" Type="http://schemas.openxmlformats.org/officeDocument/2006/relationships/hyperlink" Target="http://www.sec.gov/Archives/edgar/data/1384101/000138410118000006/vcyt-12312017exx1020.htm" TargetMode="External"/><Relationship Id="rId172" Type="http://schemas.openxmlformats.org/officeDocument/2006/relationships/hyperlink" Target="http://www.sec.gov/Archives/edgar/data/1384101/000138410118000026/vcyt-03312018xex10.htm" TargetMode="External"/><Relationship Id="rId173" Type="http://schemas.openxmlformats.org/officeDocument/2006/relationships/hyperlink" Target="http://www.sec.gov/Archives/edgar/data/1384101/000138410119000100/vcyt-06302019xex102.htm" TargetMode="External"/><Relationship Id="rId174" Type="http://schemas.openxmlformats.org/officeDocument/2006/relationships/hyperlink" Target="http://www.sec.gov/Archives/edgar/data/1384101/000138410119000100/vcyt-06302019xex103.htm" TargetMode="External"/><Relationship Id="rId175" Type="http://schemas.openxmlformats.org/officeDocument/2006/relationships/hyperlink" Target="http://www.sec.gov/Archives/edgar/data/1384101/000138410119000100/vcyt-06302019xex104.htm" TargetMode="External"/><Relationship Id="rId177" Type="http://schemas.openxmlformats.org/officeDocument/2006/relationships/hyperlink" Target="http://www.sec.gov/Archives/edgar/data/1384101/000138410119000010/vcyt-12312018xex1023.htm" TargetMode="External"/><Relationship Id="rId178" Type="http://schemas.openxmlformats.org/officeDocument/2006/relationships/hyperlink" Target="http://www.sec.gov/Archives/edgar/data/1384101/000138410119000146/vcyt-12320198xkxex21.htm" TargetMode="External"/><Relationship Id="rId179" Type="http://schemas.openxmlformats.org/officeDocument/2006/relationships/hyperlink" Target="http://www.sec.gov/Archives/edgar/data/1384101/000138410119000146/vcyt-12320198xkx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2021-02-22T15:22:42Z</dcterms:created>
  <dcterms:modified xsi:type="dcterms:W3CDTF">2021-02-22T15:22:42Z</dcterms:modified>
</cp:coreProperties>
</file>