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ind w:left="4640"/>
        <w:spacing w:after="0"/>
        <w:rPr>
          <w:sz w:val="20"/>
          <w:szCs w:val="20"/>
          <w:color w:val="auto"/>
        </w:rPr>
      </w:pPr>
      <w:r>
        <w:rPr>
          <w:rFonts w:ascii="Arial" w:cs="Arial" w:eastAsia="Arial" w:hAnsi="Arial"/>
          <w:sz w:val="18"/>
          <w:szCs w:val="18"/>
          <w:b w:val="1"/>
          <w:bCs w:val="1"/>
          <w:color w:val="auto"/>
        </w:rPr>
        <w:t>(Amendment No. _______)*</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ACUTA CAPITAL PARTNERS LLC, 1301 SHOREWAY ROAD, SUITE 350, BELMONT CA 94002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Authorized to Receive Notices and Communications)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right="10100" w:firstLine="8"/>
        <w:spacing w:after="0" w:line="302" w:lineRule="auto"/>
        <w:tabs>
          <w:tab w:leader="none" w:pos="2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96" w:lineRule="exact"/>
        <w:rPr>
          <w:sz w:val="24"/>
          <w:szCs w:val="24"/>
          <w:color w:val="auto"/>
        </w:rPr>
      </w:pPr>
    </w:p>
    <w:p>
      <w:pPr>
        <w:ind w:firstLine="8"/>
        <w:spacing w:after="0" w:line="194" w:lineRule="auto"/>
        <w:tabs>
          <w:tab w:leader="none" w:pos="113"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2"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439420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spacing w:after="0"/>
        <w:tabs>
          <w:tab w:leader="none" w:pos="5540" w:val="left"/>
          <w:tab w:leader="none" w:pos="10120" w:val="left"/>
        </w:tabs>
        <w:rPr>
          <w:sz w:val="20"/>
          <w:szCs w:val="20"/>
          <w:color w:val="auto"/>
        </w:rPr>
      </w:pPr>
      <w:r>
        <w:rPr>
          <w:rFonts w:ascii="Arial" w:cs="Arial" w:eastAsia="Arial" w:hAnsi="Arial"/>
          <w:sz w:val="18"/>
          <w:szCs w:val="18"/>
          <w:color w:val="auto"/>
        </w:rPr>
        <w:t>CUSIP No. 92337F107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NAMES OF REPORTING PERSONS</w:t>
      </w:r>
    </w:p>
    <w:p>
      <w:pPr>
        <w:ind w:left="460" w:hanging="297"/>
        <w:spacing w:after="0" w:line="185" w:lineRule="auto"/>
        <w:tabs>
          <w:tab w:leader="none" w:pos="460" w:val="left"/>
        </w:tabs>
        <w:numPr>
          <w:ilvl w:val="0"/>
          <w:numId w:val="3"/>
        </w:numPr>
        <w:rPr>
          <w:rFonts w:ascii="Arial" w:cs="Arial" w:eastAsia="Arial" w:hAnsi="Arial"/>
          <w:sz w:val="27"/>
          <w:szCs w:val="27"/>
          <w:color w:val="auto"/>
          <w:vertAlign w:val="subscript"/>
        </w:rPr>
      </w:pPr>
      <w:r>
        <w:rPr>
          <w:rFonts w:ascii="Arial" w:cs="Arial" w:eastAsia="Arial" w:hAnsi="Arial"/>
          <w:sz w:val="15"/>
          <w:szCs w:val="15"/>
          <w:color w:val="auto"/>
        </w:rPr>
        <w:t>I.R.S. IDENTIFICATION NOS. OF ABOVE PERSONS (ENTITIES ONLY)</w:t>
      </w:r>
    </w:p>
    <w:p>
      <w:pPr>
        <w:spacing w:after="0" w:line="201" w:lineRule="exact"/>
        <w:rPr>
          <w:rFonts w:ascii="Arial" w:cs="Arial" w:eastAsia="Arial" w:hAnsi="Arial"/>
          <w:sz w:val="27"/>
          <w:szCs w:val="27"/>
          <w:color w:val="auto"/>
          <w:vertAlign w:val="subscript"/>
        </w:rPr>
      </w:pPr>
    </w:p>
    <w:p>
      <w:pPr>
        <w:ind w:left="460"/>
        <w:spacing w:after="0"/>
        <w:rPr>
          <w:rFonts w:ascii="Arial" w:cs="Arial" w:eastAsia="Arial" w:hAnsi="Arial"/>
          <w:sz w:val="27"/>
          <w:szCs w:val="27"/>
          <w:color w:val="auto"/>
          <w:vertAlign w:val="subscript"/>
        </w:rPr>
      </w:pPr>
      <w:r>
        <w:rPr>
          <w:rFonts w:ascii="Arial" w:cs="Arial" w:eastAsia="Arial" w:hAnsi="Arial"/>
          <w:sz w:val="18"/>
          <w:szCs w:val="18"/>
          <w:color w:val="auto"/>
        </w:rPr>
        <w:t>ACUTA CAPITAL PARTNERS LLC 45-2817402</w:t>
      </w:r>
    </w:p>
    <w:p>
      <w:pPr>
        <w:spacing w:after="0" w:line="36" w:lineRule="exact"/>
        <w:rPr>
          <w:rFonts w:ascii="Arial" w:cs="Arial" w:eastAsia="Arial" w:hAnsi="Arial"/>
          <w:sz w:val="27"/>
          <w:szCs w:val="27"/>
          <w:color w:val="auto"/>
          <w:vertAlign w:val="subscript"/>
        </w:rPr>
      </w:pPr>
    </w:p>
    <w:p>
      <w:pPr>
        <w:ind w:left="460"/>
        <w:spacing w:after="0"/>
        <w:rPr>
          <w:rFonts w:ascii="Arial" w:cs="Arial" w:eastAsia="Arial" w:hAnsi="Arial"/>
          <w:sz w:val="27"/>
          <w:szCs w:val="27"/>
          <w:color w:val="auto"/>
          <w:vertAlign w:val="subscript"/>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27"/>
          <w:szCs w:val="27"/>
          <w:color w:val="auto"/>
          <w:vertAlign w:val="subscript"/>
        </w:rPr>
      </w:pPr>
    </w:p>
    <w:p>
      <w:pPr>
        <w:ind w:left="460" w:hanging="297"/>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 ]</w:t>
      </w:r>
    </w:p>
    <w:p>
      <w:pPr>
        <w:spacing w:after="0" w:line="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(b) [ ]</w:t>
      </w:r>
    </w:p>
    <w:p>
      <w:pPr>
        <w:spacing w:after="0" w:line="9" w:lineRule="exact"/>
        <w:rPr>
          <w:rFonts w:ascii="Arial" w:cs="Arial" w:eastAsia="Arial" w:hAnsi="Arial"/>
          <w:sz w:val="18"/>
          <w:szCs w:val="18"/>
          <w:color w:val="auto"/>
        </w:rPr>
      </w:pPr>
    </w:p>
    <w:p>
      <w:pPr>
        <w:ind w:left="460" w:hanging="297"/>
        <w:spacing w:after="0" w:line="181" w:lineRule="auto"/>
        <w:tabs>
          <w:tab w:leader="none" w:pos="460" w:val="left"/>
        </w:tabs>
        <w:numPr>
          <w:ilvl w:val="0"/>
          <w:numId w:val="3"/>
        </w:numPr>
        <w:rPr>
          <w:rFonts w:ascii="Arial" w:cs="Arial" w:eastAsia="Arial" w:hAnsi="Arial"/>
          <w:sz w:val="28"/>
          <w:szCs w:val="28"/>
          <w:color w:val="auto"/>
          <w:vertAlign w:val="subscript"/>
        </w:rPr>
      </w:pPr>
      <w:r>
        <w:rPr>
          <w:rFonts w:ascii="Arial" w:cs="Arial" w:eastAsia="Arial" w:hAnsi="Arial"/>
          <w:sz w:val="15"/>
          <w:szCs w:val="15"/>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STATE OF DELAWARE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6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w:t>
            </w:r>
          </w:p>
        </w:tc>
        <w:tc>
          <w:tcPr>
            <w:tcW w:w="94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02"/>
        </w:trPr>
        <w:tc>
          <w:tcPr>
            <w:tcW w:w="162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9420" w:type="dxa"/>
            <w:vAlign w:val="bottom"/>
            <w:vMerge w:val="restart"/>
          </w:tcPr>
          <w:p>
            <w:pPr>
              <w:ind w:left="80"/>
              <w:spacing w:after="0"/>
              <w:rPr>
                <w:sz w:val="20"/>
                <w:szCs w:val="20"/>
                <w:color w:val="auto"/>
              </w:rPr>
            </w:pPr>
            <w:r>
              <w:rPr>
                <w:rFonts w:ascii="Arial" w:cs="Arial" w:eastAsia="Arial" w:hAnsi="Arial"/>
                <w:sz w:val="18"/>
                <w:szCs w:val="18"/>
                <w:color w:val="auto"/>
              </w:rPr>
              <w:t>3,295,111</w:t>
            </w:r>
          </w:p>
        </w:tc>
        <w:tc>
          <w:tcPr>
            <w:tcW w:w="0" w:type="dxa"/>
            <w:vAlign w:val="bottom"/>
          </w:tcPr>
          <w:p>
            <w:pPr>
              <w:spacing w:after="0"/>
              <w:rPr>
                <w:sz w:val="1"/>
                <w:szCs w:val="1"/>
                <w:color w:val="auto"/>
              </w:rPr>
            </w:pPr>
          </w:p>
        </w:tc>
      </w:tr>
      <w:tr>
        <w:trPr>
          <w:trHeight w:val="223"/>
        </w:trPr>
        <w:tc>
          <w:tcPr>
            <w:tcW w:w="16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380" w:type="dxa"/>
            <w:vAlign w:val="bottom"/>
            <w:tcBorders>
              <w:bottom w:val="single" w:sz="8" w:color="auto"/>
            </w:tcBorders>
          </w:tcPr>
          <w:p>
            <w:pPr>
              <w:spacing w:after="0"/>
              <w:rPr>
                <w:sz w:val="19"/>
                <w:szCs w:val="19"/>
                <w:color w:val="auto"/>
              </w:rPr>
            </w:pPr>
          </w:p>
        </w:tc>
        <w:tc>
          <w:tcPr>
            <w:tcW w:w="94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42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380" w:type="dxa"/>
            <w:vAlign w:val="bottom"/>
            <w:vMerge w:val="continue"/>
          </w:tcPr>
          <w:p>
            <w:pPr>
              <w:spacing w:after="0"/>
              <w:rPr>
                <w:sz w:val="18"/>
                <w:szCs w:val="18"/>
                <w:color w:val="auto"/>
              </w:rPr>
            </w:pPr>
          </w:p>
        </w:tc>
        <w:tc>
          <w:tcPr>
            <w:tcW w:w="9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62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380" w:type="dxa"/>
            <w:vAlign w:val="bottom"/>
            <w:tcBorders>
              <w:bottom w:val="single" w:sz="8" w:color="auto"/>
            </w:tcBorders>
          </w:tcPr>
          <w:p>
            <w:pPr>
              <w:spacing w:after="0"/>
              <w:rPr>
                <w:sz w:val="19"/>
                <w:szCs w:val="19"/>
                <w:color w:val="auto"/>
              </w:rPr>
            </w:pPr>
          </w:p>
        </w:tc>
        <w:tc>
          <w:tcPr>
            <w:tcW w:w="9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620" w:type="dxa"/>
            <w:vAlign w:val="bottom"/>
          </w:tcPr>
          <w:p>
            <w:pPr>
              <w:jc w:val="center"/>
              <w:spacing w:after="0" w:line="189" w:lineRule="exact"/>
              <w:rPr>
                <w:sz w:val="20"/>
                <w:szCs w:val="20"/>
                <w:color w:val="auto"/>
              </w:rPr>
            </w:pPr>
            <w:r>
              <w:rPr>
                <w:rFonts w:ascii="Arial" w:cs="Arial" w:eastAsia="Arial" w:hAnsi="Arial"/>
                <w:sz w:val="18"/>
                <w:szCs w:val="18"/>
                <w:color w:val="auto"/>
                <w:w w:val="95"/>
              </w:rPr>
              <w:t>EACH</w:t>
            </w:r>
          </w:p>
        </w:tc>
        <w:tc>
          <w:tcPr>
            <w:tcW w:w="380" w:type="dxa"/>
            <w:vAlign w:val="bottom"/>
          </w:tcPr>
          <w:p>
            <w:pPr>
              <w:spacing w:after="0"/>
              <w:rPr>
                <w:sz w:val="16"/>
                <w:szCs w:val="16"/>
                <w:color w:val="auto"/>
              </w:rPr>
            </w:pPr>
          </w:p>
        </w:tc>
        <w:tc>
          <w:tcPr>
            <w:tcW w:w="9420" w:type="dxa"/>
            <w:vAlign w:val="bottom"/>
          </w:tcPr>
          <w:p>
            <w:pPr>
              <w:ind w:left="8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9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62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380" w:type="dxa"/>
            <w:vAlign w:val="bottom"/>
            <w:tcBorders>
              <w:bottom w:val="single" w:sz="8" w:color="auto"/>
            </w:tcBorders>
          </w:tcPr>
          <w:p>
            <w:pPr>
              <w:spacing w:after="0"/>
              <w:rPr>
                <w:sz w:val="21"/>
                <w:szCs w:val="21"/>
                <w:color w:val="auto"/>
              </w:rPr>
            </w:pPr>
          </w:p>
        </w:tc>
        <w:tc>
          <w:tcPr>
            <w:tcW w:w="94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3,295,111</w:t>
            </w:r>
          </w:p>
        </w:tc>
        <w:tc>
          <w:tcPr>
            <w:tcW w:w="0" w:type="dxa"/>
            <w:vAlign w:val="bottom"/>
          </w:tcPr>
          <w:p>
            <w:pPr>
              <w:spacing w:after="0"/>
              <w:rPr>
                <w:sz w:val="1"/>
                <w:szCs w:val="1"/>
                <w:color w:val="auto"/>
              </w:rPr>
            </w:pPr>
          </w:p>
        </w:tc>
      </w:tr>
      <w:tr>
        <w:trPr>
          <w:trHeight w:val="324"/>
        </w:trPr>
        <w:tc>
          <w:tcPr>
            <w:tcW w:w="16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942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3,295,111</w:t>
      </w:r>
    </w:p>
    <w:p>
      <w:pPr>
        <w:ind w:left="120"/>
        <w:spacing w:after="0" w:line="208" w:lineRule="auto"/>
        <w:rPr>
          <w:sz w:val="20"/>
          <w:szCs w:val="20"/>
          <w:color w:val="auto"/>
        </w:rPr>
      </w:pPr>
      <w:r>
        <w:rPr>
          <w:rFonts w:ascii="Arial" w:cs="Arial" w:eastAsia="Arial" w:hAnsi="Arial"/>
          <w:sz w:val="36"/>
          <w:szCs w:val="36"/>
          <w:color w:val="auto"/>
          <w:vertAlign w:val="subscript"/>
        </w:rPr>
        <w:t>10.</w:t>
      </w:r>
      <w:r>
        <w:rPr>
          <w:rFonts w:ascii="Arial" w:cs="Arial" w:eastAsia="Arial" w:hAnsi="Arial"/>
          <w:sz w:val="18"/>
          <w:szCs w:val="18"/>
          <w:color w:val="auto"/>
        </w:rPr>
        <w:t xml:space="preserve"> CHECK IF THE AGGREGATE AMOUNT IN ROW (9) EXCLUDES CERTAIN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PERCENT OF CLASS REPRESENTED BY AMOUNT IN ROW (9)</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9.7%</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36"/>
          <w:szCs w:val="36"/>
          <w:color w:val="auto"/>
          <w:vertAlign w:val="subscript"/>
        </w:rPr>
        <w:t>12.</w:t>
      </w:r>
      <w:r>
        <w:rPr>
          <w:rFonts w:ascii="Arial" w:cs="Arial" w:eastAsia="Arial" w:hAnsi="Arial"/>
          <w:sz w:val="18"/>
          <w:szCs w:val="18"/>
          <w:color w:val="auto"/>
        </w:rPr>
        <w:t xml:space="preserve"> TYPE</w:t>
      </w:r>
      <w:r>
        <w:rPr>
          <w:rFonts w:ascii="Arial" w:cs="Arial" w:eastAsia="Arial" w:hAnsi="Arial"/>
          <w:sz w:val="36"/>
          <w:szCs w:val="36"/>
          <w:color w:val="auto"/>
          <w:vertAlign w:val="subscript"/>
        </w:rPr>
        <w:t>IA</w:t>
      </w:r>
      <w:r>
        <w:rPr>
          <w:rFonts w:ascii="Arial" w:cs="Arial" w:eastAsia="Arial" w:hAnsi="Arial"/>
          <w:sz w:val="18"/>
          <w:szCs w:val="18"/>
          <w:color w:val="auto"/>
        </w:rPr>
        <w:t xml:space="preserv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-262255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320040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 w:name="page3"/>
    <w:bookmarkEnd w:id="2"/>
    <w:p>
      <w:pPr>
        <w:spacing w:after="0"/>
        <w:tabs>
          <w:tab w:leader="none" w:pos="5540" w:val="left"/>
          <w:tab w:leader="none" w:pos="10120" w:val="left"/>
        </w:tabs>
        <w:rPr>
          <w:sz w:val="20"/>
          <w:szCs w:val="20"/>
          <w:color w:val="auto"/>
        </w:rPr>
      </w:pPr>
      <w:r>
        <w:rPr>
          <w:rFonts w:ascii="Arial" w:cs="Arial" w:eastAsia="Arial" w:hAnsi="Arial"/>
          <w:sz w:val="18"/>
          <w:szCs w:val="18"/>
          <w:color w:val="auto"/>
        </w:rPr>
        <w:t>CUSIP No. 92337F107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3 of 6 Pages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4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36"/>
          <w:szCs w:val="36"/>
          <w:color w:val="auto"/>
          <w:vertAlign w:val="subscript"/>
        </w:rPr>
      </w:pPr>
      <w:r>
        <w:rPr>
          <w:rFonts w:ascii="Arial" w:cs="Arial" w:eastAsia="Arial" w:hAnsi="Arial"/>
          <w:sz w:val="18"/>
          <w:szCs w:val="18"/>
          <w:color w:val="auto"/>
        </w:rPr>
        <w:t>Name of Issuer</w:t>
      </w:r>
    </w:p>
    <w:p>
      <w:pPr>
        <w:spacing w:after="0" w:line="1" w:lineRule="exact"/>
        <w:rPr>
          <w:rFonts w:ascii="Arial" w:cs="Arial" w:eastAsia="Arial" w:hAnsi="Arial"/>
          <w:sz w:val="36"/>
          <w:szCs w:val="36"/>
          <w:color w:val="auto"/>
          <w:vertAlign w:val="subscript"/>
        </w:rPr>
      </w:pPr>
    </w:p>
    <w:p>
      <w:pPr>
        <w:ind w:left="660"/>
        <w:spacing w:after="0"/>
        <w:rPr>
          <w:rFonts w:ascii="Arial" w:cs="Arial" w:eastAsia="Arial" w:hAnsi="Arial"/>
          <w:sz w:val="36"/>
          <w:szCs w:val="36"/>
          <w:color w:val="auto"/>
          <w:vertAlign w:val="subscript"/>
        </w:rPr>
      </w:pPr>
      <w:r>
        <w:rPr>
          <w:rFonts w:ascii="Arial" w:cs="Arial" w:eastAsia="Arial" w:hAnsi="Arial"/>
          <w:sz w:val="18"/>
          <w:szCs w:val="18"/>
          <w:color w:val="auto"/>
        </w:rPr>
        <w:t>VERACYTE INC</w:t>
      </w:r>
    </w:p>
    <w:p>
      <w:pPr>
        <w:spacing w:after="0" w:line="209" w:lineRule="exact"/>
        <w:rPr>
          <w:rFonts w:ascii="Arial" w:cs="Arial" w:eastAsia="Arial" w:hAnsi="Arial"/>
          <w:sz w:val="36"/>
          <w:szCs w:val="36"/>
          <w:color w:val="auto"/>
          <w:vertAlign w:val="subscript"/>
        </w:rPr>
      </w:pPr>
    </w:p>
    <w:p>
      <w:pPr>
        <w:ind w:left="660"/>
        <w:spacing w:after="0"/>
        <w:rPr>
          <w:rFonts w:ascii="Arial" w:cs="Arial" w:eastAsia="Arial" w:hAnsi="Arial"/>
          <w:sz w:val="36"/>
          <w:szCs w:val="36"/>
          <w:color w:val="auto"/>
          <w:vertAlign w:val="subscript"/>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36"/>
          <w:szCs w:val="36"/>
          <w:color w:val="auto"/>
          <w:vertAlign w:val="subscript"/>
        </w:rPr>
      </w:pPr>
    </w:p>
    <w:p>
      <w:pPr>
        <w:jc w:val="both"/>
        <w:ind w:left="660" w:right="7820" w:hanging="328"/>
        <w:spacing w:after="0" w:line="323"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6000 SHORELINE COURT, SUITE 300 SOUTH SAN FRANCISCO, CA 94080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4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36"/>
          <w:szCs w:val="36"/>
          <w:color w:val="auto"/>
          <w:vertAlign w:val="subscript"/>
        </w:rPr>
      </w:pPr>
      <w:r>
        <w:rPr>
          <w:rFonts w:ascii="Arial" w:cs="Arial" w:eastAsia="Arial" w:hAnsi="Arial"/>
          <w:sz w:val="18"/>
          <w:szCs w:val="18"/>
          <w:color w:val="auto"/>
        </w:rPr>
        <w:t>Name of Person Filing</w:t>
      </w:r>
    </w:p>
    <w:p>
      <w:pPr>
        <w:spacing w:after="0" w:line="1" w:lineRule="exact"/>
        <w:rPr>
          <w:rFonts w:ascii="Arial" w:cs="Arial" w:eastAsia="Arial" w:hAnsi="Arial"/>
          <w:sz w:val="36"/>
          <w:szCs w:val="36"/>
          <w:color w:val="auto"/>
          <w:vertAlign w:val="subscript"/>
        </w:rPr>
      </w:pPr>
    </w:p>
    <w:p>
      <w:pPr>
        <w:ind w:left="660"/>
        <w:spacing w:after="0"/>
        <w:rPr>
          <w:rFonts w:ascii="Arial" w:cs="Arial" w:eastAsia="Arial" w:hAnsi="Arial"/>
          <w:sz w:val="36"/>
          <w:szCs w:val="36"/>
          <w:color w:val="auto"/>
          <w:vertAlign w:val="subscript"/>
        </w:rPr>
      </w:pPr>
      <w:r>
        <w:rPr>
          <w:rFonts w:ascii="Arial" w:cs="Arial" w:eastAsia="Arial" w:hAnsi="Arial"/>
          <w:sz w:val="18"/>
          <w:szCs w:val="18"/>
          <w:color w:val="auto"/>
        </w:rPr>
        <w:t>ACUTA CAPITAL PARTNERS LLC</w:t>
      </w:r>
    </w:p>
    <w:p>
      <w:pPr>
        <w:spacing w:after="0" w:line="209" w:lineRule="exact"/>
        <w:rPr>
          <w:rFonts w:ascii="Arial" w:cs="Arial" w:eastAsia="Arial" w:hAnsi="Arial"/>
          <w:sz w:val="36"/>
          <w:szCs w:val="36"/>
          <w:color w:val="auto"/>
          <w:vertAlign w:val="subscript"/>
        </w:rPr>
      </w:pPr>
    </w:p>
    <w:p>
      <w:pPr>
        <w:ind w:left="660"/>
        <w:spacing w:after="0"/>
        <w:rPr>
          <w:rFonts w:ascii="Arial" w:cs="Arial" w:eastAsia="Arial" w:hAnsi="Arial"/>
          <w:sz w:val="36"/>
          <w:szCs w:val="36"/>
          <w:color w:val="auto"/>
          <w:vertAlign w:val="subscript"/>
        </w:rPr>
      </w:pPr>
      <w:r>
        <w:rPr>
          <w:rFonts w:ascii="Arial" w:cs="Arial" w:eastAsia="Arial" w:hAnsi="Arial"/>
          <w:sz w:val="18"/>
          <w:szCs w:val="18"/>
          <w:color w:val="auto"/>
        </w:rPr>
        <w:t>Address of the Principal Office or, if none, residence</w:t>
      </w:r>
    </w:p>
    <w:p>
      <w:pPr>
        <w:spacing w:after="0" w:line="23" w:lineRule="exact"/>
        <w:rPr>
          <w:rFonts w:ascii="Arial" w:cs="Arial" w:eastAsia="Arial" w:hAnsi="Arial"/>
          <w:sz w:val="36"/>
          <w:szCs w:val="36"/>
          <w:color w:val="auto"/>
          <w:vertAlign w:val="subscript"/>
        </w:rPr>
      </w:pPr>
    </w:p>
    <w:p>
      <w:pPr>
        <w:ind w:left="660" w:right="78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1301 SHOREWAY ROAD, SUITE 350, BELMONT, CA, 94002</w:t>
      </w:r>
    </w:p>
    <w:p>
      <w:pPr>
        <w:spacing w:after="0" w:line="15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36"/>
          <w:szCs w:val="36"/>
          <w:color w:val="auto"/>
          <w:vertAlign w:val="superscript"/>
        </w:rPr>
        <w:t>Citizenship</w:t>
      </w:r>
      <w:r>
        <w:rPr>
          <w:rFonts w:ascii="Arial" w:cs="Arial" w:eastAsia="Arial" w:hAnsi="Arial"/>
          <w:sz w:val="36"/>
          <w:szCs w:val="36"/>
          <w:color w:val="auto"/>
          <w:vertAlign w:val="subscript"/>
        </w:rPr>
        <w:t>USA</w:t>
      </w:r>
    </w:p>
    <w:p>
      <w:pPr>
        <w:spacing w:after="0" w:line="81"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5"/>
        </w:numPr>
        <w:rPr>
          <w:rFonts w:ascii="Arial" w:cs="Arial" w:eastAsia="Arial" w:hAnsi="Arial"/>
          <w:sz w:val="36"/>
          <w:szCs w:val="36"/>
          <w:color w:val="auto"/>
          <w:vertAlign w:val="subscript"/>
        </w:rPr>
      </w:pPr>
      <w:r>
        <w:rPr>
          <w:rFonts w:ascii="Arial" w:cs="Arial" w:eastAsia="Arial" w:hAnsi="Arial"/>
          <w:sz w:val="18"/>
          <w:szCs w:val="18"/>
          <w:color w:val="auto"/>
        </w:rPr>
        <w:t>Title of Class of Securities</w:t>
      </w:r>
    </w:p>
    <w:p>
      <w:pPr>
        <w:spacing w:after="0" w:line="2" w:lineRule="exact"/>
        <w:rPr>
          <w:rFonts w:ascii="Arial" w:cs="Arial" w:eastAsia="Arial" w:hAnsi="Arial"/>
          <w:sz w:val="36"/>
          <w:szCs w:val="36"/>
          <w:color w:val="auto"/>
          <w:vertAlign w:val="subscript"/>
        </w:rPr>
      </w:pPr>
    </w:p>
    <w:p>
      <w:pPr>
        <w:ind w:left="660"/>
        <w:spacing w:after="0"/>
        <w:rPr>
          <w:rFonts w:ascii="Arial" w:cs="Arial" w:eastAsia="Arial" w:hAnsi="Arial"/>
          <w:sz w:val="36"/>
          <w:szCs w:val="36"/>
          <w:color w:val="auto"/>
          <w:vertAlign w:val="subscript"/>
        </w:rPr>
      </w:pPr>
      <w:r>
        <w:rPr>
          <w:rFonts w:ascii="Arial" w:cs="Arial" w:eastAsia="Arial" w:hAnsi="Arial"/>
          <w:sz w:val="18"/>
          <w:szCs w:val="18"/>
          <w:color w:val="auto"/>
        </w:rPr>
        <w:t>COMMON SHARES</w:t>
      </w:r>
    </w:p>
    <w:p>
      <w:pPr>
        <w:spacing w:after="0" w:line="209" w:lineRule="exact"/>
        <w:rPr>
          <w:rFonts w:ascii="Arial" w:cs="Arial" w:eastAsia="Arial" w:hAnsi="Arial"/>
          <w:sz w:val="36"/>
          <w:szCs w:val="36"/>
          <w:color w:val="auto"/>
          <w:vertAlign w:val="subscript"/>
        </w:rPr>
      </w:pPr>
    </w:p>
    <w:p>
      <w:pPr>
        <w:ind w:left="660" w:right="9620" w:hanging="328"/>
        <w:spacing w:after="0" w:line="198" w:lineRule="auto"/>
        <w:tabs>
          <w:tab w:leader="none" w:pos="660" w:val="left"/>
        </w:tabs>
        <w:numPr>
          <w:ilvl w:val="0"/>
          <w:numId w:val="5"/>
        </w:numPr>
        <w:rPr>
          <w:rFonts w:ascii="Arial" w:cs="Arial" w:eastAsia="Arial" w:hAnsi="Arial"/>
          <w:sz w:val="31"/>
          <w:szCs w:val="31"/>
          <w:color w:val="auto"/>
          <w:vertAlign w:val="subscript"/>
        </w:rPr>
      </w:pPr>
      <w:r>
        <w:rPr>
          <w:rFonts w:ascii="Arial" w:cs="Arial" w:eastAsia="Arial" w:hAnsi="Arial"/>
          <w:sz w:val="16"/>
          <w:szCs w:val="16"/>
          <w:color w:val="auto"/>
        </w:rPr>
        <w:t>CUSIP Number 92337F107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2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 Broker or dealer registered under section 15 of the Act (15 U.S.C. 78o).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 Bank as defined in section 3(a)(6) of the Act (15 U.S.C. 78c).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 Insurance company as defined in section 3(a)(19) of the Act (15 U.S.C. 78c).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[X] An investment adviser in accordance with §240.13d-1(b)(1)(ii)(E);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 An employee benefit plan or endowment fund in accordance with §240.13d-1(b)(1)(ii)(F);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 A parent holding company or control person in accordance with §240.13d-1(b)(1)(ii)(G);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 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980" w:hanging="648"/>
        <w:spacing w:after="0" w:line="277" w:lineRule="auto"/>
        <w:tabs>
          <w:tab w:leader="none" w:pos="656" w:val="left"/>
        </w:tabs>
        <w:numPr>
          <w:ilvl w:val="0"/>
          <w:numId w:val="6"/>
        </w:numPr>
        <w:rPr>
          <w:rFonts w:ascii="Arial" w:cs="Arial" w:eastAsia="Arial" w:hAnsi="Arial"/>
          <w:sz w:val="18"/>
          <w:szCs w:val="18"/>
          <w:color w:val="auto"/>
        </w:rPr>
      </w:pPr>
      <w:r>
        <w:rPr>
          <w:rFonts w:ascii="Arial" w:cs="Arial" w:eastAsia="Arial" w:hAnsi="Arial"/>
          <w:sz w:val="18"/>
          <w:szCs w:val="18"/>
          <w:color w:val="auto"/>
        </w:rPr>
        <w:t>[ ]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 Group, in accordance with §240.13d-1(b)(1)(ii)(J).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 w:name="page4"/>
    <w:bookmarkEnd w:id="3"/>
    <w:p>
      <w:pPr>
        <w:spacing w:after="0"/>
        <w:tabs>
          <w:tab w:leader="none" w:pos="5540" w:val="left"/>
          <w:tab w:leader="none" w:pos="10120" w:val="left"/>
        </w:tabs>
        <w:rPr>
          <w:sz w:val="20"/>
          <w:szCs w:val="20"/>
          <w:color w:val="auto"/>
        </w:rPr>
      </w:pPr>
      <w:r>
        <w:rPr>
          <w:rFonts w:ascii="Arial" w:cs="Arial" w:eastAsia="Arial" w:hAnsi="Arial"/>
          <w:sz w:val="18"/>
          <w:szCs w:val="18"/>
          <w:color w:val="auto"/>
        </w:rPr>
        <w:t>CUSIP No. 92337F107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4 of 6 Pages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 3,295,111</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9.7%</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 3,295,111</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3,295,111</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 w:name="page5"/>
    <w:bookmarkEnd w:id="4"/>
    <w:p>
      <w:pPr>
        <w:spacing w:after="0"/>
        <w:tabs>
          <w:tab w:leader="none" w:pos="5540" w:val="left"/>
          <w:tab w:leader="none" w:pos="10120" w:val="left"/>
        </w:tabs>
        <w:rPr>
          <w:sz w:val="20"/>
          <w:szCs w:val="20"/>
          <w:color w:val="auto"/>
        </w:rPr>
      </w:pPr>
      <w:r>
        <w:rPr>
          <w:rFonts w:ascii="Arial" w:cs="Arial" w:eastAsia="Arial" w:hAnsi="Arial"/>
          <w:sz w:val="18"/>
          <w:szCs w:val="18"/>
          <w:color w:val="auto"/>
        </w:rPr>
        <w:t>CUSIP No. 92337F107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5 of 6 Pages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§240.13d-1(b):</w:t>
      </w:r>
    </w:p>
    <w:p>
      <w:pPr>
        <w:spacing w:after="0" w:line="225" w:lineRule="exact"/>
        <w:rPr>
          <w:rFonts w:ascii="Arial" w:cs="Arial" w:eastAsia="Arial" w:hAnsi="Arial"/>
          <w:sz w:val="18"/>
          <w:szCs w:val="18"/>
          <w:color w:val="auto"/>
        </w:rPr>
      </w:pPr>
    </w:p>
    <w:p>
      <w:pPr>
        <w:jc w:val="both"/>
        <w:ind w:left="660"/>
        <w:spacing w:after="0" w:line="312" w:lineRule="auto"/>
        <w:rPr>
          <w:rFonts w:ascii="Arial" w:cs="Arial" w:eastAsia="Arial" w:hAnsi="Arial"/>
          <w:sz w:val="18"/>
          <w:szCs w:val="18"/>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4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225"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 w:name="page6"/>
    <w:bookmarkEnd w:id="5"/>
    <w:p>
      <w:pPr>
        <w:spacing w:after="0"/>
        <w:tabs>
          <w:tab w:leader="none" w:pos="5540" w:val="left"/>
          <w:tab w:leader="none" w:pos="10120" w:val="left"/>
        </w:tabs>
        <w:rPr>
          <w:sz w:val="20"/>
          <w:szCs w:val="20"/>
          <w:color w:val="auto"/>
        </w:rPr>
      </w:pPr>
      <w:r>
        <w:rPr>
          <w:rFonts w:ascii="Arial" w:cs="Arial" w:eastAsia="Arial" w:hAnsi="Arial"/>
          <w:sz w:val="18"/>
          <w:szCs w:val="18"/>
          <w:color w:val="auto"/>
        </w:rPr>
        <w:t>CUSIP No. 92337F107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6 of 6 Pages</w:t>
      </w:r>
    </w:p>
    <w:p>
      <w:pPr>
        <w:spacing w:after="0" w:line="225" w:lineRule="exact"/>
        <w:rPr>
          <w:sz w:val="20"/>
          <w:szCs w:val="20"/>
          <w:color w:val="auto"/>
        </w:rPr>
      </w:pPr>
    </w:p>
    <w:p>
      <w:pPr>
        <w:ind w:firstLine="389"/>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02/13/2018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/s/ Manfred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Manfred Yu, CCO &amp; 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lvl w:ilvl="1">
      <w:lvlJc w:val="left"/>
      <w:lvlText w:val="(%2)"/>
      <w:numFmt w:val="lowerRoman"/>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2019-12-07T07:32:25Z</dcterms:created>
  <dcterms:modified xsi:type="dcterms:W3CDTF">2019-12-07T07:32:25Z</dcterms:modified>
</cp:coreProperties>
</file>