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158,307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26.55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May 11, 2020 vest 18 months from May 1, 2020 subject to continuing employment of the Reporting Person on the vesting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awarded on May 11, 2020 vest 18 months from May 1, 2020 subject to continuing employment of the Reporting Person on the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05/13/2020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50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2020-05-13T15:54:23Z</dcterms:created>
  <dcterms:modified xsi:type="dcterms:W3CDTF">2020-05-13T15:54:23Z</dcterms:modified>
</cp:coreProperties>
</file>