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333-231173</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9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860" w:type="dxa"/>
            <w:vAlign w:val="bottom"/>
          </w:tcPr>
          <w:p>
            <w:pPr>
              <w:jc w:val="center"/>
              <w:ind w:left="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9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r>
              <w:rPr>
                <w:rFonts w:ascii="Arial" w:cs="Arial" w:eastAsia="Arial" w:hAnsi="Arial"/>
                <w:sz w:val="12"/>
                <w:szCs w:val="12"/>
                <w:b w:val="1"/>
                <w:bCs w:val="1"/>
                <w:color w:val="auto"/>
                <w:w w:val="94"/>
              </w:rPr>
              <w:t>(1)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9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376,732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$23.98</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$9,034,033</w:t>
            </w:r>
          </w:p>
        </w:tc>
        <w:tc>
          <w:tcPr>
            <w:tcW w:w="18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right="140" w:hanging="436"/>
        <w:spacing w:after="0" w:line="255"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computing the registration fee with respect to 376,732 shares of Common Stock pursuant to Rule 457(c) under the Securities Act of 1933, as amended (the “Securities Act”), based on the average of the high and low prices of the Registrant’s Common Stock as reported on The Nasdaq Global Market on February 24, 2020.</w:t>
      </w:r>
    </w:p>
    <w:p>
      <w:pPr>
        <w:spacing w:after="0" w:line="1" w:lineRule="exact"/>
        <w:rPr>
          <w:rFonts w:ascii="Arial" w:cs="Arial" w:eastAsia="Arial" w:hAnsi="Arial"/>
          <w:sz w:val="18"/>
          <w:szCs w:val="18"/>
          <w:color w:val="auto"/>
        </w:rPr>
      </w:pPr>
    </w:p>
    <w:p>
      <w:pPr>
        <w:ind w:left="640" w:right="24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and being paid pursuant to Rule 457(r) under the Securities Act of 1933, and relates to the Registration Statement on Form S-3ASR (File No. 333-231173) filed by the Registrant on May 2, 2019.</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Prospectus dated May 2, 2019)</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376,732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178435</wp:posOffset>
            </wp:positionV>
            <wp:extent cx="1920875" cy="138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This prospectus supplement relates to the offer and resale by NanoString Technologies, Inc., or Selling Stockholder, of up to an aggregate of 376,732 shares of our common stock, which we issued to the Selling Stockholder in connection with our entry with Selling Stockholder into that certain License and Asset Purchase Agreement dated December 3, 2019, or License and Asset Purchase Agreement. We will not receive any of the proceeds from the sale of these shares of our common stock by the Selling Stockholder.</w:t>
      </w:r>
    </w:p>
    <w:p>
      <w:pPr>
        <w:spacing w:after="0" w:line="187"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The Selling Stockholder identified in this prospectus supplement may offer the shares of our common stock from time to time through public or private transactions. The shares of our common stock offered by the Selling Stockholder may be sold at market prices prevailing at the time of sale, at prices related to such market prices, at a fixed price or prices subject to change, or at negotiated prices. See the section titled “Plan of Distribution.”</w:t>
      </w:r>
    </w:p>
    <w:p>
      <w:pPr>
        <w:spacing w:after="0" w:line="147"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February 24, 2020, the last reported sale price of our shares of common stock on The Nasdaq Global Market was $23.81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right="86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S-3 of this prospectus supplement.</w:t>
      </w:r>
    </w:p>
    <w:p>
      <w:pPr>
        <w:spacing w:after="0" w:line="172"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supplement is February 25, 2020.</w:t>
      </w:r>
    </w:p>
    <w:p>
      <w:pPr>
        <w:sectPr>
          <w:pgSz w:w="11900" w:h="16838" w:orient="portrait"/>
          <w:cols w:equalWidth="0" w:num="1">
            <w:col w:w="11220"/>
          </w:cols>
          <w:pgMar w:left="240" w:top="459"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5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66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200" w:type="dxa"/>
            <w:vAlign w:val="bottom"/>
          </w:tcPr>
          <w:p>
            <w:pPr>
              <w:spacing w:after="0"/>
              <w:rPr>
                <w:sz w:val="24"/>
                <w:szCs w:val="24"/>
                <w:color w:val="auto"/>
              </w:rPr>
            </w:pPr>
          </w:p>
        </w:tc>
        <w:tc>
          <w:tcPr>
            <w:tcW w:w="4380" w:type="dxa"/>
            <w:vAlign w:val="bottom"/>
            <w:gridSpan w:val="22"/>
          </w:tcPr>
          <w:p>
            <w:pPr>
              <w:spacing w:after="0"/>
              <w:rPr>
                <w:sz w:val="20"/>
                <w:szCs w:val="20"/>
                <w:color w:val="auto"/>
              </w:rPr>
            </w:pPr>
            <w:r>
              <w:rPr>
                <w:rFonts w:ascii="Arial" w:cs="Arial" w:eastAsia="Arial" w:hAnsi="Arial"/>
                <w:sz w:val="18"/>
                <w:szCs w:val="18"/>
                <w:b w:val="1"/>
                <w:bCs w:val="1"/>
                <w:color w:val="auto"/>
              </w:rPr>
              <w:t>Prospectus Supplement</w:t>
            </w:r>
          </w:p>
        </w:tc>
        <w:tc>
          <w:tcPr>
            <w:tcW w:w="660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344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940" w:type="dxa"/>
            <w:vAlign w:val="bottom"/>
            <w:gridSpan w:val="3"/>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THE OFFERING</w:t>
              </w:r>
            </w:hyperlink>
          </w:p>
        </w:tc>
        <w:tc>
          <w:tcPr>
            <w:tcW w:w="3100" w:type="dxa"/>
            <w:vAlign w:val="bottom"/>
            <w:gridSpan w:val="18"/>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2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3120" w:type="dxa"/>
            <w:vAlign w:val="bottom"/>
            <w:gridSpan w:val="19"/>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1440" w:type="dxa"/>
            <w:vAlign w:val="bottom"/>
            <w:gridSpan w:val="7"/>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SELLING STOCKHOLDER</w:t>
              </w:r>
            </w:hyperlink>
          </w:p>
        </w:tc>
        <w:tc>
          <w:tcPr>
            <w:tcW w:w="2260" w:type="dxa"/>
            <w:vAlign w:val="bottom"/>
            <w:gridSpan w:val="12"/>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PLAN OF DISTRIBUTION</w:t>
              </w:r>
            </w:hyperlink>
          </w:p>
        </w:tc>
        <w:tc>
          <w:tcPr>
            <w:tcW w:w="2320" w:type="dxa"/>
            <w:vAlign w:val="bottom"/>
            <w:gridSpan w:val="14"/>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LEGAL MATTERS</w:t>
              </w:r>
            </w:hyperlink>
          </w:p>
        </w:tc>
        <w:tc>
          <w:tcPr>
            <w:tcW w:w="2920" w:type="dxa"/>
            <w:vAlign w:val="bottom"/>
            <w:gridSpan w:val="17"/>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EXPERTS</w:t>
              </w:r>
            </w:hyperlink>
          </w:p>
        </w:tc>
        <w:tc>
          <w:tcPr>
            <w:tcW w:w="3600" w:type="dxa"/>
            <w:vAlign w:val="bottom"/>
            <w:gridSpan w:val="21"/>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WHERE YOU CAN FIND MORE INFORMATION</w:t>
              </w:r>
            </w:hyperlink>
          </w:p>
        </w:tc>
        <w:tc>
          <w:tcPr>
            <w:tcW w:w="560" w:type="dxa"/>
            <w:vAlign w:val="bottom"/>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345"/>
        </w:trPr>
        <w:tc>
          <w:tcPr>
            <w:tcW w:w="200" w:type="dxa"/>
            <w:vAlign w:val="bottom"/>
          </w:tcPr>
          <w:p>
            <w:pPr>
              <w:spacing w:after="0"/>
              <w:rPr>
                <w:sz w:val="24"/>
                <w:szCs w:val="24"/>
                <w:color w:val="auto"/>
              </w:rPr>
            </w:pPr>
          </w:p>
        </w:tc>
        <w:tc>
          <w:tcPr>
            <w:tcW w:w="4380" w:type="dxa"/>
            <w:vAlign w:val="bottom"/>
            <w:gridSpan w:val="22"/>
          </w:tcPr>
          <w:p>
            <w:pPr>
              <w:spacing w:after="0"/>
              <w:rPr>
                <w:sz w:val="20"/>
                <w:szCs w:val="20"/>
                <w:color w:val="auto"/>
              </w:rPr>
            </w:pPr>
            <w:r>
              <w:rPr>
                <w:rFonts w:ascii="Arial" w:cs="Arial" w:eastAsia="Arial" w:hAnsi="Arial"/>
                <w:sz w:val="18"/>
                <w:szCs w:val="18"/>
                <w:b w:val="1"/>
                <w:bCs w:val="1"/>
                <w:color w:val="auto"/>
              </w:rPr>
              <w:t>Prospectus</w:t>
            </w:r>
          </w:p>
        </w:tc>
        <w:tc>
          <w:tcPr>
            <w:tcW w:w="660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ABOUT THIS PROSPECTUS</w:t>
              </w:r>
            </w:hyperlink>
          </w:p>
        </w:tc>
        <w:tc>
          <w:tcPr>
            <w:tcW w:w="2140" w:type="dxa"/>
            <w:vAlign w:val="bottom"/>
            <w:gridSpan w:val="11"/>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PROSPECTUS SUMMARY</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RISK FACTORS</w:t>
              </w:r>
            </w:hyperlink>
          </w:p>
        </w:tc>
        <w:tc>
          <w:tcPr>
            <w:tcW w:w="820" w:type="dxa"/>
            <w:vAlign w:val="bottom"/>
            <w:tcBorders>
              <w:top w:val="single" w:sz="8" w:color="0000EE"/>
            </w:tcBorders>
            <w:gridSpan w:val="6"/>
          </w:tcPr>
          <w:p>
            <w:pPr>
              <w:spacing w:after="0"/>
              <w:rPr>
                <w:sz w:val="17"/>
                <w:szCs w:val="17"/>
                <w:color w:val="auto"/>
              </w:rPr>
            </w:pPr>
          </w:p>
        </w:tc>
        <w:tc>
          <w:tcPr>
            <w:tcW w:w="2300" w:type="dxa"/>
            <w:vAlign w:val="bottom"/>
            <w:gridSpan w:val="13"/>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FORWARD-LOOKING STATEMENTS</w:t>
              </w:r>
            </w:hyperlink>
          </w:p>
        </w:tc>
        <w:tc>
          <w:tcPr>
            <w:tcW w:w="1440" w:type="dxa"/>
            <w:vAlign w:val="bottom"/>
            <w:gridSpan w:val="7"/>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USE OF PROCEEDS</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SECURITIES WE MAY OFFER</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9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DESCRIPTION OF COMMON STOCK</w:t>
              </w:r>
            </w:hyperlink>
          </w:p>
        </w:tc>
        <w:tc>
          <w:tcPr>
            <w:tcW w:w="1420" w:type="dxa"/>
            <w:vAlign w:val="bottom"/>
            <w:gridSpan w:val="6"/>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PREFERRED STOCK</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14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DESCRIPTION OF DEBT SECURITIES</w:t>
              </w:r>
            </w:hyperlink>
          </w:p>
        </w:tc>
        <w:tc>
          <w:tcPr>
            <w:tcW w:w="1240" w:type="dxa"/>
            <w:vAlign w:val="bottom"/>
            <w:gridSpan w:val="4"/>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WARRANTS</w:t>
              </w:r>
            </w:hyperlink>
          </w:p>
        </w:tc>
        <w:tc>
          <w:tcPr>
            <w:tcW w:w="1360" w:type="dxa"/>
            <w:vAlign w:val="bottom"/>
            <w:gridSpan w:val="5"/>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SUBSCRIPTION RIGHTS</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4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UNITS</w:t>
              </w:r>
            </w:hyperlink>
          </w:p>
        </w:tc>
        <w:tc>
          <w:tcPr>
            <w:tcW w:w="920" w:type="dxa"/>
            <w:vAlign w:val="bottom"/>
            <w:gridSpan w:val="2"/>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38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SELLING SECURITYHOLDERS</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PLAN OF DISTRIBUTION</w:t>
              </w:r>
            </w:hyperlink>
          </w:p>
        </w:tc>
        <w:tc>
          <w:tcPr>
            <w:tcW w:w="440" w:type="dxa"/>
            <w:vAlign w:val="bottom"/>
            <w:tcBorders>
              <w:top w:val="single" w:sz="8" w:color="0000EE"/>
            </w:tcBorders>
            <w:gridSpan w:val="6"/>
          </w:tcPr>
          <w:p>
            <w:pPr>
              <w:spacing w:after="0"/>
              <w:rPr>
                <w:sz w:val="17"/>
                <w:szCs w:val="17"/>
                <w:color w:val="auto"/>
              </w:rPr>
            </w:pPr>
          </w:p>
        </w:tc>
        <w:tc>
          <w:tcPr>
            <w:tcW w:w="1880" w:type="dxa"/>
            <w:vAlign w:val="bottom"/>
            <w:gridSpan w:val="8"/>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LEGAL MATTERS</w:t>
              </w:r>
            </w:hyperlink>
          </w:p>
        </w:tc>
        <w:tc>
          <w:tcPr>
            <w:tcW w:w="2920" w:type="dxa"/>
            <w:vAlign w:val="bottom"/>
            <w:gridSpan w:val="17"/>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EXPERTS</w:t>
              </w:r>
            </w:hyperlink>
          </w:p>
        </w:tc>
        <w:tc>
          <w:tcPr>
            <w:tcW w:w="3600" w:type="dxa"/>
            <w:vAlign w:val="bottom"/>
            <w:gridSpan w:val="21"/>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WHERE YOU CAN FIND MORE INFORMATION</w:t>
              </w:r>
            </w:hyperlink>
          </w:p>
        </w:tc>
        <w:tc>
          <w:tcPr>
            <w:tcW w:w="560" w:type="dxa"/>
            <w:vAlign w:val="bottom"/>
          </w:tcPr>
          <w:p>
            <w:pPr>
              <w:spacing w:after="0"/>
              <w:rPr>
                <w:sz w:val="17"/>
                <w:szCs w:val="17"/>
                <w:color w:val="auto"/>
              </w:rPr>
            </w:pPr>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43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INCORPORATION OF INFORMATION BY REFERENCE</w:t>
              </w:r>
            </w:hyperlink>
          </w:p>
        </w:tc>
        <w:tc>
          <w:tcPr>
            <w:tcW w:w="66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On May 2, 2019, we filed with the Securities and Exchange Commission, or SEC, a registration statement on Form S-3 (File No. 333-231173) utilizing a shelf registration process relating to the securities described in this prospectus supplement, which registration statement became automatically effective upon filing.</w:t>
      </w:r>
    </w:p>
    <w:p>
      <w:pPr>
        <w:spacing w:after="0" w:line="18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3"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Neither we nor the Selling Stockholder has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Neither we nor the Selling Stockholder is offering to sell these securities in any jurisdiction where such offer and sale is not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Veracyte, Afirma, Percepta, Envisia, Prosigna,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This prospectus supplement relates to the resale of shares of our common stock held by the Selling Stockholder identified under the section titled “Selling Stockholder”. The shares of our common stock that may be offered by the Selling Stockholder using this prospectus supplement represent shares of our common stock that we issued to the Selling Stockholder in connection with our entry with Selling Stockholder into the License and Asset Purchase Agreement. We will not receive any of the proceeds from the sale of these shares of our common stock by the Selling Stockholder.</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80"/>
          </w:cols>
          <w:pgMar w:left="24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Investing in our common stock involves a high degree of risk. Before making a decision to invest in our common stock, in addition to the other information contained in this prospectus supplement, in the accompanying prospectus, or incorporated into this prospectus supplement or the accompanying prospectus by reference, you should carefully consider the risks described under “Risk Factors” contained in our Annual Report on Form 10-K for the year ended December 31, 2019,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the section titled “Where You Can Find Additional Information.”</w:t>
      </w:r>
    </w:p>
    <w:p>
      <w:pPr>
        <w:spacing w:after="0" w:line="1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740"/>
          </w:cols>
          <w:pgMar w:left="240" w:top="459" w:right="9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in the section titled “Risk Factors” contained in our Annual Report on Form 10-K for the year ended December 31, 2019.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185"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3"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47"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24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All of the shares of common stock being offered hereby are being sold by the Selling Stockholder identified in this prospectus supplement. We will not receive any proceeds from the sale of shares of common stock by the Selling Stockholder.</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80"/>
          </w:cols>
          <w:pgMar w:left="240" w:top="459"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200" w:right="280"/>
        <w:spacing w:after="0" w:line="276" w:lineRule="auto"/>
        <w:rPr>
          <w:sz w:val="20"/>
          <w:szCs w:val="20"/>
          <w:color w:val="auto"/>
        </w:rPr>
      </w:pPr>
      <w:r>
        <w:rPr>
          <w:rFonts w:ascii="Arial" w:cs="Arial" w:eastAsia="Arial" w:hAnsi="Arial"/>
          <w:sz w:val="17"/>
          <w:szCs w:val="17"/>
          <w:color w:val="auto"/>
        </w:rPr>
        <w:t>This prospectus supplement relates to the resale of shares of our common stock held by the Selling Stockholder listed in the table below. The Selling Stockholder acquired these shares from us in a private offering pursuant to an exemption from registration provided under Section 4(a)(2) of the Securities Act of 1933, as amended, or Securities Act, in connection with our entry with Selling Stockholder into the License and Asset Purchase Agreement. Pursuant to the License and Asset Purchase Agreement, we agreed to file a prospectus supplement with the SEC for the purposes of registering for resale the shares of our common stock issued to the Selling Stockholder.</w:t>
      </w:r>
    </w:p>
    <w:p>
      <w:pPr>
        <w:spacing w:after="0" w:line="173"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table below sets forth certain information known to us, based upon written representations from the Selling Stockholder, with respect to the beneficial ownership of our shares of common stock held by the Selling Stockholder as of February 25, 2020. Because the Selling Stockholder may sell, transfer or otherwise dispose of all, some or none of the shares of our common stock covered by this prospectus supplement, we cannot determine the number of such shares that will be sold, transferred or otherwise disposed of by the Selling Stockholder, or the amount or percentage of shares of our common stock that will be held by the Selling Stockholder upon termination of any particular offering. See the section titled “Plan of Distribution.” For purposes of the table below, we assume that the Selling Stockholder will sell all their shares of common stock covered by this prospectus supplement.</w:t>
      </w:r>
    </w:p>
    <w:p>
      <w:pPr>
        <w:spacing w:after="0" w:line="16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Selling Stockholder has sole voting and investment power with respect to all shares of common stock that it beneficially owns, subject to applicable community property laws. Unless otherwise described below, to our knowledge, the Selling Stockholder has not held any position or office or had any other material relationship with us or our affiliates during the three years prior to the date of this prospectus supplement. In addition, except as otherwise described below, based on the information provided to us by the Selling Stockholder, the Selling Stockholder is not a broker-dealer or an affiliate of a broker-dealer.</w:t>
      </w:r>
    </w:p>
    <w:p>
      <w:pPr>
        <w:spacing w:after="0" w:line="193"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Applicable percentage ownership is based on 49,738,822 shares of common stock outstanding as of February 20, 2020. The Selling Stockholder does not hold any stock options or other convertible securities that are currently exercisable or releasable or that will become exercisable or releasable within 60 days of February 20, 2020.</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tcPr>
          <w:p>
            <w:pPr>
              <w:jc w:val="center"/>
              <w:ind w:left="245"/>
              <w:spacing w:after="0"/>
              <w:rPr>
                <w:sz w:val="20"/>
                <w:szCs w:val="20"/>
                <w:color w:val="auto"/>
              </w:rPr>
            </w:pPr>
            <w:r>
              <w:rPr>
                <w:rFonts w:ascii="Arial" w:cs="Arial" w:eastAsia="Arial" w:hAnsi="Arial"/>
                <w:sz w:val="14"/>
                <w:szCs w:val="14"/>
                <w:b w:val="1"/>
                <w:bCs w:val="1"/>
                <w:color w:val="auto"/>
                <w:w w:val="89"/>
              </w:rPr>
              <w:t>Shares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gridSpan w:val="2"/>
          </w:tcPr>
          <w:p>
            <w:pPr>
              <w:jc w:val="center"/>
              <w:ind w:left="65"/>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gridSpan w:val="2"/>
          </w:tcPr>
          <w:p>
            <w:pPr>
              <w:jc w:val="center"/>
              <w:ind w:left="65"/>
              <w:spacing w:after="0" w:line="158" w:lineRule="exact"/>
              <w:rPr>
                <w:sz w:val="20"/>
                <w:szCs w:val="20"/>
                <w:color w:val="auto"/>
              </w:rPr>
            </w:pPr>
            <w:r>
              <w:rPr>
                <w:rFonts w:ascii="Arial" w:cs="Arial" w:eastAsia="Arial" w:hAnsi="Arial"/>
                <w:sz w:val="14"/>
                <w:szCs w:val="14"/>
                <w:b w:val="1"/>
                <w:bCs w:val="1"/>
                <w:color w:val="auto"/>
                <w:w w:val="92"/>
              </w:rPr>
              <w:t>Owned Before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left="288"/>
              <w:spacing w:after="0" w:line="158" w:lineRule="exact"/>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3"/>
                <w:szCs w:val="13"/>
                <w:color w:val="auto"/>
              </w:rPr>
            </w:pPr>
          </w:p>
        </w:tc>
        <w:tc>
          <w:tcPr>
            <w:tcW w:w="11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Name of Selling Stockholder</w:t>
            </w:r>
          </w:p>
        </w:tc>
        <w:tc>
          <w:tcPr>
            <w:tcW w:w="1460" w:type="dxa"/>
            <w:vAlign w:val="bottom"/>
          </w:tcPr>
          <w:p>
            <w:pPr>
              <w:spacing w:after="0"/>
              <w:rPr>
                <w:sz w:val="14"/>
                <w:szCs w:val="14"/>
                <w:color w:val="auto"/>
              </w:rPr>
            </w:pPr>
          </w:p>
        </w:tc>
        <w:tc>
          <w:tcPr>
            <w:tcW w:w="102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w w:val="93"/>
              </w:rPr>
              <w:t>this Offering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1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Offered</w:t>
            </w:r>
          </w:p>
        </w:tc>
        <w:tc>
          <w:tcPr>
            <w:tcW w:w="38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Shares</w:t>
            </w:r>
          </w:p>
        </w:tc>
        <w:tc>
          <w:tcPr>
            <w:tcW w:w="34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NanoString Technologies, Inc.</w:t>
            </w: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376,732</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376,732</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40" w:type="dxa"/>
            <w:vAlign w:val="bottom"/>
            <w:gridSpan w:val="3"/>
          </w:tcPr>
          <w:p>
            <w:pPr>
              <w:spacing w:after="0"/>
              <w:rPr>
                <w:sz w:val="11"/>
                <w:szCs w:val="11"/>
                <w:color w:val="auto"/>
              </w:rPr>
            </w:pPr>
          </w:p>
        </w:tc>
        <w:tc>
          <w:tcPr>
            <w:tcW w:w="1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0" w:type="dxa"/>
            <w:vAlign w:val="bottom"/>
            <w:gridSpan w:val="4"/>
          </w:tcPr>
          <w:p>
            <w:pPr>
              <w:ind w:left="180"/>
              <w:spacing w:after="0"/>
              <w:rPr>
                <w:sz w:val="20"/>
                <w:szCs w:val="20"/>
                <w:color w:val="auto"/>
              </w:rPr>
            </w:pPr>
            <w:r>
              <w:rPr>
                <w:rFonts w:ascii="Arial" w:cs="Arial" w:eastAsia="Arial" w:hAnsi="Arial"/>
                <w:sz w:val="18"/>
                <w:szCs w:val="18"/>
                <w:color w:val="auto"/>
              </w:rPr>
              <w:t>Less than 1%.</w:t>
            </w:r>
          </w:p>
        </w:tc>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gridSpan w:val="3"/>
          </w:tcPr>
          <w:p>
            <w:pPr>
              <w:ind w:left="920"/>
              <w:spacing w:after="0"/>
              <w:rPr>
                <w:sz w:val="20"/>
                <w:szCs w:val="20"/>
                <w:color w:val="auto"/>
              </w:rPr>
            </w:pPr>
            <w:r>
              <w:rPr>
                <w:rFonts w:ascii="Arial" w:cs="Arial" w:eastAsia="Arial" w:hAnsi="Arial"/>
                <w:sz w:val="18"/>
                <w:szCs w:val="18"/>
                <w:color w:val="auto"/>
              </w:rPr>
              <w:t>S-6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Selling Stockholder, which as used herein includes any donees, pledgees, transferees or other successors–in–interest selling shares received after the date of this prospectus supplement from the Selling Stockholder as a gift, pledge, partnership distribution or other transfer, may, from time to time, sell, transfer, or otherwise dispose of any or all of their shares on any stock exchange, market or trading facility on which the shares are traded or in private transactions. The Selling Stockholder will act independently of us in making decisions with respect to the timing, manner, and size of any such sale, transfer or other disposition. These dispositions may be at market prices prevailing at the time of sale, at prices related to such market prices, at a fixed price or prices subject to change, or at negotiated prices.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31" w:lineRule="exact"/>
        <w:rPr>
          <w:sz w:val="20"/>
          <w:szCs w:val="20"/>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 to sell a specified number of such shares at a stipulated price per share;</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Selling Stockholder may enter into option, derivative or hedging transactions with respect to the shares of common stock, and any related offers or sales of shares may be made pursuant to this prospectus supplement. For example, the Selling Stockholder may:</w:t>
      </w:r>
    </w:p>
    <w:p>
      <w:pPr>
        <w:spacing w:after="0" w:line="76" w:lineRule="exact"/>
        <w:rPr>
          <w:sz w:val="20"/>
          <w:szCs w:val="20"/>
          <w:color w:val="auto"/>
        </w:rPr>
      </w:pPr>
    </w:p>
    <w:p>
      <w:pPr>
        <w:ind w:left="1180" w:right="34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by broker-dealers in the course of hedging the positions they assume with the Selling Stockholder;</w:t>
      </w:r>
    </w:p>
    <w:p>
      <w:pPr>
        <w:spacing w:after="0" w:line="75" w:lineRule="exact"/>
        <w:rPr>
          <w:rFonts w:ascii="Arial" w:cs="Arial" w:eastAsia="Arial" w:hAnsi="Arial"/>
          <w:sz w:val="18"/>
          <w:szCs w:val="18"/>
          <w:color w:val="auto"/>
        </w:rPr>
      </w:pPr>
    </w:p>
    <w:p>
      <w:pPr>
        <w:ind w:left="1180" w:right="20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shares short itself and deliver the shares registered hereby to settle such short sales or to close out stock loans incurred in connection with its short positions;</w:t>
      </w:r>
    </w:p>
    <w:p>
      <w:pPr>
        <w:spacing w:after="0" w:line="75"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write call options, put options or other derivative instruments (including exchange-traded options or privately negotiated options) with respect to the shares, or which they settle through delivery of the shares;</w:t>
      </w:r>
    </w:p>
    <w:p>
      <w:pPr>
        <w:spacing w:after="0" w:line="75" w:lineRule="exact"/>
        <w:rPr>
          <w:rFonts w:ascii="Arial" w:cs="Arial" w:eastAsia="Arial" w:hAnsi="Arial"/>
          <w:sz w:val="18"/>
          <w:szCs w:val="18"/>
          <w:color w:val="auto"/>
        </w:rPr>
      </w:pPr>
    </w:p>
    <w:p>
      <w:pPr>
        <w:ind w:left="1180" w:hanging="544"/>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option transactions or other types of transactions that require the Selling Stockholder to deliver shares to a broker, dealer or other financial institution, who may then resell or transfer the shares under this prospectus supplement;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lend the shares to a broker, dealer or other financial institution, which may sell the lent shares.</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These option, derivative and hedging transactions may require the delivery to a broker, dealer or other financial institution of shares offered hereby, and such broker, dealer or other financial institution may resell such shares pursuant to this prospectus supplement.</w:t>
      </w:r>
    </w:p>
    <w:p>
      <w:pPr>
        <w:spacing w:after="0" w:line="170"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color w:val="auto"/>
        </w:rPr>
        <w:t>The Selling Stockholder may also sell shares under Rule 144 under the Securities Act, if available, rather than under this prospectus supplement. The Selling Stockholder is not obligated to, and there is no assurance that the Selling Stockholder will, sell all or any of the shares we are registering. The Selling Stockholder may transfer, devise or gift such shares by other means not described in this prospectus supplement.</w:t>
      </w:r>
    </w:p>
    <w:p>
      <w:pPr>
        <w:spacing w:after="0" w:line="14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The aggregate proceeds to the Selling Stockholder from the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 We are required to pay certain fees and expenses incurred by us incident to the registration of the shares.</w:t>
      </w:r>
    </w:p>
    <w:p>
      <w:pPr>
        <w:spacing w:after="0" w:line="17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Broker-dealers engaged by the Selling Stockholder may arrange for other brokers-dealers to participate in sales. Broker-dealers may receive commissions or discounts from the Selling Stockholder (or, if any broker-dealer acts as agent for the purchaser of shares, from the purchaser) in amounts to be negotiated. The Selling Stockholder does not expect these commissions and discounts to exceed what is customary in the types of transactions involved. Any profits on the resale of shares by a broker-dealer acting as principal might be deemed to be underwriting discounts or commissions under the Securities Act. Discounts, concessions, commissions and similar selling expenses, if any, attributable to the sale of shares will be borne by the Selling Stockholder. The Selling Stockholder may agree to indemnify any agent, dealer or broker-dealer that participates in transactions involving sales of the shares if liabilities are imposed on that person under the Securities Act.</w:t>
      </w:r>
    </w:p>
    <w:p>
      <w:pPr>
        <w:spacing w:after="0" w:line="178"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The Selling Stockholder, broker-dealers or agents that participate in the sale of the common stock may be “underwriters” within the meaning of Section 2(11) of the Securities Act. Any discounts, commissions, concessions or profit they earn on any resale of the shares may be underwriting discounts and commissions under the Securities Act. If Selling Stockholder is an “underwriter” within the meaning of Section 2(11) of the Securities Act, it will be subject to the prospectus delivery requirements of the Securities Act. There is no underwriter or coordinating broker acting in connection with the proposed sale of the resale shares by the Selling Stockholder and the Selling Stockholder may not participate in an underwritten offering without our prior written consent.</w:t>
      </w:r>
    </w:p>
    <w:p>
      <w:pPr>
        <w:spacing w:after="0" w:line="19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The Selling Stockholder has agreed not to sell or offer to sell, enter into any swap, make any demand for, or exercise any right with respect to, the registration under the Securities Act of the offer and sale of any shares of common stock registered hereunder, or cause to be filed a registration statement, prospectus or prospectus supplement (or an amendment or supplement thereto) with respect to any such registration, or publicly announce any intention to do any of the foregoing until March 2, 2020.</w:t>
      </w:r>
    </w:p>
    <w:p>
      <w:pPr>
        <w:spacing w:after="0" w:line="18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owned by it and, if it defaults in the performance of any of its secured obligations, the pledgees or secured parties may offer and sell the shares from time to time under this prospectus supplement, or under an amendment to this prospectus supplement or other applicable provision of the Securities Act amending the list of selling stockholders to include the pledgee, transferee or other successors-in-interest as selling stockholders under this prospectus supplement. The Selling Stockholder also may transfer the shares of common stock in other circumstances, in which case the transferees, pledgees or other successors-in-interest will be the selling beneficial owners for purposes of this prospectus supplement.</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To the extent required, the shares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 supplement.</w:t>
      </w:r>
    </w:p>
    <w:p>
      <w:pPr>
        <w:spacing w:after="0" w:line="14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25"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The anti-manipulation rules of Regulation M under the Securities Exchange Act of 1934, as amended, or Exchange Act, may apply to sales of shares in the market and to the activities of the Selling Stockholder and its affiliates. In addition, we will make copies of this prospectus supplement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We have agreed to indemnify the Selling Stockholder against liabilities, including liabilities under the Securities Act and state securities laws, relating to the registration of the shares offered by this prospectus supplement.</w:t>
      </w:r>
    </w:p>
    <w:p>
      <w:pPr>
        <w:spacing w:after="0" w:line="17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We have agreed with the Selling Stockholder to keep the registration statement of which this prospectus supplement forms a part effective until the earlier of (i) December 3, 2020, and (ii) the sale of all the shares registered hereby.</w:t>
      </w:r>
    </w:p>
    <w:p>
      <w:pPr>
        <w:spacing w:after="0" w:line="17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We may restrict or suspend offers and sales or other dispositions of the shares under this prospectus supplement under certain circumstances. In the event of such restriction or suspension, the Selling Stockholder will not be able to offer or sell or otherwise dispose of the shares of common stock under this prospectus supplement.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Expenses associated with this offering to be paid by us are estimated to be approximately $25,000, including SEC filing fees.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validity of the shares of common stock being offered hereby will be passed upon for us by Fenwick &amp; West LLP, San Francisco, California.</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73"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25, 2020;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25">
        <w:r>
          <w:rPr>
            <w:rFonts w:ascii="Arial" w:cs="Arial" w:eastAsia="Arial" w:hAnsi="Arial"/>
            <w:sz w:val="18"/>
            <w:szCs w:val="18"/>
            <w:u w:val="single" w:color="auto"/>
            <w:color w:val="0000EE"/>
          </w:rPr>
          <w:t>Form 8-K/A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February 18, 2020; and</w:t>
      </w:r>
    </w:p>
    <w:p>
      <w:pPr>
        <w:spacing w:after="0" w:line="130" w:lineRule="exact"/>
        <w:rPr>
          <w:rFonts w:ascii="Arial" w:cs="Arial" w:eastAsia="Arial" w:hAnsi="Arial"/>
          <w:sz w:val="18"/>
          <w:szCs w:val="18"/>
          <w:color w:val="auto"/>
        </w:rPr>
      </w:pPr>
    </w:p>
    <w:p>
      <w:pPr>
        <w:ind w:left="1180" w:right="240" w:hanging="436"/>
        <w:spacing w:after="0" w:line="308"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26">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October 28, 2013 under Section 12 of the Exchange Act, including any amendment or report filed for the purpose of updating such description.</w:t>
      </w:r>
    </w:p>
    <w:p>
      <w:pPr>
        <w:spacing w:after="0" w:line="147" w:lineRule="exact"/>
        <w:rPr>
          <w:rFonts w:ascii="Arial" w:cs="Arial" w:eastAsia="Arial" w:hAnsi="Arial"/>
          <w:sz w:val="18"/>
          <w:szCs w:val="18"/>
          <w:color w:val="auto"/>
        </w:rPr>
      </w:pPr>
    </w:p>
    <w:p>
      <w:pPr>
        <w:ind w:left="200" w:right="20"/>
        <w:spacing w:after="0" w:line="27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05"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20"/>
        <w:spacing w:after="0" w:line="291" w:lineRule="auto"/>
        <w:rPr>
          <w:sz w:val="20"/>
          <w:szCs w:val="20"/>
          <w:color w:val="auto"/>
        </w:rPr>
      </w:pPr>
      <w:r>
        <w:rPr>
          <w:rFonts w:ascii="Arial" w:cs="Arial" w:eastAsia="Arial" w:hAnsi="Arial"/>
          <w:sz w:val="16"/>
          <w:szCs w:val="16"/>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w:t>
      </w:r>
    </w:p>
    <w:p>
      <w:pPr>
        <w:jc w:val="both"/>
        <w:ind w:left="200"/>
        <w:spacing w:after="0" w:line="261" w:lineRule="auto"/>
        <w:rPr>
          <w:sz w:val="20"/>
          <w:szCs w:val="20"/>
          <w:color w:val="auto"/>
        </w:rPr>
      </w:pPr>
      <w:r>
        <w:rPr>
          <w:rFonts w:ascii="Arial" w:cs="Arial" w:eastAsia="Arial" w:hAnsi="Arial"/>
          <w:sz w:val="18"/>
          <w:szCs w:val="18"/>
          <w:color w:val="auto"/>
        </w:rPr>
        <w:t>6000 Shoreline Court, Suite 300, South San Francisco, California 94080 and (650) 243-6300. We will not, however, send exhibits to those documents, unless the exhibits are specifically incorporated by reference in those documents.</w:t>
      </w:r>
    </w:p>
    <w:p>
      <w:pPr>
        <w:spacing w:after="0" w:line="184"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172085</wp:posOffset>
            </wp:positionV>
            <wp:extent cx="1920875" cy="1389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92087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43"/>
          <w:szCs w:val="43"/>
          <w:b w:val="1"/>
          <w:bCs w:val="1"/>
          <w:color w:val="auto"/>
        </w:rPr>
        <w:t>VERACYTE, INC.</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6"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160655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7" w:lineRule="exact"/>
        <w:rPr>
          <w:sz w:val="20"/>
          <w:szCs w:val="20"/>
          <w:color w:val="auto"/>
        </w:rPr>
      </w:pPr>
    </w:p>
    <w:p>
      <w:pPr>
        <w:ind w:left="200" w:right="100" w:firstLine="441"/>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2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5" w:lineRule="exact"/>
        <w:rPr>
          <w:sz w:val="20"/>
          <w:szCs w:val="20"/>
          <w:color w:val="auto"/>
        </w:rPr>
      </w:pPr>
    </w:p>
    <w:p>
      <w:pPr>
        <w:ind w:left="200" w:right="2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116840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date of this prospectus is May 2, 2019.</w:t>
      </w:r>
    </w:p>
    <w:p>
      <w:pPr>
        <w:sectPr>
          <w:pgSz w:w="11900" w:h="16838" w:orient="portrait"/>
          <w:cols w:equalWidth="0" w:num="1">
            <w:col w:w="11140"/>
          </w:cols>
          <w:pgMar w:left="240" w:top="459" w:right="5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8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0" w:type="dxa"/>
            <w:vAlign w:val="bottom"/>
            <w:gridSpan w:val="2"/>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ABOUT THIS PROSPECTUS</w:t>
              </w:r>
            </w:hyperlink>
          </w:p>
        </w:tc>
        <w:tc>
          <w:tcPr>
            <w:tcW w:w="6280" w:type="dxa"/>
            <w:vAlign w:val="bottom"/>
            <w:gridSpan w:val="1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PROSPECTUS SUMMARY</w:t>
              </w:r>
            </w:hyperlink>
          </w:p>
        </w:tc>
        <w:tc>
          <w:tcPr>
            <w:tcW w:w="644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20">
              <w:r>
                <w:rPr>
                  <w:rFonts w:ascii="Arial" w:cs="Arial" w:eastAsia="Arial" w:hAnsi="Arial"/>
                  <w:sz w:val="18"/>
                  <w:szCs w:val="18"/>
                  <w:b w:val="1"/>
                  <w:bCs w:val="1"/>
                  <w:color w:val="0000EE"/>
                  <w:w w:val="97"/>
                </w:rPr>
                <w:t>RISK FACTORS</w:t>
              </w:r>
            </w:hyperlink>
          </w:p>
        </w:tc>
        <w:tc>
          <w:tcPr>
            <w:tcW w:w="7300" w:type="dxa"/>
            <w:vAlign w:val="bottom"/>
            <w:gridSpan w:val="1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FORWARD-LOOKING STATEMENTS</w:t>
              </w:r>
            </w:hyperlink>
          </w:p>
        </w:tc>
        <w:tc>
          <w:tcPr>
            <w:tcW w:w="552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1">
              <w:r>
                <w:rPr>
                  <w:rFonts w:ascii="Arial" w:cs="Arial" w:eastAsia="Arial" w:hAnsi="Arial"/>
                  <w:sz w:val="18"/>
                  <w:szCs w:val="18"/>
                  <w:b w:val="1"/>
                  <w:bCs w:val="1"/>
                  <w:color w:val="0000EE"/>
                  <w:w w:val="95"/>
                </w:rPr>
                <w:t>USE OF PROCEEDS</w:t>
              </w:r>
            </w:hyperlink>
          </w:p>
        </w:tc>
        <w:tc>
          <w:tcPr>
            <w:tcW w:w="696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25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SECURITIES WE MAY OFFER</w:t>
              </w:r>
            </w:hyperlink>
          </w:p>
        </w:tc>
        <w:tc>
          <w:tcPr>
            <w:tcW w:w="60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DESCRIPTION OF COMMON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DESCRIPTION OF PREFERRED STOCK</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DESCRIPTION OF DEBT SECURITIES</w:t>
              </w:r>
            </w:hyperlink>
          </w:p>
        </w:tc>
        <w:tc>
          <w:tcPr>
            <w:tcW w:w="140" w:type="dxa"/>
            <w:vAlign w:val="bottom"/>
            <w:tcBorders>
              <w:top w:val="single" w:sz="8" w:color="0000EE"/>
            </w:tcBorders>
          </w:tcPr>
          <w:p>
            <w:pPr>
              <w:spacing w:after="0"/>
              <w:rPr>
                <w:sz w:val="17"/>
                <w:szCs w:val="17"/>
                <w:color w:val="auto"/>
              </w:rPr>
            </w:pPr>
          </w:p>
        </w:tc>
        <w:tc>
          <w:tcPr>
            <w:tcW w:w="528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DESCRIPTION OF WARRANTS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DESCRIPTION OF SUBSCRIPTION RIGHTS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DESCRIPTION OF UNITS</w:t>
              </w:r>
            </w:hyperlink>
          </w:p>
        </w:tc>
        <w:tc>
          <w:tcPr>
            <w:tcW w:w="496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SELLING SECURITYHOLDERS</w:t>
              </w:r>
            </w:hyperlink>
          </w:p>
        </w:tc>
        <w:tc>
          <w:tcPr>
            <w:tcW w:w="59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PLAN OF DISTRIBUTION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648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8640" w:type="dxa"/>
            <w:vAlign w:val="bottom"/>
            <w:gridSpan w:val="20"/>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EXPERTS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2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WHERE YOU CAN FIND MORE INFORMATION</w:t>
              </w:r>
            </w:hyperlink>
          </w:p>
        </w:tc>
        <w:tc>
          <w:tcPr>
            <w:tcW w:w="46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INCORPORATION OF INFORMATION BY REFERENCE</w:t>
              </w:r>
            </w:hyperlink>
          </w:p>
        </w:tc>
        <w:tc>
          <w:tcPr>
            <w:tcW w:w="39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bl>
    <w:p>
      <w:pPr>
        <w:jc w:val="right"/>
        <w:spacing w:after="0" w:line="196"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are a leading genomic diagnostics company that is creating value through innovation. We were founded in 2008 with a mission to improve diagnostic accuracy. Today, through our innovative scientific platform which utilizes ribonucleic acid, or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7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commercialized five leading, first-to-market tests that we believe are transforming care in large, untapped clinical areas — thyroid cancer, lung cancer and idiopathic pulmonary fibrosis, or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use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cancer indications, diagnosis can be ambiguous in 15% to 70% of cases.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date, we have commercialized five genomic tests that we believe are changing disease diagnosis:</w:t>
      </w:r>
    </w:p>
    <w:p>
      <w:pPr>
        <w:spacing w:after="0" w:line="131"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Afirma Genomic Sequencing Classifier, or GSC, for thyroid cancer;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Afirma Gene Expression Classifier, which was the Afirma GSC’s predecessor;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Percepta Bronchial Genomic Classifier for lung cancer;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Envisia Genomic Classifier for IPF;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Afirma Xpression Atlas, which provides information on the most common and emerging gene alterations associated with thyroid cancer, enabling physicians to confidently tailor surgical and treatment decisions at time of diagnosis.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Collectively, we believe the four tests we are currently offering address a $2 billion global market opportunity.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The New England Journal of Medicine for the Afirma and Percepta classifiers. We continue to build upon our extensive library of clinical evidence.</w:t>
      </w:r>
    </w:p>
    <w:p>
      <w:pPr>
        <w:spacing w:after="0" w:line="187" w:lineRule="exact"/>
        <w:rPr>
          <w:sz w:val="20"/>
          <w:szCs w:val="20"/>
          <w:color w:val="auto"/>
        </w:rPr>
      </w:pPr>
    </w:p>
    <w:p>
      <w:pPr>
        <w:ind w:left="200" w:right="960" w:firstLine="441"/>
        <w:spacing w:after="0" w:line="27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plan in the United States, which collectively insure more than 275 million people, for use in thyroid cancer diagnosis. We are now contracted as an in-network service provider to health plans representing over 215 million people in the United States Our second commercial product, the Percepta classifier, is the first genomic test to gain Medicare coverage for improved lung cancer screening and diagnosis, making it a covered benefit for nearly 60 million people.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2019,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We have 125,000,000 shares of authorized common stock. As of March 31, 2019, there were 41,509,240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180" w:right="3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 shares of undesignated preferred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180" w:right="3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24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180" w:right="20" w:hanging="436"/>
        <w:spacing w:after="0" w:line="25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180" w:right="540" w:hanging="436"/>
        <w:spacing w:after="0" w:line="308"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As of March 31, 2019,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180" w:right="320" w:hanging="436"/>
        <w:spacing w:after="0" w:line="342"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prices at which, and the terms and conditions on which, the shares of the series may be redeemed, if the shares are redeemable;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180" w:right="6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180" w:right="48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1180" w:right="26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34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180" w:right="10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our other debt;</w:t>
      </w:r>
    </w:p>
    <w:p>
      <w:pPr>
        <w:spacing w:after="0" w:line="142"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180" w:right="180" w:hanging="436"/>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200" w:right="620" w:firstLine="441"/>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8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4" w:lineRule="exact"/>
        <w:rPr>
          <w:sz w:val="20"/>
          <w:szCs w:val="20"/>
          <w:color w:val="auto"/>
        </w:rPr>
      </w:pPr>
    </w:p>
    <w:p>
      <w:pPr>
        <w:ind w:left="118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1"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180" w:right="12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original issue discount that is payable upon acceleration;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153" w:lineRule="exact"/>
        <w:rPr>
          <w:rFonts w:ascii="Arial" w:cs="Arial" w:eastAsia="Arial" w:hAnsi="Arial"/>
          <w:sz w:val="16"/>
          <w:szCs w:val="16"/>
          <w:color w:val="auto"/>
        </w:rPr>
      </w:pPr>
    </w:p>
    <w:p>
      <w:pPr>
        <w:ind w:left="1180" w:right="2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620" w:right="3200" w:hanging="4876"/>
        <w:spacing w:after="0" w:line="449" w:lineRule="auto"/>
        <w:tabs>
          <w:tab w:leader="none" w:pos="1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7" w:lineRule="exact"/>
        <w:rPr>
          <w:sz w:val="20"/>
          <w:szCs w:val="20"/>
          <w:color w:val="auto"/>
        </w:rPr>
      </w:pPr>
    </w:p>
    <w:p>
      <w:pPr>
        <w:ind w:left="1180" w:right="220" w:hanging="436"/>
        <w:spacing w:after="0" w:line="342"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180" w:right="14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153" w:lineRule="exact"/>
        <w:rPr>
          <w:rFonts w:ascii="Arial" w:cs="Arial" w:eastAsia="Arial" w:hAnsi="Arial"/>
          <w:sz w:val="16"/>
          <w:szCs w:val="16"/>
          <w:color w:val="auto"/>
        </w:rPr>
      </w:pPr>
    </w:p>
    <w:p>
      <w:pPr>
        <w:jc w:val="both"/>
        <w:ind w:left="1180" w:right="54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3"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180" w:right="2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23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7"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title, aggregate number of shares of common stock or preferred stock purchasable upon exercise of the subscription rights;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5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6"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3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2018, and the effectiveness of our internal control over financial reporting as of December 31, 2018,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February 25, 2019;</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58">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which was filed with the SEC on April 24, 2019;</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April 30, 2019;</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0">
        <w:r>
          <w:rPr>
            <w:rFonts w:ascii="Arial" w:cs="Arial" w:eastAsia="Arial" w:hAnsi="Arial"/>
            <w:sz w:val="18"/>
            <w:szCs w:val="18"/>
            <w:u w:val="single" w:color="auto"/>
            <w:color w:val="0000EE"/>
          </w:rPr>
          <w:t>January 3, 2019</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February 26</w:t>
        </w:r>
      </w:hyperlink>
      <w:r>
        <w:rPr>
          <w:rFonts w:ascii="Arial" w:cs="Arial" w:eastAsia="Arial" w:hAnsi="Arial"/>
          <w:sz w:val="18"/>
          <w:szCs w:val="18"/>
          <w:color w:val="auto"/>
        </w:rPr>
        <w:t xml:space="preserve">, 2019 and </w:t>
      </w:r>
      <w:hyperlink r:id="rId62">
        <w:r>
          <w:rPr>
            <w:rFonts w:ascii="Arial" w:cs="Arial" w:eastAsia="Arial" w:hAnsi="Arial"/>
            <w:sz w:val="18"/>
            <w:szCs w:val="18"/>
            <w:u w:val="single" w:color="auto"/>
            <w:color w:val="0000EE"/>
          </w:rPr>
          <w:t>April 26,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5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26">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28, 2013, including any amendment or report filed for the purpose of updating such description.</w:t>
      </w:r>
    </w:p>
    <w:p>
      <w:pPr>
        <w:spacing w:after="0" w:line="170" w:lineRule="exact"/>
        <w:rPr>
          <w:rFonts w:ascii="Arial" w:cs="Arial" w:eastAsia="Arial" w:hAnsi="Arial"/>
          <w:sz w:val="18"/>
          <w:szCs w:val="18"/>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6" w:lineRule="exact"/>
        <w:rPr>
          <w:rFonts w:ascii="Arial" w:cs="Arial" w:eastAsia="Arial" w:hAnsi="Arial"/>
          <w:sz w:val="18"/>
          <w:szCs w:val="18"/>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22</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jpe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24" Type="http://schemas.openxmlformats.org/officeDocument/2006/relationships/hyperlink" Target="http://www.sec.gov/ix?doc=/Archives/edgar/data/1384101/000138410120000015/vcyt-12312019x10k.htm" TargetMode="External"/><Relationship Id="rId25" Type="http://schemas.openxmlformats.org/officeDocument/2006/relationships/hyperlink" Target="http://www.sec.gov/Archives/edgar/data/1384101/000138410120000011/vcyt8ka2-18x20.htm" TargetMode="External"/><Relationship Id="rId26" Type="http://schemas.openxmlformats.org/officeDocument/2006/relationships/hyperlink" Target="http://www.sec.gov/Archives/edgar/data/1384101/000110465913078343/a13-16266_158a12b.htm" TargetMode="External"/><Relationship Id="rId57" Type="http://schemas.openxmlformats.org/officeDocument/2006/relationships/hyperlink" Target="http://www.sec.gov/Archives/edgar/data/1384101/000138410119000010/vcyt-12312018x10k.htm" TargetMode="External"/><Relationship Id="rId58" Type="http://schemas.openxmlformats.org/officeDocument/2006/relationships/hyperlink" Target="http://www.sec.gov/Archives/edgar/data/1384101/000138410119000038/vcyt-proxy2019xdef14a.htm" TargetMode="External"/><Relationship Id="rId59" Type="http://schemas.openxmlformats.org/officeDocument/2006/relationships/hyperlink" Target="http://www.sec.gov/Archives/edgar/data/1384101/000138410119000046/vcyt-03312019x10q.htm" TargetMode="External"/><Relationship Id="rId60" Type="http://schemas.openxmlformats.org/officeDocument/2006/relationships/hyperlink" Target="http://www.sec.gov/Archives/edgar/data/1384101/000138410119000002/materialagreement8-k.htm" TargetMode="External"/><Relationship Id="rId61" Type="http://schemas.openxmlformats.org/officeDocument/2006/relationships/hyperlink" Target="http://www.sec.gov/Archives/edgar/data/1384101/000138410119000014/form8-k2x25x19compensation.htm" TargetMode="External"/><Relationship Id="rId62" Type="http://schemas.openxmlformats.org/officeDocument/2006/relationships/hyperlink" Target="http://www.sec.gov/Archives/edgar/data/1384101/000138410119000042/vcyt-0422198xkitem5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2020-02-25T17:26:18Z</dcterms:created>
  <dcterms:modified xsi:type="dcterms:W3CDTF">2020-02-25T17:26:18Z</dcterms:modified>
</cp:coreProperties>
</file>