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18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-168910</wp:posOffset>
            </wp:positionV>
            <wp:extent cx="8255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400" w:type="dxa"/>
            <w:vAlign w:val="bottom"/>
          </w:tcPr>
          <w:p>
            <w:pPr>
              <w:jc w:val="center"/>
              <w:ind w:righ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21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216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5379085</wp:posOffset>
            </wp:positionH>
            <wp:positionV relativeFrom="paragraph">
              <wp:posOffset>-609600</wp:posOffset>
            </wp:positionV>
            <wp:extent cx="8255" cy="6102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4060190</wp:posOffset>
            </wp:positionH>
            <wp:positionV relativeFrom="paragraph">
              <wp:posOffset>-617855</wp:posOffset>
            </wp:positionV>
            <wp:extent cx="8255" cy="6184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4084955</wp:posOffset>
            </wp:positionH>
            <wp:positionV relativeFrom="paragraph">
              <wp:posOffset>-593090</wp:posOffset>
            </wp:positionV>
            <wp:extent cx="1278255" cy="568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8255" cy="568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-1546225</wp:posOffset>
            </wp:positionH>
            <wp:positionV relativeFrom="paragraph">
              <wp:posOffset>29210</wp:posOffset>
            </wp:positionV>
            <wp:extent cx="6967220" cy="18884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88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080" w:space="360"/>
            <w:col w:w="8620"/>
          </w:cols>
          <w:pgMar w:left="460" w:top="222" w:right="37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Anderson Bonnie H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6000 SHORELINE COURT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VERACYTE,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VCYT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07/23/2020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3" w:right="580" w:firstLine="3"/>
        <w:spacing w:after="0" w:line="239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91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Chairman and CEO</w:t>
      </w:r>
    </w:p>
    <w:p>
      <w:pPr>
        <w:spacing w:after="0" w:line="4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17"/>
          </w:cols>
          <w:pgMar w:left="460" w:top="222" w:right="37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2C2C2C"/>
              <w:bottom w:val="single" w:sz="8" w:color="2C2C2C"/>
            </w:tcBorders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720" w:type="dxa"/>
            <w:vAlign w:val="bottom"/>
            <w:tcBorders>
              <w:top w:val="single" w:sz="8" w:color="2C2C2C"/>
              <w:bottom w:val="single" w:sz="8" w:color="2C2C2C"/>
            </w:tcBorders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7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28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 w:line="1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140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</w:tcPr>
          <w:p>
            <w:pPr>
              <w:ind w:left="10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</w:tcPr>
          <w:p>
            <w:pPr>
              <w:ind w:left="10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07/23/2020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3,280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8.86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275,487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07/23/2020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3,280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32.0446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272,207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Bonnie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99,085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-1742440</wp:posOffset>
            </wp:positionV>
            <wp:extent cx="6967220" cy="21850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2185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02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Anderson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102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Living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102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Trust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58420</wp:posOffset>
            </wp:positionV>
            <wp:extent cx="7033260" cy="21932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2193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3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2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1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8.86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07/23/2020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3,280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03/02/2025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3,280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199,677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5"/>
        </w:trPr>
        <w:tc>
          <w:tcPr>
            <w:tcW w:w="70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transactions on this Form 4 were made pursuant to a Rule 10b5-1 plan adopted by the reporting person on August 2, 2019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20" w:firstLine="3"/>
        <w:spacing w:after="0" w:line="252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weighted average sales price. Sale prices for the transactions range from $32.00 to $32.14. Detailed information regarding the number of shares sold at each separate price will be provided to the SEC, the issuer or a shareholder upon request.</w:t>
      </w:r>
    </w:p>
    <w:p>
      <w:pPr>
        <w:spacing w:after="0" w:line="2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is fully vested.</w:t>
      </w:r>
    </w:p>
    <w:p>
      <w:pPr>
        <w:ind w:left="6600"/>
        <w:spacing w:after="0" w:line="1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Keith Kennedy, as Attorney-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07/27/2020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-27305</wp:posOffset>
            </wp:positionV>
            <wp:extent cx="13595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95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-19685</wp:posOffset>
            </wp:positionV>
            <wp:extent cx="27940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83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60"/>
      </w:cols>
      <w:pgMar w:left="460" w:top="222" w:right="3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588970" TargetMode="External"/><Relationship Id="rId14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2020-07-27T16:05:12Z</dcterms:created>
  <dcterms:modified xsi:type="dcterms:W3CDTF">2020-07-27T16:05:12Z</dcterms:modified>
</cp:coreProperties>
</file>