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5779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7791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Anderson Bonnie 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100"/>
        <w:spacing w:after="0" w:line="357" w:lineRule="auto"/>
        <w:rPr>
          <w:sz w:val="20"/>
          <w:szCs w:val="20"/>
          <w:color w:val="auto"/>
        </w:rPr>
      </w:pPr>
      <w:r>
        <w:rPr>
          <w:rFonts w:ascii="Arial" w:cs="Arial" w:eastAsia="Arial" w:hAnsi="Arial"/>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03/02/2022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Executive Chairwoman</w:t>
      </w:r>
    </w:p>
    <w:p>
      <w:pPr>
        <w:spacing w:after="0" w:line="453" w:lineRule="exact"/>
        <w:rPr>
          <w:sz w:val="24"/>
          <w:szCs w:val="24"/>
          <w:color w:val="auto"/>
        </w:rPr>
      </w:pPr>
    </w:p>
    <w:p>
      <w:pPr>
        <w:sectPr>
          <w:pgSz w:w="11900" w:h="16838" w:orient="portrait"/>
          <w:cols w:equalWidth="0" w:num="3">
            <w:col w:w="3200" w:space="720"/>
            <w:col w:w="3095" w:space="720"/>
            <w:col w:w="3265"/>
          </w:cols>
          <w:pgMar w:left="460" w:top="225" w:right="43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17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60" w:type="dxa"/>
            <w:vAlign w:val="bottom"/>
            <w:tcBorders>
              <w:top w:val="single" w:sz="8" w:color="2C2C2C"/>
              <w:bottom w:val="single" w:sz="8" w:color="2C2C2C"/>
            </w:tcBorders>
            <w:gridSpan w:val="5"/>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560" w:type="dxa"/>
            <w:vAlign w:val="bottom"/>
            <w:tcBorders>
              <w:top w:val="single" w:sz="8" w:color="2C2C2C"/>
              <w:bottom w:val="single" w:sz="8" w:color="2C2C2C"/>
            </w:tcBorders>
            <w:gridSpan w:val="4"/>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740" w:type="dxa"/>
            <w:vAlign w:val="bottom"/>
            <w:shd w:val="clear" w:color="auto" w:fill="EEEEEE"/>
          </w:tcPr>
          <w:p>
            <w:pPr>
              <w:spacing w:after="0" w:line="20" w:lineRule="exact"/>
              <w:rPr>
                <w:sz w:val="1"/>
                <w:szCs w:val="1"/>
                <w:color w:val="auto"/>
              </w:rPr>
            </w:pPr>
          </w:p>
        </w:tc>
        <w:tc>
          <w:tcPr>
            <w:tcW w:w="17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5"/>
            <w:vMerge w:val="continue"/>
          </w:tcPr>
          <w:p>
            <w:pPr>
              <w:spacing w:after="0" w:line="20" w:lineRule="exact"/>
              <w:rPr>
                <w:sz w:val="1"/>
                <w:szCs w:val="1"/>
                <w:color w:val="auto"/>
              </w:rPr>
            </w:pPr>
          </w:p>
        </w:tc>
        <w:tc>
          <w:tcPr>
            <w:tcW w:w="356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5"/>
            <w:vMerge w:val="continue"/>
          </w:tcPr>
          <w:p>
            <w:pPr>
              <w:spacing w:after="0"/>
              <w:rPr>
                <w:sz w:val="12"/>
                <w:szCs w:val="12"/>
                <w:color w:val="auto"/>
              </w:rPr>
            </w:pPr>
          </w:p>
        </w:tc>
        <w:tc>
          <w:tcPr>
            <w:tcW w:w="3560" w:type="dxa"/>
            <w:vAlign w:val="bottom"/>
            <w:gridSpan w:val="4"/>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SOUTH SAN</w:t>
            </w:r>
          </w:p>
        </w:tc>
        <w:tc>
          <w:tcPr>
            <w:tcW w:w="7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740" w:type="dxa"/>
            <w:vAlign w:val="bottom"/>
          </w:tcPr>
          <w:p>
            <w:pPr>
              <w:ind w:left="80"/>
              <w:spacing w:after="0"/>
              <w:rPr>
                <w:sz w:val="20"/>
                <w:szCs w:val="20"/>
                <w:color w:val="auto"/>
              </w:rPr>
            </w:pPr>
            <w:r>
              <w:rPr>
                <w:rFonts w:ascii="Arial" w:cs="Arial" w:eastAsia="Arial" w:hAnsi="Arial"/>
                <w:sz w:val="17"/>
                <w:szCs w:val="17"/>
                <w:color w:val="0000FF"/>
              </w:rPr>
              <w:t>CA</w:t>
            </w:r>
          </w:p>
        </w:tc>
        <w:tc>
          <w:tcPr>
            <w:tcW w:w="1760" w:type="dxa"/>
            <w:vAlign w:val="bottom"/>
          </w:tcPr>
          <w:p>
            <w:pPr>
              <w:ind w:left="560"/>
              <w:spacing w:after="0"/>
              <w:rPr>
                <w:sz w:val="20"/>
                <w:szCs w:val="20"/>
                <w:color w:val="auto"/>
              </w:rPr>
            </w:pPr>
            <w:r>
              <w:rPr>
                <w:rFonts w:ascii="Arial" w:cs="Arial" w:eastAsia="Arial" w:hAnsi="Arial"/>
                <w:sz w:val="17"/>
                <w:szCs w:val="17"/>
                <w:color w:val="0000FF"/>
              </w:rPr>
              <w:t>94080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ind w:left="540"/>
              <w:spacing w:after="0"/>
              <w:rPr>
                <w:sz w:val="20"/>
                <w:szCs w:val="20"/>
                <w:color w:val="auto"/>
              </w:rPr>
            </w:pPr>
            <w:r>
              <w:rPr>
                <w:rFonts w:ascii="Arial" w:cs="Arial" w:eastAsia="Arial" w:hAnsi="Arial"/>
                <w:sz w:val="17"/>
                <w:szCs w:val="17"/>
                <w:color w:val="0000FF"/>
              </w:rPr>
              <w:t>X</w:t>
            </w:r>
          </w:p>
        </w:tc>
        <w:tc>
          <w:tcPr>
            <w:tcW w:w="2900" w:type="dxa"/>
            <w:vAlign w:val="bottom"/>
            <w:gridSpan w:val="4"/>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line="173" w:lineRule="exact"/>
              <w:rPr>
                <w:sz w:val="20"/>
                <w:szCs w:val="20"/>
                <w:color w:val="auto"/>
              </w:rPr>
            </w:pPr>
            <w:r>
              <w:rPr>
                <w:rFonts w:ascii="Arial" w:cs="Arial" w:eastAsia="Arial" w:hAnsi="Arial"/>
                <w:sz w:val="17"/>
                <w:szCs w:val="17"/>
                <w:color w:val="0000FF"/>
              </w:rPr>
              <w:t>FRANCISCO</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900" w:type="dxa"/>
            <w:vAlign w:val="bottom"/>
            <w:gridSpan w:val="4"/>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9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tcPr>
          <w:p>
            <w:pPr>
              <w:ind w:left="180"/>
              <w:spacing w:after="0" w:line="101"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220" w:type="dxa"/>
            <w:vAlign w:val="bottom"/>
            <w:gridSpan w:val="3"/>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380" w:type="dxa"/>
            <w:vAlign w:val="bottom"/>
            <w:tcBorders>
              <w:bottom w:val="single" w:sz="8" w:color="2C2C2C"/>
            </w:tcBorders>
            <w:gridSpan w:val="7"/>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20" w:type="dxa"/>
            <w:vAlign w:val="bottom"/>
            <w:gridSpan w:val="3"/>
          </w:tcPr>
          <w:p>
            <w:pPr>
              <w:ind w:left="11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20" w:type="dxa"/>
            <w:vAlign w:val="bottom"/>
            <w:gridSpan w:val="3"/>
          </w:tcPr>
          <w:p>
            <w:pPr>
              <w:ind w:left="116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20" w:type="dxa"/>
            <w:vAlign w:val="bottom"/>
            <w:gridSpan w:val="3"/>
          </w:tcPr>
          <w:p>
            <w:pPr>
              <w:ind w:left="11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Borders>
              <w:bottom w:val="single" w:sz="8" w:color="2C2C2C"/>
            </w:tcBorders>
          </w:tcPr>
          <w:p>
            <w:pPr>
              <w:spacing w:after="0"/>
              <w:rPr>
                <w:sz w:val="24"/>
                <w:szCs w:val="24"/>
                <w:color w:val="auto"/>
              </w:rPr>
            </w:pPr>
          </w:p>
        </w:tc>
        <w:tc>
          <w:tcPr>
            <w:tcW w:w="2220" w:type="dxa"/>
            <w:vAlign w:val="bottom"/>
            <w:tcBorders>
              <w:bottom w:val="single" w:sz="8" w:color="2C2C2C"/>
            </w:tcBorders>
            <w:gridSpan w:val="3"/>
          </w:tcPr>
          <w:p>
            <w:pPr>
              <w:ind w:left="1260"/>
              <w:spacing w:after="0"/>
              <w:rPr>
                <w:sz w:val="20"/>
                <w:szCs w:val="20"/>
                <w:color w:val="auto"/>
              </w:rPr>
            </w:pPr>
            <w:r>
              <w:rPr>
                <w:rFonts w:ascii="Arial" w:cs="Arial" w:eastAsia="Arial" w:hAnsi="Arial"/>
                <w:sz w:val="17"/>
                <w:szCs w:val="17"/>
                <w:color w:val="0000FF"/>
              </w:rPr>
              <w:t>03/02/2022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4,521</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27.84</w:t>
            </w:r>
          </w:p>
        </w:tc>
        <w:tc>
          <w:tcPr>
            <w:tcW w:w="1140" w:type="dxa"/>
            <w:vAlign w:val="bottom"/>
            <w:tcBorders>
              <w:bottom w:val="single" w:sz="8" w:color="2C2C2C"/>
            </w:tcBorders>
          </w:tcPr>
          <w:p>
            <w:pPr>
              <w:jc w:val="right"/>
              <w:ind w:right="255"/>
              <w:spacing w:after="0"/>
              <w:rPr>
                <w:sz w:val="20"/>
                <w:szCs w:val="20"/>
                <w:color w:val="auto"/>
              </w:rPr>
            </w:pPr>
            <w:r>
              <w:rPr>
                <w:rFonts w:ascii="Arial" w:cs="Arial" w:eastAsia="Arial" w:hAnsi="Arial"/>
                <w:sz w:val="17"/>
                <w:szCs w:val="17"/>
                <w:color w:val="0000FF"/>
              </w:rPr>
              <w:t>69,021</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40" w:type="dxa"/>
            <w:vAlign w:val="bottom"/>
            <w:gridSpan w:val="2"/>
          </w:tcPr>
          <w:p>
            <w:pPr>
              <w:ind w:left="8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Arial" w:cs="Arial" w:eastAsia="Arial" w:hAnsi="Arial"/>
                <w:sz w:val="17"/>
                <w:szCs w:val="17"/>
                <w:color w:val="0000FF"/>
              </w:rPr>
              <w:t>Bonnie</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ind w:right="215"/>
              <w:spacing w:after="0"/>
              <w:rPr>
                <w:sz w:val="20"/>
                <w:szCs w:val="20"/>
                <w:color w:val="auto"/>
              </w:rPr>
            </w:pPr>
            <w:r>
              <w:rPr>
                <w:rFonts w:ascii="Arial" w:cs="Arial" w:eastAsia="Arial" w:hAnsi="Arial"/>
                <w:sz w:val="17"/>
                <w:szCs w:val="17"/>
                <w:color w:val="0000FF"/>
              </w:rPr>
              <w:t>217,478</w:t>
            </w:r>
          </w:p>
        </w:tc>
        <w:tc>
          <w:tcPr>
            <w:tcW w:w="920" w:type="dxa"/>
            <w:vAlign w:val="bottom"/>
          </w:tcPr>
          <w:p>
            <w:pPr>
              <w:ind w:left="440"/>
              <w:spacing w:after="0"/>
              <w:rPr>
                <w:sz w:val="20"/>
                <w:szCs w:val="20"/>
                <w:color w:val="auto"/>
              </w:rPr>
            </w:pPr>
            <w:r>
              <w:rPr>
                <w:rFonts w:ascii="Arial" w:cs="Arial" w:eastAsia="Arial" w:hAnsi="Arial"/>
                <w:sz w:val="17"/>
                <w:szCs w:val="17"/>
                <w:color w:val="0000FF"/>
              </w:rPr>
              <w:t>I</w:t>
            </w:r>
          </w:p>
        </w:tc>
        <w:tc>
          <w:tcPr>
            <w:tcW w:w="840" w:type="dxa"/>
            <w:vAlign w:val="bottom"/>
            <w:gridSpan w:val="2"/>
          </w:tcPr>
          <w:p>
            <w:pPr>
              <w:ind w:left="80"/>
              <w:spacing w:after="0"/>
              <w:rPr>
                <w:sz w:val="20"/>
                <w:szCs w:val="20"/>
                <w:color w:val="auto"/>
              </w:rPr>
            </w:pPr>
            <w:r>
              <w:rPr>
                <w:rFonts w:ascii="Arial" w:cs="Arial" w:eastAsia="Arial" w:hAnsi="Arial"/>
                <w:sz w:val="17"/>
                <w:szCs w:val="17"/>
                <w:color w:val="0000FF"/>
              </w:rPr>
              <w:t>H.</w:t>
            </w:r>
          </w:p>
        </w:tc>
        <w:tc>
          <w:tcPr>
            <w:tcW w:w="0" w:type="dxa"/>
            <w:vAlign w:val="bottom"/>
          </w:tcPr>
          <w:p>
            <w:pPr>
              <w:spacing w:after="0"/>
              <w:rPr>
                <w:sz w:val="1"/>
                <w:szCs w:val="1"/>
                <w:color w:val="auto"/>
              </w:rPr>
            </w:pPr>
          </w:p>
        </w:tc>
      </w:tr>
    </w:tbl>
    <w:p>
      <w:pPr>
        <w:ind w:left="10220"/>
        <w:spacing w:after="0"/>
        <w:rPr>
          <w:sz w:val="20"/>
          <w:szCs w:val="20"/>
          <w:color w:val="auto"/>
        </w:rPr>
      </w:pPr>
      <w:r>
        <w:rPr>
          <w:rFonts w:ascii="Arial" w:cs="Arial" w:eastAsia="Arial" w:hAnsi="Arial"/>
          <w:sz w:val="17"/>
          <w:szCs w:val="17"/>
          <w:color w:val="0000FF"/>
        </w:rPr>
        <w:t>Anderson</w:t>
      </w:r>
    </w:p>
    <w:p>
      <w:pPr>
        <w:spacing w:after="0" w:line="11" w:lineRule="exact"/>
        <w:rPr>
          <w:sz w:val="24"/>
          <w:szCs w:val="24"/>
          <w:color w:val="auto"/>
        </w:rPr>
      </w:pPr>
    </w:p>
    <w:p>
      <w:pPr>
        <w:ind w:left="10220"/>
        <w:spacing w:after="0"/>
        <w:rPr>
          <w:sz w:val="20"/>
          <w:szCs w:val="20"/>
          <w:color w:val="auto"/>
        </w:rPr>
      </w:pPr>
      <w:r>
        <w:rPr>
          <w:rFonts w:ascii="Arial" w:cs="Arial" w:eastAsia="Arial" w:hAnsi="Arial"/>
          <w:sz w:val="17"/>
          <w:szCs w:val="17"/>
          <w:color w:val="0000FF"/>
        </w:rPr>
        <w:t>Living</w:t>
      </w:r>
    </w:p>
    <w:p>
      <w:pPr>
        <w:spacing w:after="0" w:line="18" w:lineRule="exact"/>
        <w:rPr>
          <w:sz w:val="24"/>
          <w:szCs w:val="24"/>
          <w:color w:val="auto"/>
        </w:rPr>
      </w:pPr>
    </w:p>
    <w:p>
      <w:pPr>
        <w:ind w:left="10220"/>
        <w:spacing w:after="0"/>
        <w:rPr>
          <w:sz w:val="20"/>
          <w:szCs w:val="20"/>
          <w:color w:val="auto"/>
        </w:rPr>
      </w:pPr>
      <w:r>
        <w:rPr>
          <w:rFonts w:ascii="Arial" w:cs="Arial" w:eastAsia="Arial" w:hAnsi="Arial"/>
          <w:sz w:val="17"/>
          <w:szCs w:val="17"/>
          <w:color w:val="0000FF"/>
        </w:rPr>
        <w:t>Trust</w:t>
      </w:r>
    </w:p>
    <w:p>
      <w:pPr>
        <w:spacing w:after="0" w:line="160"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reporting the withholding of 838, 838, 889, and 1,956 shares of common stock to satisfy the reporting person's tax withholding obligations in connection with the vesting of 1,875, 1,875, 2,063 and 5,000 Restricted Stock Units, respectively, granted on March 2, 2018, February 28, 2019, February 28, 2020 and February 26, 2021 respectively, and does not represent a sale by the reporting person.</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6"/>
              </w:rPr>
              <w:t>/s/ Jane Alley as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03/04/2022</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8970"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2022-03-04T16:37:19Z</dcterms:created>
  <dcterms:modified xsi:type="dcterms:W3CDTF">2022-03-04T16:37:19Z</dcterms:modified>
</cp:coreProperties>
</file>