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Commercial Officer-CLIA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02/27/2025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8"/>
              </w:rPr>
              <w:t>11,006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84,816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02/27/2025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9"/>
              </w:rPr>
              <w:t>5,746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79,070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03/02/2025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9"/>
              </w:rPr>
              <w:t>7,650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34.76</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71,420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acquired by the Reporting Person upon vesting of certain performance based restricted stock units ("PSUs") on February 27, 2025, upon the certification by the Board of Directors of the Issuer of the achievement of the performance goals set forth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the PSUs and does not represent a sale.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816, 501 and 6,333 shares of common stock to satisfy the reporting person's tax withholding obligations in connection with the vesting of 1,606, 985 and 12,470 Restricted Stock Units, respectively, granted on September 1, 2022, March 6, 2023 and March 6, 2024,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153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2025-03-03T16:21:01Z</dcterms:created>
  <dcterms:modified xsi:type="dcterms:W3CDTF">2025-03-03T16:21:01Z</dcterms:modified>
</cp:coreProperties>
</file>