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VP,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2,337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25,116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420, 400, and 1,517 shares of common stock to satisfy the reporting person's tax withholding obligations in connection with the vesting of 750, 713, and 2,709 Restricted Stock Units granted on February 22, 2022, August 5, 2022, and March 6, 2023,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433 shares of common stock purchased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1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2024-03-05T16:34:34Z</dcterms:created>
  <dcterms:modified xsi:type="dcterms:W3CDTF">2024-03-05T16:34:34Z</dcterms:modified>
</cp:coreProperties>
</file>