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3"/>
          <w:szCs w:val="13"/>
          <w:b w:val="1"/>
          <w:bCs w:val="1"/>
          <w:color w:val="auto"/>
        </w:rPr>
        <w:t>As filed with the Securities and Exchange Commission on May 2, 2019</w:t>
      </w:r>
    </w:p>
    <w:p>
      <w:pPr>
        <w:spacing w:after="0" w:line="13" w:lineRule="exact"/>
        <w:rPr>
          <w:sz w:val="24"/>
          <w:szCs w:val="24"/>
          <w:color w:val="auto"/>
        </w:rPr>
      </w:pPr>
    </w:p>
    <w:p>
      <w:pPr>
        <w:ind w:left="838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99"/>
        <w:spacing w:after="0"/>
        <w:rPr>
          <w:sz w:val="20"/>
          <w:szCs w:val="20"/>
          <w:color w:val="auto"/>
        </w:rPr>
      </w:pPr>
      <w:r>
        <w:rPr>
          <w:rFonts w:ascii="Arial" w:cs="Arial" w:eastAsia="Arial" w:hAnsi="Arial"/>
          <w:sz w:val="28"/>
          <w:szCs w:val="28"/>
          <w:b w:val="1"/>
          <w:bCs w:val="1"/>
          <w:color w:val="auto"/>
        </w:rPr>
        <w:t>UNITED STATES SECURITIES AND EXCHANGE COMMISSION</w:t>
      </w:r>
    </w:p>
    <w:p>
      <w:pPr>
        <w:spacing w:after="0" w:line="5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________________________________</w:t>
      </w:r>
    </w:p>
    <w:p>
      <w:pPr>
        <w:spacing w:after="0" w:line="239"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S-3</w:t>
      </w:r>
    </w:p>
    <w:p>
      <w:pPr>
        <w:spacing w:after="0" w:line="5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REGISTRATION STATEMENT</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w:t>
      </w:r>
    </w:p>
    <w:p>
      <w:pPr>
        <w:jc w:val="center"/>
        <w:ind w:right="-99"/>
        <w:spacing w:after="0" w:line="239" w:lineRule="auto"/>
        <w:rPr>
          <w:sz w:val="20"/>
          <w:szCs w:val="20"/>
          <w:color w:val="auto"/>
        </w:rPr>
      </w:pPr>
      <w:r>
        <w:rPr>
          <w:rFonts w:ascii="Arial" w:cs="Arial" w:eastAsia="Arial" w:hAnsi="Arial"/>
          <w:sz w:val="22"/>
          <w:szCs w:val="22"/>
          <w:b w:val="1"/>
          <w:bCs w:val="1"/>
          <w:color w:val="auto"/>
        </w:rPr>
        <w:t>THE SECURITIES ACT OF 1933</w:t>
      </w:r>
    </w:p>
    <w:p>
      <w:pPr>
        <w:ind w:left="4260"/>
        <w:spacing w:after="0"/>
        <w:rPr>
          <w:sz w:val="20"/>
          <w:szCs w:val="20"/>
          <w:color w:val="auto"/>
        </w:rPr>
      </w:pPr>
      <w:r>
        <w:rPr>
          <w:rFonts w:ascii="Arial" w:cs="Arial" w:eastAsia="Arial" w:hAnsi="Arial"/>
          <w:sz w:val="18"/>
          <w:szCs w:val="18"/>
          <w:color w:val="auto"/>
        </w:rPr>
        <w:t>________________________________</w:t>
      </w:r>
    </w:p>
    <w:p>
      <w:pPr>
        <w:spacing w:after="0" w:line="22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VERACYTE, INC.</w:t>
      </w:r>
    </w:p>
    <w:p>
      <w:pPr>
        <w:spacing w:after="0" w:line="53"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340"/>
          </w:cols>
          <w:pgMar w:left="240" w:top="864" w:right="319" w:bottom="1440" w:gutter="0" w:footer="0" w:header="0"/>
        </w:sectPr>
      </w:pPr>
    </w:p>
    <w:p>
      <w:pPr>
        <w:spacing w:after="0" w:line="200" w:lineRule="exact"/>
        <w:rPr>
          <w:sz w:val="24"/>
          <w:szCs w:val="24"/>
          <w:color w:val="auto"/>
        </w:rPr>
      </w:pPr>
    </w:p>
    <w:p>
      <w:pPr>
        <w:spacing w:after="0" w:line="348" w:lineRule="exact"/>
        <w:rPr>
          <w:sz w:val="24"/>
          <w:szCs w:val="24"/>
          <w:color w:val="auto"/>
        </w:rPr>
      </w:pPr>
    </w:p>
    <w:p>
      <w:pPr>
        <w:ind w:left="25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20-5455398</w:t>
      </w:r>
    </w:p>
    <w:p>
      <w:pPr>
        <w:spacing w:after="0" w:line="86" w:lineRule="exact"/>
        <w:rPr>
          <w:sz w:val="24"/>
          <w:szCs w:val="24"/>
          <w:color w:val="auto"/>
        </w:rPr>
      </w:pPr>
    </w:p>
    <w:p>
      <w:pPr>
        <w:sectPr>
          <w:pgSz w:w="11900" w:h="16838" w:orient="portrait"/>
          <w:cols w:equalWidth="0" w:num="2">
            <w:col w:w="7360" w:space="720"/>
            <w:col w:w="3260"/>
          </w:cols>
          <w:pgMar w:left="240" w:top="864" w:right="319" w:bottom="1440" w:gutter="0" w:footer="0" w:header="0"/>
          <w:type w:val="continuous"/>
        </w:sectPr>
      </w:pPr>
    </w:p>
    <w:p>
      <w:pPr>
        <w:ind w:left="2060"/>
        <w:spacing w:after="0"/>
        <w:rPr>
          <w:sz w:val="20"/>
          <w:szCs w:val="20"/>
          <w:color w:val="auto"/>
        </w:rPr>
      </w:pPr>
      <w:r>
        <w:rPr>
          <w:rFonts w:ascii="Arial" w:cs="Arial" w:eastAsia="Arial" w:hAnsi="Arial"/>
          <w:sz w:val="13"/>
          <w:szCs w:val="13"/>
          <w:color w:val="auto"/>
        </w:rPr>
        <w:t>(State or Other Jurisdiction of</w:t>
      </w:r>
    </w:p>
    <w:p>
      <w:pPr>
        <w:spacing w:after="0" w:line="53" w:lineRule="exact"/>
        <w:rPr>
          <w:sz w:val="24"/>
          <w:szCs w:val="24"/>
          <w:color w:val="auto"/>
        </w:rPr>
      </w:pPr>
    </w:p>
    <w:p>
      <w:pPr>
        <w:ind w:left="204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jc w:val="center"/>
        <w:ind w:right="2160"/>
        <w:spacing w:after="0"/>
        <w:rPr>
          <w:sz w:val="20"/>
          <w:szCs w:val="20"/>
          <w:color w:val="auto"/>
        </w:rPr>
      </w:pPr>
      <w:r>
        <w:rPr>
          <w:rFonts w:ascii="Arial" w:cs="Arial" w:eastAsia="Arial" w:hAnsi="Arial"/>
          <w:sz w:val="14"/>
          <w:szCs w:val="14"/>
          <w:color w:val="auto"/>
        </w:rPr>
        <w:t>(I.R.S. Employer</w:t>
      </w:r>
    </w:p>
    <w:p>
      <w:pPr>
        <w:spacing w:after="0" w:line="42" w:lineRule="exact"/>
        <w:rPr>
          <w:sz w:val="24"/>
          <w:szCs w:val="24"/>
          <w:color w:val="auto"/>
        </w:rPr>
      </w:pPr>
    </w:p>
    <w:p>
      <w:pPr>
        <w:jc w:val="center"/>
        <w:ind w:right="2160"/>
        <w:spacing w:after="0"/>
        <w:rPr>
          <w:sz w:val="20"/>
          <w:szCs w:val="20"/>
          <w:color w:val="auto"/>
        </w:rPr>
      </w:pPr>
      <w:r>
        <w:rPr>
          <w:rFonts w:ascii="Arial" w:cs="Arial" w:eastAsia="Arial" w:hAnsi="Arial"/>
          <w:sz w:val="13"/>
          <w:szCs w:val="13"/>
          <w:color w:val="auto"/>
        </w:rPr>
        <w:t>Identification Number)</w:t>
      </w:r>
    </w:p>
    <w:p>
      <w:pPr>
        <w:spacing w:after="0" w:line="198" w:lineRule="exact"/>
        <w:rPr>
          <w:sz w:val="24"/>
          <w:szCs w:val="24"/>
          <w:color w:val="auto"/>
        </w:rPr>
      </w:pPr>
    </w:p>
    <w:p>
      <w:pPr>
        <w:sectPr>
          <w:pgSz w:w="11900" w:h="16838" w:orient="portrait"/>
          <w:cols w:equalWidth="0" w:num="2">
            <w:col w:w="7140" w:space="720"/>
            <w:col w:w="3480"/>
          </w:cols>
          <w:pgMar w:left="240" w:top="864" w:right="319" w:bottom="1440" w:gutter="0" w:footer="0" w:header="0"/>
          <w:type w:val="continuous"/>
        </w:sectPr>
      </w:pPr>
    </w:p>
    <w:p>
      <w:pPr>
        <w:jc w:val="center"/>
        <w:ind w:right="-99"/>
        <w:spacing w:after="0"/>
        <w:rPr>
          <w:sz w:val="20"/>
          <w:szCs w:val="20"/>
          <w:color w:val="auto"/>
        </w:rPr>
      </w:pPr>
      <w:r>
        <w:rPr>
          <w:rFonts w:ascii="Arial" w:cs="Arial" w:eastAsia="Arial" w:hAnsi="Arial"/>
          <w:sz w:val="14"/>
          <w:szCs w:val="14"/>
          <w:b w:val="1"/>
          <w:bCs w:val="1"/>
          <w:color w:val="auto"/>
        </w:rPr>
        <w:t>6000 Shoreline Court, Suite 300</w:t>
      </w:r>
    </w:p>
    <w:p>
      <w:pPr>
        <w:spacing w:after="0" w:line="1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South San Francisco, CA 94080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(650) 243-6300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10"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________________________________</w:t>
      </w:r>
    </w:p>
    <w:p>
      <w:pPr>
        <w:spacing w:after="0" w:line="37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Bonnie H. Anderson</w:t>
      </w:r>
    </w:p>
    <w:p>
      <w:pPr>
        <w:spacing w:after="0" w:line="1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Chairman and Chief Executive Officer</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Veracyte, Inc.</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6000 Shoreline Court, Suite 300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South San Francisco, CA 94080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(650) 243-6300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151"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Copies to:</w:t>
      </w:r>
    </w:p>
    <w:p>
      <w:pPr>
        <w:spacing w:after="0" w:line="6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Douglas N. Cogen, Esq.</w:t>
      </w:r>
    </w:p>
    <w:p>
      <w:pPr>
        <w:jc w:val="center"/>
        <w:ind w:right="-99"/>
        <w:spacing w:after="0" w:line="226" w:lineRule="auto"/>
        <w:rPr>
          <w:sz w:val="20"/>
          <w:szCs w:val="20"/>
          <w:color w:val="auto"/>
        </w:rPr>
      </w:pPr>
      <w:r>
        <w:rPr>
          <w:rFonts w:ascii="Arial" w:cs="Arial" w:eastAsia="Arial" w:hAnsi="Arial"/>
          <w:sz w:val="14"/>
          <w:szCs w:val="14"/>
          <w:b w:val="1"/>
          <w:bCs w:val="1"/>
          <w:color w:val="auto"/>
        </w:rPr>
        <w:t>Robert A. Freedman, Esq.</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Ran D. Ben-Tzur, Esq.</w:t>
      </w:r>
    </w:p>
    <w:p>
      <w:pPr>
        <w:spacing w:after="0" w:line="12" w:lineRule="exact"/>
        <w:rPr>
          <w:sz w:val="24"/>
          <w:szCs w:val="24"/>
          <w:color w:val="auto"/>
        </w:rPr>
      </w:pPr>
    </w:p>
    <w:p>
      <w:pPr>
        <w:ind w:left="4980"/>
        <w:spacing w:after="0"/>
        <w:rPr>
          <w:sz w:val="20"/>
          <w:szCs w:val="20"/>
          <w:color w:val="auto"/>
        </w:rPr>
      </w:pPr>
      <w:r>
        <w:rPr>
          <w:rFonts w:ascii="Arial" w:cs="Arial" w:eastAsia="Arial" w:hAnsi="Arial"/>
          <w:sz w:val="14"/>
          <w:szCs w:val="14"/>
          <w:b w:val="1"/>
          <w:bCs w:val="1"/>
          <w:color w:val="auto"/>
        </w:rPr>
        <w:t>Fenwick &amp; West LLP</w:t>
      </w:r>
    </w:p>
    <w:p>
      <w:pPr>
        <w:spacing w:after="0" w:line="55" w:lineRule="exact"/>
        <w:rPr>
          <w:sz w:val="24"/>
          <w:szCs w:val="24"/>
          <w:color w:val="auto"/>
        </w:rPr>
      </w:pPr>
    </w:p>
    <w:p>
      <w:pPr>
        <w:ind w:left="5000"/>
        <w:spacing w:after="0"/>
        <w:rPr>
          <w:sz w:val="20"/>
          <w:szCs w:val="20"/>
          <w:color w:val="auto"/>
        </w:rPr>
      </w:pPr>
      <w:r>
        <w:rPr>
          <w:rFonts w:ascii="Arial" w:cs="Arial" w:eastAsia="Arial" w:hAnsi="Arial"/>
          <w:sz w:val="14"/>
          <w:szCs w:val="14"/>
          <w:b w:val="1"/>
          <w:bCs w:val="1"/>
          <w:color w:val="auto"/>
        </w:rPr>
        <w:t>555 California Street</w:t>
      </w:r>
    </w:p>
    <w:p>
      <w:pPr>
        <w:spacing w:after="0" w:line="1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San Francisco, California 94014</w:t>
      </w:r>
    </w:p>
    <w:p>
      <w:pPr>
        <w:jc w:val="center"/>
        <w:ind w:right="-99"/>
        <w:spacing w:after="0"/>
        <w:rPr>
          <w:sz w:val="20"/>
          <w:szCs w:val="20"/>
          <w:color w:val="auto"/>
        </w:rPr>
      </w:pPr>
      <w:r>
        <w:rPr>
          <w:rFonts w:ascii="Arial" w:cs="Arial" w:eastAsia="Arial" w:hAnsi="Arial"/>
          <w:sz w:val="14"/>
          <w:szCs w:val="14"/>
          <w:b w:val="1"/>
          <w:bCs w:val="1"/>
          <w:color w:val="auto"/>
        </w:rPr>
        <w:t>(415) 875-2300</w:t>
      </w:r>
    </w:p>
    <w:p>
      <w:pPr>
        <w:spacing w:after="0" w:line="21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7"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From time to time after this registration statement becomes effective, as determined by market conditions and other factors.</w:t>
      </w:r>
    </w:p>
    <w:p>
      <w:pPr>
        <w:spacing w:after="0" w:line="156"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w:t>
      </w:r>
    </w:p>
    <w:p>
      <w:pPr>
        <w:spacing w:after="0" w:line="4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box. </w:t>
      </w:r>
      <w:r>
        <w:rPr>
          <w:rFonts w:ascii="MS PGothic" w:cs="MS PGothic" w:eastAsia="MS PGothic" w:hAnsi="MS PGothic"/>
          <w:sz w:val="18"/>
          <w:szCs w:val="18"/>
          <w:color w:val="auto"/>
        </w:rPr>
        <w:t>☐</w:t>
      </w:r>
    </w:p>
    <w:p>
      <w:pPr>
        <w:spacing w:after="0" w:line="175"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as amended, or the Securities Act, other than securities offered only in connection with dividend or interest reinvestment plans, check the following box. x</w:t>
      </w:r>
    </w:p>
    <w:p>
      <w:pPr>
        <w:sectPr>
          <w:pgSz w:w="11900" w:h="16838" w:orient="portrait"/>
          <w:cols w:equalWidth="0" w:num="1">
            <w:col w:w="11340"/>
          </w:cols>
          <w:pgMar w:left="240" w:top="864" w:right="319" w:bottom="1440" w:gutter="0" w:footer="0" w:header="0"/>
          <w:type w:val="continuous"/>
        </w:sectPr>
      </w:pPr>
    </w:p>
    <w:bookmarkStart w:id="1" w:name="page2"/>
    <w:bookmarkEnd w:id="1"/>
    <w:p>
      <w:pPr>
        <w:ind w:right="180" w:firstLine="648"/>
        <w:spacing w:after="0" w:line="277"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3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3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If this form is a registration statement pursuant to General Instruction I.D. or a post-effective amendment thereto that shall become effective upon filing with the Commission pursuant to Rule 462(e) under the Securities Act, check the following box. x</w:t>
      </w:r>
    </w:p>
    <w:p>
      <w:pPr>
        <w:spacing w:after="0" w:line="13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130"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as amended:</w:t>
      </w:r>
    </w:p>
    <w:p>
      <w:pPr>
        <w:sectPr>
          <w:pgSz w:w="11900" w:h="16838" w:orient="portrait"/>
          <w:cols w:equalWidth="0" w:num="1">
            <w:col w:w="11420"/>
          </w:cols>
          <w:pgMar w:left="240" w:top="368" w:right="239" w:bottom="1440" w:gutter="0" w:footer="0" w:header="0"/>
        </w:sectPr>
      </w:pPr>
    </w:p>
    <w:p>
      <w:pPr>
        <w:spacing w:after="0" w:line="325" w:lineRule="exact"/>
        <w:rPr>
          <w:sz w:val="20"/>
          <w:szCs w:val="20"/>
          <w:color w:val="auto"/>
        </w:rPr>
      </w:pPr>
    </w:p>
    <w:p>
      <w:pPr>
        <w:ind w:left="1580"/>
        <w:spacing w:after="0"/>
        <w:rPr>
          <w:sz w:val="20"/>
          <w:szCs w:val="20"/>
          <w:color w:val="auto"/>
        </w:rPr>
      </w:pPr>
      <w:r>
        <w:rPr>
          <w:rFonts w:ascii="Arial" w:cs="Arial" w:eastAsia="Arial" w:hAnsi="Arial"/>
          <w:sz w:val="13"/>
          <w:szCs w:val="13"/>
          <w:color w:val="auto"/>
        </w:rPr>
        <w:t>Large accelerated filer o</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Arial" w:cs="Arial" w:eastAsia="Arial" w:hAnsi="Arial"/>
          <w:sz w:val="13"/>
          <w:szCs w:val="13"/>
          <w:color w:val="auto"/>
        </w:rPr>
        <w:t>Accelerated filer x</w:t>
      </w:r>
    </w:p>
    <w:p>
      <w:pPr>
        <w:spacing w:after="0" w:line="200" w:lineRule="exact"/>
        <w:rPr>
          <w:sz w:val="20"/>
          <w:szCs w:val="20"/>
          <w:color w:val="auto"/>
        </w:rPr>
      </w:pPr>
    </w:p>
    <w:p>
      <w:pPr>
        <w:sectPr>
          <w:pgSz w:w="11900" w:h="16838" w:orient="portrait"/>
          <w:cols w:equalWidth="0" w:num="2">
            <w:col w:w="7900" w:space="720"/>
            <w:col w:w="2800"/>
          </w:cols>
          <w:pgMar w:left="240" w:top="368" w:right="239" w:bottom="1440" w:gutter="0" w:footer="0" w:header="0"/>
          <w:type w:val="continuous"/>
        </w:sectPr>
      </w:pPr>
    </w:p>
    <w:p>
      <w:pPr>
        <w:spacing w:after="0" w:line="42" w:lineRule="exact"/>
        <w:rPr>
          <w:sz w:val="20"/>
          <w:szCs w:val="20"/>
          <w:color w:val="auto"/>
        </w:rPr>
      </w:pPr>
    </w:p>
    <w:p>
      <w:pPr>
        <w:ind w:left="1600"/>
        <w:spacing w:after="0"/>
        <w:rPr>
          <w:sz w:val="20"/>
          <w:szCs w:val="20"/>
          <w:color w:val="auto"/>
        </w:rPr>
      </w:pPr>
      <w:r>
        <w:rPr>
          <w:rFonts w:ascii="Arial" w:cs="Arial" w:eastAsia="Arial" w:hAnsi="Arial"/>
          <w:sz w:val="13"/>
          <w:szCs w:val="13"/>
          <w:color w:val="auto"/>
        </w:rPr>
        <w:t>Non-accelerated filer 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Smaller reporting company x</w:t>
      </w:r>
    </w:p>
    <w:p>
      <w:pPr>
        <w:spacing w:after="0" w:line="200" w:lineRule="exact"/>
        <w:rPr>
          <w:sz w:val="20"/>
          <w:szCs w:val="20"/>
          <w:color w:val="auto"/>
        </w:rPr>
      </w:pPr>
    </w:p>
    <w:p>
      <w:pPr>
        <w:sectPr>
          <w:pgSz w:w="11900" w:h="16838" w:orient="portrait"/>
          <w:cols w:equalWidth="0" w:num="2">
            <w:col w:w="7600" w:space="720"/>
            <w:col w:w="3100"/>
          </w:cols>
          <w:pgMar w:left="240" w:top="368" w:right="239" w:bottom="1440" w:gutter="0" w:footer="0" w:header="0"/>
          <w:type w:val="continuous"/>
        </w:sectPr>
      </w:pPr>
    </w:p>
    <w:p>
      <w:pPr>
        <w:spacing w:after="0" w:line="42" w:lineRule="exact"/>
        <w:rPr>
          <w:sz w:val="20"/>
          <w:szCs w:val="20"/>
          <w:color w:val="auto"/>
        </w:rPr>
      </w:pPr>
    </w:p>
    <w:p>
      <w:pPr>
        <w:ind w:left="8320"/>
        <w:spacing w:after="0"/>
        <w:rPr>
          <w:sz w:val="20"/>
          <w:szCs w:val="20"/>
          <w:color w:val="auto"/>
        </w:rPr>
      </w:pPr>
      <w:r>
        <w:rPr>
          <w:rFonts w:ascii="Arial" w:cs="Arial" w:eastAsia="Arial" w:hAnsi="Arial"/>
          <w:sz w:val="13"/>
          <w:szCs w:val="13"/>
          <w:color w:val="auto"/>
        </w:rPr>
        <w:t>Emerging growth company o</w:t>
      </w:r>
    </w:p>
    <w:p>
      <w:pPr>
        <w:sectPr>
          <w:pgSz w:w="11900" w:h="16838" w:orient="portrait"/>
          <w:cols w:equalWidth="0" w:num="1">
            <w:col w:w="11420"/>
          </w:cols>
          <w:pgMar w:left="240" w:top="368" w:right="239" w:bottom="1440" w:gutter="0" w:footer="0" w:header="0"/>
          <w:type w:val="continuous"/>
        </w:sectPr>
      </w:pPr>
    </w:p>
    <w:p>
      <w:pPr>
        <w:spacing w:after="0" w:line="24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w w:val="97"/>
              </w:rPr>
              <w:t>Proposed Maximum</w:t>
            </w:r>
          </w:p>
        </w:tc>
        <w:tc>
          <w:tcPr>
            <w:tcW w:w="172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Proposed Maximum</w:t>
            </w:r>
          </w:p>
        </w:tc>
        <w:tc>
          <w:tcPr>
            <w:tcW w:w="1680" w:type="dxa"/>
            <w:vAlign w:val="bottom"/>
          </w:tcPr>
          <w:p>
            <w:pPr>
              <w:spacing w:after="0"/>
              <w:rPr>
                <w:sz w:val="18"/>
                <w:szCs w:val="18"/>
                <w:color w:val="auto"/>
              </w:rPr>
            </w:pPr>
          </w:p>
        </w:tc>
      </w:tr>
      <w:tr>
        <w:trPr>
          <w:trHeight w:val="216"/>
        </w:trPr>
        <w:tc>
          <w:tcPr>
            <w:tcW w:w="4480" w:type="dxa"/>
            <w:vAlign w:val="bottom"/>
          </w:tcPr>
          <w:p>
            <w:pPr>
              <w:spacing w:after="0"/>
              <w:rPr>
                <w:sz w:val="18"/>
                <w:szCs w:val="18"/>
                <w:color w:val="auto"/>
              </w:rPr>
            </w:pPr>
          </w:p>
        </w:tc>
        <w:tc>
          <w:tcPr>
            <w:tcW w:w="1480" w:type="dxa"/>
            <w:vAlign w:val="bottom"/>
          </w:tcPr>
          <w:p>
            <w:pPr>
              <w:ind w:left="380"/>
              <w:spacing w:after="0"/>
              <w:rPr>
                <w:sz w:val="20"/>
                <w:szCs w:val="20"/>
                <w:color w:val="auto"/>
              </w:rPr>
            </w:pPr>
            <w:r>
              <w:rPr>
                <w:rFonts w:ascii="Arial" w:cs="Arial" w:eastAsia="Arial" w:hAnsi="Arial"/>
                <w:sz w:val="18"/>
                <w:szCs w:val="18"/>
                <w:b w:val="1"/>
                <w:bCs w:val="1"/>
                <w:color w:val="auto"/>
                <w:w w:val="93"/>
              </w:rPr>
              <w:t>Amount to be</w:t>
            </w:r>
          </w:p>
        </w:tc>
        <w:tc>
          <w:tcPr>
            <w:tcW w:w="300" w:type="dxa"/>
            <w:vAlign w:val="bottom"/>
          </w:tcPr>
          <w:p>
            <w:pPr>
              <w:spacing w:after="0"/>
              <w:rPr>
                <w:sz w:val="18"/>
                <w:szCs w:val="18"/>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b w:val="1"/>
                <w:bCs w:val="1"/>
                <w:color w:val="auto"/>
                <w:w w:val="98"/>
              </w:rPr>
              <w:t>Aggregate Offering</w:t>
            </w:r>
          </w:p>
        </w:tc>
        <w:tc>
          <w:tcPr>
            <w:tcW w:w="172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Aggregate Offering</w:t>
            </w:r>
          </w:p>
        </w:tc>
        <w:tc>
          <w:tcPr>
            <w:tcW w:w="1680" w:type="dxa"/>
            <w:vAlign w:val="bottom"/>
          </w:tcPr>
          <w:p>
            <w:pPr>
              <w:jc w:val="right"/>
              <w:ind w:right="350"/>
              <w:spacing w:after="0"/>
              <w:rPr>
                <w:sz w:val="20"/>
                <w:szCs w:val="20"/>
                <w:color w:val="auto"/>
              </w:rPr>
            </w:pPr>
            <w:r>
              <w:rPr>
                <w:rFonts w:ascii="Arial" w:cs="Arial" w:eastAsia="Arial" w:hAnsi="Arial"/>
                <w:sz w:val="18"/>
                <w:szCs w:val="18"/>
                <w:b w:val="1"/>
                <w:bCs w:val="1"/>
                <w:color w:val="auto"/>
              </w:rPr>
              <w:t>Amount of</w:t>
            </w:r>
          </w:p>
        </w:tc>
      </w:tr>
      <w:tr>
        <w:trPr>
          <w:trHeight w:val="234"/>
        </w:trPr>
        <w:tc>
          <w:tcPr>
            <w:tcW w:w="4480" w:type="dxa"/>
            <w:vAlign w:val="bottom"/>
          </w:tcPr>
          <w:p>
            <w:pPr>
              <w:ind w:left="380"/>
              <w:spacing w:after="0"/>
              <w:rPr>
                <w:sz w:val="20"/>
                <w:szCs w:val="20"/>
                <w:color w:val="auto"/>
              </w:rPr>
            </w:pPr>
            <w:r>
              <w:rPr>
                <w:rFonts w:ascii="Arial" w:cs="Arial" w:eastAsia="Arial" w:hAnsi="Arial"/>
                <w:sz w:val="18"/>
                <w:szCs w:val="18"/>
                <w:b w:val="1"/>
                <w:bCs w:val="1"/>
                <w:color w:val="auto"/>
                <w:w w:val="97"/>
              </w:rPr>
              <w:t>Title of Each Class of Securities to be Registered</w:t>
            </w:r>
          </w:p>
        </w:tc>
        <w:tc>
          <w:tcPr>
            <w:tcW w:w="1480" w:type="dxa"/>
            <w:vAlign w:val="bottom"/>
          </w:tcPr>
          <w:p>
            <w:pPr>
              <w:ind w:left="400"/>
              <w:spacing w:after="0"/>
              <w:rPr>
                <w:sz w:val="20"/>
                <w:szCs w:val="20"/>
                <w:color w:val="auto"/>
              </w:rPr>
            </w:pPr>
            <w:r>
              <w:rPr>
                <w:rFonts w:ascii="Arial" w:cs="Arial" w:eastAsia="Arial" w:hAnsi="Arial"/>
                <w:sz w:val="18"/>
                <w:szCs w:val="18"/>
                <w:b w:val="1"/>
                <w:bCs w:val="1"/>
                <w:color w:val="auto"/>
                <w:w w:val="92"/>
              </w:rPr>
              <w:t>Registered(1)</w:t>
            </w:r>
          </w:p>
        </w:tc>
        <w:tc>
          <w:tcPr>
            <w:tcW w:w="3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w w:val="95"/>
              </w:rPr>
              <w:t>Price Per Security(1)</w:t>
            </w:r>
          </w:p>
        </w:tc>
        <w:tc>
          <w:tcPr>
            <w:tcW w:w="1720" w:type="dxa"/>
            <w:vAlign w:val="bottom"/>
          </w:tcPr>
          <w:p>
            <w:pPr>
              <w:jc w:val="right"/>
              <w:ind w:right="470"/>
              <w:spacing w:after="0"/>
              <w:rPr>
                <w:sz w:val="20"/>
                <w:szCs w:val="20"/>
                <w:color w:val="auto"/>
              </w:rPr>
            </w:pPr>
            <w:r>
              <w:rPr>
                <w:rFonts w:ascii="Arial" w:cs="Arial" w:eastAsia="Arial" w:hAnsi="Arial"/>
                <w:sz w:val="18"/>
                <w:szCs w:val="18"/>
                <w:b w:val="1"/>
                <w:bCs w:val="1"/>
                <w:color w:val="auto"/>
              </w:rPr>
              <w:t>Price(1)</w:t>
            </w:r>
          </w:p>
        </w:tc>
        <w:tc>
          <w:tcPr>
            <w:tcW w:w="168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Registration Fee(1)</w:t>
            </w:r>
          </w:p>
        </w:tc>
      </w:tr>
      <w:tr>
        <w:trPr>
          <w:trHeight w:val="27"/>
        </w:trPr>
        <w:tc>
          <w:tcPr>
            <w:tcW w:w="4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ind w:left="100"/>
              <w:spacing w:after="0"/>
              <w:rPr>
                <w:sz w:val="20"/>
                <w:szCs w:val="20"/>
                <w:color w:val="auto"/>
              </w:rPr>
            </w:pPr>
            <w:r>
              <w:rPr>
                <w:rFonts w:ascii="Arial" w:cs="Arial" w:eastAsia="Arial" w:hAnsi="Arial"/>
                <w:sz w:val="18"/>
                <w:szCs w:val="18"/>
                <w:color w:val="auto"/>
              </w:rPr>
              <w:t>Common Stock, par value $0.001 per share</w:t>
            </w:r>
          </w:p>
        </w:tc>
        <w:tc>
          <w:tcPr>
            <w:tcW w:w="1480" w:type="dxa"/>
            <w:vAlign w:val="bottom"/>
          </w:tcPr>
          <w:p>
            <w:pPr>
              <w:spacing w:after="0"/>
              <w:rPr>
                <w:sz w:val="20"/>
                <w:szCs w:val="20"/>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ind w:left="100"/>
              <w:spacing w:after="0"/>
              <w:rPr>
                <w:sz w:val="20"/>
                <w:szCs w:val="20"/>
                <w:color w:val="auto"/>
              </w:rPr>
            </w:pPr>
            <w:r>
              <w:rPr>
                <w:rFonts w:ascii="Arial" w:cs="Arial" w:eastAsia="Arial" w:hAnsi="Arial"/>
                <w:sz w:val="18"/>
                <w:szCs w:val="18"/>
                <w:color w:val="auto"/>
              </w:rPr>
              <w:t>Preferred Stock, par value $0.001 per share</w:t>
            </w:r>
          </w:p>
        </w:tc>
        <w:tc>
          <w:tcPr>
            <w:tcW w:w="1480" w:type="dxa"/>
            <w:vAlign w:val="bottom"/>
          </w:tcPr>
          <w:p>
            <w:pPr>
              <w:spacing w:after="0"/>
              <w:rPr>
                <w:sz w:val="20"/>
                <w:szCs w:val="20"/>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ind w:left="100"/>
              <w:spacing w:after="0"/>
              <w:rPr>
                <w:sz w:val="20"/>
                <w:szCs w:val="20"/>
                <w:color w:val="auto"/>
              </w:rPr>
            </w:pPr>
            <w:r>
              <w:rPr>
                <w:rFonts w:ascii="Arial" w:cs="Arial" w:eastAsia="Arial" w:hAnsi="Arial"/>
                <w:sz w:val="18"/>
                <w:szCs w:val="18"/>
                <w:color w:val="auto"/>
              </w:rPr>
              <w:t>Debt Securities</w:t>
            </w:r>
          </w:p>
        </w:tc>
        <w:tc>
          <w:tcPr>
            <w:tcW w:w="1480" w:type="dxa"/>
            <w:vAlign w:val="bottom"/>
          </w:tcPr>
          <w:p>
            <w:pPr>
              <w:spacing w:after="0"/>
              <w:rPr>
                <w:sz w:val="20"/>
                <w:szCs w:val="20"/>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ind w:left="100"/>
              <w:spacing w:after="0"/>
              <w:rPr>
                <w:sz w:val="20"/>
                <w:szCs w:val="20"/>
                <w:color w:val="auto"/>
              </w:rPr>
            </w:pPr>
            <w:r>
              <w:rPr>
                <w:rFonts w:ascii="Arial" w:cs="Arial" w:eastAsia="Arial" w:hAnsi="Arial"/>
                <w:sz w:val="18"/>
                <w:szCs w:val="18"/>
                <w:color w:val="auto"/>
              </w:rPr>
              <w:t>Warrants</w:t>
            </w:r>
          </w:p>
        </w:tc>
        <w:tc>
          <w:tcPr>
            <w:tcW w:w="1480" w:type="dxa"/>
            <w:vAlign w:val="bottom"/>
          </w:tcPr>
          <w:p>
            <w:pPr>
              <w:spacing w:after="0"/>
              <w:rPr>
                <w:sz w:val="20"/>
                <w:szCs w:val="20"/>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ind w:left="100"/>
              <w:spacing w:after="0"/>
              <w:rPr>
                <w:sz w:val="20"/>
                <w:szCs w:val="20"/>
                <w:color w:val="auto"/>
              </w:rPr>
            </w:pPr>
            <w:r>
              <w:rPr>
                <w:rFonts w:ascii="Arial" w:cs="Arial" w:eastAsia="Arial" w:hAnsi="Arial"/>
                <w:sz w:val="18"/>
                <w:szCs w:val="18"/>
                <w:color w:val="auto"/>
              </w:rPr>
              <w:t>Subscription Rights</w:t>
            </w:r>
          </w:p>
        </w:tc>
        <w:tc>
          <w:tcPr>
            <w:tcW w:w="1480" w:type="dxa"/>
            <w:vAlign w:val="bottom"/>
          </w:tcPr>
          <w:p>
            <w:pPr>
              <w:spacing w:after="0"/>
              <w:rPr>
                <w:sz w:val="20"/>
                <w:szCs w:val="20"/>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ind w:left="100"/>
              <w:spacing w:after="0"/>
              <w:rPr>
                <w:sz w:val="20"/>
                <w:szCs w:val="20"/>
                <w:color w:val="auto"/>
              </w:rPr>
            </w:pPr>
            <w:r>
              <w:rPr>
                <w:rFonts w:ascii="Arial" w:cs="Arial" w:eastAsia="Arial" w:hAnsi="Arial"/>
                <w:sz w:val="18"/>
                <w:szCs w:val="18"/>
                <w:color w:val="auto"/>
              </w:rPr>
              <w:t>Units</w:t>
            </w:r>
          </w:p>
        </w:tc>
        <w:tc>
          <w:tcPr>
            <w:tcW w:w="1480" w:type="dxa"/>
            <w:vAlign w:val="bottom"/>
          </w:tcPr>
          <w:p>
            <w:pPr>
              <w:spacing w:after="0"/>
              <w:rPr>
                <w:sz w:val="20"/>
                <w:szCs w:val="20"/>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Total (2)</w:t>
            </w:r>
          </w:p>
        </w:tc>
        <w:tc>
          <w:tcPr>
            <w:tcW w:w="1480" w:type="dxa"/>
            <w:vAlign w:val="bottom"/>
          </w:tcPr>
          <w:p>
            <w:pPr>
              <w:spacing w:after="0"/>
              <w:rPr>
                <w:sz w:val="20"/>
                <w:szCs w:val="20"/>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pacing w:after="0" w:line="206" w:lineRule="exact"/>
        <w:rPr>
          <w:sz w:val="20"/>
          <w:szCs w:val="20"/>
          <w:color w:val="auto"/>
        </w:rPr>
      </w:pPr>
    </w:p>
    <w:p>
      <w:pPr>
        <w:ind w:left="660" w:right="80" w:hanging="652"/>
        <w:spacing w:after="0" w:line="278" w:lineRule="auto"/>
        <w:tabs>
          <w:tab w:leader="none" w:pos="660" w:val="left"/>
        </w:tabs>
        <w:numPr>
          <w:ilvl w:val="0"/>
          <w:numId w:val="1"/>
        </w:numPr>
        <w:rPr>
          <w:rFonts w:ascii="Arial" w:cs="Arial" w:eastAsia="Arial" w:hAnsi="Arial"/>
          <w:sz w:val="15"/>
          <w:szCs w:val="15"/>
          <w:color w:val="auto"/>
        </w:rPr>
      </w:pPr>
      <w:r>
        <w:rPr>
          <w:rFonts w:ascii="Arial" w:cs="Arial" w:eastAsia="Arial" w:hAnsi="Arial"/>
          <w:sz w:val="15"/>
          <w:szCs w:val="15"/>
          <w:color w:val="auto"/>
        </w:rPr>
        <w:t>An indeterminate aggregate initial offering price and number of the securities of each class is being registered as may from time to time be offered at indeterminate prices or be issued on exercise, conversion, or exchange of other securities. Separate consideration may or may not be received for securities that are issuable on exercise, conversion, or exchange of other securities. In accordance with Rules 456(b) and 457(r) under the Securities Act, the Registrant is deferring payment of the registration fee. Any registration fee will be paid subsequently on a pay-as-you-go basis in accordance with Rule 457(r).</w:t>
      </w:r>
    </w:p>
    <w:p>
      <w:pPr>
        <w:spacing w:after="0" w:line="65" w:lineRule="exact"/>
        <w:rPr>
          <w:rFonts w:ascii="Arial" w:cs="Arial" w:eastAsia="Arial" w:hAnsi="Arial"/>
          <w:sz w:val="15"/>
          <w:szCs w:val="15"/>
          <w:color w:val="auto"/>
        </w:rPr>
      </w:pPr>
    </w:p>
    <w:p>
      <w:pPr>
        <w:ind w:left="660" w:hanging="652"/>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securities registered hereunder may be sold separately or in a combination with other securities registered hereby.</w:t>
      </w:r>
    </w:p>
    <w:p>
      <w:pPr>
        <w:sectPr>
          <w:pgSz w:w="11900" w:h="16838" w:orient="portrait"/>
          <w:cols w:equalWidth="0" w:num="1">
            <w:col w:w="11420"/>
          </w:cols>
          <w:pgMar w:left="240" w:top="368" w:right="239" w:bottom="1440" w:gutter="0" w:footer="0" w:header="0"/>
          <w:type w:val="continuous"/>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8"/>
          <w:szCs w:val="18"/>
          <w:color w:val="auto"/>
        </w:rPr>
        <w:t>This automatic registration statement on Form S-3ASR, dated May 2, 2019, is replacing a previously filed registration statement on Form S-3, dated May 1, 2019, due to an error in the filing process which prevented the May 1, 2019 filing from being filed as an “automatic shelf registration statement” and tagged accordingly as an “S-3ASR.” The registration statement filed on May 1, 2019 was not declared effective by the Securities and Exchange Commission, or SEC, and none of our securites were sold pursuant to such registration statement.</w:t>
      </w:r>
    </w:p>
    <w:p>
      <w:pPr>
        <w:sectPr>
          <w:pgSz w:w="11900" w:h="16838" w:orient="portrait"/>
          <w:cols w:equalWidth="0" w:num="1">
            <w:col w:w="11360"/>
          </w:cols>
          <w:pgMar w:left="240" w:top="364" w:right="2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292100</wp:posOffset>
            </wp:positionV>
            <wp:extent cx="3027045" cy="960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27045" cy="96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Preferred Stock,</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Debt Securities, Warrants,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Subscription Rights and Units</w:t>
      </w:r>
    </w:p>
    <w:p>
      <w:pPr>
        <w:spacing w:after="0" w:line="211"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________________________________</w:t>
      </w:r>
    </w:p>
    <w:p>
      <w:pPr>
        <w:spacing w:after="0" w:line="200" w:lineRule="exact"/>
        <w:rPr>
          <w:sz w:val="20"/>
          <w:szCs w:val="20"/>
          <w:color w:val="auto"/>
        </w:rPr>
      </w:pPr>
    </w:p>
    <w:p>
      <w:pPr>
        <w:spacing w:after="0" w:line="241"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We may, from time to time, offer and sell common stock, preferred stock, debt securities, warrants, subscription rights, and/or units consisting of some or all of these securities, in any combination, together or separately, in one or more offerings. The preferred stock, debt securities and warrants may be convertible into or exercisable or exchangeable for common or preferred stock or debt securities. The subscription rights may be exercisable for common or preferred stock. We will specify in an accompanying prospectus supplement more specific information about any such offering.</w:t>
      </w:r>
    </w:p>
    <w:p>
      <w:pPr>
        <w:spacing w:after="0" w:line="1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addition, certain selling securityholders to be identified in a prospectus supplement may use this prospectus from time to time to offer shares of our common stock. Unless the applicable prospectus supplement provides otherwise, we will not receive any proceeds from the sale of common stock by the selling securityholders.</w:t>
      </w:r>
    </w:p>
    <w:p>
      <w:pPr>
        <w:spacing w:after="0" w:line="7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You should read this document and any prospectus supplement or amendment carefully before you invest in our securities. Neither we nor any selling securityholders may use this prospectus to sell securities unless it includes a prospectus supplement.</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Global Market under the symbol “VCYT.”</w:t>
      </w:r>
    </w:p>
    <w:p>
      <w:pPr>
        <w:spacing w:after="0" w:line="118" w:lineRule="exact"/>
        <w:rPr>
          <w:sz w:val="20"/>
          <w:szCs w:val="20"/>
          <w:color w:val="auto"/>
        </w:rPr>
      </w:pPr>
    </w:p>
    <w:p>
      <w:pPr>
        <w:ind w:firstLine="648"/>
        <w:spacing w:after="0" w:line="267" w:lineRule="auto"/>
        <w:rPr>
          <w:sz w:val="20"/>
          <w:szCs w:val="20"/>
          <w:color w:val="auto"/>
        </w:rPr>
      </w:pPr>
      <w:r>
        <w:rPr>
          <w:rFonts w:ascii="Arial" w:cs="Arial" w:eastAsia="Arial" w:hAnsi="Arial"/>
          <w:sz w:val="21"/>
          <w:szCs w:val="21"/>
          <w:b w:val="1"/>
          <w:bCs w:val="1"/>
          <w:color w:val="auto"/>
        </w:rPr>
        <w:t>Investing in our securities involves risks. See the section entitled “Risk Factors” on page 3 of this prospectus. You should carefully review the risks and uncertainties described under the heading “Risk Factors” contained in the applicable prospectus supplement and any related free writing prospectus, and under similar headings in the other documents that are incorporated or deemed incorporated by reference into this prospectus.</w:t>
      </w:r>
    </w:p>
    <w:p>
      <w:pPr>
        <w:spacing w:after="0" w:line="5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securities described in this prospectus may be offered and sold to or through underwriters, dealers or agents as designated from time to time, or directly to one or more other purchasers or through a combination of such methods. See “Plan of Distribution” on page 14. If any underwriters, dealers or agents are involved in the sale of any of the securities, their names, and any applicable purchase price, fee, commission or discount arrangements between or among them, will be set forth, or will be calculable from the information set forth, in the applicable prospectus supplement.</w:t>
      </w:r>
    </w:p>
    <w:p>
      <w:pPr>
        <w:spacing w:after="0" w:line="307"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________________________________</w:t>
      </w:r>
    </w:p>
    <w:p>
      <w:pPr>
        <w:spacing w:after="0" w:line="221"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regulators have approved or disapproved of these securities or passed upon the adequacy or accuracy of this prospectus. Any representation to the contrary is a criminal offense.</w:t>
      </w:r>
    </w:p>
    <w:p>
      <w:pPr>
        <w:spacing w:after="0" w:line="58"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________________________________</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date of this prospectus is May 2, 2019.</w:t>
      </w:r>
    </w:p>
    <w:p>
      <w:pPr>
        <w:sectPr>
          <w:pgSz w:w="11900" w:h="16838" w:orient="portrait"/>
          <w:cols w:equalWidth="0" w:num="1">
            <w:col w:w="11380"/>
          </w:cols>
          <w:pgMar w:left="240" w:top="1121" w:right="27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00" w:type="dxa"/>
            <w:vAlign w:val="bottom"/>
            <w:gridSpan w:val="5"/>
          </w:tcPr>
          <w:p>
            <w:pPr>
              <w:ind w:left="20"/>
              <w:spacing w:after="0"/>
              <w:rPr>
                <w:sz w:val="20"/>
                <w:szCs w:val="20"/>
                <w:color w:val="auto"/>
              </w:rPr>
            </w:pPr>
            <w:r>
              <w:rPr>
                <w:rFonts w:ascii="Arial" w:cs="Arial" w:eastAsia="Arial" w:hAnsi="Arial"/>
                <w:sz w:val="18"/>
                <w:szCs w:val="18"/>
                <w:b w:val="1"/>
                <w:bCs w:val="1"/>
                <w:color w:val="auto"/>
              </w:rPr>
              <w:t>TABLE OF CONTENTS</w:t>
            </w:r>
          </w:p>
        </w:tc>
      </w:tr>
      <w:tr>
        <w:trPr>
          <w:trHeight w:val="351"/>
        </w:trPr>
        <w:tc>
          <w:tcPr>
            <w:tcW w:w="40" w:type="dxa"/>
            <w:vAlign w:val="bottom"/>
            <w:tcBorders>
              <w:bottom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500" w:type="dxa"/>
            <w:vAlign w:val="bottom"/>
            <w:tcBorders>
              <w:bottom w:val="single" w:sz="8" w:color="00000A"/>
            </w:tcBorders>
          </w:tcPr>
          <w:p>
            <w:pPr>
              <w:spacing w:after="0"/>
              <w:rPr>
                <w:sz w:val="24"/>
                <w:szCs w:val="24"/>
                <w:color w:val="auto"/>
              </w:rPr>
            </w:pPr>
          </w:p>
        </w:tc>
        <w:tc>
          <w:tcPr>
            <w:tcW w:w="220" w:type="dxa"/>
            <w:vAlign w:val="bottom"/>
            <w:tcBorders>
              <w:bottom w:val="single" w:sz="8" w:color="00000A"/>
            </w:tcBorders>
          </w:tcPr>
          <w:p>
            <w:pPr>
              <w:spacing w:after="0"/>
              <w:rPr>
                <w:sz w:val="24"/>
                <w:szCs w:val="24"/>
                <w:color w:val="auto"/>
              </w:rPr>
            </w:pPr>
          </w:p>
        </w:tc>
        <w:tc>
          <w:tcPr>
            <w:tcW w:w="120" w:type="dxa"/>
            <w:vAlign w:val="bottom"/>
            <w:tcBorders>
              <w:bottom w:val="single" w:sz="8" w:color="00000A"/>
            </w:tcBorders>
          </w:tcPr>
          <w:p>
            <w:pPr>
              <w:spacing w:after="0"/>
              <w:rPr>
                <w:sz w:val="24"/>
                <w:szCs w:val="24"/>
                <w:color w:val="auto"/>
              </w:rPr>
            </w:pPr>
          </w:p>
        </w:tc>
        <w:tc>
          <w:tcPr>
            <w:tcW w:w="460" w:type="dxa"/>
            <w:vAlign w:val="bottom"/>
            <w:tcBorders>
              <w:bottom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4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tcBorders>
          </w:tcPr>
          <w:p>
            <w:pPr>
              <w:spacing w:after="0"/>
              <w:rPr>
                <w:sz w:val="24"/>
                <w:szCs w:val="24"/>
                <w:color w:val="auto"/>
              </w:rPr>
            </w:pPr>
          </w:p>
        </w:tc>
        <w:tc>
          <w:tcPr>
            <w:tcW w:w="60" w:type="dxa"/>
            <w:vAlign w:val="bottom"/>
            <w:tcBorders>
              <w:bottom w:val="single" w:sz="8" w:color="00000A"/>
            </w:tcBorders>
          </w:tcPr>
          <w:p>
            <w:pPr>
              <w:spacing w:after="0"/>
              <w:rPr>
                <w:sz w:val="24"/>
                <w:szCs w:val="24"/>
                <w:color w:val="auto"/>
              </w:rPr>
            </w:pPr>
          </w:p>
        </w:tc>
        <w:tc>
          <w:tcPr>
            <w:tcW w:w="40" w:type="dxa"/>
            <w:vAlign w:val="bottom"/>
            <w:tcBorders>
              <w:bottom w:val="single" w:sz="8" w:color="00000A"/>
            </w:tcBorders>
          </w:tcPr>
          <w:p>
            <w:pPr>
              <w:spacing w:after="0"/>
              <w:rPr>
                <w:sz w:val="24"/>
                <w:szCs w:val="24"/>
                <w:color w:val="auto"/>
              </w:rPr>
            </w:pPr>
          </w:p>
        </w:tc>
        <w:tc>
          <w:tcPr>
            <w:tcW w:w="460" w:type="dxa"/>
            <w:vAlign w:val="bottom"/>
            <w:tcBorders>
              <w:bottom w:val="single" w:sz="8" w:color="00000A"/>
            </w:tcBorders>
          </w:tcPr>
          <w:p>
            <w:pPr>
              <w:spacing w:after="0"/>
              <w:rPr>
                <w:sz w:val="24"/>
                <w:szCs w:val="24"/>
                <w:color w:val="auto"/>
              </w:rPr>
            </w:pPr>
          </w:p>
        </w:tc>
        <w:tc>
          <w:tcPr>
            <w:tcW w:w="40" w:type="dxa"/>
            <w:vAlign w:val="bottom"/>
            <w:tcBorders>
              <w:bottom w:val="single" w:sz="8" w:color="00000A"/>
            </w:tcBorders>
          </w:tcPr>
          <w:p>
            <w:pPr>
              <w:spacing w:after="0"/>
              <w:rPr>
                <w:sz w:val="24"/>
                <w:szCs w:val="24"/>
                <w:color w:val="auto"/>
              </w:rPr>
            </w:pPr>
          </w:p>
        </w:tc>
        <w:tc>
          <w:tcPr>
            <w:tcW w:w="6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340" w:type="dxa"/>
            <w:vAlign w:val="bottom"/>
            <w:tcBorders>
              <w:bottom w:val="single" w:sz="8" w:color="00000A"/>
            </w:tcBorders>
          </w:tcPr>
          <w:p>
            <w:pPr>
              <w:spacing w:after="0"/>
              <w:rPr>
                <w:sz w:val="24"/>
                <w:szCs w:val="24"/>
                <w:color w:val="auto"/>
              </w:rPr>
            </w:pPr>
          </w:p>
        </w:tc>
        <w:tc>
          <w:tcPr>
            <w:tcW w:w="640" w:type="dxa"/>
            <w:vAlign w:val="bottom"/>
            <w:tcBorders>
              <w:bottom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1000" w:type="dxa"/>
            <w:vAlign w:val="bottom"/>
            <w:tcBorders>
              <w:bottom w:val="single" w:sz="8" w:color="00000A"/>
            </w:tcBorders>
          </w:tcPr>
          <w:p>
            <w:pPr>
              <w:spacing w:after="0"/>
              <w:rPr>
                <w:sz w:val="24"/>
                <w:szCs w:val="24"/>
                <w:color w:val="auto"/>
              </w:rPr>
            </w:pPr>
          </w:p>
        </w:tc>
        <w:tc>
          <w:tcPr>
            <w:tcW w:w="5480" w:type="dxa"/>
            <w:vAlign w:val="bottom"/>
            <w:tcBorders>
              <w:bottom w:val="single" w:sz="8" w:color="00000A"/>
            </w:tcBorders>
          </w:tcPr>
          <w:p>
            <w:pPr>
              <w:spacing w:after="0"/>
              <w:rPr>
                <w:sz w:val="24"/>
                <w:szCs w:val="24"/>
                <w:color w:val="auto"/>
              </w:rPr>
            </w:pPr>
          </w:p>
        </w:tc>
        <w:tc>
          <w:tcPr>
            <w:tcW w:w="80" w:type="dxa"/>
            <w:vAlign w:val="bottom"/>
            <w:tcBorders>
              <w:bottom w:val="single" w:sz="8" w:color="00000A"/>
            </w:tcBorders>
          </w:tcPr>
          <w:p>
            <w:pPr>
              <w:spacing w:after="0"/>
              <w:rPr>
                <w:sz w:val="24"/>
                <w:szCs w:val="24"/>
                <w:color w:val="auto"/>
              </w:rPr>
            </w:pPr>
          </w:p>
        </w:tc>
        <w:tc>
          <w:tcPr>
            <w:tcW w:w="100" w:type="dxa"/>
            <w:vAlign w:val="bottom"/>
            <w:tcBorders>
              <w:bottom w:val="single" w:sz="8" w:color="00000A"/>
            </w:tcBorders>
          </w:tcPr>
          <w:p>
            <w:pPr>
              <w:spacing w:after="0"/>
              <w:rPr>
                <w:sz w:val="24"/>
                <w:szCs w:val="24"/>
                <w:color w:val="auto"/>
              </w:rPr>
            </w:pPr>
          </w:p>
        </w:tc>
        <w:tc>
          <w:tcPr>
            <w:tcW w:w="40" w:type="dxa"/>
            <w:vAlign w:val="bottom"/>
            <w:tcBorders>
              <w:bottom w:val="single" w:sz="8" w:color="00000A"/>
            </w:tcBorders>
          </w:tcPr>
          <w:p>
            <w:pPr>
              <w:spacing w:after="0"/>
              <w:rPr>
                <w:sz w:val="24"/>
                <w:szCs w:val="2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9"/>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ABOUT THIS PROSPECTUS</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top w:val="single" w:sz="8" w:color="0000EE"/>
              <w:bottom w:val="single" w:sz="8" w:color="00000A"/>
            </w:tcBorders>
          </w:tcPr>
          <w:p>
            <w:pPr>
              <w:spacing w:after="0"/>
              <w:rPr>
                <w:sz w:val="4"/>
                <w:szCs w:val="4"/>
                <w:color w:val="auto"/>
              </w:rPr>
            </w:pPr>
          </w:p>
        </w:tc>
        <w:tc>
          <w:tcPr>
            <w:tcW w:w="12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2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160" w:type="dxa"/>
            <w:vAlign w:val="bottom"/>
            <w:tcBorders>
              <w:top w:val="single" w:sz="8" w:color="0000EE"/>
              <w:bottom w:val="single" w:sz="8" w:color="00000A"/>
            </w:tcBorders>
          </w:tcPr>
          <w:p>
            <w:pPr>
              <w:spacing w:after="0"/>
              <w:rPr>
                <w:sz w:val="4"/>
                <w:szCs w:val="4"/>
                <w:color w:val="auto"/>
              </w:rPr>
            </w:pPr>
          </w:p>
        </w:tc>
        <w:tc>
          <w:tcPr>
            <w:tcW w:w="20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46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34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9"/>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PROSPECTUS SUMMARY</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top w:val="single" w:sz="8" w:color="0000EE"/>
              <w:bottom w:val="single" w:sz="8" w:color="00000A"/>
            </w:tcBorders>
          </w:tcPr>
          <w:p>
            <w:pPr>
              <w:spacing w:after="0"/>
              <w:rPr>
                <w:sz w:val="4"/>
                <w:szCs w:val="4"/>
                <w:color w:val="auto"/>
              </w:rPr>
            </w:pPr>
          </w:p>
        </w:tc>
        <w:tc>
          <w:tcPr>
            <w:tcW w:w="12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2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20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46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34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9"/>
          </w:tcPr>
          <w:p>
            <w:pPr>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RISK FACTORS</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3</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bottom w:val="single" w:sz="8" w:color="00000A"/>
            </w:tcBorders>
          </w:tcPr>
          <w:p>
            <w:pPr>
              <w:spacing w:after="0"/>
              <w:rPr>
                <w:sz w:val="4"/>
                <w:szCs w:val="4"/>
                <w:color w:val="auto"/>
              </w:rPr>
            </w:pPr>
          </w:p>
        </w:tc>
        <w:tc>
          <w:tcPr>
            <w:tcW w:w="120" w:type="dxa"/>
            <w:vAlign w:val="bottom"/>
            <w:tcBorders>
              <w:bottom w:val="single" w:sz="8" w:color="00000A"/>
            </w:tcBorders>
          </w:tcPr>
          <w:p>
            <w:pPr>
              <w:spacing w:after="0"/>
              <w:rPr>
                <w:sz w:val="4"/>
                <w:szCs w:val="4"/>
                <w:color w:val="auto"/>
              </w:rPr>
            </w:pPr>
          </w:p>
        </w:tc>
        <w:tc>
          <w:tcPr>
            <w:tcW w:w="46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20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46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34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9"/>
          </w:tcPr>
          <w:p>
            <w:pPr>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FORWARD-LOOKING STATEMENTS</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3</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top w:val="single" w:sz="8" w:color="0000EE"/>
              <w:bottom w:val="single" w:sz="8" w:color="00000A"/>
            </w:tcBorders>
          </w:tcPr>
          <w:p>
            <w:pPr>
              <w:spacing w:after="0"/>
              <w:rPr>
                <w:sz w:val="4"/>
                <w:szCs w:val="4"/>
                <w:color w:val="auto"/>
              </w:rPr>
            </w:pPr>
          </w:p>
        </w:tc>
        <w:tc>
          <w:tcPr>
            <w:tcW w:w="12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2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160" w:type="dxa"/>
            <w:vAlign w:val="bottom"/>
            <w:tcBorders>
              <w:top w:val="single" w:sz="8" w:color="0000EE"/>
              <w:bottom w:val="single" w:sz="8" w:color="00000A"/>
            </w:tcBorders>
          </w:tcPr>
          <w:p>
            <w:pPr>
              <w:spacing w:after="0"/>
              <w:rPr>
                <w:sz w:val="4"/>
                <w:szCs w:val="4"/>
                <w:color w:val="auto"/>
              </w:rPr>
            </w:pPr>
          </w:p>
        </w:tc>
        <w:tc>
          <w:tcPr>
            <w:tcW w:w="200" w:type="dxa"/>
            <w:vAlign w:val="bottom"/>
            <w:tcBorders>
              <w:top w:val="single" w:sz="8" w:color="0000EE"/>
              <w:bottom w:val="single" w:sz="8" w:color="00000A"/>
            </w:tcBorders>
          </w:tcPr>
          <w:p>
            <w:pPr>
              <w:spacing w:after="0"/>
              <w:rPr>
                <w:sz w:val="4"/>
                <w:szCs w:val="4"/>
                <w:color w:val="auto"/>
              </w:rPr>
            </w:pPr>
          </w:p>
        </w:tc>
        <w:tc>
          <w:tcPr>
            <w:tcW w:w="6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34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9"/>
          </w:tcPr>
          <w:p>
            <w:pPr>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USE OF PROCEEDS</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3</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top w:val="single" w:sz="8" w:color="0000EE"/>
              <w:bottom w:val="single" w:sz="8" w:color="00000A"/>
            </w:tcBorders>
          </w:tcPr>
          <w:p>
            <w:pPr>
              <w:spacing w:after="0"/>
              <w:rPr>
                <w:sz w:val="4"/>
                <w:szCs w:val="4"/>
                <w:color w:val="auto"/>
              </w:rPr>
            </w:pPr>
          </w:p>
        </w:tc>
        <w:tc>
          <w:tcPr>
            <w:tcW w:w="120" w:type="dxa"/>
            <w:vAlign w:val="bottom"/>
            <w:tcBorders>
              <w:top w:val="single" w:sz="8" w:color="0000EE"/>
              <w:bottom w:val="single" w:sz="8" w:color="00000A"/>
            </w:tcBorders>
          </w:tcPr>
          <w:p>
            <w:pPr>
              <w:spacing w:after="0"/>
              <w:rPr>
                <w:sz w:val="4"/>
                <w:szCs w:val="4"/>
                <w:color w:val="auto"/>
              </w:rPr>
            </w:pPr>
          </w:p>
        </w:tc>
        <w:tc>
          <w:tcPr>
            <w:tcW w:w="46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20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46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34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9"/>
          </w:tcPr>
          <w:p>
            <w:pPr>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SECURITIES WE MAY OFFER</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4</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top w:val="single" w:sz="8" w:color="0000EE"/>
              <w:bottom w:val="single" w:sz="8" w:color="00000A"/>
            </w:tcBorders>
          </w:tcPr>
          <w:p>
            <w:pPr>
              <w:spacing w:after="0"/>
              <w:rPr>
                <w:sz w:val="4"/>
                <w:szCs w:val="4"/>
                <w:color w:val="auto"/>
              </w:rPr>
            </w:pPr>
          </w:p>
        </w:tc>
        <w:tc>
          <w:tcPr>
            <w:tcW w:w="12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2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160" w:type="dxa"/>
            <w:vAlign w:val="bottom"/>
            <w:tcBorders>
              <w:top w:val="single" w:sz="8" w:color="0000EE"/>
              <w:bottom w:val="single" w:sz="8" w:color="00000A"/>
            </w:tcBorders>
          </w:tcPr>
          <w:p>
            <w:pPr>
              <w:spacing w:after="0"/>
              <w:rPr>
                <w:sz w:val="4"/>
                <w:szCs w:val="4"/>
                <w:color w:val="auto"/>
              </w:rPr>
            </w:pPr>
          </w:p>
        </w:tc>
        <w:tc>
          <w:tcPr>
            <w:tcW w:w="200" w:type="dxa"/>
            <w:vAlign w:val="bottom"/>
            <w:tcBorders>
              <w:top w:val="single" w:sz="8" w:color="0000EE"/>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46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34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9"/>
          </w:tcPr>
          <w:p>
            <w:pPr>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DESCRIPTION OF COMMON STOCK</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4</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top w:val="single" w:sz="8" w:color="0000EE"/>
              <w:bottom w:val="single" w:sz="8" w:color="00000A"/>
            </w:tcBorders>
          </w:tcPr>
          <w:p>
            <w:pPr>
              <w:spacing w:after="0"/>
              <w:rPr>
                <w:sz w:val="4"/>
                <w:szCs w:val="4"/>
                <w:color w:val="auto"/>
              </w:rPr>
            </w:pPr>
          </w:p>
        </w:tc>
        <w:tc>
          <w:tcPr>
            <w:tcW w:w="12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2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160" w:type="dxa"/>
            <w:vAlign w:val="bottom"/>
            <w:tcBorders>
              <w:top w:val="single" w:sz="8" w:color="0000EE"/>
              <w:bottom w:val="single" w:sz="8" w:color="00000A"/>
            </w:tcBorders>
          </w:tcPr>
          <w:p>
            <w:pPr>
              <w:spacing w:after="0"/>
              <w:rPr>
                <w:sz w:val="4"/>
                <w:szCs w:val="4"/>
                <w:color w:val="auto"/>
              </w:rPr>
            </w:pPr>
          </w:p>
        </w:tc>
        <w:tc>
          <w:tcPr>
            <w:tcW w:w="200" w:type="dxa"/>
            <w:vAlign w:val="bottom"/>
            <w:tcBorders>
              <w:top w:val="single" w:sz="8" w:color="0000EE"/>
              <w:bottom w:val="single" w:sz="8" w:color="00000A"/>
            </w:tcBorders>
          </w:tcPr>
          <w:p>
            <w:pPr>
              <w:spacing w:after="0"/>
              <w:rPr>
                <w:sz w:val="4"/>
                <w:szCs w:val="4"/>
                <w:color w:val="auto"/>
              </w:rPr>
            </w:pPr>
          </w:p>
        </w:tc>
        <w:tc>
          <w:tcPr>
            <w:tcW w:w="6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34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9"/>
          </w:tcPr>
          <w:p>
            <w:pPr>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DESCRIPTION OF PREFERRED STOCK</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5</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top w:val="single" w:sz="8" w:color="0000EE"/>
              <w:bottom w:val="single" w:sz="8" w:color="00000A"/>
            </w:tcBorders>
          </w:tcPr>
          <w:p>
            <w:pPr>
              <w:spacing w:after="0"/>
              <w:rPr>
                <w:sz w:val="4"/>
                <w:szCs w:val="4"/>
                <w:color w:val="auto"/>
              </w:rPr>
            </w:pPr>
          </w:p>
        </w:tc>
        <w:tc>
          <w:tcPr>
            <w:tcW w:w="12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2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160" w:type="dxa"/>
            <w:vAlign w:val="bottom"/>
            <w:tcBorders>
              <w:top w:val="single" w:sz="8" w:color="0000EE"/>
              <w:bottom w:val="single" w:sz="8" w:color="00000A"/>
            </w:tcBorders>
          </w:tcPr>
          <w:p>
            <w:pPr>
              <w:spacing w:after="0"/>
              <w:rPr>
                <w:sz w:val="4"/>
                <w:szCs w:val="4"/>
                <w:color w:val="auto"/>
              </w:rPr>
            </w:pPr>
          </w:p>
        </w:tc>
        <w:tc>
          <w:tcPr>
            <w:tcW w:w="200" w:type="dxa"/>
            <w:vAlign w:val="bottom"/>
            <w:tcBorders>
              <w:top w:val="single" w:sz="8" w:color="0000EE"/>
              <w:bottom w:val="single" w:sz="8" w:color="00000A"/>
            </w:tcBorders>
          </w:tcPr>
          <w:p>
            <w:pPr>
              <w:spacing w:after="0"/>
              <w:rPr>
                <w:sz w:val="4"/>
                <w:szCs w:val="4"/>
                <w:color w:val="auto"/>
              </w:rPr>
            </w:pPr>
          </w:p>
        </w:tc>
        <w:tc>
          <w:tcPr>
            <w:tcW w:w="6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60" w:type="dxa"/>
            <w:vAlign w:val="bottom"/>
            <w:tcBorders>
              <w:top w:val="single" w:sz="8" w:color="0000EE"/>
              <w:bottom w:val="single" w:sz="8" w:color="00000A"/>
            </w:tcBorders>
          </w:tcPr>
          <w:p>
            <w:pPr>
              <w:spacing w:after="0"/>
              <w:rPr>
                <w:sz w:val="4"/>
                <w:szCs w:val="4"/>
                <w:color w:val="auto"/>
              </w:rPr>
            </w:pPr>
          </w:p>
        </w:tc>
        <w:tc>
          <w:tcPr>
            <w:tcW w:w="160" w:type="dxa"/>
            <w:vAlign w:val="bottom"/>
            <w:tcBorders>
              <w:top w:val="single" w:sz="8" w:color="0000EE"/>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34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9"/>
          </w:tcPr>
          <w:p>
            <w:pPr>
              <w:spacing w:after="0" w:line="196" w:lineRule="exact"/>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DESCRIPTION OF DEBT SECURITIES</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6</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top w:val="single" w:sz="8" w:color="0000EE"/>
              <w:bottom w:val="single" w:sz="8" w:color="00000A"/>
            </w:tcBorders>
          </w:tcPr>
          <w:p>
            <w:pPr>
              <w:spacing w:after="0"/>
              <w:rPr>
                <w:sz w:val="4"/>
                <w:szCs w:val="4"/>
                <w:color w:val="auto"/>
              </w:rPr>
            </w:pPr>
          </w:p>
        </w:tc>
        <w:tc>
          <w:tcPr>
            <w:tcW w:w="12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2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160" w:type="dxa"/>
            <w:vAlign w:val="bottom"/>
            <w:tcBorders>
              <w:top w:val="single" w:sz="8" w:color="0000EE"/>
              <w:bottom w:val="single" w:sz="8" w:color="00000A"/>
            </w:tcBorders>
          </w:tcPr>
          <w:p>
            <w:pPr>
              <w:spacing w:after="0"/>
              <w:rPr>
                <w:sz w:val="4"/>
                <w:szCs w:val="4"/>
                <w:color w:val="auto"/>
              </w:rPr>
            </w:pPr>
          </w:p>
        </w:tc>
        <w:tc>
          <w:tcPr>
            <w:tcW w:w="200" w:type="dxa"/>
            <w:vAlign w:val="bottom"/>
            <w:tcBorders>
              <w:top w:val="single" w:sz="8" w:color="0000EE"/>
              <w:bottom w:val="single" w:sz="8" w:color="00000A"/>
            </w:tcBorders>
          </w:tcPr>
          <w:p>
            <w:pPr>
              <w:spacing w:after="0"/>
              <w:rPr>
                <w:sz w:val="4"/>
                <w:szCs w:val="4"/>
                <w:color w:val="auto"/>
              </w:rPr>
            </w:pPr>
          </w:p>
        </w:tc>
        <w:tc>
          <w:tcPr>
            <w:tcW w:w="6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60" w:type="dxa"/>
            <w:vAlign w:val="bottom"/>
            <w:tcBorders>
              <w:top w:val="single" w:sz="8" w:color="0000EE"/>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34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9"/>
          </w:tcPr>
          <w:p>
            <w:pPr>
              <w:spacing w:after="0" w:line="19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DESCRIPTION OF WARRANTS</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12</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top w:val="single" w:sz="8" w:color="0000EE"/>
              <w:bottom w:val="single" w:sz="8" w:color="00000A"/>
            </w:tcBorders>
          </w:tcPr>
          <w:p>
            <w:pPr>
              <w:spacing w:after="0"/>
              <w:rPr>
                <w:sz w:val="4"/>
                <w:szCs w:val="4"/>
                <w:color w:val="auto"/>
              </w:rPr>
            </w:pPr>
          </w:p>
        </w:tc>
        <w:tc>
          <w:tcPr>
            <w:tcW w:w="12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2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160" w:type="dxa"/>
            <w:vAlign w:val="bottom"/>
            <w:tcBorders>
              <w:top w:val="single" w:sz="8" w:color="0000EE"/>
              <w:bottom w:val="single" w:sz="8" w:color="00000A"/>
            </w:tcBorders>
          </w:tcPr>
          <w:p>
            <w:pPr>
              <w:spacing w:after="0"/>
              <w:rPr>
                <w:sz w:val="4"/>
                <w:szCs w:val="4"/>
                <w:color w:val="auto"/>
              </w:rPr>
            </w:pPr>
          </w:p>
        </w:tc>
        <w:tc>
          <w:tcPr>
            <w:tcW w:w="200" w:type="dxa"/>
            <w:vAlign w:val="bottom"/>
            <w:tcBorders>
              <w:top w:val="single" w:sz="8" w:color="0000EE"/>
              <w:bottom w:val="single" w:sz="8" w:color="00000A"/>
            </w:tcBorders>
          </w:tcPr>
          <w:p>
            <w:pPr>
              <w:spacing w:after="0"/>
              <w:rPr>
                <w:sz w:val="4"/>
                <w:szCs w:val="4"/>
                <w:color w:val="auto"/>
              </w:rPr>
            </w:pPr>
          </w:p>
        </w:tc>
        <w:tc>
          <w:tcPr>
            <w:tcW w:w="6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46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34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top w:val="single" w:sz="8" w:color="0000EE"/>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9"/>
          </w:tcPr>
          <w:p>
            <w:pPr>
              <w:spacing w:after="0" w:line="196"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DESCRIPTION OF SUBSCRIPTION RIGHTS</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13</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top w:val="single" w:sz="8" w:color="0000EE"/>
              <w:bottom w:val="single" w:sz="8" w:color="00000A"/>
            </w:tcBorders>
          </w:tcPr>
          <w:p>
            <w:pPr>
              <w:spacing w:after="0"/>
              <w:rPr>
                <w:sz w:val="4"/>
                <w:szCs w:val="4"/>
                <w:color w:val="auto"/>
              </w:rPr>
            </w:pPr>
          </w:p>
        </w:tc>
        <w:tc>
          <w:tcPr>
            <w:tcW w:w="12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2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160" w:type="dxa"/>
            <w:vAlign w:val="bottom"/>
            <w:tcBorders>
              <w:top w:val="single" w:sz="8" w:color="0000EE"/>
              <w:bottom w:val="single" w:sz="8" w:color="00000A"/>
            </w:tcBorders>
          </w:tcPr>
          <w:p>
            <w:pPr>
              <w:spacing w:after="0"/>
              <w:rPr>
                <w:sz w:val="4"/>
                <w:szCs w:val="4"/>
                <w:color w:val="auto"/>
              </w:rPr>
            </w:pPr>
          </w:p>
        </w:tc>
        <w:tc>
          <w:tcPr>
            <w:tcW w:w="200" w:type="dxa"/>
            <w:vAlign w:val="bottom"/>
            <w:tcBorders>
              <w:top w:val="single" w:sz="8" w:color="0000EE"/>
              <w:bottom w:val="single" w:sz="8" w:color="00000A"/>
            </w:tcBorders>
          </w:tcPr>
          <w:p>
            <w:pPr>
              <w:spacing w:after="0"/>
              <w:rPr>
                <w:sz w:val="4"/>
                <w:szCs w:val="4"/>
                <w:color w:val="auto"/>
              </w:rPr>
            </w:pPr>
          </w:p>
        </w:tc>
        <w:tc>
          <w:tcPr>
            <w:tcW w:w="6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60" w:type="dxa"/>
            <w:vAlign w:val="bottom"/>
            <w:tcBorders>
              <w:top w:val="single" w:sz="8" w:color="0000EE"/>
              <w:bottom w:val="single" w:sz="8" w:color="00000A"/>
            </w:tcBorders>
          </w:tcPr>
          <w:p>
            <w:pPr>
              <w:spacing w:after="0"/>
              <w:rPr>
                <w:sz w:val="4"/>
                <w:szCs w:val="4"/>
                <w:color w:val="auto"/>
              </w:rPr>
            </w:pPr>
          </w:p>
        </w:tc>
        <w:tc>
          <w:tcPr>
            <w:tcW w:w="160" w:type="dxa"/>
            <w:vAlign w:val="bottom"/>
            <w:tcBorders>
              <w:top w:val="single" w:sz="8" w:color="0000EE"/>
              <w:bottom w:val="single" w:sz="8" w:color="00000A"/>
            </w:tcBorders>
          </w:tcPr>
          <w:p>
            <w:pPr>
              <w:spacing w:after="0"/>
              <w:rPr>
                <w:sz w:val="4"/>
                <w:szCs w:val="4"/>
                <w:color w:val="auto"/>
              </w:rPr>
            </w:pPr>
          </w:p>
        </w:tc>
        <w:tc>
          <w:tcPr>
            <w:tcW w:w="320" w:type="dxa"/>
            <w:vAlign w:val="bottom"/>
            <w:tcBorders>
              <w:top w:val="single" w:sz="8" w:color="0000EE"/>
              <w:bottom w:val="single" w:sz="8" w:color="00000A"/>
            </w:tcBorders>
          </w:tcPr>
          <w:p>
            <w:pPr>
              <w:spacing w:after="0"/>
              <w:rPr>
                <w:sz w:val="4"/>
                <w:szCs w:val="4"/>
                <w:color w:val="auto"/>
              </w:rPr>
            </w:pPr>
          </w:p>
        </w:tc>
        <w:tc>
          <w:tcPr>
            <w:tcW w:w="34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top w:val="single" w:sz="8" w:color="0000EE"/>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9"/>
          </w:tcPr>
          <w:p>
            <w:pPr>
              <w:spacing w:after="0" w:line="19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DESCRIPTION OF UNITS</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14</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top w:val="single" w:sz="8" w:color="0000EE"/>
              <w:bottom w:val="single" w:sz="8" w:color="00000A"/>
            </w:tcBorders>
          </w:tcPr>
          <w:p>
            <w:pPr>
              <w:spacing w:after="0"/>
              <w:rPr>
                <w:sz w:val="4"/>
                <w:szCs w:val="4"/>
                <w:color w:val="auto"/>
              </w:rPr>
            </w:pPr>
          </w:p>
        </w:tc>
        <w:tc>
          <w:tcPr>
            <w:tcW w:w="12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20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46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34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top w:val="single" w:sz="8" w:color="0000EE"/>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9"/>
          </w:tcPr>
          <w:p>
            <w:pPr>
              <w:spacing w:after="0" w:line="19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SELLING SECURITYHOLDERS</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14</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top w:val="single" w:sz="8" w:color="0000EE"/>
              <w:bottom w:val="single" w:sz="8" w:color="00000A"/>
            </w:tcBorders>
          </w:tcPr>
          <w:p>
            <w:pPr>
              <w:spacing w:after="0"/>
              <w:rPr>
                <w:sz w:val="4"/>
                <w:szCs w:val="4"/>
                <w:color w:val="auto"/>
              </w:rPr>
            </w:pPr>
          </w:p>
        </w:tc>
        <w:tc>
          <w:tcPr>
            <w:tcW w:w="12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2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160" w:type="dxa"/>
            <w:vAlign w:val="bottom"/>
            <w:tcBorders>
              <w:top w:val="single" w:sz="8" w:color="0000EE"/>
              <w:bottom w:val="single" w:sz="8" w:color="00000A"/>
            </w:tcBorders>
          </w:tcPr>
          <w:p>
            <w:pPr>
              <w:spacing w:after="0"/>
              <w:rPr>
                <w:sz w:val="4"/>
                <w:szCs w:val="4"/>
                <w:color w:val="auto"/>
              </w:rPr>
            </w:pPr>
          </w:p>
        </w:tc>
        <w:tc>
          <w:tcPr>
            <w:tcW w:w="200" w:type="dxa"/>
            <w:vAlign w:val="bottom"/>
            <w:tcBorders>
              <w:top w:val="single" w:sz="8" w:color="0000EE"/>
              <w:bottom w:val="single" w:sz="8" w:color="00000A"/>
            </w:tcBorders>
          </w:tcPr>
          <w:p>
            <w:pPr>
              <w:spacing w:after="0"/>
              <w:rPr>
                <w:sz w:val="4"/>
                <w:szCs w:val="4"/>
                <w:color w:val="auto"/>
              </w:rPr>
            </w:pPr>
          </w:p>
        </w:tc>
        <w:tc>
          <w:tcPr>
            <w:tcW w:w="6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46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34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top w:val="single" w:sz="8" w:color="0000EE"/>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9"/>
          </w:tcPr>
          <w:p>
            <w:pPr>
              <w:spacing w:after="0" w:line="19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PLAN OF DISTRIBUTION</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14</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top w:val="single" w:sz="8" w:color="0000EE"/>
              <w:bottom w:val="single" w:sz="8" w:color="00000A"/>
            </w:tcBorders>
          </w:tcPr>
          <w:p>
            <w:pPr>
              <w:spacing w:after="0"/>
              <w:rPr>
                <w:sz w:val="4"/>
                <w:szCs w:val="4"/>
                <w:color w:val="auto"/>
              </w:rPr>
            </w:pPr>
          </w:p>
        </w:tc>
        <w:tc>
          <w:tcPr>
            <w:tcW w:w="12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2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20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46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34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top w:val="single" w:sz="8" w:color="0000EE"/>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9"/>
          </w:tcPr>
          <w:p>
            <w:pPr>
              <w:spacing w:after="0" w:line="19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LEGAL MATTERS</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15</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top w:val="single" w:sz="8" w:color="0000EE"/>
              <w:bottom w:val="single" w:sz="8" w:color="00000A"/>
            </w:tcBorders>
          </w:tcPr>
          <w:p>
            <w:pPr>
              <w:spacing w:after="0"/>
              <w:rPr>
                <w:sz w:val="4"/>
                <w:szCs w:val="4"/>
                <w:color w:val="auto"/>
              </w:rPr>
            </w:pPr>
          </w:p>
        </w:tc>
        <w:tc>
          <w:tcPr>
            <w:tcW w:w="120" w:type="dxa"/>
            <w:vAlign w:val="bottom"/>
            <w:tcBorders>
              <w:bottom w:val="single" w:sz="8" w:color="00000A"/>
            </w:tcBorders>
          </w:tcPr>
          <w:p>
            <w:pPr>
              <w:spacing w:after="0"/>
              <w:rPr>
                <w:sz w:val="4"/>
                <w:szCs w:val="4"/>
                <w:color w:val="auto"/>
              </w:rPr>
            </w:pPr>
          </w:p>
        </w:tc>
        <w:tc>
          <w:tcPr>
            <w:tcW w:w="46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20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46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34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top w:val="single" w:sz="8" w:color="0000EE"/>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9"/>
          </w:tcPr>
          <w:p>
            <w:pPr>
              <w:spacing w:after="0" w:line="19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EXPERTS</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15</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bottom w:val="single" w:sz="8" w:color="00000A"/>
            </w:tcBorders>
          </w:tcPr>
          <w:p>
            <w:pPr>
              <w:spacing w:after="0"/>
              <w:rPr>
                <w:sz w:val="4"/>
                <w:szCs w:val="4"/>
                <w:color w:val="auto"/>
              </w:rPr>
            </w:pPr>
          </w:p>
        </w:tc>
        <w:tc>
          <w:tcPr>
            <w:tcW w:w="220" w:type="dxa"/>
            <w:vAlign w:val="bottom"/>
            <w:tcBorders>
              <w:bottom w:val="single" w:sz="8" w:color="00000A"/>
            </w:tcBorders>
          </w:tcPr>
          <w:p>
            <w:pPr>
              <w:spacing w:after="0"/>
              <w:rPr>
                <w:sz w:val="4"/>
                <w:szCs w:val="4"/>
                <w:color w:val="auto"/>
              </w:rPr>
            </w:pPr>
          </w:p>
        </w:tc>
        <w:tc>
          <w:tcPr>
            <w:tcW w:w="120" w:type="dxa"/>
            <w:vAlign w:val="bottom"/>
            <w:tcBorders>
              <w:bottom w:val="single" w:sz="8" w:color="00000A"/>
            </w:tcBorders>
          </w:tcPr>
          <w:p>
            <w:pPr>
              <w:spacing w:after="0"/>
              <w:rPr>
                <w:sz w:val="4"/>
                <w:szCs w:val="4"/>
                <w:color w:val="auto"/>
              </w:rPr>
            </w:pPr>
          </w:p>
        </w:tc>
        <w:tc>
          <w:tcPr>
            <w:tcW w:w="46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20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46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320" w:type="dxa"/>
            <w:vAlign w:val="bottom"/>
            <w:tcBorders>
              <w:bottom w:val="single" w:sz="8" w:color="00000A"/>
            </w:tcBorders>
          </w:tcPr>
          <w:p>
            <w:pPr>
              <w:spacing w:after="0"/>
              <w:rPr>
                <w:sz w:val="4"/>
                <w:szCs w:val="4"/>
                <w:color w:val="auto"/>
              </w:rPr>
            </w:pPr>
          </w:p>
        </w:tc>
        <w:tc>
          <w:tcPr>
            <w:tcW w:w="34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top w:val="single" w:sz="8" w:color="0000EE"/>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9"/>
          </w:tcPr>
          <w:p>
            <w:pPr>
              <w:spacing w:after="0" w:line="19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WHERE YOU CAN FIND MORE INFORMATION</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15</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top w:val="single" w:sz="8" w:color="0000EE"/>
              <w:bottom w:val="single" w:sz="8" w:color="00000A"/>
            </w:tcBorders>
          </w:tcPr>
          <w:p>
            <w:pPr>
              <w:spacing w:after="0"/>
              <w:rPr>
                <w:sz w:val="4"/>
                <w:szCs w:val="4"/>
                <w:color w:val="auto"/>
              </w:rPr>
            </w:pPr>
          </w:p>
        </w:tc>
        <w:tc>
          <w:tcPr>
            <w:tcW w:w="12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2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160" w:type="dxa"/>
            <w:vAlign w:val="bottom"/>
            <w:tcBorders>
              <w:top w:val="single" w:sz="8" w:color="0000EE"/>
              <w:bottom w:val="single" w:sz="8" w:color="00000A"/>
            </w:tcBorders>
          </w:tcPr>
          <w:p>
            <w:pPr>
              <w:spacing w:after="0"/>
              <w:rPr>
                <w:sz w:val="4"/>
                <w:szCs w:val="4"/>
                <w:color w:val="auto"/>
              </w:rPr>
            </w:pPr>
          </w:p>
        </w:tc>
        <w:tc>
          <w:tcPr>
            <w:tcW w:w="200" w:type="dxa"/>
            <w:vAlign w:val="bottom"/>
            <w:tcBorders>
              <w:top w:val="single" w:sz="8" w:color="0000EE"/>
              <w:bottom w:val="single" w:sz="8" w:color="00000A"/>
            </w:tcBorders>
          </w:tcPr>
          <w:p>
            <w:pPr>
              <w:spacing w:after="0"/>
              <w:rPr>
                <w:sz w:val="4"/>
                <w:szCs w:val="4"/>
                <w:color w:val="auto"/>
              </w:rPr>
            </w:pPr>
          </w:p>
        </w:tc>
        <w:tc>
          <w:tcPr>
            <w:tcW w:w="6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60" w:type="dxa"/>
            <w:vAlign w:val="bottom"/>
            <w:tcBorders>
              <w:top w:val="single" w:sz="8" w:color="0000EE"/>
              <w:bottom w:val="single" w:sz="8" w:color="00000A"/>
            </w:tcBorders>
          </w:tcPr>
          <w:p>
            <w:pPr>
              <w:spacing w:after="0"/>
              <w:rPr>
                <w:sz w:val="4"/>
                <w:szCs w:val="4"/>
                <w:color w:val="auto"/>
              </w:rPr>
            </w:pPr>
          </w:p>
        </w:tc>
        <w:tc>
          <w:tcPr>
            <w:tcW w:w="160" w:type="dxa"/>
            <w:vAlign w:val="bottom"/>
            <w:tcBorders>
              <w:top w:val="single" w:sz="8" w:color="0000EE"/>
              <w:bottom w:val="single" w:sz="8" w:color="00000A"/>
            </w:tcBorders>
          </w:tcPr>
          <w:p>
            <w:pPr>
              <w:spacing w:after="0"/>
              <w:rPr>
                <w:sz w:val="4"/>
                <w:szCs w:val="4"/>
                <w:color w:val="auto"/>
              </w:rPr>
            </w:pPr>
          </w:p>
        </w:tc>
        <w:tc>
          <w:tcPr>
            <w:tcW w:w="320" w:type="dxa"/>
            <w:vAlign w:val="bottom"/>
            <w:tcBorders>
              <w:top w:val="single" w:sz="8" w:color="0000EE"/>
              <w:bottom w:val="single" w:sz="8" w:color="00000A"/>
            </w:tcBorders>
          </w:tcPr>
          <w:p>
            <w:pPr>
              <w:spacing w:after="0"/>
              <w:rPr>
                <w:sz w:val="4"/>
                <w:szCs w:val="4"/>
                <w:color w:val="auto"/>
              </w:rPr>
            </w:pPr>
          </w:p>
        </w:tc>
        <w:tc>
          <w:tcPr>
            <w:tcW w:w="340" w:type="dxa"/>
            <w:vAlign w:val="bottom"/>
            <w:tcBorders>
              <w:top w:val="single" w:sz="8" w:color="0000EE"/>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top w:val="single" w:sz="8" w:color="0000EE"/>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r>
        <w:trPr>
          <w:trHeight w:val="196"/>
        </w:trPr>
        <w:tc>
          <w:tcPr>
            <w:tcW w:w="40" w:type="dxa"/>
            <w:vAlign w:val="bottom"/>
            <w:tcBorders>
              <w:left w:val="single" w:sz="8" w:color="00000A"/>
            </w:tcBorders>
          </w:tcPr>
          <w:p>
            <w:pPr>
              <w:spacing w:after="0"/>
              <w:rPr>
                <w:sz w:val="17"/>
                <w:szCs w:val="17"/>
                <w:color w:val="auto"/>
              </w:rPr>
            </w:pPr>
          </w:p>
        </w:tc>
        <w:tc>
          <w:tcPr>
            <w:tcW w:w="4700" w:type="dxa"/>
            <w:vAlign w:val="bottom"/>
            <w:gridSpan w:val="19"/>
          </w:tcPr>
          <w:p>
            <w:pPr>
              <w:spacing w:after="0" w:line="196" w:lineRule="exact"/>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INCORPORATION OF INFORMATION BY REFERENCE</w:t>
              </w:r>
            </w:hyperlink>
          </w:p>
        </w:tc>
        <w:tc>
          <w:tcPr>
            <w:tcW w:w="1000" w:type="dxa"/>
            <w:vAlign w:val="bottom"/>
            <w:tcBorders>
              <w:right w:val="single" w:sz="8" w:color="00000A"/>
            </w:tcBorders>
          </w:tcPr>
          <w:p>
            <w:pPr>
              <w:spacing w:after="0"/>
              <w:rPr>
                <w:sz w:val="17"/>
                <w:szCs w:val="17"/>
                <w:color w:val="auto"/>
              </w:rPr>
            </w:pPr>
          </w:p>
        </w:tc>
        <w:tc>
          <w:tcPr>
            <w:tcW w:w="5700" w:type="dxa"/>
            <w:vAlign w:val="bottom"/>
            <w:tcBorders>
              <w:right w:val="single" w:sz="8" w:color="00000A"/>
            </w:tcBorders>
            <w:gridSpan w:val="4"/>
          </w:tcPr>
          <w:p>
            <w:pPr>
              <w:jc w:val="right"/>
              <w:ind w:right="40"/>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16</w:t>
              </w:r>
            </w:hyperlink>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840" w:type="dxa"/>
            <w:vAlign w:val="bottom"/>
            <w:tcBorders>
              <w:top w:val="single" w:sz="8" w:color="0000EE"/>
              <w:bottom w:val="single" w:sz="8" w:color="00000A"/>
            </w:tcBorders>
          </w:tcPr>
          <w:p>
            <w:pPr>
              <w:spacing w:after="0"/>
              <w:rPr>
                <w:sz w:val="4"/>
                <w:szCs w:val="4"/>
                <w:color w:val="auto"/>
              </w:rPr>
            </w:pPr>
          </w:p>
        </w:tc>
        <w:tc>
          <w:tcPr>
            <w:tcW w:w="500" w:type="dxa"/>
            <w:vAlign w:val="bottom"/>
            <w:tcBorders>
              <w:top w:val="single" w:sz="8" w:color="0000EE"/>
              <w:bottom w:val="single" w:sz="8" w:color="00000A"/>
            </w:tcBorders>
          </w:tcPr>
          <w:p>
            <w:pPr>
              <w:spacing w:after="0"/>
              <w:rPr>
                <w:sz w:val="4"/>
                <w:szCs w:val="4"/>
                <w:color w:val="auto"/>
              </w:rPr>
            </w:pPr>
          </w:p>
        </w:tc>
        <w:tc>
          <w:tcPr>
            <w:tcW w:w="220" w:type="dxa"/>
            <w:vAlign w:val="bottom"/>
            <w:tcBorders>
              <w:top w:val="single" w:sz="8" w:color="0000EE"/>
              <w:bottom w:val="single" w:sz="8" w:color="00000A"/>
            </w:tcBorders>
          </w:tcPr>
          <w:p>
            <w:pPr>
              <w:spacing w:after="0"/>
              <w:rPr>
                <w:sz w:val="4"/>
                <w:szCs w:val="4"/>
                <w:color w:val="auto"/>
              </w:rPr>
            </w:pPr>
          </w:p>
        </w:tc>
        <w:tc>
          <w:tcPr>
            <w:tcW w:w="12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2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160" w:type="dxa"/>
            <w:vAlign w:val="bottom"/>
            <w:tcBorders>
              <w:top w:val="single" w:sz="8" w:color="0000EE"/>
              <w:bottom w:val="single" w:sz="8" w:color="00000A"/>
            </w:tcBorders>
          </w:tcPr>
          <w:p>
            <w:pPr>
              <w:spacing w:after="0"/>
              <w:rPr>
                <w:sz w:val="4"/>
                <w:szCs w:val="4"/>
                <w:color w:val="auto"/>
              </w:rPr>
            </w:pPr>
          </w:p>
        </w:tc>
        <w:tc>
          <w:tcPr>
            <w:tcW w:w="200" w:type="dxa"/>
            <w:vAlign w:val="bottom"/>
            <w:tcBorders>
              <w:top w:val="single" w:sz="8" w:color="0000EE"/>
              <w:bottom w:val="single" w:sz="8" w:color="00000A"/>
            </w:tcBorders>
          </w:tcPr>
          <w:p>
            <w:pPr>
              <w:spacing w:after="0"/>
              <w:rPr>
                <w:sz w:val="4"/>
                <w:szCs w:val="4"/>
                <w:color w:val="auto"/>
              </w:rPr>
            </w:pPr>
          </w:p>
        </w:tc>
        <w:tc>
          <w:tcPr>
            <w:tcW w:w="6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460" w:type="dxa"/>
            <w:vAlign w:val="bottom"/>
            <w:tcBorders>
              <w:top w:val="single" w:sz="8" w:color="0000EE"/>
              <w:bottom w:val="single" w:sz="8" w:color="00000A"/>
            </w:tcBorders>
          </w:tcPr>
          <w:p>
            <w:pPr>
              <w:spacing w:after="0"/>
              <w:rPr>
                <w:sz w:val="4"/>
                <w:szCs w:val="4"/>
                <w:color w:val="auto"/>
              </w:rPr>
            </w:pPr>
          </w:p>
        </w:tc>
        <w:tc>
          <w:tcPr>
            <w:tcW w:w="40" w:type="dxa"/>
            <w:vAlign w:val="bottom"/>
            <w:tcBorders>
              <w:top w:val="single" w:sz="8" w:color="0000EE"/>
              <w:bottom w:val="single" w:sz="8" w:color="00000A"/>
            </w:tcBorders>
          </w:tcPr>
          <w:p>
            <w:pPr>
              <w:spacing w:after="0"/>
              <w:rPr>
                <w:sz w:val="4"/>
                <w:szCs w:val="4"/>
                <w:color w:val="auto"/>
              </w:rPr>
            </w:pPr>
          </w:p>
        </w:tc>
        <w:tc>
          <w:tcPr>
            <w:tcW w:w="60" w:type="dxa"/>
            <w:vAlign w:val="bottom"/>
            <w:tcBorders>
              <w:top w:val="single" w:sz="8" w:color="0000EE"/>
              <w:bottom w:val="single" w:sz="8" w:color="00000A"/>
            </w:tcBorders>
          </w:tcPr>
          <w:p>
            <w:pPr>
              <w:spacing w:after="0"/>
              <w:rPr>
                <w:sz w:val="4"/>
                <w:szCs w:val="4"/>
                <w:color w:val="auto"/>
              </w:rPr>
            </w:pPr>
          </w:p>
        </w:tc>
        <w:tc>
          <w:tcPr>
            <w:tcW w:w="160" w:type="dxa"/>
            <w:vAlign w:val="bottom"/>
            <w:tcBorders>
              <w:top w:val="single" w:sz="8" w:color="0000EE"/>
              <w:bottom w:val="single" w:sz="8" w:color="00000A"/>
            </w:tcBorders>
          </w:tcPr>
          <w:p>
            <w:pPr>
              <w:spacing w:after="0"/>
              <w:rPr>
                <w:sz w:val="4"/>
                <w:szCs w:val="4"/>
                <w:color w:val="auto"/>
              </w:rPr>
            </w:pPr>
          </w:p>
        </w:tc>
        <w:tc>
          <w:tcPr>
            <w:tcW w:w="320" w:type="dxa"/>
            <w:vAlign w:val="bottom"/>
            <w:tcBorders>
              <w:top w:val="single" w:sz="8" w:color="0000EE"/>
              <w:bottom w:val="single" w:sz="8" w:color="00000A"/>
            </w:tcBorders>
          </w:tcPr>
          <w:p>
            <w:pPr>
              <w:spacing w:after="0"/>
              <w:rPr>
                <w:sz w:val="4"/>
                <w:szCs w:val="4"/>
                <w:color w:val="auto"/>
              </w:rPr>
            </w:pPr>
          </w:p>
        </w:tc>
        <w:tc>
          <w:tcPr>
            <w:tcW w:w="340" w:type="dxa"/>
            <w:vAlign w:val="bottom"/>
            <w:tcBorders>
              <w:top w:val="single" w:sz="8" w:color="0000EE"/>
              <w:bottom w:val="single" w:sz="8" w:color="00000A"/>
            </w:tcBorders>
          </w:tcPr>
          <w:p>
            <w:pPr>
              <w:spacing w:after="0"/>
              <w:rPr>
                <w:sz w:val="4"/>
                <w:szCs w:val="4"/>
                <w:color w:val="auto"/>
              </w:rPr>
            </w:pPr>
          </w:p>
        </w:tc>
        <w:tc>
          <w:tcPr>
            <w:tcW w:w="640" w:type="dxa"/>
            <w:vAlign w:val="bottom"/>
            <w:tcBorders>
              <w:top w:val="single" w:sz="8" w:color="0000EE"/>
              <w:bottom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0" w:type="dxa"/>
            <w:vAlign w:val="bottom"/>
            <w:tcBorders>
              <w:bottom w:val="single" w:sz="8" w:color="00000A"/>
              <w:right w:val="single" w:sz="8" w:color="00000A"/>
            </w:tcBorders>
          </w:tcPr>
          <w:p>
            <w:pPr>
              <w:spacing w:after="0"/>
              <w:rPr>
                <w:sz w:val="4"/>
                <w:szCs w:val="4"/>
                <w:color w:val="auto"/>
              </w:rPr>
            </w:pPr>
          </w:p>
        </w:tc>
        <w:tc>
          <w:tcPr>
            <w:tcW w:w="5480" w:type="dxa"/>
            <w:vAlign w:val="bottom"/>
            <w:tcBorders>
              <w:bottom w:val="single" w:sz="8" w:color="00000A"/>
            </w:tcBorders>
          </w:tcPr>
          <w:p>
            <w:pPr>
              <w:spacing w:after="0"/>
              <w:rPr>
                <w:sz w:val="4"/>
                <w:szCs w:val="4"/>
                <w:color w:val="auto"/>
              </w:rPr>
            </w:pPr>
          </w:p>
        </w:tc>
        <w:tc>
          <w:tcPr>
            <w:tcW w:w="80" w:type="dxa"/>
            <w:vAlign w:val="bottom"/>
            <w:tcBorders>
              <w:top w:val="single" w:sz="8" w:color="0000EE"/>
              <w:bottom w:val="single" w:sz="8" w:color="00000A"/>
            </w:tcBorders>
          </w:tcPr>
          <w:p>
            <w:pPr>
              <w:spacing w:after="0"/>
              <w:rPr>
                <w:sz w:val="4"/>
                <w:szCs w:val="4"/>
                <w:color w:val="auto"/>
              </w:rPr>
            </w:pPr>
          </w:p>
        </w:tc>
        <w:tc>
          <w:tcPr>
            <w:tcW w:w="100" w:type="dxa"/>
            <w:vAlign w:val="bottom"/>
            <w:tcBorders>
              <w:top w:val="single" w:sz="8" w:color="0000EE"/>
              <w:bottom w:val="single" w:sz="8" w:color="00000A"/>
            </w:tcBorders>
          </w:tcPr>
          <w:p>
            <w:pPr>
              <w:spacing w:after="0"/>
              <w:rPr>
                <w:sz w:val="4"/>
                <w:szCs w:val="4"/>
                <w:color w:val="auto"/>
              </w:rPr>
            </w:pPr>
          </w:p>
        </w:tc>
        <w:tc>
          <w:tcPr>
            <w:tcW w:w="40" w:type="dxa"/>
            <w:vAlign w:val="bottom"/>
            <w:tcBorders>
              <w:bottom w:val="single" w:sz="8" w:color="00000A"/>
              <w:right w:val="single" w:sz="8" w:color="00000A"/>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40"/>
          </w:cols>
          <w:pgMar w:left="240" w:top="756" w:right="21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This prospectus is part of an automatic registration statement on Form S-3 that we filed with the SEC, using a “shelf” registration, or continuous offering, process under the Securities Act of 1933, as amended, or the Securities Act. Under this shelf registration process, we may, from time to time, offer and sell separately or together in any combination the securities described in this prospectus in one or more offerings, and selling securityholders may sell our common stock from time to time in one or more offerings.</w:t>
      </w:r>
    </w:p>
    <w:p>
      <w:pPr>
        <w:spacing w:after="0" w:line="82"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This prospectus provides you with a general description of the securities we or the selling securityholders may offer. Each time we or the selling securityholders sell securities, we will provide one or more prospectus supplements that will contain specific information about the terms of the offering. We may also authorize one or more free writing prospectuses to be provided to you in connection with these offerings. Any prospectus supplement and any free writing prospectus may also add, update or change information contained in this prospectus. You should read this prospectus, the information incorporated, or deemed to be incorporated, by reference in this prospectus, the accompanying prospectus supplement and any free writing prospectus, together with the additional information described under the heading “Where You Can Find More Information,” before making your investment decision.</w:t>
      </w:r>
    </w:p>
    <w:p>
      <w:pPr>
        <w:spacing w:after="0" w:line="16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You should rely only on the information contained in or incorporated by reference in this prospectus, any accompanying prospectus supplement or in any related free writing prospectus filed by us with the SEC. We and the selling securityholders have not authorized anyone to provide you with different information. This prospectus and the accompanying prospectus supplement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operating results and prospects may have changed materially since those dates.</w:t>
      </w:r>
    </w:p>
    <w:p>
      <w:pPr>
        <w:spacing w:after="0" w:line="13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This prospectus contains summaries of certain provisions contained in some of the documents described herein, but reference is made to the actual documents for complete information.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7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Unless the context otherwise requires, references in this prospectus and the accompanying prospectus supplement to “Veracyte,” the “company,” “we,” “us” and “our” refer to Veracyte, Inc.</w:t>
      </w:r>
    </w:p>
    <w:p>
      <w:pPr>
        <w:spacing w:after="0" w:line="6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Veracyte, Afirma, Percepta, Envisia, Know by Design, the Veracyte logo and the Afirma logo are our trademarks. This prospectus and the documents incorporated by reference into this prospectus may also contain trademarks and trade names that are the property of their respective owners. We do not intend our use or display of other companies’ trade names, trademarks or service marks to imply relationships with, or endorsements or sponsorship of us by, these other companies.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This summary does not contain all of the information that you should consider before investing in our securities. You should carefully read this entire prospectus and the information incorporated by reference in this prospectus, including “Risk Factors” and the financial data and related notes and other information incorporated by reference, before making an investment decision.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leading genomic diagnostics company that is creating value through innovation. We were founded in 2008 with a mission to improve diagnostic accuracy. Today, through our innovative scientific platform which utilizes ribonucleic acid, or RNA, whole-transcriptome sequencing combined with machine learning, we are serving this critical medical need and expanding our offerings further along the clinical continuum of care so that we can advance early detection of disease and inform treatment decisions at the same time as diagnosis.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commercialized five leading, first-to-market tests that we believe are transforming care in large, untapped clinical areas - thyroid cancer, lung cancer and idiopathic pulmonary fibrosis, or IPF. We develop tests that answer specific clinical questions, providing patients and physicians with a clear path forward without the need for risky or costly procedures that are often unnecessary. Our RNA whole-transcriptome sequencing platform enables us to maximize the amount of genomic content that we extract from each nonsurgical patient sample. We use our machine learning expertise to develop genomic classifiers that provide actionable information at the time of diagnosis. At the same time, our approach enables us to provide information that can guide treatment decisions such as surgery strategy and therapy selection.</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position our tests in each clinical indication at the point where they improve diagnostic clarity for cancer and other diseases. In its 2015 report, “Improving Diagnostic Errors in Medicine,” the Institute of Medicine concluded that most people will experience at</w:t>
      </w:r>
    </w:p>
    <w:p>
      <w:pPr>
        <w:spacing w:after="0" w:line="19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6" w:name="page7"/>
    <w:bookmarkEnd w:id="6"/>
    <w:p>
      <w:pPr>
        <w:spacing w:after="0" w:line="277" w:lineRule="auto"/>
        <w:rPr>
          <w:sz w:val="20"/>
          <w:szCs w:val="20"/>
          <w:color w:val="auto"/>
        </w:rPr>
      </w:pPr>
      <w:r>
        <w:rPr>
          <w:rFonts w:ascii="Arial" w:cs="Arial" w:eastAsia="Arial" w:hAnsi="Arial"/>
          <w:sz w:val="18"/>
          <w:szCs w:val="18"/>
          <w:color w:val="auto"/>
        </w:rPr>
        <w:t>least one diagnostic error in their lifetime, sometimes with devastating consequences. Annually, of the hundreds of thousands of patients who are evaluated for suspected disease in our thyroid and lung cancer indications, diagnosis can be ambiguous in 15% to 70% of cases.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date, we have commercialized five genomic tests that we believe are are changing disease diagnosis:</w:t>
      </w:r>
    </w:p>
    <w:p>
      <w:pPr>
        <w:spacing w:after="0" w:line="90"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Afirma Genomic Sequencing Classifier, or GSC, for thyroid cancer;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Afirma Gene Expression Classifier, which was the Afirma GSC’s predecessor;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Percepta Bronchial Genomic Classifier for lung cancer;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Envisia Genomic Classifier for IPF; and</w:t>
      </w:r>
    </w:p>
    <w:p>
      <w:pPr>
        <w:spacing w:after="0" w:line="9" w:lineRule="exact"/>
        <w:rPr>
          <w:rFonts w:ascii="Arial" w:cs="Arial" w:eastAsia="Arial" w:hAnsi="Arial"/>
          <w:sz w:val="18"/>
          <w:szCs w:val="18"/>
          <w:color w:val="auto"/>
        </w:rPr>
      </w:pPr>
    </w:p>
    <w:p>
      <w:pPr>
        <w:ind w:left="660" w:right="640" w:hanging="328"/>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Afirma Xpression Atlas, which provides information on the most common and emerging gene alterations associated with thyroid cancer, enabling physicians to confidently tailor surgical and treatment decisions at time of diagnosis.</w:t>
      </w:r>
    </w:p>
    <w:p>
      <w:pPr>
        <w:spacing w:after="0" w:line="18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Collectively, we believe the four tests we are currently offering address a $2 billion global market opportunity.</w:t>
      </w:r>
    </w:p>
    <w:p>
      <w:pPr>
        <w:spacing w:after="0" w:line="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published evidence supporting our tests demonstrates the robustness of our science and clinical studies, and we believe is key to driving adoption and reimbursement. Patients and physicians can access our full list of publications on our website. Over 38 clinical studies covering our products have been published, including two landmark clinical validation papers published in The New England Journal of Medicine for the Afirma and Percepta classifiers. We continue to build upon our extensive library of clinical evidence.</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believe our focus on developing clinically useful tests that change patient care is enabling us to set new standards in genomic test reimbursement. Our Afirma genomic classifier is now covered by every major health plan in the United States, which collectively insure more than 275 million people, for use in thyroid cancer diagnosis. We are now contracted as an in-network service provider to health plans representing over 215 million people in the United States Our second commercial product, the Percepta classifier, is the first genomic test to gain Medicare coverage for improved lung cancer screening and diagnosis, making it a covered benefit for nearly 60 million people.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121"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We were incorporated in Delaware as Calderome, Inc. in August 2006. Calderome operated as an incubator until early 2008. We changed our name to Veracyte, Inc. in March 2008. Our principal executive offices are located at 6000 Shoreline Court, Suite 300, South San Francisco, California 94080 and our telephone number is (650) 243-6300. Our website address is www.veracyte.com. We do not incorporate the information on, or accessible through, our website into this prospectus, and you should not consider any information on, or accessible through, our website as part of this prospectus.</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Investing in our securities involves risk. The prospectus supplement relating to a particular offering will contain a discussion of risks applicable to an investment in the securities offered. Prior to making a decision about investing in our securities, you should carefully consider the specific factors discussed under the heading “Risk Factors” in the applicable prospectus supplement together with all of the other information contained in the prospectus supplement or appearing or incorporated by reference in this prospectus. You should also consider the risks, uncertainties and assumptions discussed under Part II, Item 1A, “Risk Factors,” in our Quarterly Report on Form 10-Q for the quarterly period ended March 31, 2019, which is incorporated herein by reference, and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ind w:right="220" w:firstLine="648"/>
        <w:spacing w:after="0" w:line="288" w:lineRule="auto"/>
        <w:rPr>
          <w:sz w:val="20"/>
          <w:szCs w:val="20"/>
          <w:color w:val="auto"/>
        </w:rPr>
      </w:pPr>
      <w:r>
        <w:rPr>
          <w:rFonts w:ascii="Arial" w:cs="Arial" w:eastAsia="Arial" w:hAnsi="Arial"/>
          <w:sz w:val="16"/>
          <w:szCs w:val="16"/>
          <w:color w:val="auto"/>
        </w:rPr>
        <w:t>When used in this prospectus and documents incorporated herein by reference, the words “expects,” “believes,” “anticipates,” “estimates,” “may,” “could,” “intends,” and similar expressions are intended to identify forward-looking statements. These statements are subject to known and unknown risks and uncertainties that could cause actual results to differ materially from those projected or otherwise implied by the forward-looking statements. These forward-looking statements speak only as of the date of this prospectus. Given these risks and uncertainties, you should not place undue reliance on these forward-looking statements. We will discuss many of these risks and uncertainties in greater detail in any prospectus supplement under the heading “Risk Factors.” Additional cautionary statements or discussions of risks and uncertainties that could affect our results or the achievement of the expectations described in forward-looking statements may also be contained in the documents we incorporate by reference into this prospectus.</w:t>
      </w:r>
    </w:p>
    <w:p>
      <w:pPr>
        <w:spacing w:after="0" w:line="61" w:lineRule="exact"/>
        <w:rPr>
          <w:sz w:val="20"/>
          <w:szCs w:val="20"/>
          <w:color w:val="auto"/>
        </w:rPr>
      </w:pPr>
    </w:p>
    <w:p>
      <w:pPr>
        <w:ind w:right="340" w:firstLine="648"/>
        <w:spacing w:after="0" w:line="257" w:lineRule="auto"/>
        <w:rPr>
          <w:sz w:val="20"/>
          <w:szCs w:val="20"/>
          <w:color w:val="auto"/>
        </w:rPr>
      </w:pPr>
      <w:r>
        <w:rPr>
          <w:rFonts w:ascii="Arial" w:cs="Arial" w:eastAsia="Arial" w:hAnsi="Arial"/>
          <w:sz w:val="18"/>
          <w:szCs w:val="18"/>
          <w:color w:val="auto"/>
        </w:rPr>
        <w:t>These forward-looking statements are based on the current beliefs and expectations of our management and speak only as of the date of this prospectus. We expressly disclaim any obligation or undertaking to release publicly any updates or revisions to any forward-looking statements contained herein to reflect any change in our expectations with regard thereto or any change in events, conditions or circumstances on which any such statement is based. You should, however, review additional disclosures we make in our Annual Report on Form 10-K, Quarterly Reports on Form 10-Q, and Current Reports on Form 8-K filed with the SEC.</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5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8" w:right="239" w:bottom="1440" w:gutter="0" w:footer="0" w:header="0"/>
        </w:sectPr>
      </w:pPr>
    </w:p>
    <w:bookmarkStart w:id="7" w:name="page8"/>
    <w:bookmarkEnd w:id="7"/>
    <w:p>
      <w:pPr>
        <w:ind w:right="100" w:firstLine="648"/>
        <w:spacing w:after="0" w:line="297" w:lineRule="auto"/>
        <w:rPr>
          <w:sz w:val="20"/>
          <w:szCs w:val="20"/>
          <w:color w:val="auto"/>
        </w:rPr>
      </w:pPr>
      <w:r>
        <w:rPr>
          <w:rFonts w:ascii="Arial" w:cs="Arial" w:eastAsia="Arial" w:hAnsi="Arial"/>
          <w:sz w:val="16"/>
          <w:szCs w:val="16"/>
          <w:color w:val="auto"/>
        </w:rPr>
        <w:t>Unless we state otherwise in the applicable prospectus supplement, we intend to use the net proceeds from the sale of the securities offered by us pursuant to this prospectus for general corporate purposes. General corporate purposes may include additions to working capital, financing of capital expenditures, repayment or redemption of existing indebtedness, and future acquisitions and strategic investment opportunities. Unless we state otherwise in the applicable prospectus supplement, pending the application of net proceeds, we expect to invest the net proceeds in short- and intermediate-term, interest-bearing obligations, investment-grade instruments, certificates of deposit or direct or guaranteed obligations of the U.S. government.</w:t>
      </w:r>
    </w:p>
    <w:p>
      <w:pPr>
        <w:spacing w:after="0" w:line="5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Unless otherwise indicated in the prospectus supplement, we will not receive any of the proceeds from any sale of our common stock by selling securityholders.</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WE MAY OFFER</w:t>
      </w:r>
    </w:p>
    <w:p>
      <w:pPr>
        <w:spacing w:after="0" w:line="2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may offer common stock, preferred stock, debt securities, warrants, subscription rights, and/or units consisting of some or all of these securities, in any combination, together or separately, in one or more offerings. Selling securityholders may also offer shares of our common stock in one or more offerings This prospectus provides you with a general description of the securities we or the selling securityholders may offer. A prospectus supplement, which we will provide each time we offer securities, will describe the specific amounts, prices and terms of these securities.</w:t>
      </w:r>
    </w:p>
    <w:p>
      <w:pPr>
        <w:spacing w:after="0" w:line="17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or selling securityholders may sell the securities to or through underwriters, dealers or agents or directly to purchasers or as otherwise set forth below under “Plan of Distribution.” We, as well as any agents acting on our behalf, reserve the sole right to accept and to reject in whole or in part any proposed purchase of securities.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COMMON STOCK</w:t>
      </w:r>
    </w:p>
    <w:p>
      <w:pPr>
        <w:spacing w:after="0" w:line="27"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This section describes the general terms and provisions of the shares of our common stock, par value $0.001 per share. This description is only a summary and is qualified in its entirety by reference to the description of our common stock incorporated by reference in this prospectus. Our restated certificate of incorporation and our bylaws have been filed as exhibits to our periodic reports filed with the SEC, which are incorporated by reference in this prospectus. You should read our restated certificate of incorporation and our bylaws for additional information before you buy any of our common stock or other securities. See “Where You Can Find More Information.”</w:t>
      </w:r>
    </w:p>
    <w:p>
      <w:pPr>
        <w:spacing w:after="0" w:line="83"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have 125,000,000 shares of authorized common stock. As of March 31, 2019, there were 41,509,240 shares of common stock issued and outstanding. Each holder of common stock is entitled to one vote for each share of common stock held on all matters submitted to a vote of stockholders. We have not provided for cumulative voting for the election of directors in our restated certificate of incorporation. This means that the holders of a majority of the shares voted can elect all of the directors then standing for election. Subject to preferences that may apply to shares of preferred stock outstanding at the time, the holders of outstanding shares of our common stock are entitled to receive dividends out of assets legally available at the times and in the amounts that our board of directors may determine from time to time. Upon our liquidation, dissolution or winding-up, the holders of common stock are entitled to share ratably in all assets remaining after payment of all liabilities and the liquidation preferences of any outstanding preferred stock. Holders of common stock have no preemptive or conversion rights or other subscription rights. There are no redemption or sinking fund provisions applicable to the common stock. All outstanding shares of common stock are fully paid and nonassessable.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Restated Certificate of Incorporation and Bylaws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provisions of Delaware law, our restated certificate of incorporation and our amended and restated bylaws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persons seeking to acquire control of us to first negotiate with our board of directors.</w:t>
      </w:r>
    </w:p>
    <w:p>
      <w:pPr>
        <w:spacing w:after="0" w:line="7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Certificate of Incorporation and Bylaws</w:t>
      </w:r>
      <w:r>
        <w:rPr>
          <w:rFonts w:ascii="Arial" w:cs="Arial" w:eastAsia="Arial" w:hAnsi="Arial"/>
          <w:sz w:val="18"/>
          <w:szCs w:val="18"/>
          <w:color w:val="auto"/>
        </w:rPr>
        <w:t>. Our restated certificate of incorporation and amended and restated bylaws include provisions that:</w:t>
      </w:r>
    </w:p>
    <w:p>
      <w:pPr>
        <w:spacing w:after="0" w:line="117"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5,000,000 shares of undesignated preferred stock;</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6" w:lineRule="exact"/>
        <w:rPr>
          <w:rFonts w:ascii="Arial" w:cs="Arial" w:eastAsia="Arial" w:hAnsi="Arial"/>
          <w:sz w:val="17"/>
          <w:szCs w:val="17"/>
          <w:color w:val="auto"/>
        </w:rPr>
      </w:pPr>
    </w:p>
    <w:p>
      <w:pPr>
        <w:ind w:left="980" w:right="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our chairman of the board, or our chief executive officer;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9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368" w:right="279" w:bottom="1440" w:gutter="0" w:footer="0" w:header="0"/>
        </w:sectPr>
      </w:pPr>
    </w:p>
    <w:bookmarkStart w:id="8" w:name="page9"/>
    <w:bookmarkEnd w:id="8"/>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except as otherwise required by law, be filled only by a majority of directors then in office, even if less than a quorum;</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25" w:lineRule="exact"/>
        <w:rPr>
          <w:sz w:val="20"/>
          <w:szCs w:val="20"/>
          <w:color w:val="auto"/>
        </w:rPr>
      </w:pPr>
    </w:p>
    <w:p>
      <w:pPr>
        <w:ind w:right="580" w:firstLine="648"/>
        <w:spacing w:after="0" w:line="286" w:lineRule="auto"/>
        <w:rPr>
          <w:sz w:val="20"/>
          <w:szCs w:val="20"/>
          <w:color w:val="auto"/>
        </w:rPr>
      </w:pPr>
      <w:r>
        <w:rPr>
          <w:rFonts w:ascii="Arial" w:cs="Arial" w:eastAsia="Arial" w:hAnsi="Arial"/>
          <w:sz w:val="17"/>
          <w:szCs w:val="17"/>
          <w:i w:val="1"/>
          <w:iCs w:val="1"/>
          <w:color w:val="auto"/>
        </w:rPr>
        <w:t>Delaware Law</w:t>
      </w:r>
      <w:r>
        <w:rPr>
          <w:rFonts w:ascii="Arial" w:cs="Arial" w:eastAsia="Arial" w:hAnsi="Arial"/>
          <w:sz w:val="17"/>
          <w:szCs w:val="17"/>
          <w:color w:val="auto"/>
        </w:rPr>
        <w:t>. We are subject to the provisions of Section 203 of the General Corporation Law of the State of Delaware regulating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takeovers. In general, those provisions prohibit a publicly-held Delaware corporation from engaging in any business combination with any interested stockholder for a period of three years following the date that the stockholder became an interested stockholder, unless:</w:t>
      </w:r>
    </w:p>
    <w:p>
      <w:pPr>
        <w:spacing w:after="0" w:line="57"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transaction is approved by the board of directors of the corporation before the date the interested stockholder attained that status;</w:t>
      </w:r>
    </w:p>
    <w:p>
      <w:pPr>
        <w:spacing w:after="0" w:line="236" w:lineRule="exact"/>
        <w:rPr>
          <w:rFonts w:ascii="Arial" w:cs="Arial" w:eastAsia="Arial" w:hAnsi="Arial"/>
          <w:sz w:val="17"/>
          <w:szCs w:val="17"/>
          <w:color w:val="auto"/>
        </w:rPr>
      </w:pPr>
    </w:p>
    <w:p>
      <w:pPr>
        <w:ind w:left="980" w:right="60" w:hanging="324"/>
        <w:spacing w:after="0" w:line="25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18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or after the date the business combination is approved by the board of directors of the corporation and authorized at a meeting of stockholders by at least 66-2/3% of the outstanding voting stock that is not owned by the interested stockholder.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203 defines “business combination” to include the following:</w:t>
      </w:r>
    </w:p>
    <w:p>
      <w:pPr>
        <w:spacing w:after="0" w:line="117"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225" w:lineRule="exact"/>
        <w:rPr>
          <w:rFonts w:ascii="Arial" w:cs="Arial" w:eastAsia="Arial" w:hAnsi="Arial"/>
          <w:sz w:val="18"/>
          <w:szCs w:val="18"/>
          <w:color w:val="auto"/>
        </w:rPr>
      </w:pPr>
    </w:p>
    <w:p>
      <w:pPr>
        <w:ind w:left="980" w:right="42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70" w:lineRule="exact"/>
        <w:rPr>
          <w:rFonts w:ascii="Arial" w:cs="Arial" w:eastAsia="Arial" w:hAnsi="Arial"/>
          <w:sz w:val="18"/>
          <w:szCs w:val="18"/>
          <w:color w:val="auto"/>
        </w:rPr>
      </w:pPr>
    </w:p>
    <w:p>
      <w:pPr>
        <w:ind w:left="980" w:right="5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170" w:lineRule="exact"/>
        <w:rPr>
          <w:rFonts w:ascii="Arial" w:cs="Arial" w:eastAsia="Arial" w:hAnsi="Arial"/>
          <w:sz w:val="18"/>
          <w:szCs w:val="18"/>
          <w:color w:val="auto"/>
        </w:rPr>
      </w:pPr>
    </w:p>
    <w:p>
      <w:pPr>
        <w:ind w:left="980" w:right="3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279"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any of these entities or persons.</w:t>
      </w:r>
    </w:p>
    <w:p>
      <w:pPr>
        <w:spacing w:after="0" w:line="6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 Delaware corporation may opt out of these provisions either with an express provision in its original certificate of incorporation or in an amendment to its certificate of incorporation or bylaws approved by its stockholders. However, we have not opted out, and do not currently intend to opt out of, these provisions. The statute could prohibit or delay mergers or other takeover or change in control attempts and, accordingly, may discourage attempts to acquire us.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stock is Broadridge Corporate Issuer Solutions, Inc.</w:t>
      </w:r>
    </w:p>
    <w:p>
      <w:pPr>
        <w:spacing w:after="0" w:line="11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DESCRIPTION OF PREFERRED STOCK</w:t>
      </w:r>
    </w:p>
    <w:p>
      <w:pPr>
        <w:spacing w:after="0" w:line="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March 31, 2019, our authorized preferred stock, par value $0.001 per share, was 5,000,000 shares, none of which were issued and outstanding. We may issue preferred stock, in series, with such designations, powers, preferences and other rights and qualifications, limitations or restrictions as our board of directors may authorize, without further action by our stockholders, including:</w:t>
      </w:r>
    </w:p>
    <w:p>
      <w:pPr>
        <w:spacing w:after="0" w:line="82" w:lineRule="exact"/>
        <w:rPr>
          <w:sz w:val="20"/>
          <w:szCs w:val="20"/>
          <w:color w:val="auto"/>
        </w:rPr>
      </w:pPr>
    </w:p>
    <w:p>
      <w:pPr>
        <w:ind w:left="1160" w:hanging="504"/>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distinctive designation of each series and the number of shares that will constitute the series;</w:t>
      </w:r>
    </w:p>
    <w:p>
      <w:pPr>
        <w:spacing w:after="0" w:line="225" w:lineRule="exact"/>
        <w:rPr>
          <w:rFonts w:ascii="Arial" w:cs="Arial" w:eastAsia="Arial" w:hAnsi="Arial"/>
          <w:sz w:val="18"/>
          <w:szCs w:val="18"/>
          <w:color w:val="auto"/>
        </w:rPr>
      </w:pPr>
    </w:p>
    <w:p>
      <w:pPr>
        <w:ind w:left="1160" w:hanging="504"/>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voting rights, if any, of shares of the series and the terms and conditions of the voting rights;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422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4" w:right="239" w:bottom="1440" w:gutter="0" w:footer="0" w:header="0"/>
          <w:type w:val="continuous"/>
        </w:sectPr>
      </w:pPr>
    </w:p>
    <w:bookmarkStart w:id="9" w:name="page10"/>
    <w:bookmarkEnd w:id="9"/>
    <w:p>
      <w:pPr>
        <w:ind w:left="980" w:right="100" w:hanging="324"/>
        <w:spacing w:after="0" w:line="308"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dividend rate on the shares of the series, the dates on which dividends are payable, any restriction, limitation or condition upon the payment of dividends, whether dividends will be cumulative, and the dates from and after which dividends shall accumulate;</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prices at which, and the terms and conditions on which, the shares of the series may be redeemed, if the shares are redeemable;</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terms and conditions of a sinking or purchase fund for the purchase or redemption of shares of the series, if such a fund is provided;</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preferential amount payable upon shares of the series in the event of the liquidation, dissolution or winding up of, or upon the distribution of any of our assets; and</w:t>
      </w:r>
    </w:p>
    <w:p>
      <w:pPr>
        <w:spacing w:after="0" w:line="170" w:lineRule="exact"/>
        <w:rPr>
          <w:rFonts w:ascii="Arial" w:cs="Arial" w:eastAsia="Arial" w:hAnsi="Arial"/>
          <w:sz w:val="18"/>
          <w:szCs w:val="18"/>
          <w:color w:val="auto"/>
        </w:rPr>
      </w:pPr>
    </w:p>
    <w:p>
      <w:pPr>
        <w:ind w:left="980" w:right="42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prices or rates of conversion or exchange at which, and the terms and conditions on which, the shares of the series may be converted or exchanged into other securities, if the shares are convertible or exchangeable.</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particular terms of any series of preferred stock, and the transfer agent and registrar for that series, will be described in a prospectus supplement. Any material United States federal income tax consequences and other special considerations with respect to any preferred stock offered under this prospectus will also be described in the applicable prospectus supplement.</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7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following is a summary of the general terms of the debt securities we may offer. We will file a prospectus supplement that may contain additional terms when we issue debt securities. The terms presented here, together with the terms in the applicable prospectus supplement, together with any free writing prospectus or term sheet, will be a description of the material terms of the debt securities. The terms of the debt securities will include those stated in the indenture and those made part of the indenture by reference to the Trust Indenture Act of 1939, as in effect on the date of the indenture. We have filed a copy of the form of indenture as an exhibit to the registration statement in which this prospectus is included. The indenture will be subject to and governed by the terms of the Trust Indenture Act of 1939.</w:t>
      </w:r>
    </w:p>
    <w:p>
      <w:pPr>
        <w:spacing w:after="0" w:line="8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We may issue, from time to time, debt securities, in one or more series. These debt securities that we may issue include senior debt securities, senior subordinated debt securities, subordinated debt securities, convertible debt securities and exchangeable debt securities. The following is a summary of the material provisions of the form of indenture filed as an exhibit to the registration statement of which this prospectus is a part. For each series of debt securities, the applicable prospectus supplement for the series may change and supplement the summary below.</w:t>
      </w:r>
    </w:p>
    <w:p>
      <w:pPr>
        <w:spacing w:after="0" w:line="63" w:lineRule="exact"/>
        <w:rPr>
          <w:sz w:val="20"/>
          <w:szCs w:val="20"/>
          <w:color w:val="auto"/>
        </w:rPr>
      </w:pPr>
    </w:p>
    <w:p>
      <w:pPr>
        <w:ind w:right="1360" w:firstLine="648"/>
        <w:spacing w:after="0" w:line="375" w:lineRule="auto"/>
        <w:rPr>
          <w:sz w:val="20"/>
          <w:szCs w:val="20"/>
          <w:color w:val="auto"/>
        </w:rPr>
      </w:pPr>
      <w:r>
        <w:rPr>
          <w:rFonts w:ascii="Arial" w:cs="Arial" w:eastAsia="Arial" w:hAnsi="Arial"/>
          <w:sz w:val="18"/>
          <w:szCs w:val="18"/>
          <w:color w:val="auto"/>
        </w:rPr>
        <w:t xml:space="preserve">As used in this section only, “we,” “us” and “our” refer to Veracyte, Inc., unless expressly stated or the context otherwise requires. </w:t>
      </w:r>
      <w:r>
        <w:rPr>
          <w:rFonts w:ascii="Arial" w:cs="Arial" w:eastAsia="Arial" w:hAnsi="Arial"/>
          <w:sz w:val="18"/>
          <w:szCs w:val="18"/>
          <w:b w:val="1"/>
          <w:bCs w:val="1"/>
          <w:color w:val="auto"/>
        </w:rPr>
        <w:t>General Terms of the Indenture</w:t>
      </w:r>
    </w:p>
    <w:p>
      <w:pPr>
        <w:spacing w:after="0" w:line="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indenture does not limit the amount of debt securities that we may issue. It provides that we may issue debt securities for any series of debt securities up to the principal amount that we may authorize.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For each series of debt securities, any restrictive covenants for those debt securities will be described in the applicable prospectus supplement for those debt securities.</w:t>
      </w:r>
    </w:p>
    <w:p>
      <w:pPr>
        <w:spacing w:after="0" w:line="64"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You should refer to the prospectus supplement relating to a particular series of debt securities for a description of the following terms of the debt securities offered by that prospectus supplement and by this prospectus:</w:t>
      </w:r>
    </w:p>
    <w:p>
      <w:pPr>
        <w:spacing w:after="0" w:line="62"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title of the series;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aggregate principal amount, and, if a series, the total amount authorized and the total amount outstanding;</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 or dates on which principal and premium, if any, of the debt securities of that series is payable;</w:t>
      </w:r>
    </w:p>
    <w:p>
      <w:pPr>
        <w:spacing w:after="0" w:line="184"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rates, and the dates from which interest, if any, on the debt securities of that series will accrue, and the dates when interest is payable and the maturity;</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the extensions;</w:t>
      </w:r>
    </w:p>
    <w:p>
      <w:pPr>
        <w:spacing w:after="0" w:line="200" w:lineRule="exact"/>
        <w:rPr>
          <w:sz w:val="20"/>
          <w:szCs w:val="20"/>
          <w:color w:val="auto"/>
        </w:rPr>
      </w:pPr>
    </w:p>
    <w:p>
      <w:pPr>
        <w:spacing w:after="0" w:line="22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368" w:right="259" w:bottom="1440" w:gutter="0" w:footer="0" w:header="0"/>
        </w:sectPr>
      </w:pPr>
    </w:p>
    <w:bookmarkStart w:id="10" w:name="page11"/>
    <w:bookmarkEnd w:id="10"/>
    <w:p>
      <w:pPr>
        <w:ind w:left="980" w:right="180" w:hanging="324"/>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amount of payments of principal or interest is to be determined by reference to an index or formula, or based on a coin or currency other than that in which the debt securities are stated to be payable, the manner in which these amounts are determined and the calculation agent, if any, with respect thereto;</w:t>
      </w:r>
    </w:p>
    <w:p>
      <w:pPr>
        <w:spacing w:after="0" w:line="140"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place or places where and the manner in which principal of, premium, if any, and interest, if any, on the debt securities of that series will be payable and the place or places where those debt securities may be presented for transfer and, if applicable, conversion or exchange;</w:t>
      </w:r>
    </w:p>
    <w:p>
      <w:pPr>
        <w:spacing w:after="0" w:line="83" w:lineRule="exact"/>
        <w:rPr>
          <w:rFonts w:ascii="Arial" w:cs="Arial" w:eastAsia="Arial" w:hAnsi="Arial"/>
          <w:sz w:val="16"/>
          <w:szCs w:val="16"/>
          <w:color w:val="auto"/>
        </w:rPr>
      </w:pPr>
    </w:p>
    <w:p>
      <w:pPr>
        <w:ind w:left="980" w:right="620" w:hanging="324"/>
        <w:spacing w:after="0" w:line="342"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period or periods within which, the price or prices at which, and other terms and conditions upon which those debt securities may be redeemed, in whole or in part, at our option or the option of a holder of those securities, if we or a holder is to have that option;</w:t>
      </w:r>
    </w:p>
    <w:p>
      <w:pPr>
        <w:spacing w:after="0" w:line="83" w:lineRule="exact"/>
        <w:rPr>
          <w:rFonts w:ascii="Arial" w:cs="Arial" w:eastAsia="Arial" w:hAnsi="Arial"/>
          <w:sz w:val="16"/>
          <w:szCs w:val="16"/>
          <w:color w:val="auto"/>
        </w:rPr>
      </w:pPr>
    </w:p>
    <w:p>
      <w:pPr>
        <w:ind w:left="980" w:right="220" w:hanging="324"/>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obligation or right, if any, to redeem, repay or purchase those debt securities pursuant to any sinking fund or analogous provision or at the option of a holder of those securities, and the terms and conditions upon which the debt securities will be redeemed, repaid or purchased, in whole or in part, pursuant to that obligation;</w:t>
      </w:r>
    </w:p>
    <w:p>
      <w:pPr>
        <w:spacing w:after="0" w:line="14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terms, if any, on which the debt securities of that series will be subordinate in right and priority of payment to our other debt;</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denominations in which those debt securities will be issuable, if other than denominations of $1,000 or any integral multiple of that number;</w:t>
      </w:r>
    </w:p>
    <w:p>
      <w:pPr>
        <w:spacing w:after="0" w:line="207" w:lineRule="exact"/>
        <w:rPr>
          <w:rFonts w:ascii="Arial" w:cs="Arial" w:eastAsia="Arial" w:hAnsi="Arial"/>
          <w:sz w:val="16"/>
          <w:szCs w:val="16"/>
          <w:color w:val="auto"/>
        </w:rPr>
      </w:pPr>
    </w:p>
    <w:p>
      <w:pPr>
        <w:ind w:left="980" w:right="36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other than the entire principal amount of the debt securities when issued, the portion of the principal amount payable upon acceleration of maturity as a result of a default on our obligations;</w:t>
      </w:r>
    </w:p>
    <w:p>
      <w:pPr>
        <w:spacing w:after="0" w:line="129"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any securities of that series are to be issued in whole or in part in the form of one or more global securities and the depositary for those global securities;</w:t>
      </w:r>
    </w:p>
    <w:p>
      <w:pPr>
        <w:spacing w:after="0" w:line="129" w:lineRule="exact"/>
        <w:rPr>
          <w:rFonts w:ascii="Arial" w:cs="Arial" w:eastAsia="Arial" w:hAnsi="Arial"/>
          <w:sz w:val="18"/>
          <w:szCs w:val="18"/>
          <w:color w:val="auto"/>
        </w:rPr>
      </w:pPr>
    </w:p>
    <w:p>
      <w:pPr>
        <w:ind w:left="980" w:right="40" w:hanging="324"/>
        <w:spacing w:after="0" w:line="312"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the principal of or any premium or interest on the debt securities of that series is to be payable, or is to be payable at our election or the election of a holder of those securities, in securities or other property, the type and amount of those securities or other property, or the manner of determining that amount, and the period or periods within which, and the terms and conditions upon which, any such election may be made;</w:t>
      </w:r>
    </w:p>
    <w:p>
      <w:pPr>
        <w:spacing w:after="0" w:line="106" w:lineRule="exact"/>
        <w:rPr>
          <w:rFonts w:ascii="Arial" w:cs="Arial" w:eastAsia="Arial" w:hAnsi="Arial"/>
          <w:sz w:val="16"/>
          <w:szCs w:val="16"/>
          <w:color w:val="auto"/>
        </w:rPr>
      </w:pPr>
    </w:p>
    <w:p>
      <w:pPr>
        <w:ind w:left="980" w:hanging="324"/>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events of default and covenants relating to the debt securities that are in addition to, modify or delete those described in this prospectus;</w:t>
      </w:r>
    </w:p>
    <w:p>
      <w:pPr>
        <w:spacing w:after="0" w:line="207" w:lineRule="exact"/>
        <w:rPr>
          <w:rFonts w:ascii="Arial" w:cs="Arial" w:eastAsia="Arial" w:hAnsi="Arial"/>
          <w:sz w:val="16"/>
          <w:szCs w:val="16"/>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conversion or exchange provisions, if any, including conversion or exchange prices or rates and adjustments thereto;</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 if different from the provisions set forth in the indenture;</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nature and terms of any security for any secured debt securities;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terms applicable to any debt securities issued at a discount from their stated principal amount</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addition to or change in the covenants and/or the acceleration provisions described in this prospectus or in the indenture; and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specific terms of any debt securities.</w:t>
      </w:r>
    </w:p>
    <w:p>
      <w:pPr>
        <w:spacing w:after="0" w:line="18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We may issue the debt securities issued under the indenture as “discount securities,” which means they may be sold at a discount below their stated principal amount. These debt securities, as well as other debt securities that are not issued at a discount, may, for United States federal income tax purposes, be treated as if they were issued with “original issue discount” because of interest payment and other characteristics. Special United States federal income tax considerations applicable to debt securities issued with original issue discount will be described in more detail in any applicable prospectus supplement.</w:t>
      </w:r>
    </w:p>
    <w:p>
      <w:pPr>
        <w:spacing w:after="0" w:line="4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applicable prospectus supplement will present material United States federal income tax considerations for holders of any debt securities and the securities exchange or quotation system on which any debt securities are to be listed or quoted.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00" w:lineRule="exact"/>
        <w:rPr>
          <w:sz w:val="20"/>
          <w:szCs w:val="20"/>
          <w:color w:val="auto"/>
        </w:rPr>
      </w:pPr>
    </w:p>
    <w:p>
      <w:pPr>
        <w:spacing w:after="0" w:line="23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368" w:right="259" w:bottom="1440" w:gutter="0" w:footer="0" w:header="0"/>
        </w:sectPr>
      </w:pPr>
    </w:p>
    <w:bookmarkStart w:id="11" w:name="page12"/>
    <w:bookmarkEnd w:id="11"/>
    <w:p>
      <w:pPr>
        <w:ind w:right="120" w:firstLine="648"/>
        <w:spacing w:after="0" w:line="264" w:lineRule="auto"/>
        <w:rPr>
          <w:sz w:val="20"/>
          <w:szCs w:val="20"/>
          <w:color w:val="auto"/>
        </w:rPr>
      </w:pPr>
      <w:r>
        <w:rPr>
          <w:rFonts w:ascii="Arial" w:cs="Arial" w:eastAsia="Arial" w:hAnsi="Arial"/>
          <w:sz w:val="18"/>
          <w:szCs w:val="18"/>
          <w:color w:val="auto"/>
        </w:rPr>
        <w:t>Unless otherwise indicated in this prospectus or the applicable prospectus supplement, our debt securities will not have the benefit of any covenants that limit or restrict our business or operations, the pledging of our assets or the incurrence by us of indebtedness. We will describe in the applicable prospectus supplement any material covenants in respect of a series of debt securities.</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Change of Control</w:t>
      </w:r>
    </w:p>
    <w:p>
      <w:pPr>
        <w:spacing w:after="0" w:line="200" w:lineRule="exact"/>
        <w:rPr>
          <w:sz w:val="20"/>
          <w:szCs w:val="20"/>
          <w:color w:val="auto"/>
        </w:rPr>
      </w:pPr>
    </w:p>
    <w:p>
      <w:pPr>
        <w:spacing w:after="0" w:line="20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indenture does not have any covenants or other provisions providing for a put or increased interest or otherwise that would afford holders of our debt securities additional protection in the event of a recapitalization transaction, a change of control or a highly leveraged transaction. If we offer any covenants or provisions of this type with respect to any debt securities covered by this prospectus, we will describe them in the applicable prospectus supplement.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189" w:lineRule="exact"/>
        <w:rPr>
          <w:sz w:val="20"/>
          <w:szCs w:val="20"/>
          <w:color w:val="auto"/>
        </w:rPr>
      </w:pPr>
    </w:p>
    <w:p>
      <w:pPr>
        <w:ind w:right="820" w:firstLine="648"/>
        <w:spacing w:after="0" w:line="342" w:lineRule="auto"/>
        <w:rPr>
          <w:sz w:val="20"/>
          <w:szCs w:val="20"/>
          <w:color w:val="auto"/>
        </w:rPr>
      </w:pPr>
      <w:r>
        <w:rPr>
          <w:rFonts w:ascii="Arial" w:cs="Arial" w:eastAsia="Arial" w:hAnsi="Arial"/>
          <w:sz w:val="16"/>
          <w:szCs w:val="16"/>
          <w:color w:val="auto"/>
        </w:rPr>
        <w:t>Debt securities may be convertible into or exchangeable for shares of our equity securities or other securities. The terms and conditions of conversion or exchange will be stated in the applicable prospectus supplement. The terms will include, among others, the following:</w:t>
      </w:r>
    </w:p>
    <w:p>
      <w:pPr>
        <w:spacing w:after="0" w:line="16"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conversion or exchange price;</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conversion or exchange period;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provisions regarding our ability or the ability of any holder to convert or exchange the debt securities;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events requiring adjustment to the conversion or exchange price;</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provisions affecting conversion or exchange in the event of our redemption of the debt securities; and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anti-dilution provisions, if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18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cannot consolidate with or merge with or into, or transfer or lease all or substantially all of our assets to, any person, unless we are the surviving corporation or the successor person is a corporation organized under the laws of the United States, any state of the United States or the District of Columbia and expressly assumes our obligations under the debt securities and the indenture. In addition, we cannot complete such a transaction unless immediately after completing the transaction, no event of default under the indenture, and no event that, after notice or lapse of time or both, would become an event of default under the indenture, has occurred and is continuing. When the successor person has assumed our obligations under the debt securities and the indenture, we will be discharged from all our obligations under the debt securities and the indenture except in limited circumstances.</w:t>
      </w:r>
    </w:p>
    <w:p>
      <w:pPr>
        <w:spacing w:after="0" w:line="57"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This covenant would not apply to any recapitalization transaction, a change of control affecting us or a highly leveraged transaction, unless the transaction or change of control were structured to include a merger or consolidation or transfer or lease of all or substantially all of our assets.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Unless otherwise specified in the applicable prospectus supplement, the following will be “events of default” under the indenture with respect to any series of debt securities:</w:t>
      </w:r>
    </w:p>
    <w:p>
      <w:pPr>
        <w:spacing w:after="0" w:line="62"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pay interest for 30 days after the date payment is due and payable;</w:t>
      </w:r>
    </w:p>
    <w:p>
      <w:pPr>
        <w:spacing w:after="0" w:line="184" w:lineRule="exact"/>
        <w:rPr>
          <w:rFonts w:ascii="Arial" w:cs="Arial" w:eastAsia="Arial" w:hAnsi="Arial"/>
          <w:sz w:val="18"/>
          <w:szCs w:val="18"/>
          <w:color w:val="auto"/>
        </w:rPr>
      </w:pPr>
    </w:p>
    <w:p>
      <w:pPr>
        <w:ind w:left="980" w:right="140" w:hanging="324"/>
        <w:spacing w:after="0" w:line="342"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failure to pay principal or premium, if any, on any debt security when due, either at maturity, upon any redemption, by declaration or otherwise and, in the case of technical or administrative difficulties, only if such default persists for a period of more than three business days;</w:t>
      </w:r>
    </w:p>
    <w:p>
      <w:pPr>
        <w:spacing w:after="0" w:line="83" w:lineRule="exact"/>
        <w:rPr>
          <w:rFonts w:ascii="Arial" w:cs="Arial" w:eastAsia="Arial" w:hAnsi="Arial"/>
          <w:sz w:val="16"/>
          <w:szCs w:val="16"/>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make sinking fund payments when due and continuance of such default for a period of 30 days;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perform other covenants for 60 days after notice that performance was required;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events in bankruptcy, insolvency or reorganization relating to us; or</w:t>
      </w:r>
    </w:p>
    <w:p>
      <w:pPr>
        <w:spacing w:after="0" w:line="184"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event of default provided in the applicable officer’s certificate, resolution of our board of directors or the supplemental indenture under which we issue a series of debt securities.</w:t>
      </w:r>
    </w:p>
    <w:p>
      <w:pPr>
        <w:spacing w:after="0" w:line="37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36" w:right="239" w:bottom="1440" w:gutter="0" w:footer="0" w:header="0"/>
        </w:sectPr>
      </w:pPr>
    </w:p>
    <w:bookmarkStart w:id="12" w:name="page13"/>
    <w:bookmarkEnd w:id="12"/>
    <w:p>
      <w:pPr>
        <w:jc w:val="both"/>
        <w:ind w:right="180" w:firstLine="648"/>
        <w:spacing w:after="0" w:line="264"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indenture. For each series of debt securities, any modifications to the above events of default will be described in the applicable prospectus supplement for those debt securities.</w:t>
      </w:r>
    </w:p>
    <w:p>
      <w:pPr>
        <w:spacing w:after="0" w:line="7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indenture provides that if an event of default specified in the first, second, third, fourth or sixth bullets above occurs and is continuing, either the trustee or the holders of at least 25% in aggregate principal amount of the outstanding debt securities of that series may declare the principal amount of all those debt securities (or, in the case of discount securities or indexed securities, that portion of the principal amount as may be specified in the terms of that series) to be due and payable immediately. If an event of default specified in the fifth bullet above occurs and is continuing, then the principal amount of all those debt securities (or, in the case of discount securities or indexed securities, that portion of the principal amount as may be specified in the terms of that series) will be due and payable immediately, without any declaration or other act on the part of the trustee or any holder. In certain cases, holders of a majority in principal amount of the outstanding debt securities of any series may, on behalf of holders of all those debt securities, rescind and annul a declaration of acceleration.</w:t>
      </w:r>
    </w:p>
    <w:p>
      <w:pPr>
        <w:spacing w:after="0" w:line="8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indenture imposes limitations on suits brought by holders of debt securities against us. Except for actions for payment of overdue principal or interest, no holder of debt securities of any series may institute any action against us under the indenture unless:</w:t>
      </w:r>
    </w:p>
    <w:p>
      <w:pPr>
        <w:spacing w:after="0" w:line="62"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default and continuance of such default;</w:t>
      </w:r>
    </w:p>
    <w:p>
      <w:pPr>
        <w:spacing w:after="0" w:line="184"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the affected series have requested that the trustee institute the action;</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requesting holders have offered the trustee indemnity for the reasonable expenses and liabilities that may be incurred by bringing the action;</w:t>
      </w:r>
    </w:p>
    <w:p>
      <w:pPr>
        <w:spacing w:after="0" w:line="207" w:lineRule="exact"/>
        <w:rPr>
          <w:rFonts w:ascii="Arial" w:cs="Arial" w:eastAsia="Arial" w:hAnsi="Arial"/>
          <w:sz w:val="16"/>
          <w:szCs w:val="16"/>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trustee has not instituted the action within 60 days of the request and offer of indemnity; and</w:t>
      </w:r>
    </w:p>
    <w:p>
      <w:pPr>
        <w:spacing w:after="0" w:line="184" w:lineRule="exact"/>
        <w:rPr>
          <w:rFonts w:ascii="Arial" w:cs="Arial" w:eastAsia="Arial" w:hAnsi="Arial"/>
          <w:sz w:val="18"/>
          <w:szCs w:val="18"/>
          <w:color w:val="auto"/>
        </w:rPr>
      </w:pPr>
    </w:p>
    <w:p>
      <w:pPr>
        <w:ind w:left="980" w:right="50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trustee has not received inconsistent direction by the holders of a majority in principal amount of the outstanding debt securities of the affected series.</w:t>
      </w:r>
    </w:p>
    <w:p>
      <w:pPr>
        <w:spacing w:after="0" w:line="13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We will be required to file annually with the trustee a certificate, signed by one of our officers, stating whether or not the officer knows of any default by us in the performance, observance or fulfillment of any condition or covenant of the indenture.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can discharge or decrease our obligations under the indenture as stated below.</w:t>
      </w:r>
    </w:p>
    <w:p>
      <w:pPr>
        <w:spacing w:after="0" w:line="117"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We may discharge obligations to holders of any series of debt securities that have not already been delivered to the trustee for cancellation and that have either become due and payable or are by their terms to become due and payable, or are scheduled for redemption, within one year. We may effect a discharge by irrevocably depositing with the trustee cash or government obligations, as trust funds, in an amount certified to be enough to pay when due, whether at maturity, upon redemption or otherwise, the principal of, and any premium and interest on, the debt securities and any mandatory sinking fund payments.</w:t>
      </w:r>
    </w:p>
    <w:p>
      <w:pPr>
        <w:spacing w:after="0" w:line="80"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Unless otherwise provided in the applicable prospectus supplement, we may also discharge any and all of our obligations to holders of any series of debt securities at any time, which we refer to as defeasance. We may also be released from the obligations imposed by any covenants of any outstanding series of debt securities and provisions of the indenture, and we may omit to comply with those covenants without creating an event of default under the trust declaration, which we refer to as covenant defeasance. We may effect defeasance and covenant defeasance only if, among other things:</w:t>
      </w:r>
    </w:p>
    <w:p>
      <w:pPr>
        <w:spacing w:after="0" w:line="46" w:lineRule="exact"/>
        <w:rPr>
          <w:sz w:val="20"/>
          <w:szCs w:val="20"/>
          <w:color w:val="auto"/>
        </w:rPr>
      </w:pPr>
    </w:p>
    <w:p>
      <w:pPr>
        <w:ind w:left="980" w:right="180" w:hanging="324"/>
        <w:spacing w:after="0" w:line="26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irrevocably deposit with the trustee cash or government obligations denominated in the currency of the debt securities, as trust funds, in an amount certified to be enough to pay at maturity, or upon redemption, the principal (including any mandatory sinking fund payments) of, and any premium and interest on, all outstanding debt securities of the series; and</w:t>
      </w:r>
    </w:p>
    <w:p>
      <w:pPr>
        <w:spacing w:after="0" w:line="140" w:lineRule="exact"/>
        <w:rPr>
          <w:rFonts w:ascii="Arial" w:cs="Arial" w:eastAsia="Arial" w:hAnsi="Arial"/>
          <w:sz w:val="18"/>
          <w:szCs w:val="18"/>
          <w:color w:val="auto"/>
        </w:rPr>
      </w:pPr>
    </w:p>
    <w:p>
      <w:pPr>
        <w:ind w:left="980" w:right="60" w:hanging="324"/>
        <w:spacing w:after="0" w:line="259"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deliver to the trustee an opinion of counsel from a nationally recognized law firm to the effect that the holders of the series of debt securities will not recognize income, gain or loss for U.S. federal income tax purposes as a result of the defeasance or covenant defeasance and that defeasance or covenant defeasance will not otherwise alter the holders’ U.S. federal income tax treatment of principal, and any premium and interest payments on, the series of debt securities.</w:t>
      </w:r>
    </w:p>
    <w:p>
      <w:pPr>
        <w:spacing w:after="0" w:line="146"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the case of a defeasance by us, the opinion we deliver must be based on a ruling of the Internal Revenue Service issued, or a change in U.S. federal income tax law occurring, after the date of the indenture, since such a result would not occur under the U.S. federal income tax laws in effect on that date.</w:t>
      </w:r>
    </w:p>
    <w:p>
      <w:pPr>
        <w:spacing w:after="0" w:line="7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Although we may discharge or decrease our obligations under the indenture as described in the two preceding paragraphs, we may not avoid, among other things, our duty to register the transfer or exchange of any series of debt securities, to replace any</w:t>
      </w:r>
    </w:p>
    <w:p>
      <w:pPr>
        <w:spacing w:after="0" w:line="30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368" w:right="259" w:bottom="1440" w:gutter="0" w:footer="0" w:header="0"/>
        </w:sectPr>
      </w:pPr>
    </w:p>
    <w:bookmarkStart w:id="13" w:name="page14"/>
    <w:bookmarkEnd w:id="13"/>
    <w:p>
      <w:pPr>
        <w:ind w:right="860"/>
        <w:spacing w:after="0" w:line="375" w:lineRule="auto"/>
        <w:rPr>
          <w:sz w:val="20"/>
          <w:szCs w:val="20"/>
          <w:color w:val="auto"/>
        </w:rPr>
      </w:pPr>
      <w:r>
        <w:rPr>
          <w:rFonts w:ascii="Arial" w:cs="Arial" w:eastAsia="Arial" w:hAnsi="Arial"/>
          <w:sz w:val="18"/>
          <w:szCs w:val="18"/>
          <w:color w:val="auto"/>
        </w:rPr>
        <w:t xml:space="preserve">temporary, mutilated, destroyed, lost or stolen series of debt securities or to maintain an office or agency in respect of any series of debt securities. </w:t>
      </w:r>
      <w:r>
        <w:rPr>
          <w:rFonts w:ascii="Arial" w:cs="Arial" w:eastAsia="Arial" w:hAnsi="Arial"/>
          <w:sz w:val="18"/>
          <w:szCs w:val="18"/>
          <w:b w:val="1"/>
          <w:bCs w:val="1"/>
          <w:color w:val="auto"/>
        </w:rPr>
        <w:t>Modification of the Indenture</w:t>
      </w:r>
    </w:p>
    <w:p>
      <w:pPr>
        <w:spacing w:after="0" w:line="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indenture provides that we and the trustee may enter into supplemental indentures without the consent of the holders of debt securities to, among other things:</w:t>
      </w:r>
    </w:p>
    <w:p>
      <w:pPr>
        <w:spacing w:after="0" w:line="62"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evidence the assumption by a successor entity of our obligations;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 to our covenants for the benefit of the holders of debt securities, or to surrender any rights or power conferred upon us;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 any additional events of default;</w:t>
      </w:r>
    </w:p>
    <w:p>
      <w:pPr>
        <w:spacing w:after="0" w:line="184"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 to, change or eliminate any of the provisions of the indenture in a manner that will become effective only when there is no outstanding debt security which is entitled to the benefit of the provision as to which the modification would apply;</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 guarantees with respect to or secure any debt securities;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the forms or terms of debt securities of any series;</w:t>
      </w:r>
    </w:p>
    <w:p>
      <w:pPr>
        <w:spacing w:after="0" w:line="184"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 and add to or change any of the provisions of the indenture as is necessary for the administration of the trusts by more than one trustee;</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cure any ambiguity or correct any inconsistency or defect in the indenture;</w:t>
      </w:r>
    </w:p>
    <w:p>
      <w:pPr>
        <w:spacing w:after="0" w:line="184" w:lineRule="exact"/>
        <w:rPr>
          <w:rFonts w:ascii="Arial" w:cs="Arial" w:eastAsia="Arial" w:hAnsi="Arial"/>
          <w:sz w:val="18"/>
          <w:szCs w:val="18"/>
          <w:color w:val="auto"/>
        </w:rPr>
      </w:pPr>
    </w:p>
    <w:p>
      <w:pPr>
        <w:ind w:left="980" w:right="220" w:hanging="324"/>
        <w:spacing w:after="0" w:line="264"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modify, eliminate or add to the provisions of the indenture as shall be necessary to effect the qualification of the indenture under the Trust Indenture Act of 1939 or under any similar federal statute later enacted, and to add to the indenture such other provisions as may be expressly required by the Trust Indenture Act; and</w:t>
      </w:r>
    </w:p>
    <w:p>
      <w:pPr>
        <w:spacing w:after="0" w:line="140"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any other provisions with respect to matters or questions arising under the indenture that will not be inconsistent with any provision of the indenture as long as the new provisions do not adversely affect the interests of the holders of any outstanding debt securities of any series created prior to the modification.</w:t>
      </w:r>
    </w:p>
    <w:p>
      <w:pPr>
        <w:spacing w:after="0" w:line="141"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The indenture also provides that we and the trustee may, with the consent of the holders of not less than a majority in aggregate principal amount of debt securities of each series of debt securities affected by such supplemental indenture then outstanding, add any provisions to, or change in any manner, eliminate or modify in any way the provisions of, the indenture or any supplemental indenture or modify in any manner the rights of the holders of the debt securities. We and the trustee may not, however, without the consent of the holder of each outstanding debt security affected thereby:</w:t>
      </w:r>
    </w:p>
    <w:p>
      <w:pPr>
        <w:spacing w:after="0" w:line="46"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extend the final maturity of any debt security;</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the principal amount or premium, if any;</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the rate or extend the time of payment of interest;</w:t>
      </w:r>
    </w:p>
    <w:p>
      <w:pPr>
        <w:spacing w:after="0" w:line="184" w:lineRule="exact"/>
        <w:rPr>
          <w:rFonts w:ascii="Arial" w:cs="Arial" w:eastAsia="Arial" w:hAnsi="Arial"/>
          <w:sz w:val="18"/>
          <w:szCs w:val="18"/>
          <w:color w:val="auto"/>
        </w:rPr>
      </w:pPr>
    </w:p>
    <w:p>
      <w:pPr>
        <w:ind w:left="1160" w:hanging="504"/>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the amount of the principal of any debt security issued with an original issue discount that is payable upon acceleration;</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 the currency in which the principal, and any premium or interest, is payable;</w:t>
      </w:r>
    </w:p>
    <w:p>
      <w:pPr>
        <w:spacing w:after="0" w:line="184" w:lineRule="exact"/>
        <w:rPr>
          <w:rFonts w:ascii="Arial" w:cs="Arial" w:eastAsia="Arial" w:hAnsi="Arial"/>
          <w:sz w:val="18"/>
          <w:szCs w:val="18"/>
          <w:color w:val="auto"/>
        </w:rPr>
      </w:pPr>
    </w:p>
    <w:p>
      <w:pPr>
        <w:ind w:left="1160" w:hanging="504"/>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any debt security when due;</w:t>
      </w:r>
    </w:p>
    <w:p>
      <w:pPr>
        <w:spacing w:after="0" w:line="184" w:lineRule="exact"/>
        <w:rPr>
          <w:rFonts w:ascii="Arial" w:cs="Arial" w:eastAsia="Arial" w:hAnsi="Arial"/>
          <w:sz w:val="18"/>
          <w:szCs w:val="18"/>
          <w:color w:val="auto"/>
        </w:rPr>
      </w:pPr>
    </w:p>
    <w:p>
      <w:pPr>
        <w:ind w:left="1160" w:hanging="504"/>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applicable, adversely affect the right of a holder to convert or exchange a debt security; or</w:t>
      </w:r>
    </w:p>
    <w:p>
      <w:pPr>
        <w:spacing w:after="0" w:line="184" w:lineRule="exact"/>
        <w:rPr>
          <w:rFonts w:ascii="Arial" w:cs="Arial" w:eastAsia="Arial" w:hAnsi="Arial"/>
          <w:sz w:val="18"/>
          <w:szCs w:val="18"/>
          <w:color w:val="auto"/>
        </w:rPr>
      </w:pPr>
    </w:p>
    <w:p>
      <w:pPr>
        <w:ind w:left="980" w:hanging="324"/>
        <w:spacing w:after="0" w:line="277"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of any series whose consent is required for any modification of the indenture or for waivers of compliance with or defaults under the indenture with respect to debt securities of that series.</w:t>
      </w:r>
    </w:p>
    <w:p>
      <w:pPr>
        <w:spacing w:after="0" w:line="13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indenture provides that the holders of not less than a majority in aggregate principal amount of the then outstanding debt securities of any series, by notice to the relevant trustee, may on behalf of the holders of the debt securities of that series waive any default and its consequences under the indenture except:</w:t>
      </w:r>
    </w:p>
    <w:p>
      <w:pPr>
        <w:spacing w:after="0" w:line="73" w:lineRule="exact"/>
        <w:rPr>
          <w:sz w:val="20"/>
          <w:szCs w:val="20"/>
          <w:color w:val="auto"/>
        </w:rPr>
      </w:pPr>
    </w:p>
    <w:p>
      <w:pPr>
        <w:ind w:left="4220" w:right="480" w:hanging="3564"/>
        <w:spacing w:after="0" w:line="763" w:lineRule="auto"/>
        <w:tabs>
          <w:tab w:leader="none" w:pos="1159"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default in the payment of, any premium and any interest on, or principal of, any such debt security held by a nonconsenting holder; or 10</w:t>
      </w:r>
    </w:p>
    <w:p>
      <w:pPr>
        <w:sectPr>
          <w:pgSz w:w="11900" w:h="16838" w:orient="portrait"/>
          <w:cols w:equalWidth="0" w:num="1">
            <w:col w:w="11400"/>
          </w:cols>
          <w:pgMar w:left="240" w:top="368" w:right="259" w:bottom="1440" w:gutter="0" w:footer="0" w:header="0"/>
        </w:sectPr>
      </w:pPr>
    </w:p>
    <w:bookmarkStart w:id="14" w:name="page15"/>
    <w:bookmarkEnd w:id="14"/>
    <w:p>
      <w:pPr>
        <w:ind w:left="980" w:right="120" w:hanging="324"/>
        <w:spacing w:after="0" w:line="277"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default in respect of a covenant or provision of the indenture that cannot be modified or amended without the consent of the holder of each outstanding debt security of each series affected.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Global Securities and Book Entry System</w:t>
      </w:r>
    </w:p>
    <w:p>
      <w:pPr>
        <w:spacing w:after="0" w:line="12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debt securities of a series may be issued in whole or in part in book-entry form and will be represented by one or more fully registered global securities. We will deposit any registered global securities with a depositary or with a nominee for a depositary identified in the applicable prospectus supplement and registered in the name of such depositary or nominee. In such case, we will issue one or more registered global securities denominated in an amount equal to the aggregate principal amount of all of the debt securities of the series to be issued and represented by such registered global security or securities. This means that we will not issue certificates to each holder.</w:t>
      </w:r>
    </w:p>
    <w:p>
      <w:pPr>
        <w:spacing w:after="0" w:line="80"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Unless and until it is exchanged in whole or in part for debt securities in definitive registered form, a registered global security may not be transferred except as a whole:</w:t>
      </w:r>
    </w:p>
    <w:p>
      <w:pPr>
        <w:spacing w:after="0" w:line="62"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by the depositary for the registered global security to its nominee;</w:t>
      </w:r>
    </w:p>
    <w:p>
      <w:pPr>
        <w:spacing w:after="0" w:line="184" w:lineRule="exact"/>
        <w:rPr>
          <w:rFonts w:ascii="Arial" w:cs="Arial" w:eastAsia="Arial" w:hAnsi="Arial"/>
          <w:sz w:val="18"/>
          <w:szCs w:val="18"/>
          <w:color w:val="auto"/>
        </w:rPr>
      </w:pPr>
    </w:p>
    <w:p>
      <w:pPr>
        <w:ind w:left="1160" w:hanging="504"/>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by a nominee of the depositary to the depositary or another nominee of the depositary; or</w:t>
      </w:r>
    </w:p>
    <w:p>
      <w:pPr>
        <w:spacing w:after="0" w:line="184" w:lineRule="exact"/>
        <w:rPr>
          <w:rFonts w:ascii="Arial" w:cs="Arial" w:eastAsia="Arial" w:hAnsi="Arial"/>
          <w:sz w:val="18"/>
          <w:szCs w:val="18"/>
          <w:color w:val="auto"/>
        </w:rPr>
      </w:pPr>
    </w:p>
    <w:p>
      <w:pPr>
        <w:ind w:left="1160" w:hanging="504"/>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by the depositary or its nominee to a successor of the depositary or a nominee of the successor.</w:t>
      </w:r>
    </w:p>
    <w:p>
      <w:pPr>
        <w:spacing w:after="0" w:line="18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prospectus supplement relating to a series of debt securities will describe the specific terms of the depositary arrangement involving any portion of the series represented by a registered global security. We anticipate that the following provisions will apply to all depositary arrangements for debt securities:</w:t>
      </w:r>
    </w:p>
    <w:p>
      <w:pPr>
        <w:spacing w:after="0" w:line="73" w:lineRule="exact"/>
        <w:rPr>
          <w:sz w:val="20"/>
          <w:szCs w:val="20"/>
          <w:color w:val="auto"/>
        </w:rPr>
      </w:pPr>
    </w:p>
    <w:p>
      <w:pPr>
        <w:ind w:left="980" w:right="420" w:hanging="324"/>
        <w:spacing w:after="0" w:line="342" w:lineRule="auto"/>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ownership of beneficial interests in a registered global security will be limited to persons that have accounts with the depositary for such registered global security, these persons being referred to as “participants,” or persons that may hold interests through participants;</w:t>
      </w:r>
    </w:p>
    <w:p>
      <w:pPr>
        <w:spacing w:after="0" w:line="83" w:lineRule="exact"/>
        <w:rPr>
          <w:rFonts w:ascii="Arial" w:cs="Arial" w:eastAsia="Arial" w:hAnsi="Arial"/>
          <w:sz w:val="16"/>
          <w:szCs w:val="16"/>
          <w:color w:val="auto"/>
        </w:rPr>
      </w:pPr>
    </w:p>
    <w:p>
      <w:pPr>
        <w:ind w:left="980" w:right="20" w:hanging="324"/>
        <w:spacing w:after="0" w:line="264"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upon the issuance of a registered global security, the depositary for the registered global security will credit, on its book-entry registration and transfer system, the participants’ accounts with the respective principal amounts of the debt securities represented by the registered global security beneficially owned by the participants;</w:t>
      </w:r>
    </w:p>
    <w:p>
      <w:pPr>
        <w:spacing w:after="0" w:line="140" w:lineRule="exact"/>
        <w:rPr>
          <w:rFonts w:ascii="Arial" w:cs="Arial" w:eastAsia="Arial" w:hAnsi="Arial"/>
          <w:sz w:val="18"/>
          <w:szCs w:val="18"/>
          <w:color w:val="auto"/>
        </w:rPr>
      </w:pPr>
    </w:p>
    <w:p>
      <w:pPr>
        <w:ind w:left="1160" w:hanging="504"/>
        <w:spacing w:after="0"/>
        <w:tabs>
          <w:tab w:leader="none" w:pos="11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dealers, underwriters, or agents participating in the distribution of the debt securities will designate the accounts to be credited; and</w:t>
      </w:r>
    </w:p>
    <w:p>
      <w:pPr>
        <w:spacing w:after="0" w:line="196" w:lineRule="exact"/>
        <w:rPr>
          <w:rFonts w:ascii="Arial" w:cs="Arial" w:eastAsia="Arial" w:hAnsi="Arial"/>
          <w:sz w:val="17"/>
          <w:szCs w:val="17"/>
          <w:color w:val="auto"/>
        </w:rPr>
      </w:pPr>
    </w:p>
    <w:p>
      <w:pPr>
        <w:ind w:left="980" w:right="180" w:hanging="324"/>
        <w:spacing w:after="0" w:line="264"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ownership of beneficial interest in the registered global security will be shown on, and the transfer of the ownership interest will be effected only through, records maintained by the depositary for the registered global security for interests of participants, and on the records of participants for interests of persons holding through participants.</w:t>
      </w:r>
    </w:p>
    <w:p>
      <w:pPr>
        <w:spacing w:after="0" w:line="14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laws of some states may require that specified purchasers of securities take physical delivery of the securities in definitive form. These laws may limit the ability of those persons to own, transfer or pledge beneficial interests in registered global securities.</w:t>
      </w:r>
    </w:p>
    <w:p>
      <w:pPr>
        <w:spacing w:after="0" w:line="62"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So long as the depositary for a registered global security, or its nominee, is the registered owner of the registered global security, the depositary or such nominee, as the case may be, will be considered the sole owner or holder of the debt securities represented by the registered global security for all purposes under the indenture. Except as stated below, owners of beneficial interests in a registered global security:</w:t>
      </w:r>
    </w:p>
    <w:p>
      <w:pPr>
        <w:spacing w:after="0" w:line="57" w:lineRule="exact"/>
        <w:rPr>
          <w:sz w:val="20"/>
          <w:szCs w:val="20"/>
          <w:color w:val="auto"/>
        </w:rPr>
      </w:pPr>
    </w:p>
    <w:p>
      <w:pPr>
        <w:ind w:left="1160" w:hanging="504"/>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will not be entitled to have the debt securities represented by a registered global security registered in their names;</w:t>
      </w:r>
    </w:p>
    <w:p>
      <w:pPr>
        <w:spacing w:after="0" w:line="184" w:lineRule="exact"/>
        <w:rPr>
          <w:rFonts w:ascii="Arial" w:cs="Arial" w:eastAsia="Arial" w:hAnsi="Arial"/>
          <w:sz w:val="18"/>
          <w:szCs w:val="18"/>
          <w:color w:val="auto"/>
        </w:rPr>
      </w:pPr>
    </w:p>
    <w:p>
      <w:pPr>
        <w:ind w:left="1160" w:hanging="504"/>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delivery of the debt securities in the definitive form; and</w:t>
      </w:r>
    </w:p>
    <w:p>
      <w:pPr>
        <w:spacing w:after="0" w:line="184" w:lineRule="exact"/>
        <w:rPr>
          <w:rFonts w:ascii="Arial" w:cs="Arial" w:eastAsia="Arial" w:hAnsi="Arial"/>
          <w:sz w:val="18"/>
          <w:szCs w:val="18"/>
          <w:color w:val="auto"/>
        </w:rPr>
      </w:pPr>
    </w:p>
    <w:p>
      <w:pPr>
        <w:ind w:left="1160" w:hanging="504"/>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debt securities under the relevant indenture.</w:t>
      </w:r>
    </w:p>
    <w:p>
      <w:pPr>
        <w:spacing w:after="0" w:line="18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Accordingly, each person owning a beneficial interest in a registered global security must rely on the procedures of the depositary for the registered global security and, if the person is not a participant, on the procedures of a participant through which the person owns its interest, to exercise any rights of a holder under the indenture.</w:t>
      </w:r>
    </w:p>
    <w:p>
      <w:pPr>
        <w:spacing w:after="0" w:line="73"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the action, and the participants would authorize beneficial owners owning through the participants to give or take the action or would otherwise act upon the instructions of beneficial owners holding through them.</w:t>
      </w:r>
    </w:p>
    <w:p>
      <w:pPr>
        <w:spacing w:after="0" w:line="28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368" w:right="259" w:bottom="1440" w:gutter="0" w:footer="0" w:header="0"/>
        </w:sectPr>
      </w:pPr>
    </w:p>
    <w:bookmarkStart w:id="15" w:name="page16"/>
    <w:bookmarkEnd w:id="15"/>
    <w:p>
      <w:pPr>
        <w:ind w:right="40" w:firstLine="648"/>
        <w:spacing w:after="0" w:line="257" w:lineRule="auto"/>
        <w:rPr>
          <w:sz w:val="20"/>
          <w:szCs w:val="20"/>
          <w:color w:val="auto"/>
        </w:rPr>
      </w:pPr>
      <w:r>
        <w:rPr>
          <w:rFonts w:ascii="Arial" w:cs="Arial" w:eastAsia="Arial" w:hAnsi="Arial"/>
          <w:sz w:val="18"/>
          <w:szCs w:val="18"/>
          <w:color w:val="auto"/>
        </w:rPr>
        <w:t>We will make payments of principal and premium, if any, and interest, if any, on debt securities represented by a registered global security registered in the name of a depositary or its nominee to the depositary or its nominee, as the case may be, as the registered owners of the registered global security. Neither we nor the trustee, or any other agent of ours or the trustee will be responsible or liable for any aspect of the records relating to, or payments made on account of, beneficial ownership interests in the registered global security or for maintaining, supervising or reviewing any records relating to the beneficial ownership interests.</w:t>
      </w:r>
    </w:p>
    <w:p>
      <w:pPr>
        <w:spacing w:after="0" w:line="8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expect that the depositary for any debt securities represented by a registered global security, upon receipt of any payments of principal and premium, if any, and interest, if any, in respect of the registered global security, will immediately credit participants’ accounts with payments in amounts proportionate to their respective beneficial interests in the registered global security as shown on the records of the depositary. We also expect that standing customer instructions and customary practices will govern payments by participants to owners of beneficial interests in the registered global security held through the participants, as is now the case with the securities held for the accounts of customers in bearer form or registered in “street name.” We also expect that any of these payments will be the responsibility of the participants.</w:t>
      </w:r>
    </w:p>
    <w:p>
      <w:pPr>
        <w:spacing w:after="0" w:line="8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If the depositary for any debt securities represented by a registered global security is at any time unwilling or unable to continue as depositary or stops being a clearing agency registered under the Securities Exchange Act of 1934, as amended, or the Exchange Act, we will appoint an eligible successor depositary. If we fail to appoint an eligible successor depositary within 90 days, we will issue the debt securities in definitive form in exchange for the registered global security. In addition, we may at any time and in our sole discretion decide not to have any of the debt securities of a series represented by one or more registered global securities. In that event, we will issue debt securities of the series in a definitive form in exchange for all of the registered global securities representing the debt securities. The trustee will register any debt securities issued in definitive form in exchange for a registered global security in the name or names as the depositary, based upon instructions from its participants, shall instruct the trustee.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indenture provides that there may be more than one trustee under the indenture, each for one or more series of debt securities. If there are different trustees for different series of debt securities, each trustee will be a trustee of a trust under the indenture separate and apart from the trust administered by any other trustee under that indenture. Except as otherwise indicated in this prospectus or any prospectus supplement, any action permitted to be taken by a trustee may be taken by such trustee only on the one or more series of debt securities for which it is the trustee under the indenture. Any trustee under the indenture may resign or be removed from one or more series of debt securities. All payments of principal of, and any premium and interest on, and all registration, transfer, exchange, authentication and delivery of, the debt securities of a series will be effected by the trustee for that series at an office designated by the trustee in New York, New York.</w:t>
      </w:r>
    </w:p>
    <w:p>
      <w:pPr>
        <w:spacing w:after="0" w:line="81"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The indenture provides that, except during the continuance of an event of default, the trustee will perform only such duties as are specifically set forth in the indenture. During the existence of an event of default, the trustee will exercise those rights and powers vested in it under the indenture and use the same degree of care and skill in its exercise as a prudent person would exercise under the circumstances in the conduct of such person’s own affairs.</w:t>
      </w:r>
    </w:p>
    <w:p>
      <w:pPr>
        <w:spacing w:after="0" w:line="39"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If the trustee becomes a creditor of ours, the indenture places limitations on the right of the trustee to obtain payment of claims or to realize on property received in respect of any such claim as security or otherwise. The trustee may engage in other transactions. If it acquires any conflicting interest relating to any duties concerning the debt securities, however, it must eliminate the conflict or resign as trustee.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Individual Liability of Incorporators, Stockholders, Officers or Directors</w:t>
      </w:r>
    </w:p>
    <w:p>
      <w:pPr>
        <w:spacing w:after="0" w:line="121"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indenture provides that no past, present or future director, officer, stockholder or employee of ours, any of our affiliates, or any successor corporation, in their capacity as such, shall have any individual liability for any of our obligations, covenants or agreements under the debt securities or the indenture.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27" w:lineRule="exact"/>
        <w:rPr>
          <w:sz w:val="20"/>
          <w:szCs w:val="20"/>
          <w:color w:val="auto"/>
        </w:rPr>
      </w:pPr>
    </w:p>
    <w:p>
      <w:pPr>
        <w:ind w:right="20" w:firstLine="648"/>
        <w:spacing w:after="0" w:line="292" w:lineRule="auto"/>
        <w:rPr>
          <w:sz w:val="20"/>
          <w:szCs w:val="20"/>
          <w:color w:val="auto"/>
        </w:rPr>
      </w:pPr>
      <w:r>
        <w:rPr>
          <w:rFonts w:ascii="Arial" w:cs="Arial" w:eastAsia="Arial" w:hAnsi="Arial"/>
          <w:sz w:val="16"/>
          <w:szCs w:val="16"/>
          <w:color w:val="auto"/>
        </w:rPr>
        <w:t>We may issue warrants for the purchase of common stock, preferred stock, debt securities, or any combination thereof. We may issue warrants independently or together with any other securities offered by any prospectus supplement and may be attached to or separate from the other offered securities. Each series of warrants may be issued under a separate warrant agreement to be entered into by us with a warrant agent. The applicable warrant agent will act solely as our agent in connection with the warrants and will not assume any obligation or relationship of agency or trust for or with any holders or beneficial owners of warrants. Further terms of the warrants and the applicable warrant agreements will be set forth in the applicable prospectus supplement.</w:t>
      </w:r>
    </w:p>
    <w:p>
      <w:pPr>
        <w:spacing w:after="0" w:line="5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applicable prospectus supplement relating to any particular issue of warrants will describe the terms of the warrants, including, as applicable, the following:</w:t>
      </w:r>
    </w:p>
    <w:p>
      <w:pPr>
        <w:spacing w:after="0" w:line="30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368" w:right="259" w:bottom="1440" w:gutter="0" w:footer="0" w:header="0"/>
        </w:sectPr>
      </w:pPr>
    </w:p>
    <w:bookmarkStart w:id="16" w:name="page17"/>
    <w:bookmarkEnd w:id="16"/>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price or prices at which the warrants will be issued;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designation, terms and number of shares of common stock, preferred stock or debt securities purchasable upon exercise of the warrants;</w:t>
      </w:r>
    </w:p>
    <w:p>
      <w:pPr>
        <w:spacing w:after="0" w:line="207" w:lineRule="exact"/>
        <w:rPr>
          <w:rFonts w:ascii="Arial" w:cs="Arial" w:eastAsia="Arial" w:hAnsi="Arial"/>
          <w:sz w:val="16"/>
          <w:szCs w:val="16"/>
          <w:color w:val="auto"/>
        </w:rPr>
      </w:pPr>
    </w:p>
    <w:p>
      <w:pPr>
        <w:ind w:left="980" w:right="14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designation and terms of the offered securities, if any, with which the warrants are issued and the number of the warrants issued with each offered security;</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date, if any, on and after which the warrants and the related common stock, preferred stock or debt securities will be separately transferable;</w:t>
      </w:r>
    </w:p>
    <w:p>
      <w:pPr>
        <w:spacing w:after="0" w:line="207" w:lineRule="exact"/>
        <w:rPr>
          <w:rFonts w:ascii="Arial" w:cs="Arial" w:eastAsia="Arial" w:hAnsi="Arial"/>
          <w:sz w:val="16"/>
          <w:szCs w:val="16"/>
          <w:color w:val="auto"/>
        </w:rPr>
      </w:pPr>
    </w:p>
    <w:p>
      <w:pPr>
        <w:ind w:left="980" w:hanging="324"/>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price at which each share of common stock, preferred stock or debt securities purchasable upon exercise of the warrants may be purchased;</w:t>
      </w:r>
    </w:p>
    <w:p>
      <w:pPr>
        <w:spacing w:after="0" w:line="207" w:lineRule="exact"/>
        <w:rPr>
          <w:rFonts w:ascii="Arial" w:cs="Arial" w:eastAsia="Arial" w:hAnsi="Arial"/>
          <w:sz w:val="16"/>
          <w:szCs w:val="16"/>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shall commence and the date on which that right shall expire;</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minimum or maximum amount of the warrants which may be exercised at any one time;</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terms of the warrants, including terms, procedures and limitations relating to the exchange and exercise of the warrants.</w:t>
      </w:r>
    </w:p>
    <w:p>
      <w:pPr>
        <w:spacing w:after="0" w:line="18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and the applicable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SUBSCRIPTION RIGHTS</w:t>
      </w:r>
    </w:p>
    <w:p>
      <w:pPr>
        <w:spacing w:after="0" w:line="2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may issue subscription rights to purchase common stock or preferred stock. This prospectus and any accompanying prospectus supplement will contain the material terms and conditions for each subscription right. The accompanying prospectus supplement may add, update or change the terms and conditions of the subscription rights as described in this prospectus.</w:t>
      </w:r>
    </w:p>
    <w:p>
      <w:pPr>
        <w:spacing w:after="0" w:line="82"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We will describe in the applicable prospectus supplement the terms and conditions of the issue of subscription rights being offered, the subscription rights agreement relating to the subscription rights and the subscription rights certificates representing the subscription rights, including, as applicable:</w:t>
      </w:r>
    </w:p>
    <w:p>
      <w:pPr>
        <w:spacing w:after="0" w:line="16"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title of the subscription rights;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of determining the stockholders entitled to the subscription rights distribution;</w:t>
      </w:r>
    </w:p>
    <w:p>
      <w:pPr>
        <w:spacing w:after="0" w:line="184" w:lineRule="exact"/>
        <w:rPr>
          <w:rFonts w:ascii="Arial" w:cs="Arial" w:eastAsia="Arial" w:hAnsi="Arial"/>
          <w:sz w:val="18"/>
          <w:szCs w:val="18"/>
          <w:color w:val="auto"/>
        </w:rPr>
      </w:pPr>
    </w:p>
    <w:p>
      <w:pPr>
        <w:ind w:left="1160" w:hanging="504"/>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title, aggregate number of shares of common stock or preferred stock purchasable upon exercise of the subscription rights;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aggregate number of subscription rights issued;</w:t>
      </w:r>
    </w:p>
    <w:p>
      <w:pPr>
        <w:spacing w:after="0" w:line="184" w:lineRule="exact"/>
        <w:rPr>
          <w:rFonts w:ascii="Arial" w:cs="Arial" w:eastAsia="Arial" w:hAnsi="Arial"/>
          <w:sz w:val="18"/>
          <w:szCs w:val="18"/>
          <w:color w:val="auto"/>
        </w:rPr>
      </w:pPr>
    </w:p>
    <w:p>
      <w:pPr>
        <w:ind w:left="1160" w:hanging="504"/>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if any, on and after which the subscription rights will be separately transferable;</w:t>
      </w:r>
    </w:p>
    <w:p>
      <w:pPr>
        <w:spacing w:after="0" w:line="184" w:lineRule="exact"/>
        <w:rPr>
          <w:rFonts w:ascii="Arial" w:cs="Arial" w:eastAsia="Arial" w:hAnsi="Arial"/>
          <w:sz w:val="18"/>
          <w:szCs w:val="18"/>
          <w:color w:val="auto"/>
        </w:rPr>
      </w:pPr>
    </w:p>
    <w:p>
      <w:pPr>
        <w:ind w:left="980" w:right="180" w:hanging="324"/>
        <w:spacing w:after="0" w:line="277"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on which the subscription right to exercise the subscription rights will commence and the date on which the subscription right will expire; and</w:t>
      </w:r>
    </w:p>
    <w:p>
      <w:pPr>
        <w:spacing w:after="0" w:line="129" w:lineRule="exact"/>
        <w:rPr>
          <w:rFonts w:ascii="Arial" w:cs="Arial" w:eastAsia="Arial" w:hAnsi="Arial"/>
          <w:sz w:val="18"/>
          <w:szCs w:val="18"/>
          <w:color w:val="auto"/>
        </w:rPr>
      </w:pPr>
    </w:p>
    <w:p>
      <w:pPr>
        <w:ind w:left="980" w:right="160" w:hanging="324"/>
        <w:spacing w:after="0" w:line="277"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terms of the subscription rights, including terms, procedures and limitations relating to the distribution, exchange and exercise of the subscription rights.</w:t>
      </w:r>
    </w:p>
    <w:p>
      <w:pPr>
        <w:spacing w:after="0" w:line="37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20"/>
          </w:cols>
          <w:pgMar w:left="240" w:top="368" w:right="339" w:bottom="1440" w:gutter="0" w:footer="0" w:header="0"/>
        </w:sectPr>
      </w:pPr>
    </w:p>
    <w:bookmarkStart w:id="17" w:name="page18"/>
    <w:bookmarkEnd w:id="17"/>
    <w:p>
      <w:pPr>
        <w:ind w:right="20" w:firstLine="648"/>
        <w:spacing w:after="0" w:line="259" w:lineRule="auto"/>
        <w:rPr>
          <w:sz w:val="20"/>
          <w:szCs w:val="20"/>
          <w:color w:val="auto"/>
        </w:rPr>
      </w:pPr>
      <w:r>
        <w:rPr>
          <w:rFonts w:ascii="Arial" w:cs="Arial" w:eastAsia="Arial" w:hAnsi="Arial"/>
          <w:sz w:val="18"/>
          <w:szCs w:val="18"/>
          <w:color w:val="auto"/>
        </w:rPr>
        <w:t>Each subscription right will entitle the holder of subscription rights to purchase for cash the principal amount of shares of common stock or preferred stock at the exercise price provided in the applicable prospectus supplement. Subscription rights may be exercised at any time up to the close of business on the expiration date for the subscription rights provided in the applicable prospectus supplement. After the close of business on the expiration date, all unexercised subscription rights will be void.</w:t>
      </w:r>
    </w:p>
    <w:p>
      <w:pPr>
        <w:spacing w:after="0" w:line="79"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Holders may exercise subscription rights as described in the applicable prospectus supplement. Upon receipt of payment and the subscription rights certificate properly completed and duly executed at the corporate trust office of the subscription rights agent or any other office indicated in the prospectus supplement, we will, as soon as practicable, forward the shares of common stock or preferred stock purchasable upon exercise of the subscription rights. If less than all of the subscription rights issued in any subscription rights offering are exercised, we may offer any unsubscribed securities directly to persons other than stockholders, to or through agents, underwriters or dealers or through a combination of such methods, including pursuant to standby underwriting arrangements, as described in the applicable prospectus supplement.</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UNITS</w:t>
      </w:r>
    </w:p>
    <w:p>
      <w:pPr>
        <w:spacing w:after="0" w:line="2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may issue units consisting of some or all of the securities described above, in any combination, including common stock, preferred stock, warrants and/or debt securities. The terms of these units will be set forth in a prospectus supplement. The description of the terms of these units in the related prospectus supplement will not be complete. You should refer to the applicable form of unit and unit agreement for complete information with respect to these units.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SECURITYHOLDERS</w:t>
      </w:r>
    </w:p>
    <w:p>
      <w:pPr>
        <w:spacing w:after="0" w:line="27" w:lineRule="exact"/>
        <w:rPr>
          <w:sz w:val="20"/>
          <w:szCs w:val="20"/>
          <w:color w:val="auto"/>
        </w:rPr>
      </w:pPr>
    </w:p>
    <w:p>
      <w:pPr>
        <w:ind w:right="420" w:firstLine="648"/>
        <w:spacing w:after="0" w:line="254" w:lineRule="auto"/>
        <w:rPr>
          <w:sz w:val="20"/>
          <w:szCs w:val="20"/>
          <w:color w:val="auto"/>
        </w:rPr>
      </w:pPr>
      <w:r>
        <w:rPr>
          <w:rFonts w:ascii="Arial" w:cs="Arial" w:eastAsia="Arial" w:hAnsi="Arial"/>
          <w:sz w:val="18"/>
          <w:szCs w:val="18"/>
          <w:color w:val="auto"/>
        </w:rPr>
        <w:t>Selling securityholders are persons or entities that, directly or indirectly, have acquired, or will from time to time acquire from us, our common stock. If the registration statement of which this prospectus forms a part is used by selling securityholders for the resale of any securities registered thereunder, information about such selling securityholders, their beneficial ownership of our securities and their relationship with us will be set forth in a prospectus supplement.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7" w:lineRule="exact"/>
        <w:rPr>
          <w:sz w:val="20"/>
          <w:szCs w:val="20"/>
          <w:color w:val="auto"/>
        </w:rPr>
      </w:pPr>
    </w:p>
    <w:p>
      <w:pPr>
        <w:ind w:right="80" w:firstLine="648"/>
        <w:spacing w:after="0" w:line="277" w:lineRule="auto"/>
        <w:rPr>
          <w:sz w:val="20"/>
          <w:szCs w:val="20"/>
          <w:color w:val="auto"/>
        </w:rPr>
      </w:pPr>
      <w:r>
        <w:rPr>
          <w:rFonts w:ascii="Arial" w:cs="Arial" w:eastAsia="Arial" w:hAnsi="Arial"/>
          <w:sz w:val="17"/>
          <w:szCs w:val="17"/>
          <w:color w:val="auto"/>
        </w:rPr>
        <w:t>We or selling securityholders may sell the securities offered by this prospectus to one or more underwriters or dealers for public offering and sale by them or to investors directly or through agents. The accompanying prospectus supplement will set forth the terms of the offering and the method of distribution and will identify any firms acting as underwriters, dealers or agents in connection with the offering, including:</w:t>
      </w:r>
    </w:p>
    <w:p>
      <w:pPr>
        <w:spacing w:after="0" w:line="65"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applicable, the names of any selling securityholders;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to us or the selling securityholders from the sale;</w:t>
      </w:r>
    </w:p>
    <w:p>
      <w:pPr>
        <w:spacing w:after="0" w:line="184" w:lineRule="exact"/>
        <w:rPr>
          <w:rFonts w:ascii="Arial" w:cs="Arial" w:eastAsia="Arial" w:hAnsi="Arial"/>
          <w:sz w:val="18"/>
          <w:szCs w:val="18"/>
          <w:color w:val="auto"/>
        </w:rPr>
      </w:pPr>
    </w:p>
    <w:p>
      <w:pPr>
        <w:ind w:left="1160" w:hanging="504"/>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underwriting discounts and other items constituting compensation to underwriters, dealers or agents;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84" w:lineRule="exact"/>
        <w:rPr>
          <w:rFonts w:ascii="Arial" w:cs="Arial" w:eastAsia="Arial" w:hAnsi="Arial"/>
          <w:sz w:val="18"/>
          <w:szCs w:val="18"/>
          <w:color w:val="auto"/>
        </w:rPr>
      </w:pPr>
    </w:p>
    <w:p>
      <w:pPr>
        <w:ind w:left="1160" w:hanging="504"/>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offered in the prospectus supplement may be listed.</w:t>
      </w:r>
    </w:p>
    <w:p>
      <w:pPr>
        <w:spacing w:after="0" w:line="18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Only those underwriters identified in such prospectus supplement are deemed to be underwriters in connection with the securities offered in the prospectus supplement. We or selling securityholders may directly solicit offers to purchase the securities being offered by this prospectus. We or selling securityholders may also designate agents to solicit offers to purchase the securities from time to time. We or selling securityholders will name in a prospectus supplement any agent involved in the offer or sale of our securities. Unless otherwise indicated in a prospectus supplement, an agent will be acting on a best efforts basis, and a dealer will purchase securities as a principal for resale at varying prices to be determined by the dealer.</w:t>
      </w:r>
    </w:p>
    <w:p>
      <w:pPr>
        <w:spacing w:after="0" w:line="64"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distribution of the securities may be effected from time to time in one or more transactions at a fixed price or prices, which may be changed, or at prices determined as the applicable prospectus supplement specifies. The securities may be sold through an at-the-market offering, a subscription rights offering, forward contracts or similar arrangements. In addition, we or selling securityholders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selling securityholders or borrowed from us or selling securityholders or others to settle those sales or to close out any related open borrowings of stock, and may use securities received</w:t>
      </w:r>
    </w:p>
    <w:p>
      <w:pPr>
        <w:spacing w:after="0" w:line="30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18" w:name="page19"/>
    <w:bookmarkEnd w:id="18"/>
    <w:p>
      <w:pPr>
        <w:ind w:right="40"/>
        <w:spacing w:after="0" w:line="257" w:lineRule="auto"/>
        <w:rPr>
          <w:sz w:val="20"/>
          <w:szCs w:val="20"/>
          <w:color w:val="auto"/>
        </w:rPr>
      </w:pPr>
      <w:r>
        <w:rPr>
          <w:rFonts w:ascii="Arial" w:cs="Arial" w:eastAsia="Arial" w:hAnsi="Arial"/>
          <w:sz w:val="18"/>
          <w:szCs w:val="18"/>
          <w:color w:val="auto"/>
        </w:rPr>
        <w:t>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or selling securityholders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8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connection with the sale of the securities, underwriters, dealers or agents may be deemed to have received compensation from us or selling securityholders in the form of underwriting discounts or commissions and also may receive commissions from securities purchasers for whom they may act as agent. Underwriters may sell the securities to or through dealers, and the dealers may receive compensation in the form of discounts, concessions or commissions from the underwriters or commissions from the purchasers for whom they may act as agent.</w:t>
      </w:r>
    </w:p>
    <w:p>
      <w:pPr>
        <w:spacing w:after="0" w:line="79" w:lineRule="exact"/>
        <w:rPr>
          <w:sz w:val="20"/>
          <w:szCs w:val="20"/>
          <w:color w:val="auto"/>
        </w:rPr>
      </w:pPr>
    </w:p>
    <w:p>
      <w:pPr>
        <w:ind w:right="280" w:firstLine="648"/>
        <w:spacing w:after="0" w:line="271" w:lineRule="auto"/>
        <w:rPr>
          <w:sz w:val="20"/>
          <w:szCs w:val="20"/>
          <w:color w:val="auto"/>
        </w:rPr>
      </w:pPr>
      <w:r>
        <w:rPr>
          <w:rFonts w:ascii="Arial" w:cs="Arial" w:eastAsia="Arial" w:hAnsi="Arial"/>
          <w:sz w:val="17"/>
          <w:szCs w:val="17"/>
          <w:color w:val="auto"/>
        </w:rPr>
        <w:t>We or selling securityholders will provide in the applicable prospectus supplement information regarding any underwriting discounts or other compensation that we or selling securityholders pay to underwriters or agents in connection with the securities offering, and any discounts, concessions or commissions that underwriters allow to dealers. Underwriters, dealers, agents and selling securityholders participating in the securities distribution may be deemed to be underwriters, and any discounts, commissions or concessions they receive and any profit they realize on the resale of the securities may be deemed to be underwriting discounts and commissions under the Securities Act. Underwriters and their controlling persons, dealers and agents may be entitled, under agreements entered into with us or selling securityholders, to indemnification against and contribution toward specific civil liabilities, including liabilities under the Securities Act. Some of the underwriters, dealers or agents who participate in the securities distribution may engage in other transactions with, and perform other services for, us in the ordinary course of business.</w:t>
      </w:r>
    </w:p>
    <w:p>
      <w:pPr>
        <w:spacing w:after="0" w:line="7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common stock is currently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7" w:lineRule="exact"/>
        <w:rPr>
          <w:sz w:val="20"/>
          <w:szCs w:val="20"/>
          <w:color w:val="auto"/>
        </w:rPr>
      </w:pPr>
    </w:p>
    <w:p>
      <w:pPr>
        <w:ind w:right="400" w:firstLine="648"/>
        <w:spacing w:after="0" w:line="290" w:lineRule="auto"/>
        <w:rPr>
          <w:sz w:val="20"/>
          <w:szCs w:val="20"/>
          <w:color w:val="auto"/>
        </w:rPr>
      </w:pPr>
      <w:r>
        <w:rPr>
          <w:rFonts w:ascii="Arial" w:cs="Arial" w:eastAsia="Arial" w:hAnsi="Arial"/>
          <w:sz w:val="17"/>
          <w:szCs w:val="17"/>
          <w:color w:val="auto"/>
        </w:rPr>
        <w:t>The validity of any securities offered by this prospectus will be passed upon for us by Fenwick &amp; West LLP, San Francisco and Mountain View, California. Counsel representing any underwriters, dealers or agents will be named in the applicable prospectus supplement.</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Ernst &amp; Young LLP, independent registered public accounting firm, has audited our financial statements included in our Annual Report on Form 10-K for the year ended December 31, 2018, and the effectiveness of our internal control over financial reporting as of December 31, 2018,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7"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We have filed with the SEC a registration statement on Form S-3 under the Securities Act with respect to the securities offered hereby. This prospectus, which constitutes a part of the registration statement, does not contain all of the information set forth in the registration statement, the exhibits filed therewith or the documents incorporated by reference therein. For further information about us and the securities offered hereby, reference is made to the registration statement, the exhibits filed therewith and the documents incorporated by reference therein.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The SEC maintains a website that contains reports, proxy and information statements and other information regarding registrants that file electronically with the SEC. The address of the website is www.sec.gov.</w:t>
      </w:r>
    </w:p>
    <w:p>
      <w:pPr>
        <w:spacing w:after="0" w:line="84"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We are subject to the information and reporting requirements of the Exchange Act, and, in accordance with this law, file periodic reports and other information with the SEC. These periodic reports and other information are available for inspection and copying at the SEC’s public reference facilities and the website of the SEC referred to above. We also maintain a website at</w:t>
      </w:r>
    </w:p>
    <w:p>
      <w:pPr>
        <w:spacing w:after="0" w:line="31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8" w:right="239" w:bottom="1440" w:gutter="0" w:footer="0" w:header="0"/>
        </w:sectPr>
      </w:pPr>
    </w:p>
    <w:bookmarkStart w:id="19" w:name="page20"/>
    <w:bookmarkEnd w:id="19"/>
    <w:p>
      <w:pPr>
        <w:spacing w:after="0" w:line="264" w:lineRule="auto"/>
        <w:rPr>
          <w:sz w:val="20"/>
          <w:szCs w:val="20"/>
          <w:color w:val="auto"/>
        </w:rPr>
      </w:pPr>
      <w:r>
        <w:rPr>
          <w:rFonts w:ascii="Arial" w:cs="Arial" w:eastAsia="Arial" w:hAnsi="Arial"/>
          <w:sz w:val="18"/>
          <w:szCs w:val="18"/>
          <w:color w:val="auto"/>
        </w:rPr>
        <w:t>www.veracyte.com.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OF INFORMATION BY REFERENCE</w:t>
      </w:r>
    </w:p>
    <w:p>
      <w:pPr>
        <w:spacing w:after="0" w:line="27"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The SEC permits us to “incorporate by reference” the information contained in documents we file with the SEC, which means that we can disclose important information to you by referring you to those documents rather than by including them in this prospectus. Information that is incorporated by reference is considered to be part of this prospectus and you should read it with the same care that you read this prospectus. Later information that we file with the SEC will automatically update and supersede the information that is either contained, or incorporated by reference, in this prospectus, and will be considered to be a part of this prospectus from the date those documents are filed. We have filed with the SEC, and incorporate by reference in this prospectus:</w:t>
      </w:r>
    </w:p>
    <w:p>
      <w:pPr>
        <w:spacing w:after="0" w:line="86"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year ended December 31, 2018, filed with the SEC on </w:t>
      </w:r>
      <w:hyperlink r:id="rId12">
        <w:r>
          <w:rPr>
            <w:rFonts w:ascii="Arial" w:cs="Arial" w:eastAsia="Arial" w:hAnsi="Arial"/>
            <w:sz w:val="18"/>
            <w:szCs w:val="18"/>
            <w:u w:val="single" w:color="auto"/>
            <w:color w:val="0000EE"/>
          </w:rPr>
          <w:t>February 25, 2019</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our Annual Report on Form 10-K for the year ended December 31, 2018 from our definitive proxy statement on Schedule 14A, which was filed with the SEC on </w:t>
      </w:r>
      <w:hyperlink r:id="rId13">
        <w:r>
          <w:rPr>
            <w:rFonts w:ascii="Arial" w:cs="Arial" w:eastAsia="Arial" w:hAnsi="Arial"/>
            <w:sz w:val="18"/>
            <w:szCs w:val="18"/>
            <w:u w:val="single" w:color="auto"/>
            <w:color w:val="0000EE"/>
          </w:rPr>
          <w:t>April 24, 2019</w:t>
        </w:r>
      </w:hyperlink>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our Quarterly Report on Form 10-Q for the quarter ended March 31, 2019, filed with the SEC on </w:t>
      </w:r>
      <w:hyperlink r:id="rId14">
        <w:r>
          <w:rPr>
            <w:rFonts w:ascii="Arial" w:cs="Arial" w:eastAsia="Arial" w:hAnsi="Arial"/>
            <w:sz w:val="18"/>
            <w:szCs w:val="18"/>
            <w:u w:val="single" w:color="auto"/>
            <w:color w:val="0000EE"/>
          </w:rPr>
          <w:t>April 30, 2019</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15">
        <w:r>
          <w:rPr>
            <w:rFonts w:ascii="Arial" w:cs="Arial" w:eastAsia="Arial" w:hAnsi="Arial"/>
            <w:sz w:val="18"/>
            <w:szCs w:val="18"/>
            <w:u w:val="single" w:color="auto"/>
            <w:color w:val="0000EE"/>
          </w:rPr>
          <w:t>January 3, 2019</w:t>
        </w:r>
      </w:hyperlink>
      <w:r>
        <w:rPr>
          <w:rFonts w:ascii="Arial" w:cs="Arial" w:eastAsia="Arial" w:hAnsi="Arial"/>
          <w:sz w:val="18"/>
          <w:szCs w:val="18"/>
          <w:color w:val="auto"/>
        </w:rPr>
        <w:t xml:space="preserve">, </w:t>
      </w:r>
      <w:hyperlink r:id="rId16">
        <w:r>
          <w:rPr>
            <w:rFonts w:ascii="Arial" w:cs="Arial" w:eastAsia="Arial" w:hAnsi="Arial"/>
            <w:sz w:val="18"/>
            <w:szCs w:val="18"/>
            <w:u w:val="single" w:color="auto"/>
            <w:color w:val="0000EE"/>
          </w:rPr>
          <w:t>February 26,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7">
        <w:r>
          <w:rPr>
            <w:rFonts w:ascii="Arial" w:cs="Arial" w:eastAsia="Arial" w:hAnsi="Arial"/>
            <w:sz w:val="18"/>
            <w:szCs w:val="18"/>
            <w:u w:val="single" w:color="auto"/>
            <w:color w:val="0000EE"/>
          </w:rPr>
          <w:t>April 26, 2019</w:t>
        </w:r>
      </w:hyperlink>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Form 8-A filed on </w:t>
      </w:r>
      <w:hyperlink r:id="rId18">
        <w:r>
          <w:rPr>
            <w:rFonts w:ascii="Arial" w:cs="Arial" w:eastAsia="Arial" w:hAnsi="Arial"/>
            <w:sz w:val="18"/>
            <w:szCs w:val="18"/>
            <w:u w:val="single" w:color="auto"/>
            <w:color w:val="0000EE"/>
          </w:rPr>
          <w:t>October 28, 2013</w:t>
        </w:r>
      </w:hyperlink>
      <w:r>
        <w:rPr>
          <w:rFonts w:ascii="Arial" w:cs="Arial" w:eastAsia="Arial" w:hAnsi="Arial"/>
          <w:sz w:val="18"/>
          <w:szCs w:val="18"/>
          <w:color w:val="auto"/>
        </w:rPr>
        <w:t>, including any amendment or report filed for the purpose of updating such description.</w:t>
      </w:r>
    </w:p>
    <w:p>
      <w:pPr>
        <w:spacing w:after="0" w:line="346" w:lineRule="exact"/>
        <w:rPr>
          <w:rFonts w:ascii="Arial" w:cs="Arial" w:eastAsia="Arial" w:hAnsi="Arial"/>
          <w:sz w:val="18"/>
          <w:szCs w:val="18"/>
          <w:color w:val="auto"/>
        </w:rPr>
      </w:pPr>
    </w:p>
    <w:p>
      <w:pPr>
        <w:ind w:right="160" w:firstLine="648"/>
        <w:spacing w:after="0" w:line="264" w:lineRule="auto"/>
        <w:rPr>
          <w:sz w:val="20"/>
          <w:szCs w:val="20"/>
          <w:color w:val="auto"/>
        </w:rPr>
      </w:pPr>
      <w:r>
        <w:rPr>
          <w:rFonts w:ascii="Arial" w:cs="Arial" w:eastAsia="Arial" w:hAnsi="Arial"/>
          <w:sz w:val="18"/>
          <w:szCs w:val="18"/>
          <w:color w:val="auto"/>
        </w:rPr>
        <w:t>We also incorporate by reference all additional documents that we file with the SEC under the terms of Section 13(a), 13(c), 14 or 15(d) of the Exchange Act after the date of this prospectus and prior to the termination of the offering of the securities hereunder. We are not, however, incorporating, in each case, any documents or information that we are deemed to furnish and not file in accordance with SEC rules.</w:t>
      </w:r>
    </w:p>
    <w:p>
      <w:pPr>
        <w:spacing w:after="0" w:line="141" w:lineRule="exact"/>
        <w:rPr>
          <w:rFonts w:ascii="Arial" w:cs="Arial" w:eastAsia="Arial" w:hAnsi="Arial"/>
          <w:sz w:val="18"/>
          <w:szCs w:val="18"/>
          <w:color w:val="auto"/>
        </w:rPr>
      </w:pPr>
    </w:p>
    <w:p>
      <w:pPr>
        <w:ind w:right="220" w:firstLine="648"/>
        <w:spacing w:after="0" w:line="259" w:lineRule="auto"/>
        <w:rPr>
          <w:sz w:val="20"/>
          <w:szCs w:val="20"/>
          <w:color w:val="auto"/>
        </w:rPr>
      </w:pPr>
      <w:r>
        <w:rPr>
          <w:rFonts w:ascii="Arial" w:cs="Arial" w:eastAsia="Arial" w:hAnsi="Arial"/>
          <w:sz w:val="18"/>
          <w:szCs w:val="18"/>
          <w:color w:val="auto"/>
        </w:rPr>
        <w:t>You may request a copy of any or all of the documents incorporated by reference but not delivered with this prospectus, at no cost, by writing or telephoning us at the following address and number: Investor Relations, Veracyte, Inc., 6000 Shoreline Court, Suite 300, South San Francisco, California 94080, telephone (650) 243-6300. We will not, however, send exhibits to those documents, unless the exhibits are specifically incorporated by reference in those documents.</w:t>
      </w:r>
    </w:p>
    <w:p>
      <w:pPr>
        <w:spacing w:after="0" w:line="214" w:lineRule="exact"/>
        <w:rPr>
          <w:rFonts w:ascii="Arial" w:cs="Arial" w:eastAsia="Arial" w:hAnsi="Arial"/>
          <w:sz w:val="18"/>
          <w:szCs w:val="18"/>
          <w:color w:val="auto"/>
        </w:rPr>
      </w:pPr>
    </w:p>
    <w:p>
      <w:pPr>
        <w:ind w:left="42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368" w:right="279" w:bottom="1440" w:gutter="0" w:footer="0" w:header="0"/>
        </w:sectPr>
      </w:pPr>
    </w:p>
    <w:bookmarkStart w:id="20" w:name="page21"/>
    <w:bookmarkEnd w:id="20"/>
    <w:p>
      <w:pPr>
        <w:ind w:left="5380"/>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03"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is a statement of estimated expenses in connection with the issuance and distribution of the securities being registered, other than underwriting discounts and commissions.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SEC Registration Fee</w:t>
            </w:r>
          </w:p>
        </w:tc>
        <w:tc>
          <w:tcPr>
            <w:tcW w:w="1620" w:type="dxa"/>
            <w:vAlign w:val="bottom"/>
          </w:tcPr>
          <w:p>
            <w:pPr>
              <w:jc w:val="right"/>
              <w:ind w:right="1230"/>
              <w:spacing w:after="0"/>
              <w:rPr>
                <w:sz w:val="20"/>
                <w:szCs w:val="20"/>
                <w:color w:val="auto"/>
              </w:rPr>
            </w:pPr>
            <w:r>
              <w:rPr>
                <w:rFonts w:ascii="Arial" w:cs="Arial" w:eastAsia="Arial" w:hAnsi="Arial"/>
                <w:sz w:val="18"/>
                <w:szCs w:val="18"/>
                <w:color w:val="auto"/>
              </w:rPr>
              <w:t>$</w:t>
            </w: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FINRA Filing Fee</w:t>
            </w:r>
          </w:p>
        </w:tc>
        <w:tc>
          <w:tcPr>
            <w:tcW w:w="1620" w:type="dxa"/>
            <w:vAlign w:val="bottom"/>
          </w:tcPr>
          <w:p>
            <w:pPr>
              <w:spacing w:after="0"/>
              <w:rPr>
                <w:sz w:val="23"/>
                <w:szCs w:val="23"/>
                <w:color w:val="auto"/>
              </w:rPr>
            </w:pP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Transfer Agent and Registrar and Trustee Fees</w:t>
            </w:r>
          </w:p>
        </w:tc>
        <w:tc>
          <w:tcPr>
            <w:tcW w:w="1620" w:type="dxa"/>
            <w:vAlign w:val="bottom"/>
          </w:tcPr>
          <w:p>
            <w:pPr>
              <w:spacing w:after="0"/>
              <w:rPr>
                <w:sz w:val="23"/>
                <w:szCs w:val="23"/>
                <w:color w:val="auto"/>
              </w:rPr>
            </w:pP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Printing Expenses</w:t>
            </w:r>
          </w:p>
        </w:tc>
        <w:tc>
          <w:tcPr>
            <w:tcW w:w="1620" w:type="dxa"/>
            <w:vAlign w:val="bottom"/>
          </w:tcPr>
          <w:p>
            <w:pPr>
              <w:spacing w:after="0"/>
              <w:rPr>
                <w:sz w:val="23"/>
                <w:szCs w:val="23"/>
                <w:color w:val="auto"/>
              </w:rPr>
            </w:pP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620" w:type="dxa"/>
            <w:vAlign w:val="bottom"/>
          </w:tcPr>
          <w:p>
            <w:pPr>
              <w:spacing w:after="0"/>
              <w:rPr>
                <w:sz w:val="23"/>
                <w:szCs w:val="23"/>
                <w:color w:val="auto"/>
              </w:rPr>
            </w:pP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620" w:type="dxa"/>
            <w:vAlign w:val="bottom"/>
          </w:tcPr>
          <w:p>
            <w:pPr>
              <w:spacing w:after="0"/>
              <w:rPr>
                <w:sz w:val="23"/>
                <w:szCs w:val="23"/>
                <w:color w:val="auto"/>
              </w:rPr>
            </w:pP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Miscellaneous</w:t>
            </w:r>
          </w:p>
        </w:tc>
        <w:tc>
          <w:tcPr>
            <w:tcW w:w="1620" w:type="dxa"/>
            <w:vAlign w:val="bottom"/>
          </w:tcPr>
          <w:p>
            <w:pPr>
              <w:spacing w:after="0"/>
              <w:rPr>
                <w:sz w:val="23"/>
                <w:szCs w:val="23"/>
                <w:color w:val="auto"/>
              </w:rPr>
            </w:pP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80" w:type="dxa"/>
            <w:vAlign w:val="bottom"/>
            <w:vMerge w:val="continue"/>
          </w:tcPr>
          <w:p>
            <w:pPr>
              <w:spacing w:after="0"/>
              <w:rPr>
                <w:sz w:val="20"/>
                <w:szCs w:val="20"/>
                <w:color w:val="auto"/>
              </w:rPr>
            </w:pPr>
          </w:p>
        </w:tc>
        <w:tc>
          <w:tcPr>
            <w:tcW w:w="1620" w:type="dxa"/>
            <w:vAlign w:val="bottom"/>
          </w:tcPr>
          <w:p>
            <w:pPr>
              <w:jc w:val="right"/>
              <w:ind w:right="1230"/>
              <w:spacing w:after="0"/>
              <w:rPr>
                <w:sz w:val="20"/>
                <w:szCs w:val="20"/>
                <w:color w:val="auto"/>
              </w:rPr>
            </w:pPr>
            <w:r>
              <w:rPr>
                <w:rFonts w:ascii="Arial" w:cs="Arial" w:eastAsia="Arial" w:hAnsi="Arial"/>
                <w:sz w:val="18"/>
                <w:szCs w:val="18"/>
                <w:color w:val="auto"/>
              </w:rPr>
              <w:t>$</w:t>
            </w: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500" w:right="80" w:hanging="6"/>
        <w:spacing w:after="0" w:line="277" w:lineRule="auto"/>
        <w:tabs>
          <w:tab w:leader="none" w:pos="788"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 accordance with Rules 456(b) and 457(r) of the Securities Act of 1933, as amended (Securities Act), we are deferring payment of the registration fee for the securities offered. **The amount of securities and number of offerings are indeterminable and the expenses cannot be estimated at this time. An estimate of the aggregate expenses in connection with the sale and distribution of securities being offered will be included in any applicable prospectus supplement.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8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w:t>
      </w:r>
    </w:p>
    <w:p>
      <w:pPr>
        <w:spacing w:after="0" w:line="363"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As permitted by the Delaware General Corporation Law, the Registrant’s restated certificate of incorporation contains provisions that eliminate the personal liability of its directors for monetary damages for any breach of fiduciary duties as a director, except liability for the following:</w:t>
      </w:r>
    </w:p>
    <w:p>
      <w:pPr>
        <w:spacing w:after="0" w:line="106"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Registrant or its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under Section 174 of the Delaware General Corporation Law (regarding unlawful dividends and stock purchases);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As permitted by the Delaware General Corporation Law, the Registrant’s amended and restated bylaws provide that:</w:t>
      </w:r>
    </w:p>
    <w:p>
      <w:pPr>
        <w:spacing w:after="0" w:line="184"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 is required to indemnify its directors and executive officers to the fullest extent permitted by the Delaware General Corporation Law, subject to very limited exceptions;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 may indemnify its other employees and agents as set forth in the Delaware General Corporation Law;</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 is required to advance expenses, as incurred, to its directors and executive officers in connection with a legal proceeding to the fullest extent permitted by the Delaware General Corporation Law, subject to very limited exceptions;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rights conferred in the amended and restated bylaws are not exclusive.</w:t>
      </w:r>
    </w:p>
    <w:p>
      <w:pPr>
        <w:spacing w:after="0" w:line="34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Registrant has entered into indemnification agreements with each of its current directors and executive officers to provide these directors and executive officers additional contractual assurances regarding the scope of the indemnification set forth in the Registrant’s restated certificate of incorporation and amended and restated bylaws and to provide additional procedural protections. There is no pending litigation or proceeding involving a director or executive officer of the Registrant for which indemnification is sought. The indemnification provisions in the Registrant’s restated certificate of incorporation, amended and restated bylaws and the indemnification agreements entered into between the Registrant and each of its directors and executive</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00"/>
          </w:cols>
          <w:pgMar w:left="240" w:top="756" w:right="25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t>officers may be sufficiently broad to permit indemnification of the Registrant’s directors and executive officers for liabilities arising under the Securities Act.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94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9420" w:type="dxa"/>
            <w:vAlign w:val="bottom"/>
            <w:gridSpan w:val="11"/>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37"/>
        </w:trPr>
        <w:tc>
          <w:tcPr>
            <w:tcW w:w="360" w:type="dxa"/>
            <w:vAlign w:val="bottom"/>
            <w:gridSpan w:val="3"/>
          </w:tcPr>
          <w:p>
            <w:pPr>
              <w:ind w:left="40"/>
              <w:spacing w:after="0"/>
              <w:rPr>
                <w:sz w:val="20"/>
                <w:szCs w:val="20"/>
                <w:color w:val="auto"/>
              </w:rPr>
            </w:pPr>
            <w:r>
              <w:rPr>
                <w:rFonts w:ascii="Arial" w:cs="Arial" w:eastAsia="Arial" w:hAnsi="Arial"/>
                <w:sz w:val="18"/>
                <w:szCs w:val="18"/>
                <w:color w:val="auto"/>
                <w:w w:val="93"/>
              </w:rPr>
              <w:t>1.1*</w:t>
            </w:r>
          </w:p>
        </w:tc>
        <w:tc>
          <w:tcPr>
            <w:tcW w:w="1620" w:type="dxa"/>
            <w:vAlign w:val="bottom"/>
          </w:tcPr>
          <w:p>
            <w:pPr>
              <w:spacing w:after="0"/>
              <w:rPr>
                <w:sz w:val="20"/>
                <w:szCs w:val="20"/>
                <w:color w:val="auto"/>
              </w:rPr>
            </w:pPr>
          </w:p>
        </w:tc>
        <w:tc>
          <w:tcPr>
            <w:tcW w:w="9420" w:type="dxa"/>
            <w:vAlign w:val="bottom"/>
            <w:gridSpan w:val="11"/>
          </w:tcPr>
          <w:p>
            <w:pPr>
              <w:spacing w:after="0"/>
              <w:rPr>
                <w:sz w:val="20"/>
                <w:szCs w:val="20"/>
                <w:color w:val="auto"/>
              </w:rPr>
            </w:pPr>
            <w:r>
              <w:rPr>
                <w:rFonts w:ascii="Arial" w:cs="Arial" w:eastAsia="Arial" w:hAnsi="Arial"/>
                <w:sz w:val="18"/>
                <w:szCs w:val="18"/>
                <w:color w:val="auto"/>
              </w:rPr>
              <w:t>Form of Underwriting Agreement.</w:t>
            </w:r>
          </w:p>
        </w:tc>
      </w:tr>
      <w:tr>
        <w:trPr>
          <w:trHeight w:val="230"/>
        </w:trPr>
        <w:tc>
          <w:tcPr>
            <w:tcW w:w="260" w:type="dxa"/>
            <w:vAlign w:val="bottom"/>
            <w:gridSpan w:val="2"/>
          </w:tcPr>
          <w:p>
            <w:pPr>
              <w:ind w:left="40"/>
              <w:spacing w:after="0"/>
              <w:rPr>
                <w:rFonts w:ascii="Arial" w:cs="Arial" w:eastAsia="Arial" w:hAnsi="Arial"/>
                <w:sz w:val="18"/>
                <w:szCs w:val="18"/>
                <w:color w:val="0000FF"/>
                <w:w w:val="79"/>
              </w:rPr>
            </w:pPr>
            <w:hyperlink r:id="rId19">
              <w:r>
                <w:rPr>
                  <w:rFonts w:ascii="Arial" w:cs="Arial" w:eastAsia="Arial" w:hAnsi="Arial"/>
                  <w:sz w:val="18"/>
                  <w:szCs w:val="18"/>
                  <w:color w:val="0000FF"/>
                  <w:w w:val="79"/>
                </w:rPr>
                <w:t>3.</w:t>
              </w:r>
              <w:r>
                <w:rPr>
                  <w:rFonts w:ascii="Arial" w:cs="Arial" w:eastAsia="Arial" w:hAnsi="Arial"/>
                  <w:sz w:val="18"/>
                  <w:szCs w:val="18"/>
                  <w:u w:val="single" w:color="auto"/>
                  <w:color w:val="0000FF"/>
                  <w:w w:val="79"/>
                </w:rPr>
                <w:t>1</w:t>
              </w:r>
            </w:hyperlink>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420" w:type="dxa"/>
            <w:vAlign w:val="bottom"/>
            <w:gridSpan w:val="11"/>
          </w:tcPr>
          <w:p>
            <w:pPr>
              <w:spacing w:after="0"/>
              <w:rPr>
                <w:rFonts w:ascii="Arial" w:cs="Arial" w:eastAsia="Arial" w:hAnsi="Arial"/>
                <w:sz w:val="18"/>
                <w:szCs w:val="18"/>
                <w:color w:val="0000FF"/>
                <w:w w:val="94"/>
              </w:rPr>
            </w:pPr>
            <w:hyperlink r:id="rId19">
              <w:r>
                <w:rPr>
                  <w:rFonts w:ascii="Arial" w:cs="Arial" w:eastAsia="Arial" w:hAnsi="Arial"/>
                  <w:sz w:val="18"/>
                  <w:szCs w:val="18"/>
                  <w:color w:val="0000FF"/>
                  <w:w w:val="94"/>
                </w:rPr>
                <w:t>Restated Certificate of Incorporation (incorporated by reference to Exhibit 3.1 of the Registrant’s Current Report on Form 8-K</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08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1"/>
              </w:rPr>
            </w:pPr>
            <w:hyperlink r:id="rId19">
              <w:r>
                <w:rPr>
                  <w:rFonts w:ascii="Arial" w:cs="Arial" w:eastAsia="Arial" w:hAnsi="Arial"/>
                  <w:sz w:val="18"/>
                  <w:szCs w:val="18"/>
                  <w:color w:val="0000FF"/>
                  <w:w w:val="91"/>
                </w:rPr>
                <w:t>filed November 8, 2013 (No. 001-36156)).</w:t>
              </w:r>
            </w:hyperlink>
          </w:p>
        </w:tc>
        <w:tc>
          <w:tcPr>
            <w:tcW w:w="6040" w:type="dxa"/>
            <w:vAlign w:val="bottom"/>
            <w:tcBorders>
              <w:top w:val="single" w:sz="8" w:color="0000FF"/>
            </w:tcBorders>
            <w:gridSpan w:val="4"/>
          </w:tcPr>
          <w:p>
            <w:pPr>
              <w:spacing w:after="0"/>
              <w:rPr>
                <w:sz w:val="17"/>
                <w:szCs w:val="17"/>
                <w:color w:val="auto"/>
              </w:rPr>
            </w:pPr>
          </w:p>
        </w:tc>
        <w:tc>
          <w:tcPr>
            <w:tcW w:w="300" w:type="dxa"/>
            <w:vAlign w:val="bottom"/>
            <w:gridSpan w:val="2"/>
          </w:tcPr>
          <w:p>
            <w:pPr>
              <w:spacing w:after="0"/>
              <w:rPr>
                <w:sz w:val="17"/>
                <w:szCs w:val="17"/>
                <w:color w:val="auto"/>
              </w:rPr>
            </w:pPr>
          </w:p>
        </w:tc>
      </w:tr>
      <w:tr>
        <w:trPr>
          <w:trHeight w:val="250"/>
        </w:trPr>
        <w:tc>
          <w:tcPr>
            <w:tcW w:w="260" w:type="dxa"/>
            <w:vAlign w:val="bottom"/>
            <w:gridSpan w:val="2"/>
          </w:tcPr>
          <w:p>
            <w:pPr>
              <w:ind w:left="40"/>
              <w:spacing w:after="0"/>
              <w:rPr>
                <w:rFonts w:ascii="Arial" w:cs="Arial" w:eastAsia="Arial" w:hAnsi="Arial"/>
                <w:sz w:val="18"/>
                <w:szCs w:val="18"/>
                <w:color w:val="0000FF"/>
                <w:w w:val="79"/>
              </w:rPr>
            </w:pPr>
            <w:hyperlink r:id="rId20">
              <w:r>
                <w:rPr>
                  <w:rFonts w:ascii="Arial" w:cs="Arial" w:eastAsia="Arial" w:hAnsi="Arial"/>
                  <w:sz w:val="18"/>
                  <w:szCs w:val="18"/>
                  <w:color w:val="0000FF"/>
                  <w:w w:val="79"/>
                </w:rPr>
                <w:t>3.</w:t>
              </w:r>
              <w:r>
                <w:rPr>
                  <w:rFonts w:ascii="Arial" w:cs="Arial" w:eastAsia="Arial" w:hAnsi="Arial"/>
                  <w:sz w:val="18"/>
                  <w:szCs w:val="18"/>
                  <w:u w:val="single" w:color="auto"/>
                  <w:color w:val="0000FF"/>
                  <w:w w:val="79"/>
                </w:rPr>
                <w:t>2</w:t>
              </w:r>
            </w:hyperlink>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420" w:type="dxa"/>
            <w:vAlign w:val="bottom"/>
            <w:gridSpan w:val="11"/>
          </w:tcPr>
          <w:p>
            <w:pPr>
              <w:spacing w:after="0"/>
              <w:rPr>
                <w:rFonts w:ascii="Arial" w:cs="Arial" w:eastAsia="Arial" w:hAnsi="Arial"/>
                <w:sz w:val="18"/>
                <w:szCs w:val="18"/>
                <w:color w:val="0000FF"/>
                <w:w w:val="94"/>
              </w:rPr>
            </w:pPr>
            <w:hyperlink r:id="rId20">
              <w:r>
                <w:rPr>
                  <w:rFonts w:ascii="Arial" w:cs="Arial" w:eastAsia="Arial" w:hAnsi="Arial"/>
                  <w:sz w:val="18"/>
                  <w:szCs w:val="18"/>
                  <w:color w:val="0000FF"/>
                  <w:w w:val="94"/>
                </w:rPr>
                <w:t>Amended and Restated Bylaws (incorporated by reference to Exhibit 3.2 of the Registrant’s Current Report on Form 8-K filed</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10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November 8, 2013 (No. 001-36156)).</w:t>
              </w:r>
            </w:hyperlink>
          </w:p>
        </w:tc>
        <w:tc>
          <w:tcPr>
            <w:tcW w:w="320" w:type="dxa"/>
            <w:vAlign w:val="bottom"/>
            <w:gridSpan w:val="3"/>
          </w:tcPr>
          <w:p>
            <w:pPr>
              <w:spacing w:after="0"/>
              <w:rPr>
                <w:sz w:val="17"/>
                <w:szCs w:val="17"/>
                <w:color w:val="auto"/>
              </w:rPr>
            </w:pPr>
          </w:p>
        </w:tc>
      </w:tr>
      <w:tr>
        <w:trPr>
          <w:trHeight w:val="250"/>
        </w:trPr>
        <w:tc>
          <w:tcPr>
            <w:tcW w:w="260" w:type="dxa"/>
            <w:vAlign w:val="bottom"/>
            <w:gridSpan w:val="2"/>
          </w:tcPr>
          <w:p>
            <w:pPr>
              <w:ind w:left="40"/>
              <w:spacing w:after="0"/>
              <w:rPr>
                <w:rFonts w:ascii="Arial" w:cs="Arial" w:eastAsia="Arial" w:hAnsi="Arial"/>
                <w:sz w:val="18"/>
                <w:szCs w:val="18"/>
                <w:color w:val="0000FF"/>
                <w:w w:val="79"/>
              </w:rPr>
            </w:pPr>
            <w:hyperlink w:anchor="page26">
              <w:r>
                <w:rPr>
                  <w:rFonts w:ascii="Arial" w:cs="Arial" w:eastAsia="Arial" w:hAnsi="Arial"/>
                  <w:sz w:val="18"/>
                  <w:szCs w:val="18"/>
                  <w:color w:val="0000FF"/>
                  <w:w w:val="79"/>
                </w:rPr>
                <w:t>4.</w:t>
              </w:r>
              <w:r>
                <w:rPr>
                  <w:rFonts w:ascii="Arial" w:cs="Arial" w:eastAsia="Arial" w:hAnsi="Arial"/>
                  <w:sz w:val="18"/>
                  <w:szCs w:val="18"/>
                  <w:u w:val="single" w:color="auto"/>
                  <w:color w:val="0000FF"/>
                  <w:w w:val="79"/>
                </w:rPr>
                <w:t>1</w:t>
              </w:r>
            </w:hyperlink>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700" w:type="dxa"/>
            <w:vAlign w:val="bottom"/>
            <w:tcBorders>
              <w:top w:val="single" w:sz="8" w:color="0000FF"/>
            </w:tcBorders>
            <w:gridSpan w:val="4"/>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Form of Indenture.</w:t>
              </w:r>
            </w:hyperlink>
          </w:p>
        </w:tc>
        <w:tc>
          <w:tcPr>
            <w:tcW w:w="6720" w:type="dxa"/>
            <w:vAlign w:val="bottom"/>
            <w:gridSpan w:val="7"/>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360" w:type="dxa"/>
            <w:vAlign w:val="bottom"/>
            <w:gridSpan w:val="3"/>
          </w:tcPr>
          <w:p>
            <w:pPr>
              <w:ind w:left="40"/>
              <w:spacing w:after="0"/>
              <w:rPr>
                <w:sz w:val="20"/>
                <w:szCs w:val="20"/>
                <w:color w:val="auto"/>
              </w:rPr>
            </w:pPr>
            <w:r>
              <w:rPr>
                <w:rFonts w:ascii="Arial" w:cs="Arial" w:eastAsia="Arial" w:hAnsi="Arial"/>
                <w:sz w:val="18"/>
                <w:szCs w:val="18"/>
                <w:color w:val="auto"/>
                <w:w w:val="93"/>
              </w:rPr>
              <w:t>4.2*</w:t>
            </w:r>
          </w:p>
        </w:tc>
        <w:tc>
          <w:tcPr>
            <w:tcW w:w="1620" w:type="dxa"/>
            <w:vAlign w:val="bottom"/>
          </w:tcPr>
          <w:p>
            <w:pPr>
              <w:spacing w:after="0"/>
              <w:rPr>
                <w:sz w:val="24"/>
                <w:szCs w:val="24"/>
                <w:color w:val="auto"/>
              </w:rPr>
            </w:pPr>
          </w:p>
        </w:tc>
        <w:tc>
          <w:tcPr>
            <w:tcW w:w="9420" w:type="dxa"/>
            <w:vAlign w:val="bottom"/>
            <w:gridSpan w:val="11"/>
          </w:tcPr>
          <w:p>
            <w:pPr>
              <w:spacing w:after="0"/>
              <w:rPr>
                <w:sz w:val="20"/>
                <w:szCs w:val="20"/>
                <w:color w:val="auto"/>
              </w:rPr>
            </w:pPr>
            <w:r>
              <w:rPr>
                <w:rFonts w:ascii="Arial" w:cs="Arial" w:eastAsia="Arial" w:hAnsi="Arial"/>
                <w:sz w:val="18"/>
                <w:szCs w:val="18"/>
                <w:color w:val="auto"/>
              </w:rPr>
              <w:t>Form of Debt Security.</w:t>
            </w:r>
          </w:p>
        </w:tc>
      </w:tr>
      <w:tr>
        <w:trPr>
          <w:trHeight w:val="270"/>
        </w:trPr>
        <w:tc>
          <w:tcPr>
            <w:tcW w:w="360" w:type="dxa"/>
            <w:vAlign w:val="bottom"/>
            <w:gridSpan w:val="3"/>
          </w:tcPr>
          <w:p>
            <w:pPr>
              <w:ind w:left="40"/>
              <w:spacing w:after="0"/>
              <w:rPr>
                <w:sz w:val="20"/>
                <w:szCs w:val="20"/>
                <w:color w:val="auto"/>
              </w:rPr>
            </w:pPr>
            <w:r>
              <w:rPr>
                <w:rFonts w:ascii="Arial" w:cs="Arial" w:eastAsia="Arial" w:hAnsi="Arial"/>
                <w:sz w:val="18"/>
                <w:szCs w:val="18"/>
                <w:color w:val="auto"/>
                <w:w w:val="93"/>
              </w:rPr>
              <w:t>4.3*</w:t>
            </w:r>
          </w:p>
        </w:tc>
        <w:tc>
          <w:tcPr>
            <w:tcW w:w="1620" w:type="dxa"/>
            <w:vAlign w:val="bottom"/>
          </w:tcPr>
          <w:p>
            <w:pPr>
              <w:spacing w:after="0"/>
              <w:rPr>
                <w:sz w:val="23"/>
                <w:szCs w:val="23"/>
                <w:color w:val="auto"/>
              </w:rPr>
            </w:pPr>
          </w:p>
        </w:tc>
        <w:tc>
          <w:tcPr>
            <w:tcW w:w="9420" w:type="dxa"/>
            <w:vAlign w:val="bottom"/>
            <w:gridSpan w:val="11"/>
          </w:tcPr>
          <w:p>
            <w:pPr>
              <w:spacing w:after="0"/>
              <w:rPr>
                <w:sz w:val="20"/>
                <w:szCs w:val="20"/>
                <w:color w:val="auto"/>
              </w:rPr>
            </w:pPr>
            <w:r>
              <w:rPr>
                <w:rFonts w:ascii="Arial" w:cs="Arial" w:eastAsia="Arial" w:hAnsi="Arial"/>
                <w:sz w:val="18"/>
                <w:szCs w:val="18"/>
                <w:color w:val="auto"/>
              </w:rPr>
              <w:t>Form of Warrant Agreement and Warrant Certificate.</w:t>
            </w:r>
          </w:p>
        </w:tc>
      </w:tr>
      <w:tr>
        <w:trPr>
          <w:trHeight w:val="270"/>
        </w:trPr>
        <w:tc>
          <w:tcPr>
            <w:tcW w:w="360" w:type="dxa"/>
            <w:vAlign w:val="bottom"/>
            <w:gridSpan w:val="3"/>
          </w:tcPr>
          <w:p>
            <w:pPr>
              <w:ind w:left="40"/>
              <w:spacing w:after="0"/>
              <w:rPr>
                <w:sz w:val="20"/>
                <w:szCs w:val="20"/>
                <w:color w:val="auto"/>
              </w:rPr>
            </w:pPr>
            <w:r>
              <w:rPr>
                <w:rFonts w:ascii="Arial" w:cs="Arial" w:eastAsia="Arial" w:hAnsi="Arial"/>
                <w:sz w:val="18"/>
                <w:szCs w:val="18"/>
                <w:color w:val="auto"/>
                <w:w w:val="93"/>
              </w:rPr>
              <w:t>4.4*</w:t>
            </w:r>
          </w:p>
        </w:tc>
        <w:tc>
          <w:tcPr>
            <w:tcW w:w="1620" w:type="dxa"/>
            <w:vAlign w:val="bottom"/>
          </w:tcPr>
          <w:p>
            <w:pPr>
              <w:spacing w:after="0"/>
              <w:rPr>
                <w:sz w:val="23"/>
                <w:szCs w:val="23"/>
                <w:color w:val="auto"/>
              </w:rPr>
            </w:pPr>
          </w:p>
        </w:tc>
        <w:tc>
          <w:tcPr>
            <w:tcW w:w="9420" w:type="dxa"/>
            <w:vAlign w:val="bottom"/>
            <w:gridSpan w:val="11"/>
          </w:tcPr>
          <w:p>
            <w:pPr>
              <w:spacing w:after="0"/>
              <w:rPr>
                <w:sz w:val="20"/>
                <w:szCs w:val="20"/>
                <w:color w:val="auto"/>
              </w:rPr>
            </w:pPr>
            <w:r>
              <w:rPr>
                <w:rFonts w:ascii="Arial" w:cs="Arial" w:eastAsia="Arial" w:hAnsi="Arial"/>
                <w:sz w:val="18"/>
                <w:szCs w:val="18"/>
                <w:color w:val="auto"/>
              </w:rPr>
              <w:t>Form of Specimen Preferred Stock Certificate.</w:t>
            </w:r>
          </w:p>
        </w:tc>
      </w:tr>
      <w:tr>
        <w:trPr>
          <w:trHeight w:val="270"/>
        </w:trPr>
        <w:tc>
          <w:tcPr>
            <w:tcW w:w="360" w:type="dxa"/>
            <w:vAlign w:val="bottom"/>
            <w:gridSpan w:val="3"/>
          </w:tcPr>
          <w:p>
            <w:pPr>
              <w:ind w:left="40"/>
              <w:spacing w:after="0"/>
              <w:rPr>
                <w:sz w:val="20"/>
                <w:szCs w:val="20"/>
                <w:color w:val="auto"/>
              </w:rPr>
            </w:pPr>
            <w:r>
              <w:rPr>
                <w:rFonts w:ascii="Arial" w:cs="Arial" w:eastAsia="Arial" w:hAnsi="Arial"/>
                <w:sz w:val="18"/>
                <w:szCs w:val="18"/>
                <w:color w:val="auto"/>
                <w:w w:val="93"/>
              </w:rPr>
              <w:t>4.5*</w:t>
            </w:r>
          </w:p>
        </w:tc>
        <w:tc>
          <w:tcPr>
            <w:tcW w:w="1620" w:type="dxa"/>
            <w:vAlign w:val="bottom"/>
          </w:tcPr>
          <w:p>
            <w:pPr>
              <w:spacing w:after="0"/>
              <w:rPr>
                <w:sz w:val="23"/>
                <w:szCs w:val="23"/>
                <w:color w:val="auto"/>
              </w:rPr>
            </w:pPr>
          </w:p>
        </w:tc>
        <w:tc>
          <w:tcPr>
            <w:tcW w:w="9420" w:type="dxa"/>
            <w:vAlign w:val="bottom"/>
            <w:gridSpan w:val="11"/>
          </w:tcPr>
          <w:p>
            <w:pPr>
              <w:spacing w:after="0"/>
              <w:rPr>
                <w:sz w:val="20"/>
                <w:szCs w:val="20"/>
                <w:color w:val="auto"/>
              </w:rPr>
            </w:pPr>
            <w:r>
              <w:rPr>
                <w:rFonts w:ascii="Arial" w:cs="Arial" w:eastAsia="Arial" w:hAnsi="Arial"/>
                <w:sz w:val="18"/>
                <w:szCs w:val="18"/>
                <w:color w:val="auto"/>
              </w:rPr>
              <w:t>Form of Subscription Rights Agreement and Subscription Rights Certificate.</w:t>
            </w:r>
          </w:p>
        </w:tc>
      </w:tr>
      <w:tr>
        <w:trPr>
          <w:trHeight w:val="270"/>
        </w:trPr>
        <w:tc>
          <w:tcPr>
            <w:tcW w:w="360" w:type="dxa"/>
            <w:vAlign w:val="bottom"/>
            <w:gridSpan w:val="3"/>
          </w:tcPr>
          <w:p>
            <w:pPr>
              <w:ind w:left="40"/>
              <w:spacing w:after="0"/>
              <w:rPr>
                <w:sz w:val="20"/>
                <w:szCs w:val="20"/>
                <w:color w:val="auto"/>
              </w:rPr>
            </w:pPr>
            <w:r>
              <w:rPr>
                <w:rFonts w:ascii="Arial" w:cs="Arial" w:eastAsia="Arial" w:hAnsi="Arial"/>
                <w:sz w:val="18"/>
                <w:szCs w:val="18"/>
                <w:color w:val="auto"/>
                <w:w w:val="93"/>
              </w:rPr>
              <w:t>4.6*</w:t>
            </w:r>
          </w:p>
        </w:tc>
        <w:tc>
          <w:tcPr>
            <w:tcW w:w="1620" w:type="dxa"/>
            <w:vAlign w:val="bottom"/>
          </w:tcPr>
          <w:p>
            <w:pPr>
              <w:spacing w:after="0"/>
              <w:rPr>
                <w:sz w:val="23"/>
                <w:szCs w:val="23"/>
                <w:color w:val="auto"/>
              </w:rPr>
            </w:pPr>
          </w:p>
        </w:tc>
        <w:tc>
          <w:tcPr>
            <w:tcW w:w="9420" w:type="dxa"/>
            <w:vAlign w:val="bottom"/>
            <w:gridSpan w:val="11"/>
          </w:tcPr>
          <w:p>
            <w:pPr>
              <w:spacing w:after="0"/>
              <w:rPr>
                <w:sz w:val="20"/>
                <w:szCs w:val="20"/>
                <w:color w:val="auto"/>
              </w:rPr>
            </w:pPr>
            <w:r>
              <w:rPr>
                <w:rFonts w:ascii="Arial" w:cs="Arial" w:eastAsia="Arial" w:hAnsi="Arial"/>
                <w:sz w:val="18"/>
                <w:szCs w:val="18"/>
                <w:color w:val="auto"/>
              </w:rPr>
              <w:t>Form of Unit Agreement and Unit Certificate.</w:t>
            </w:r>
          </w:p>
        </w:tc>
      </w:tr>
      <w:tr>
        <w:trPr>
          <w:trHeight w:val="230"/>
        </w:trPr>
        <w:tc>
          <w:tcPr>
            <w:tcW w:w="260" w:type="dxa"/>
            <w:vAlign w:val="bottom"/>
            <w:gridSpan w:val="2"/>
          </w:tcPr>
          <w:p>
            <w:pPr>
              <w:ind w:left="40"/>
              <w:spacing w:after="0"/>
              <w:rPr>
                <w:rFonts w:ascii="Arial" w:cs="Arial" w:eastAsia="Arial" w:hAnsi="Arial"/>
                <w:sz w:val="18"/>
                <w:szCs w:val="18"/>
                <w:color w:val="0000FF"/>
                <w:w w:val="79"/>
              </w:rPr>
            </w:pPr>
            <w:hyperlink r:id="rId21">
              <w:r>
                <w:rPr>
                  <w:rFonts w:ascii="Arial" w:cs="Arial" w:eastAsia="Arial" w:hAnsi="Arial"/>
                  <w:sz w:val="18"/>
                  <w:szCs w:val="18"/>
                  <w:color w:val="0000FF"/>
                  <w:w w:val="79"/>
                </w:rPr>
                <w:t>4.</w:t>
              </w:r>
              <w:r>
                <w:rPr>
                  <w:rFonts w:ascii="Arial" w:cs="Arial" w:eastAsia="Arial" w:hAnsi="Arial"/>
                  <w:sz w:val="18"/>
                  <w:szCs w:val="18"/>
                  <w:u w:val="single" w:color="auto"/>
                  <w:color w:val="0000FF"/>
                  <w:w w:val="79"/>
                </w:rPr>
                <w:t>7</w:t>
              </w:r>
            </w:hyperlink>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420" w:type="dxa"/>
            <w:vAlign w:val="bottom"/>
            <w:gridSpan w:val="11"/>
          </w:tcPr>
          <w:p>
            <w:pPr>
              <w:spacing w:after="0"/>
              <w:rPr>
                <w:rFonts w:ascii="Arial" w:cs="Arial" w:eastAsia="Arial" w:hAnsi="Arial"/>
                <w:sz w:val="18"/>
                <w:szCs w:val="18"/>
                <w:color w:val="0000FF"/>
                <w:w w:val="91"/>
              </w:rPr>
            </w:pPr>
            <w:hyperlink r:id="rId21">
              <w:r>
                <w:rPr>
                  <w:rFonts w:ascii="Arial" w:cs="Arial" w:eastAsia="Arial" w:hAnsi="Arial"/>
                  <w:sz w:val="18"/>
                  <w:szCs w:val="18"/>
                  <w:color w:val="0000FF"/>
                  <w:w w:val="91"/>
                </w:rPr>
                <w:t>Specimen Common Stock Certificate (incorporated by reference to Exhibit 4.1 to the Registrant’s Registration Statement on Form</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38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S-1/A (File No. 333-191282)).</w:t>
              </w:r>
            </w:hyperlink>
          </w:p>
        </w:tc>
        <w:tc>
          <w:tcPr>
            <w:tcW w:w="40" w:type="dxa"/>
            <w:vAlign w:val="bottom"/>
          </w:tcPr>
          <w:p>
            <w:pPr>
              <w:spacing w:after="0"/>
              <w:rPr>
                <w:sz w:val="17"/>
                <w:szCs w:val="17"/>
                <w:color w:val="auto"/>
              </w:rPr>
            </w:pPr>
          </w:p>
        </w:tc>
      </w:tr>
      <w:tr>
        <w:trPr>
          <w:trHeight w:val="20"/>
        </w:trPr>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60" w:type="dxa"/>
            <w:vAlign w:val="bottom"/>
            <w:gridSpan w:val="4"/>
          </w:tcPr>
          <w:p>
            <w:pPr>
              <w:spacing w:after="0" w:line="20" w:lineRule="exact"/>
              <w:rPr>
                <w:sz w:val="1"/>
                <w:szCs w:val="1"/>
                <w:color w:val="auto"/>
              </w:rPr>
            </w:pPr>
          </w:p>
        </w:tc>
      </w:tr>
      <w:tr>
        <w:trPr>
          <w:trHeight w:val="250"/>
        </w:trPr>
        <w:tc>
          <w:tcPr>
            <w:tcW w:w="260" w:type="dxa"/>
            <w:vAlign w:val="bottom"/>
            <w:gridSpan w:val="2"/>
          </w:tcPr>
          <w:p>
            <w:pPr>
              <w:ind w:left="40"/>
              <w:spacing w:after="0"/>
              <w:rPr>
                <w:rFonts w:ascii="Arial" w:cs="Arial" w:eastAsia="Arial" w:hAnsi="Arial"/>
                <w:sz w:val="18"/>
                <w:szCs w:val="18"/>
                <w:color w:val="0000FF"/>
                <w:w w:val="79"/>
              </w:rPr>
            </w:pPr>
            <w:hyperlink w:anchor="page89">
              <w:r>
                <w:rPr>
                  <w:rFonts w:ascii="Arial" w:cs="Arial" w:eastAsia="Arial" w:hAnsi="Arial"/>
                  <w:sz w:val="18"/>
                  <w:szCs w:val="18"/>
                  <w:color w:val="0000FF"/>
                  <w:w w:val="79"/>
                </w:rPr>
                <w:t>5.</w:t>
              </w:r>
              <w:r>
                <w:rPr>
                  <w:rFonts w:ascii="Arial" w:cs="Arial" w:eastAsia="Arial" w:hAnsi="Arial"/>
                  <w:sz w:val="18"/>
                  <w:szCs w:val="18"/>
                  <w:u w:val="single" w:color="auto"/>
                  <w:color w:val="0000FF"/>
                  <w:w w:val="79"/>
                </w:rPr>
                <w:t>1</w:t>
              </w:r>
            </w:hyperlink>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420" w:type="dxa"/>
            <w:vAlign w:val="bottom"/>
            <w:gridSpan w:val="11"/>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Opinion of Fenwick &amp; West LLP.</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60" w:type="dxa"/>
            <w:vAlign w:val="bottom"/>
            <w:gridSpan w:val="4"/>
          </w:tcPr>
          <w:p>
            <w:pPr>
              <w:spacing w:after="0" w:line="20" w:lineRule="exact"/>
              <w:rPr>
                <w:sz w:val="1"/>
                <w:szCs w:val="1"/>
                <w:color w:val="auto"/>
              </w:rPr>
            </w:pPr>
          </w:p>
        </w:tc>
      </w:tr>
      <w:tr>
        <w:trPr>
          <w:trHeight w:val="250"/>
        </w:trPr>
        <w:tc>
          <w:tcPr>
            <w:tcW w:w="360" w:type="dxa"/>
            <w:vAlign w:val="bottom"/>
            <w:gridSpan w:val="3"/>
          </w:tcPr>
          <w:p>
            <w:pPr>
              <w:ind w:left="40"/>
              <w:spacing w:after="0"/>
              <w:rPr>
                <w:rFonts w:ascii="Arial" w:cs="Arial" w:eastAsia="Arial" w:hAnsi="Arial"/>
                <w:sz w:val="18"/>
                <w:szCs w:val="18"/>
                <w:color w:val="0000FF"/>
                <w:w w:val="85"/>
              </w:rPr>
            </w:pPr>
            <w:hyperlink w:anchor="page89">
              <w:r>
                <w:rPr>
                  <w:rFonts w:ascii="Arial" w:cs="Arial" w:eastAsia="Arial" w:hAnsi="Arial"/>
                  <w:sz w:val="18"/>
                  <w:szCs w:val="18"/>
                  <w:color w:val="0000FF"/>
                  <w:w w:val="85"/>
                </w:rPr>
                <w:t>23.</w:t>
              </w:r>
              <w:r>
                <w:rPr>
                  <w:rFonts w:ascii="Arial" w:cs="Arial" w:eastAsia="Arial" w:hAnsi="Arial"/>
                  <w:sz w:val="18"/>
                  <w:szCs w:val="18"/>
                  <w:u w:val="single" w:color="auto"/>
                  <w:color w:val="0000FF"/>
                  <w:w w:val="85"/>
                </w:rPr>
                <w:t>1</w:t>
              </w:r>
            </w:hyperlink>
          </w:p>
        </w:tc>
        <w:tc>
          <w:tcPr>
            <w:tcW w:w="1620" w:type="dxa"/>
            <w:vAlign w:val="bottom"/>
          </w:tcPr>
          <w:p>
            <w:pPr>
              <w:spacing w:after="0"/>
              <w:rPr>
                <w:sz w:val="21"/>
                <w:szCs w:val="21"/>
                <w:color w:val="auto"/>
              </w:rPr>
            </w:pPr>
          </w:p>
        </w:tc>
        <w:tc>
          <w:tcPr>
            <w:tcW w:w="9420" w:type="dxa"/>
            <w:vAlign w:val="bottom"/>
            <w:gridSpan w:val="11"/>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Consent of Fenwick &amp; West LLP (included in Exhibit 5.1).</w:t>
              </w:r>
            </w:hyperlink>
          </w:p>
        </w:tc>
      </w:tr>
      <w:tr>
        <w:trPr>
          <w:trHeight w:val="20"/>
        </w:trPr>
        <w:tc>
          <w:tcPr>
            <w:tcW w:w="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40" w:type="dxa"/>
            <w:vAlign w:val="bottom"/>
            <w:gridSpan w:val="6"/>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5060" w:type="dxa"/>
            <w:vAlign w:val="bottom"/>
            <w:gridSpan w:val="4"/>
          </w:tcPr>
          <w:p>
            <w:pPr>
              <w:spacing w:after="0" w:line="20" w:lineRule="exact"/>
              <w:rPr>
                <w:sz w:val="1"/>
                <w:szCs w:val="1"/>
                <w:color w:val="auto"/>
              </w:rPr>
            </w:pPr>
          </w:p>
        </w:tc>
      </w:tr>
      <w:tr>
        <w:trPr>
          <w:trHeight w:val="250"/>
        </w:trPr>
        <w:tc>
          <w:tcPr>
            <w:tcW w:w="360" w:type="dxa"/>
            <w:vAlign w:val="bottom"/>
            <w:gridSpan w:val="3"/>
          </w:tcPr>
          <w:p>
            <w:pPr>
              <w:ind w:left="40"/>
              <w:spacing w:after="0"/>
              <w:rPr>
                <w:rFonts w:ascii="Arial" w:cs="Arial" w:eastAsia="Arial" w:hAnsi="Arial"/>
                <w:sz w:val="18"/>
                <w:szCs w:val="18"/>
                <w:color w:val="0000FF"/>
                <w:w w:val="85"/>
              </w:rPr>
            </w:pPr>
            <w:hyperlink w:anchor="page95">
              <w:r>
                <w:rPr>
                  <w:rFonts w:ascii="Arial" w:cs="Arial" w:eastAsia="Arial" w:hAnsi="Arial"/>
                  <w:sz w:val="18"/>
                  <w:szCs w:val="18"/>
                  <w:color w:val="0000FF"/>
                  <w:w w:val="85"/>
                </w:rPr>
                <w:t>23.</w:t>
              </w:r>
              <w:r>
                <w:rPr>
                  <w:rFonts w:ascii="Arial" w:cs="Arial" w:eastAsia="Arial" w:hAnsi="Arial"/>
                  <w:sz w:val="18"/>
                  <w:szCs w:val="18"/>
                  <w:u w:val="single" w:color="auto"/>
                  <w:color w:val="0000FF"/>
                  <w:w w:val="85"/>
                </w:rPr>
                <w:t>2</w:t>
              </w:r>
            </w:hyperlink>
          </w:p>
        </w:tc>
        <w:tc>
          <w:tcPr>
            <w:tcW w:w="1620" w:type="dxa"/>
            <w:vAlign w:val="bottom"/>
          </w:tcPr>
          <w:p>
            <w:pPr>
              <w:spacing w:after="0"/>
              <w:rPr>
                <w:sz w:val="21"/>
                <w:szCs w:val="21"/>
                <w:color w:val="auto"/>
              </w:rPr>
            </w:pPr>
          </w:p>
        </w:tc>
        <w:tc>
          <w:tcPr>
            <w:tcW w:w="9420" w:type="dxa"/>
            <w:vAlign w:val="bottom"/>
            <w:gridSpan w:val="11"/>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Consent of Independent Registered Public Accounting Firm.</w:t>
              </w:r>
            </w:hyperlink>
          </w:p>
        </w:tc>
      </w:tr>
      <w:tr>
        <w:trPr>
          <w:trHeight w:val="20"/>
        </w:trPr>
        <w:tc>
          <w:tcPr>
            <w:tcW w:w="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40" w:type="dxa"/>
            <w:vAlign w:val="bottom"/>
            <w:gridSpan w:val="6"/>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060" w:type="dxa"/>
            <w:vAlign w:val="bottom"/>
            <w:gridSpan w:val="4"/>
          </w:tcPr>
          <w:p>
            <w:pPr>
              <w:spacing w:after="0" w:line="20" w:lineRule="exact"/>
              <w:rPr>
                <w:sz w:val="1"/>
                <w:szCs w:val="1"/>
                <w:color w:val="auto"/>
              </w:rPr>
            </w:pPr>
          </w:p>
        </w:tc>
      </w:tr>
      <w:tr>
        <w:trPr>
          <w:trHeight w:val="250"/>
        </w:trPr>
        <w:tc>
          <w:tcPr>
            <w:tcW w:w="360" w:type="dxa"/>
            <w:vAlign w:val="bottom"/>
            <w:gridSpan w:val="3"/>
          </w:tcPr>
          <w:p>
            <w:pPr>
              <w:ind w:left="40"/>
              <w:spacing w:after="0"/>
              <w:rPr>
                <w:rFonts w:ascii="Arial" w:cs="Arial" w:eastAsia="Arial" w:hAnsi="Arial"/>
                <w:sz w:val="18"/>
                <w:szCs w:val="18"/>
                <w:color w:val="0000EE"/>
                <w:w w:val="85"/>
              </w:rPr>
            </w:pPr>
            <w:hyperlink w:anchor="page25">
              <w:r>
                <w:rPr>
                  <w:rFonts w:ascii="Arial" w:cs="Arial" w:eastAsia="Arial" w:hAnsi="Arial"/>
                  <w:sz w:val="18"/>
                  <w:szCs w:val="18"/>
                  <w:color w:val="0000EE"/>
                  <w:w w:val="85"/>
                </w:rPr>
                <w:t>24.</w:t>
              </w:r>
              <w:r>
                <w:rPr>
                  <w:rFonts w:ascii="Arial" w:cs="Arial" w:eastAsia="Arial" w:hAnsi="Arial"/>
                  <w:sz w:val="18"/>
                  <w:szCs w:val="18"/>
                  <w:u w:val="single" w:color="auto"/>
                  <w:color w:val="0000EE"/>
                  <w:w w:val="85"/>
                </w:rPr>
                <w:t>1</w:t>
              </w:r>
            </w:hyperlink>
          </w:p>
        </w:tc>
        <w:tc>
          <w:tcPr>
            <w:tcW w:w="1620" w:type="dxa"/>
            <w:vAlign w:val="bottom"/>
          </w:tcPr>
          <w:p>
            <w:pPr>
              <w:spacing w:after="0"/>
              <w:rPr>
                <w:sz w:val="21"/>
                <w:szCs w:val="21"/>
                <w:color w:val="auto"/>
              </w:rPr>
            </w:pPr>
          </w:p>
        </w:tc>
        <w:tc>
          <w:tcPr>
            <w:tcW w:w="9420" w:type="dxa"/>
            <w:vAlign w:val="bottom"/>
            <w:gridSpan w:val="1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Power of Attorney (included on the signature page hereto).</w:t>
              </w:r>
            </w:hyperlink>
          </w:p>
        </w:tc>
      </w:tr>
      <w:tr>
        <w:trPr>
          <w:trHeight w:val="20"/>
        </w:trPr>
        <w:tc>
          <w:tcPr>
            <w:tcW w:w="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40" w:type="dxa"/>
            <w:vAlign w:val="bottom"/>
            <w:gridSpan w:val="6"/>
            <w:shd w:val="clear" w:color="auto" w:fill="0000EE"/>
          </w:tcPr>
          <w:p>
            <w:pPr>
              <w:spacing w:after="0" w:line="20" w:lineRule="exact"/>
              <w:rPr>
                <w:sz w:val="1"/>
                <w:szCs w:val="1"/>
                <w:color w:val="auto"/>
              </w:rPr>
            </w:pPr>
          </w:p>
        </w:tc>
        <w:tc>
          <w:tcPr>
            <w:tcW w:w="5180" w:type="dxa"/>
            <w:vAlign w:val="bottom"/>
            <w:gridSpan w:val="5"/>
          </w:tcPr>
          <w:p>
            <w:pPr>
              <w:spacing w:after="0" w:line="20" w:lineRule="exact"/>
              <w:rPr>
                <w:sz w:val="1"/>
                <w:szCs w:val="1"/>
                <w:color w:val="auto"/>
              </w:rPr>
            </w:pPr>
          </w:p>
        </w:tc>
      </w:tr>
      <w:tr>
        <w:trPr>
          <w:trHeight w:val="291"/>
        </w:trPr>
        <w:tc>
          <w:tcPr>
            <w:tcW w:w="1980" w:type="dxa"/>
            <w:vAlign w:val="bottom"/>
            <w:gridSpan w:val="4"/>
          </w:tcPr>
          <w:p>
            <w:pPr>
              <w:ind w:left="40"/>
              <w:spacing w:after="0"/>
              <w:rPr>
                <w:sz w:val="20"/>
                <w:szCs w:val="20"/>
                <w:color w:val="auto"/>
              </w:rPr>
            </w:pPr>
            <w:r>
              <w:rPr>
                <w:rFonts w:ascii="Arial" w:cs="Arial" w:eastAsia="Arial" w:hAnsi="Arial"/>
                <w:sz w:val="18"/>
                <w:szCs w:val="18"/>
                <w:color w:val="auto"/>
              </w:rPr>
              <w:t>25.1+</w:t>
            </w:r>
          </w:p>
        </w:tc>
        <w:tc>
          <w:tcPr>
            <w:tcW w:w="9420" w:type="dxa"/>
            <w:vAlign w:val="bottom"/>
            <w:gridSpan w:val="11"/>
          </w:tcPr>
          <w:p>
            <w:pPr>
              <w:spacing w:after="0"/>
              <w:rPr>
                <w:sz w:val="20"/>
                <w:szCs w:val="20"/>
                <w:color w:val="auto"/>
              </w:rPr>
            </w:pPr>
            <w:r>
              <w:rPr>
                <w:rFonts w:ascii="Arial" w:cs="Arial" w:eastAsia="Arial" w:hAnsi="Arial"/>
                <w:sz w:val="18"/>
                <w:szCs w:val="18"/>
                <w:color w:val="auto"/>
              </w:rPr>
              <w:t>Form T-1 Statement of Eligibility of Trustee under the Trust Indenture Act of 1939.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5356225</wp:posOffset>
            </wp:positionH>
            <wp:positionV relativeFrom="paragraph">
              <wp:posOffset>308610</wp:posOffset>
            </wp:positionV>
            <wp:extent cx="1828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extLst>
                    </a:blip>
                    <a:srcRect/>
                    <a:stretch>
                      <a:fillRect/>
                    </a:stretch>
                  </pic:blipFill>
                  <pic:spPr bwMode="auto">
                    <a:xfrm>
                      <a:off x="0" y="0"/>
                      <a:ext cx="18288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right="700" w:firstLine="8"/>
        <w:spacing w:after="0" w:line="273" w:lineRule="auto"/>
        <w:tabs>
          <w:tab w:leader="none" w:pos="108" w:val="left"/>
        </w:tabs>
        <w:numPr>
          <w:ilvl w:val="0"/>
          <w:numId w:val="28"/>
        </w:numPr>
        <w:rPr>
          <w:rFonts w:ascii="Arial" w:cs="Arial" w:eastAsia="Arial" w:hAnsi="Arial"/>
          <w:sz w:val="14"/>
          <w:szCs w:val="14"/>
          <w:color w:val="auto"/>
        </w:rPr>
      </w:pPr>
      <w:r>
        <w:rPr>
          <w:rFonts w:ascii="Arial" w:cs="Arial" w:eastAsia="Arial" w:hAnsi="Arial"/>
          <w:sz w:val="14"/>
          <w:szCs w:val="14"/>
          <w:color w:val="auto"/>
        </w:rPr>
        <w:t>To be filed by amendment or pursuant to a report to be filed pursuant to Section 13 or 15(d) of the Securities Exchange Act of 1934, if applicable, and incorporated herein by reference. + To be filed in accordance with the requirements of Section 305(b)(2) of the Trust Indenture Act of 1939 and Rule 5b-3 thereunder.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Registrant hereby undertakes:</w:t>
      </w:r>
    </w:p>
    <w:p>
      <w:pPr>
        <w:spacing w:after="0" w:line="117" w:lineRule="exact"/>
        <w:rPr>
          <w:sz w:val="20"/>
          <w:szCs w:val="20"/>
          <w:color w:val="auto"/>
        </w:rPr>
      </w:pPr>
    </w:p>
    <w:p>
      <w:pPr>
        <w:ind w:left="1040" w:hanging="384"/>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660" w:hanging="355"/>
        <w:spacing w:after="0"/>
        <w:tabs>
          <w:tab w:leader="none" w:pos="1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660" w:firstLine="645"/>
        <w:spacing w:after="0" w:line="255" w:lineRule="auto"/>
        <w:tabs>
          <w:tab w:leader="none" w:pos="1705"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81" w:lineRule="exact"/>
        <w:rPr>
          <w:rFonts w:ascii="Arial" w:cs="Arial" w:eastAsia="Arial" w:hAnsi="Arial"/>
          <w:sz w:val="18"/>
          <w:szCs w:val="18"/>
          <w:color w:val="auto"/>
        </w:rPr>
      </w:pPr>
    </w:p>
    <w:p>
      <w:pPr>
        <w:ind w:left="660" w:right="220" w:firstLine="645"/>
        <w:spacing w:after="0" w:line="277" w:lineRule="auto"/>
        <w:tabs>
          <w:tab w:leader="none" w:pos="1755"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however, that paragraphs (i), (ii) and (iii) above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46" w:lineRule="exact"/>
        <w:rPr>
          <w:sz w:val="20"/>
          <w:szCs w:val="20"/>
          <w:color w:val="auto"/>
        </w:rPr>
      </w:pPr>
    </w:p>
    <w:p>
      <w:pPr>
        <w:ind w:firstLine="656"/>
        <w:spacing w:after="0" w:line="264" w:lineRule="auto"/>
        <w:tabs>
          <w:tab w:leader="none" w:pos="10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368" w:right="259" w:bottom="1440" w:gutter="0" w:footer="0" w:header="0"/>
        </w:sectPr>
      </w:pPr>
    </w:p>
    <w:bookmarkStart w:id="22" w:name="page23"/>
    <w:bookmarkEnd w:id="22"/>
    <w:p>
      <w:pPr>
        <w:ind w:left="-20" w:right="700" w:firstLine="656"/>
        <w:spacing w:after="0" w:line="277" w:lineRule="auto"/>
        <w:tabs>
          <w:tab w:leader="none" w:pos="10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1020" w:hanging="384"/>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rFonts w:ascii="Arial" w:cs="Arial" w:eastAsia="Arial" w:hAnsi="Arial"/>
          <w:sz w:val="18"/>
          <w:szCs w:val="18"/>
          <w:color w:val="auto"/>
        </w:rPr>
      </w:pPr>
    </w:p>
    <w:p>
      <w:pPr>
        <w:ind w:left="640" w:right="320" w:firstLine="645"/>
        <w:spacing w:after="0" w:line="277" w:lineRule="auto"/>
        <w:tabs>
          <w:tab w:leader="none" w:pos="1638" w:val="left"/>
        </w:tabs>
        <w:numPr>
          <w:ilvl w:val="1"/>
          <w:numId w:val="31"/>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640" w:right="40" w:firstLine="645"/>
        <w:spacing w:after="0" w:line="269" w:lineRule="auto"/>
        <w:tabs>
          <w:tab w:leader="none" w:pos="1688" w:val="left"/>
        </w:tabs>
        <w:numPr>
          <w:ilvl w:val="1"/>
          <w:numId w:val="31"/>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4" w:lineRule="exact"/>
        <w:rPr>
          <w:rFonts w:ascii="Arial" w:cs="Arial" w:eastAsia="Arial" w:hAnsi="Arial"/>
          <w:sz w:val="17"/>
          <w:szCs w:val="17"/>
          <w:color w:val="auto"/>
        </w:rPr>
      </w:pPr>
    </w:p>
    <w:p>
      <w:pPr>
        <w:ind w:left="-20" w:right="40" w:firstLine="656"/>
        <w:spacing w:after="0" w:line="257" w:lineRule="auto"/>
        <w:tabs>
          <w:tab w:leader="none" w:pos="10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0" w:lineRule="exact"/>
        <w:rPr>
          <w:rFonts w:ascii="Arial" w:cs="Arial" w:eastAsia="Arial" w:hAnsi="Arial"/>
          <w:sz w:val="18"/>
          <w:szCs w:val="18"/>
          <w:color w:val="auto"/>
        </w:rPr>
      </w:pPr>
    </w:p>
    <w:p>
      <w:pPr>
        <w:ind w:left="1620" w:hanging="335"/>
        <w:spacing w:after="0"/>
        <w:tabs>
          <w:tab w:leader="none" w:pos="16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424;</w:t>
      </w:r>
    </w:p>
    <w:p>
      <w:pPr>
        <w:spacing w:after="0" w:line="102" w:lineRule="exact"/>
        <w:rPr>
          <w:rFonts w:ascii="Arial" w:cs="Arial" w:eastAsia="Arial" w:hAnsi="Arial"/>
          <w:sz w:val="16"/>
          <w:szCs w:val="16"/>
          <w:color w:val="auto"/>
        </w:rPr>
      </w:pPr>
    </w:p>
    <w:p>
      <w:pPr>
        <w:ind w:left="640" w:firstLine="645"/>
        <w:spacing w:after="0" w:line="277" w:lineRule="auto"/>
        <w:tabs>
          <w:tab w:leader="none" w:pos="1678"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640" w:right="560" w:firstLine="645"/>
        <w:spacing w:after="0" w:line="277" w:lineRule="auto"/>
        <w:tabs>
          <w:tab w:leader="none" w:pos="1735"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1720" w:hanging="435"/>
        <w:spacing w:after="0"/>
        <w:tabs>
          <w:tab w:leader="none" w:pos="17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17" w:lineRule="exact"/>
        <w:rPr>
          <w:rFonts w:ascii="Arial" w:cs="Arial" w:eastAsia="Arial" w:hAnsi="Arial"/>
          <w:sz w:val="18"/>
          <w:szCs w:val="18"/>
          <w:color w:val="auto"/>
        </w:rPr>
      </w:pPr>
    </w:p>
    <w:p>
      <w:pPr>
        <w:ind w:left="-20" w:right="160" w:firstLine="656"/>
        <w:spacing w:after="0" w:line="257" w:lineRule="auto"/>
        <w:tabs>
          <w:tab w:leader="none" w:pos="10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for the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0" w:lineRule="exact"/>
        <w:rPr>
          <w:rFonts w:ascii="Arial" w:cs="Arial" w:eastAsia="Arial" w:hAnsi="Arial"/>
          <w:sz w:val="18"/>
          <w:szCs w:val="18"/>
          <w:color w:val="auto"/>
        </w:rPr>
      </w:pPr>
    </w:p>
    <w:p>
      <w:pPr>
        <w:ind w:left="-20" w:right="40" w:firstLine="656"/>
        <w:spacing w:after="0" w:line="297" w:lineRule="auto"/>
        <w:tabs>
          <w:tab w:leader="none" w:pos="101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undersigned Registrant hereby undertakes 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14c-3 under the Securities Exchange Act of 1934; and, where interim financial information required to be presented by Article 3 of Regulation S-X is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50" w:lineRule="exact"/>
        <w:rPr>
          <w:rFonts w:ascii="Arial" w:cs="Arial" w:eastAsia="Arial" w:hAnsi="Arial"/>
          <w:sz w:val="16"/>
          <w:szCs w:val="16"/>
          <w:color w:val="auto"/>
        </w:rPr>
      </w:pPr>
    </w:p>
    <w:p>
      <w:pPr>
        <w:ind w:left="-20" w:right="40" w:firstLine="656"/>
        <w:spacing w:after="0" w:line="271" w:lineRule="auto"/>
        <w:tabs>
          <w:tab w:leader="none" w:pos="1018"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70" w:lineRule="exact"/>
        <w:rPr>
          <w:rFonts w:ascii="Arial" w:cs="Arial" w:eastAsia="Arial" w:hAnsi="Arial"/>
          <w:sz w:val="17"/>
          <w:szCs w:val="17"/>
          <w:color w:val="auto"/>
        </w:rPr>
      </w:pPr>
    </w:p>
    <w:p>
      <w:pPr>
        <w:ind w:left="-20" w:right="680" w:firstLine="656"/>
        <w:spacing w:after="0" w:line="308" w:lineRule="auto"/>
        <w:tabs>
          <w:tab w:leader="none" w:pos="101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To file an application for the purpose of determining the eligibility of the trustee to act under subsection (a) of Section 310 of the Trust Indenture Act, or the Act, in accordance with the rules and regulations prescribed by the Commission under Section 305(b)(2) of the Act.</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60" w:top="368" w:right="239" w:bottom="1440" w:gutter="0" w:footer="0" w:header="0"/>
        </w:sectPr>
      </w:pPr>
    </w:p>
    <w:bookmarkStart w:id="23" w:name="page24"/>
    <w:bookmarkEnd w:id="23"/>
    <w:p>
      <w:pPr>
        <w:ind w:firstLine="648"/>
        <w:spacing w:after="0" w:line="279" w:lineRule="auto"/>
        <w:rPr>
          <w:sz w:val="20"/>
          <w:szCs w:val="20"/>
          <w:color w:val="auto"/>
        </w:rPr>
      </w:pPr>
      <w:r>
        <w:rPr>
          <w:rFonts w:ascii="Arial" w:cs="Arial" w:eastAsia="Arial" w:hAnsi="Arial"/>
          <w:sz w:val="17"/>
          <w:szCs w:val="17"/>
          <w:color w:val="auto"/>
        </w:rPr>
        <w:t>The undersigned Registrant hereby undertakes to supplement the prospectus, after the expiration of the subscription period (if any), to set forth the results of the subscription offer, the transactions by the underwriters during the subscription period, the amount of unsubscribed securities to be purchased by the underwriters, and the terms of any subsequent reoffering thereof. If any public offering by the underwriters is to be made on terms differing from those set forth on the cover page of the prospectus, a post-effective amendment will be filed to set forth the terms of such offering.</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80"/>
          </w:cols>
          <w:pgMar w:left="240" w:top="368" w:right="27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South San Francisco, State of California, on this 1st day of May, 2019.</w:t>
      </w:r>
    </w:p>
    <w:p>
      <w:pPr>
        <w:spacing w:after="0" w:line="200" w:lineRule="exact"/>
        <w:rPr>
          <w:sz w:val="20"/>
          <w:szCs w:val="20"/>
          <w:color w:val="auto"/>
        </w:rPr>
      </w:pPr>
    </w:p>
    <w:p>
      <w:pPr>
        <w:spacing w:after="0" w:line="202"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VERACYTE, INC.</w:t>
      </w:r>
    </w:p>
    <w:p>
      <w:pPr>
        <w:spacing w:after="0" w:line="67" w:lineRule="exact"/>
        <w:rPr>
          <w:sz w:val="20"/>
          <w:szCs w:val="20"/>
          <w:color w:val="auto"/>
        </w:rPr>
      </w:pPr>
    </w:p>
    <w:p>
      <w:pPr>
        <w:ind w:left="6080"/>
        <w:spacing w:after="0"/>
        <w:tabs>
          <w:tab w:leader="none" w:pos="7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31750</wp:posOffset>
            </wp:positionV>
            <wp:extent cx="28727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57" w:lineRule="exact"/>
        <w:rPr>
          <w:sz w:val="20"/>
          <w:szCs w:val="20"/>
          <w:color w:val="auto"/>
        </w:rPr>
      </w:pPr>
    </w:p>
    <w:p>
      <w:pPr>
        <w:jc w:val="center"/>
        <w:ind w:left="6260"/>
        <w:spacing w:after="0"/>
        <w:rPr>
          <w:sz w:val="20"/>
          <w:szCs w:val="20"/>
          <w:color w:val="auto"/>
        </w:rPr>
      </w:pPr>
      <w:r>
        <w:rPr>
          <w:rFonts w:ascii="Arial" w:cs="Arial" w:eastAsia="Arial" w:hAnsi="Arial"/>
          <w:sz w:val="18"/>
          <w:szCs w:val="18"/>
          <w:color w:val="auto"/>
        </w:rPr>
        <w:t>Bonnie H. Anderson</w:t>
      </w:r>
    </w:p>
    <w:p>
      <w:pPr>
        <w:spacing w:after="0" w:line="23" w:lineRule="exact"/>
        <w:rPr>
          <w:sz w:val="20"/>
          <w:szCs w:val="20"/>
          <w:color w:val="auto"/>
        </w:rPr>
      </w:pPr>
    </w:p>
    <w:p>
      <w:pPr>
        <w:jc w:val="center"/>
        <w:ind w:left="62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7"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Bonnie H. Anderson and Keith Kennedy,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of 1933,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for all intents and purposes as he or she might or could do in person, hereby ratifying and confirming all that each of said attorneys in fact and agents or their substitute or substitutes may lawfully do or cause to be done by virtue hereof.</w:t>
      </w:r>
    </w:p>
    <w:p>
      <w:pPr>
        <w:spacing w:after="0" w:line="6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Name</w:t>
            </w:r>
          </w:p>
        </w:tc>
        <w:tc>
          <w:tcPr>
            <w:tcW w:w="5660" w:type="dxa"/>
            <w:vAlign w:val="bottom"/>
          </w:tcPr>
          <w:p>
            <w:pPr>
              <w:ind w:left="2800"/>
              <w:spacing w:after="0"/>
              <w:rPr>
                <w:sz w:val="20"/>
                <w:szCs w:val="20"/>
                <w:color w:val="auto"/>
              </w:rPr>
            </w:pPr>
            <w:r>
              <w:rPr>
                <w:rFonts w:ascii="Arial" w:cs="Arial" w:eastAsia="Arial" w:hAnsi="Arial"/>
                <w:sz w:val="18"/>
                <w:szCs w:val="18"/>
                <w:b w:val="1"/>
                <w:bCs w:val="1"/>
                <w:color w:val="auto"/>
              </w:rPr>
              <w:t>Title</w:t>
            </w:r>
          </w:p>
        </w:tc>
        <w:tc>
          <w:tcPr>
            <w:tcW w:w="1580" w:type="dxa"/>
            <w:vAlign w:val="bottom"/>
          </w:tcPr>
          <w:p>
            <w:pPr>
              <w:jc w:val="center"/>
              <w:ind w:left="570"/>
              <w:spacing w:after="0"/>
              <w:rPr>
                <w:sz w:val="20"/>
                <w:szCs w:val="20"/>
                <w:color w:val="auto"/>
              </w:rPr>
            </w:pPr>
            <w:r>
              <w:rPr>
                <w:rFonts w:ascii="Arial" w:cs="Arial" w:eastAsia="Arial" w:hAnsi="Arial"/>
                <w:sz w:val="18"/>
                <w:szCs w:val="18"/>
                <w:b w:val="1"/>
                <w:bCs w:val="1"/>
                <w:color w:val="auto"/>
                <w:w w:val="92"/>
              </w:rPr>
              <w:t>Date</w:t>
            </w:r>
          </w:p>
        </w:tc>
      </w:tr>
      <w:tr>
        <w:trPr>
          <w:trHeight w:val="297"/>
        </w:trPr>
        <w:tc>
          <w:tcPr>
            <w:tcW w:w="3600" w:type="dxa"/>
            <w:vAlign w:val="bottom"/>
          </w:tcPr>
          <w:p>
            <w:pPr>
              <w:jc w:val="center"/>
              <w:spacing w:after="0"/>
              <w:rPr>
                <w:sz w:val="20"/>
                <w:szCs w:val="20"/>
                <w:color w:val="auto"/>
              </w:rPr>
            </w:pPr>
            <w:r>
              <w:rPr>
                <w:rFonts w:ascii="Arial" w:cs="Arial" w:eastAsia="Arial" w:hAnsi="Arial"/>
                <w:sz w:val="18"/>
                <w:szCs w:val="18"/>
                <w:color w:val="auto"/>
                <w:w w:val="95"/>
              </w:rPr>
              <w:t>/s/ BONNIE H. ANDERSON</w:t>
            </w:r>
          </w:p>
        </w:tc>
        <w:tc>
          <w:tcPr>
            <w:tcW w:w="5660" w:type="dxa"/>
            <w:vAlign w:val="bottom"/>
          </w:tcPr>
          <w:p>
            <w:pPr>
              <w:ind w:left="20"/>
              <w:spacing w:after="0"/>
              <w:rPr>
                <w:sz w:val="20"/>
                <w:szCs w:val="20"/>
                <w:color w:val="auto"/>
              </w:rPr>
            </w:pPr>
            <w:r>
              <w:rPr>
                <w:rFonts w:ascii="Arial" w:cs="Arial" w:eastAsia="Arial" w:hAnsi="Arial"/>
                <w:sz w:val="18"/>
                <w:szCs w:val="18"/>
                <w:color w:val="auto"/>
              </w:rPr>
              <w:t>Chairman and Chief Executive Officer (Principal Executive Officer)</w:t>
            </w:r>
          </w:p>
        </w:tc>
        <w:tc>
          <w:tcPr>
            <w:tcW w:w="1580" w:type="dxa"/>
            <w:vAlign w:val="bottom"/>
          </w:tcPr>
          <w:p>
            <w:pPr>
              <w:jc w:val="center"/>
              <w:ind w:left="570"/>
              <w:spacing w:after="0"/>
              <w:rPr>
                <w:sz w:val="20"/>
                <w:szCs w:val="20"/>
                <w:color w:val="auto"/>
              </w:rPr>
            </w:pPr>
            <w:r>
              <w:rPr>
                <w:rFonts w:ascii="Arial" w:cs="Arial" w:eastAsia="Arial" w:hAnsi="Arial"/>
                <w:sz w:val="18"/>
                <w:szCs w:val="18"/>
                <w:color w:val="auto"/>
                <w:w w:val="92"/>
              </w:rPr>
              <w:t>May 1, 2019</w:t>
            </w:r>
          </w:p>
        </w:tc>
      </w:tr>
      <w:tr>
        <w:trPr>
          <w:trHeight w:val="27"/>
        </w:trPr>
        <w:tc>
          <w:tcPr>
            <w:tcW w:w="3600" w:type="dxa"/>
            <w:vAlign w:val="bottom"/>
            <w:tcBorders>
              <w:bottom w:val="single" w:sz="8" w:color="auto"/>
            </w:tcBorders>
          </w:tcPr>
          <w:p>
            <w:pPr>
              <w:spacing w:after="0"/>
              <w:rPr>
                <w:sz w:val="2"/>
                <w:szCs w:val="2"/>
                <w:color w:val="auto"/>
              </w:rPr>
            </w:pPr>
          </w:p>
        </w:tc>
        <w:tc>
          <w:tcPr>
            <w:tcW w:w="56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3600" w:type="dxa"/>
            <w:vAlign w:val="bottom"/>
          </w:tcPr>
          <w:p>
            <w:pPr>
              <w:jc w:val="center"/>
              <w:spacing w:after="0"/>
              <w:rPr>
                <w:sz w:val="20"/>
                <w:szCs w:val="20"/>
                <w:color w:val="auto"/>
              </w:rPr>
            </w:pPr>
            <w:r>
              <w:rPr>
                <w:rFonts w:ascii="Arial" w:cs="Arial" w:eastAsia="Arial" w:hAnsi="Arial"/>
                <w:sz w:val="18"/>
                <w:szCs w:val="18"/>
                <w:color w:val="auto"/>
                <w:w w:val="91"/>
              </w:rPr>
              <w:t>Bonnie H. Anderson</w:t>
            </w:r>
          </w:p>
        </w:tc>
        <w:tc>
          <w:tcPr>
            <w:tcW w:w="56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97"/>
        </w:trPr>
        <w:tc>
          <w:tcPr>
            <w:tcW w:w="3600" w:type="dxa"/>
            <w:vAlign w:val="bottom"/>
          </w:tcPr>
          <w:p>
            <w:pPr>
              <w:jc w:val="center"/>
              <w:spacing w:after="0"/>
              <w:rPr>
                <w:sz w:val="20"/>
                <w:szCs w:val="20"/>
                <w:color w:val="auto"/>
              </w:rPr>
            </w:pPr>
            <w:r>
              <w:rPr>
                <w:rFonts w:ascii="Arial" w:cs="Arial" w:eastAsia="Arial" w:hAnsi="Arial"/>
                <w:sz w:val="18"/>
                <w:szCs w:val="18"/>
                <w:color w:val="auto"/>
                <w:w w:val="99"/>
              </w:rPr>
              <w:t>/s/ KEITH KENNEDY</w:t>
            </w:r>
          </w:p>
        </w:tc>
        <w:tc>
          <w:tcPr>
            <w:tcW w:w="566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and Accounting Officer)</w:t>
            </w:r>
          </w:p>
        </w:tc>
        <w:tc>
          <w:tcPr>
            <w:tcW w:w="1580" w:type="dxa"/>
            <w:vAlign w:val="bottom"/>
          </w:tcPr>
          <w:p>
            <w:pPr>
              <w:jc w:val="center"/>
              <w:ind w:left="570"/>
              <w:spacing w:after="0"/>
              <w:rPr>
                <w:sz w:val="20"/>
                <w:szCs w:val="20"/>
                <w:color w:val="auto"/>
              </w:rPr>
            </w:pPr>
            <w:r>
              <w:rPr>
                <w:rFonts w:ascii="Arial" w:cs="Arial" w:eastAsia="Arial" w:hAnsi="Arial"/>
                <w:sz w:val="18"/>
                <w:szCs w:val="18"/>
                <w:color w:val="auto"/>
                <w:w w:val="92"/>
              </w:rPr>
              <w:t>May 1, 2019</w:t>
            </w:r>
          </w:p>
        </w:tc>
      </w:tr>
      <w:tr>
        <w:trPr>
          <w:trHeight w:val="27"/>
        </w:trPr>
        <w:tc>
          <w:tcPr>
            <w:tcW w:w="3600" w:type="dxa"/>
            <w:vAlign w:val="bottom"/>
            <w:tcBorders>
              <w:bottom w:val="single" w:sz="8" w:color="auto"/>
            </w:tcBorders>
          </w:tcPr>
          <w:p>
            <w:pPr>
              <w:spacing w:after="0"/>
              <w:rPr>
                <w:sz w:val="2"/>
                <w:szCs w:val="2"/>
                <w:color w:val="auto"/>
              </w:rPr>
            </w:pPr>
          </w:p>
        </w:tc>
        <w:tc>
          <w:tcPr>
            <w:tcW w:w="56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3600" w:type="dxa"/>
            <w:vAlign w:val="bottom"/>
          </w:tcPr>
          <w:p>
            <w:pPr>
              <w:jc w:val="center"/>
              <w:spacing w:after="0"/>
              <w:rPr>
                <w:sz w:val="20"/>
                <w:szCs w:val="20"/>
                <w:color w:val="auto"/>
              </w:rPr>
            </w:pPr>
            <w:r>
              <w:rPr>
                <w:rFonts w:ascii="Arial" w:cs="Arial" w:eastAsia="Arial" w:hAnsi="Arial"/>
                <w:sz w:val="18"/>
                <w:szCs w:val="18"/>
                <w:color w:val="auto"/>
                <w:w w:val="93"/>
              </w:rPr>
              <w:t>Keith Kennedy</w:t>
            </w:r>
          </w:p>
        </w:tc>
        <w:tc>
          <w:tcPr>
            <w:tcW w:w="56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97"/>
        </w:trPr>
        <w:tc>
          <w:tcPr>
            <w:tcW w:w="3600" w:type="dxa"/>
            <w:vAlign w:val="bottom"/>
          </w:tcPr>
          <w:p>
            <w:pPr>
              <w:jc w:val="center"/>
              <w:spacing w:after="0"/>
              <w:rPr>
                <w:sz w:val="20"/>
                <w:szCs w:val="20"/>
                <w:color w:val="auto"/>
              </w:rPr>
            </w:pPr>
            <w:r>
              <w:rPr>
                <w:rFonts w:ascii="Arial" w:cs="Arial" w:eastAsia="Arial" w:hAnsi="Arial"/>
                <w:sz w:val="18"/>
                <w:szCs w:val="18"/>
                <w:color w:val="auto"/>
                <w:w w:val="93"/>
              </w:rPr>
              <w:t>/s/ JOHN L. BISHOP</w:t>
            </w:r>
          </w:p>
        </w:tc>
        <w:tc>
          <w:tcPr>
            <w:tcW w:w="5660" w:type="dxa"/>
            <w:vAlign w:val="bottom"/>
          </w:tcPr>
          <w:p>
            <w:pPr>
              <w:ind w:left="20"/>
              <w:spacing w:after="0"/>
              <w:rPr>
                <w:sz w:val="20"/>
                <w:szCs w:val="20"/>
                <w:color w:val="auto"/>
              </w:rPr>
            </w:pPr>
            <w:r>
              <w:rPr>
                <w:rFonts w:ascii="Arial" w:cs="Arial" w:eastAsia="Arial" w:hAnsi="Arial"/>
                <w:sz w:val="18"/>
                <w:szCs w:val="18"/>
                <w:color w:val="auto"/>
              </w:rPr>
              <w:t>Lead Independent Director</w:t>
            </w:r>
          </w:p>
        </w:tc>
        <w:tc>
          <w:tcPr>
            <w:tcW w:w="1580" w:type="dxa"/>
            <w:vAlign w:val="bottom"/>
          </w:tcPr>
          <w:p>
            <w:pPr>
              <w:jc w:val="center"/>
              <w:ind w:left="570"/>
              <w:spacing w:after="0"/>
              <w:rPr>
                <w:sz w:val="20"/>
                <w:szCs w:val="20"/>
                <w:color w:val="auto"/>
              </w:rPr>
            </w:pPr>
            <w:r>
              <w:rPr>
                <w:rFonts w:ascii="Arial" w:cs="Arial" w:eastAsia="Arial" w:hAnsi="Arial"/>
                <w:sz w:val="18"/>
                <w:szCs w:val="18"/>
                <w:color w:val="auto"/>
                <w:w w:val="92"/>
              </w:rPr>
              <w:t>May 1, 2019</w:t>
            </w:r>
          </w:p>
        </w:tc>
      </w:tr>
      <w:tr>
        <w:trPr>
          <w:trHeight w:val="27"/>
        </w:trPr>
        <w:tc>
          <w:tcPr>
            <w:tcW w:w="3600" w:type="dxa"/>
            <w:vAlign w:val="bottom"/>
            <w:tcBorders>
              <w:bottom w:val="single" w:sz="8" w:color="auto"/>
            </w:tcBorders>
          </w:tcPr>
          <w:p>
            <w:pPr>
              <w:spacing w:after="0"/>
              <w:rPr>
                <w:sz w:val="2"/>
                <w:szCs w:val="2"/>
                <w:color w:val="auto"/>
              </w:rPr>
            </w:pPr>
          </w:p>
        </w:tc>
        <w:tc>
          <w:tcPr>
            <w:tcW w:w="56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3600" w:type="dxa"/>
            <w:vAlign w:val="bottom"/>
          </w:tcPr>
          <w:p>
            <w:pPr>
              <w:jc w:val="center"/>
              <w:spacing w:after="0"/>
              <w:rPr>
                <w:sz w:val="20"/>
                <w:szCs w:val="20"/>
                <w:color w:val="auto"/>
              </w:rPr>
            </w:pPr>
            <w:r>
              <w:rPr>
                <w:rFonts w:ascii="Arial" w:cs="Arial" w:eastAsia="Arial" w:hAnsi="Arial"/>
                <w:sz w:val="18"/>
                <w:szCs w:val="18"/>
                <w:color w:val="auto"/>
                <w:w w:val="92"/>
              </w:rPr>
              <w:t>John L. Bishop</w:t>
            </w:r>
          </w:p>
        </w:tc>
        <w:tc>
          <w:tcPr>
            <w:tcW w:w="56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97"/>
        </w:trPr>
        <w:tc>
          <w:tcPr>
            <w:tcW w:w="3600" w:type="dxa"/>
            <w:vAlign w:val="bottom"/>
          </w:tcPr>
          <w:p>
            <w:pPr>
              <w:jc w:val="center"/>
              <w:spacing w:after="0"/>
              <w:rPr>
                <w:sz w:val="20"/>
                <w:szCs w:val="20"/>
                <w:color w:val="auto"/>
              </w:rPr>
            </w:pPr>
            <w:r>
              <w:rPr>
                <w:rFonts w:ascii="Arial" w:cs="Arial" w:eastAsia="Arial" w:hAnsi="Arial"/>
                <w:sz w:val="18"/>
                <w:szCs w:val="18"/>
                <w:color w:val="auto"/>
                <w:w w:val="95"/>
              </w:rPr>
              <w:t>/s/ FRED E. COHEN, M.D., D.PHIL.</w:t>
            </w:r>
          </w:p>
        </w:tc>
        <w:tc>
          <w:tcPr>
            <w:tcW w:w="56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580" w:type="dxa"/>
            <w:vAlign w:val="bottom"/>
          </w:tcPr>
          <w:p>
            <w:pPr>
              <w:jc w:val="center"/>
              <w:ind w:left="570"/>
              <w:spacing w:after="0"/>
              <w:rPr>
                <w:sz w:val="20"/>
                <w:szCs w:val="20"/>
                <w:color w:val="auto"/>
              </w:rPr>
            </w:pPr>
            <w:r>
              <w:rPr>
                <w:rFonts w:ascii="Arial" w:cs="Arial" w:eastAsia="Arial" w:hAnsi="Arial"/>
                <w:sz w:val="18"/>
                <w:szCs w:val="18"/>
                <w:color w:val="auto"/>
                <w:w w:val="92"/>
              </w:rPr>
              <w:t>May 1, 2019</w:t>
            </w:r>
          </w:p>
        </w:tc>
      </w:tr>
      <w:tr>
        <w:trPr>
          <w:trHeight w:val="27"/>
        </w:trPr>
        <w:tc>
          <w:tcPr>
            <w:tcW w:w="3600" w:type="dxa"/>
            <w:vAlign w:val="bottom"/>
            <w:tcBorders>
              <w:bottom w:val="single" w:sz="8" w:color="auto"/>
            </w:tcBorders>
          </w:tcPr>
          <w:p>
            <w:pPr>
              <w:spacing w:after="0"/>
              <w:rPr>
                <w:sz w:val="2"/>
                <w:szCs w:val="2"/>
                <w:color w:val="auto"/>
              </w:rPr>
            </w:pPr>
          </w:p>
        </w:tc>
        <w:tc>
          <w:tcPr>
            <w:tcW w:w="56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3600" w:type="dxa"/>
            <w:vAlign w:val="bottom"/>
          </w:tcPr>
          <w:p>
            <w:pPr>
              <w:jc w:val="center"/>
              <w:spacing w:after="0"/>
              <w:rPr>
                <w:sz w:val="20"/>
                <w:szCs w:val="20"/>
                <w:color w:val="auto"/>
              </w:rPr>
            </w:pPr>
            <w:r>
              <w:rPr>
                <w:rFonts w:ascii="Arial" w:cs="Arial" w:eastAsia="Arial" w:hAnsi="Arial"/>
                <w:sz w:val="18"/>
                <w:szCs w:val="18"/>
                <w:color w:val="auto"/>
                <w:w w:val="92"/>
              </w:rPr>
              <w:t>Fred E. Cohen, M.D., D. Phil</w:t>
            </w:r>
          </w:p>
        </w:tc>
        <w:tc>
          <w:tcPr>
            <w:tcW w:w="56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84"/>
        </w:trPr>
        <w:tc>
          <w:tcPr>
            <w:tcW w:w="3600" w:type="dxa"/>
            <w:vAlign w:val="bottom"/>
          </w:tcPr>
          <w:p>
            <w:pPr>
              <w:jc w:val="center"/>
              <w:spacing w:after="0"/>
              <w:rPr>
                <w:sz w:val="20"/>
                <w:szCs w:val="20"/>
                <w:color w:val="auto"/>
              </w:rPr>
            </w:pPr>
            <w:r>
              <w:rPr>
                <w:rFonts w:ascii="Arial" w:cs="Arial" w:eastAsia="Arial" w:hAnsi="Arial"/>
                <w:sz w:val="18"/>
                <w:szCs w:val="18"/>
                <w:color w:val="auto"/>
                <w:w w:val="99"/>
              </w:rPr>
              <w:t>/s/ KARIN EASTHAM</w:t>
            </w:r>
          </w:p>
        </w:tc>
        <w:tc>
          <w:tcPr>
            <w:tcW w:w="56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580" w:type="dxa"/>
            <w:vAlign w:val="bottom"/>
          </w:tcPr>
          <w:p>
            <w:pPr>
              <w:jc w:val="center"/>
              <w:ind w:left="570"/>
              <w:spacing w:after="0"/>
              <w:rPr>
                <w:sz w:val="20"/>
                <w:szCs w:val="20"/>
                <w:color w:val="auto"/>
              </w:rPr>
            </w:pPr>
            <w:r>
              <w:rPr>
                <w:rFonts w:ascii="Arial" w:cs="Arial" w:eastAsia="Arial" w:hAnsi="Arial"/>
                <w:sz w:val="18"/>
                <w:szCs w:val="18"/>
                <w:color w:val="auto"/>
                <w:w w:val="92"/>
              </w:rPr>
              <w:t>May 1, 2019</w:t>
            </w:r>
          </w:p>
        </w:tc>
      </w:tr>
      <w:tr>
        <w:trPr>
          <w:trHeight w:val="41"/>
        </w:trPr>
        <w:tc>
          <w:tcPr>
            <w:tcW w:w="3600" w:type="dxa"/>
            <w:vAlign w:val="bottom"/>
            <w:tcBorders>
              <w:bottom w:val="single" w:sz="8" w:color="auto"/>
            </w:tcBorders>
          </w:tcPr>
          <w:p>
            <w:pPr>
              <w:spacing w:after="0"/>
              <w:rPr>
                <w:sz w:val="3"/>
                <w:szCs w:val="3"/>
                <w:color w:val="auto"/>
              </w:rPr>
            </w:pPr>
          </w:p>
        </w:tc>
        <w:tc>
          <w:tcPr>
            <w:tcW w:w="566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37"/>
        </w:trPr>
        <w:tc>
          <w:tcPr>
            <w:tcW w:w="3600" w:type="dxa"/>
            <w:vAlign w:val="bottom"/>
          </w:tcPr>
          <w:p>
            <w:pPr>
              <w:jc w:val="center"/>
              <w:spacing w:after="0"/>
              <w:rPr>
                <w:sz w:val="20"/>
                <w:szCs w:val="20"/>
                <w:color w:val="auto"/>
              </w:rPr>
            </w:pPr>
            <w:r>
              <w:rPr>
                <w:rFonts w:ascii="Arial" w:cs="Arial" w:eastAsia="Arial" w:hAnsi="Arial"/>
                <w:sz w:val="18"/>
                <w:szCs w:val="18"/>
                <w:color w:val="auto"/>
                <w:w w:val="91"/>
              </w:rPr>
              <w:t>Karin Eastham</w:t>
            </w:r>
          </w:p>
        </w:tc>
        <w:tc>
          <w:tcPr>
            <w:tcW w:w="56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84"/>
        </w:trPr>
        <w:tc>
          <w:tcPr>
            <w:tcW w:w="3600" w:type="dxa"/>
            <w:vAlign w:val="bottom"/>
          </w:tcPr>
          <w:p>
            <w:pPr>
              <w:jc w:val="center"/>
              <w:spacing w:after="0"/>
              <w:rPr>
                <w:sz w:val="20"/>
                <w:szCs w:val="20"/>
                <w:color w:val="auto"/>
              </w:rPr>
            </w:pPr>
            <w:r>
              <w:rPr>
                <w:rFonts w:ascii="Arial" w:cs="Arial" w:eastAsia="Arial" w:hAnsi="Arial"/>
                <w:sz w:val="18"/>
                <w:szCs w:val="18"/>
                <w:color w:val="auto"/>
                <w:w w:val="93"/>
              </w:rPr>
              <w:t>/s/ ROBERT S. EPSTEIN, M.D.,M.S.</w:t>
            </w:r>
          </w:p>
        </w:tc>
        <w:tc>
          <w:tcPr>
            <w:tcW w:w="56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580" w:type="dxa"/>
            <w:vAlign w:val="bottom"/>
          </w:tcPr>
          <w:p>
            <w:pPr>
              <w:jc w:val="center"/>
              <w:ind w:left="570"/>
              <w:spacing w:after="0"/>
              <w:rPr>
                <w:sz w:val="20"/>
                <w:szCs w:val="20"/>
                <w:color w:val="auto"/>
              </w:rPr>
            </w:pPr>
            <w:r>
              <w:rPr>
                <w:rFonts w:ascii="Arial" w:cs="Arial" w:eastAsia="Arial" w:hAnsi="Arial"/>
                <w:sz w:val="18"/>
                <w:szCs w:val="18"/>
                <w:color w:val="auto"/>
                <w:w w:val="92"/>
              </w:rPr>
              <w:t>May 1, 2019</w:t>
            </w:r>
          </w:p>
        </w:tc>
      </w:tr>
      <w:tr>
        <w:trPr>
          <w:trHeight w:val="41"/>
        </w:trPr>
        <w:tc>
          <w:tcPr>
            <w:tcW w:w="3600" w:type="dxa"/>
            <w:vAlign w:val="bottom"/>
            <w:tcBorders>
              <w:bottom w:val="single" w:sz="8" w:color="auto"/>
            </w:tcBorders>
          </w:tcPr>
          <w:p>
            <w:pPr>
              <w:spacing w:after="0"/>
              <w:rPr>
                <w:sz w:val="3"/>
                <w:szCs w:val="3"/>
                <w:color w:val="auto"/>
              </w:rPr>
            </w:pPr>
          </w:p>
        </w:tc>
        <w:tc>
          <w:tcPr>
            <w:tcW w:w="566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37"/>
        </w:trPr>
        <w:tc>
          <w:tcPr>
            <w:tcW w:w="3600" w:type="dxa"/>
            <w:vAlign w:val="bottom"/>
          </w:tcPr>
          <w:p>
            <w:pPr>
              <w:jc w:val="center"/>
              <w:spacing w:after="0"/>
              <w:rPr>
                <w:sz w:val="20"/>
                <w:szCs w:val="20"/>
                <w:color w:val="auto"/>
              </w:rPr>
            </w:pPr>
            <w:r>
              <w:rPr>
                <w:rFonts w:ascii="Arial" w:cs="Arial" w:eastAsia="Arial" w:hAnsi="Arial"/>
                <w:sz w:val="18"/>
                <w:szCs w:val="18"/>
                <w:color w:val="auto"/>
                <w:w w:val="91"/>
              </w:rPr>
              <w:t>Robert S. Epstein, M.D., M.S</w:t>
            </w:r>
          </w:p>
        </w:tc>
        <w:tc>
          <w:tcPr>
            <w:tcW w:w="56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84"/>
        </w:trPr>
        <w:tc>
          <w:tcPr>
            <w:tcW w:w="3600" w:type="dxa"/>
            <w:vAlign w:val="bottom"/>
          </w:tcPr>
          <w:p>
            <w:pPr>
              <w:jc w:val="center"/>
              <w:spacing w:after="0"/>
              <w:rPr>
                <w:sz w:val="20"/>
                <w:szCs w:val="20"/>
                <w:color w:val="auto"/>
              </w:rPr>
            </w:pPr>
            <w:r>
              <w:rPr>
                <w:rFonts w:ascii="Arial" w:cs="Arial" w:eastAsia="Arial" w:hAnsi="Arial"/>
                <w:sz w:val="18"/>
                <w:szCs w:val="18"/>
                <w:color w:val="auto"/>
                <w:w w:val="96"/>
              </w:rPr>
              <w:t>/s/ KEVIN K. GORDON</w:t>
            </w:r>
          </w:p>
        </w:tc>
        <w:tc>
          <w:tcPr>
            <w:tcW w:w="56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580" w:type="dxa"/>
            <w:vAlign w:val="bottom"/>
          </w:tcPr>
          <w:p>
            <w:pPr>
              <w:jc w:val="center"/>
              <w:ind w:left="570"/>
              <w:spacing w:after="0"/>
              <w:rPr>
                <w:sz w:val="20"/>
                <w:szCs w:val="20"/>
                <w:color w:val="auto"/>
              </w:rPr>
            </w:pPr>
            <w:r>
              <w:rPr>
                <w:rFonts w:ascii="Arial" w:cs="Arial" w:eastAsia="Arial" w:hAnsi="Arial"/>
                <w:sz w:val="18"/>
                <w:szCs w:val="18"/>
                <w:color w:val="auto"/>
                <w:w w:val="92"/>
              </w:rPr>
              <w:t>May 1, 2019</w:t>
            </w:r>
          </w:p>
        </w:tc>
      </w:tr>
      <w:tr>
        <w:trPr>
          <w:trHeight w:val="41"/>
        </w:trPr>
        <w:tc>
          <w:tcPr>
            <w:tcW w:w="3600" w:type="dxa"/>
            <w:vAlign w:val="bottom"/>
            <w:tcBorders>
              <w:bottom w:val="single" w:sz="8" w:color="auto"/>
            </w:tcBorders>
          </w:tcPr>
          <w:p>
            <w:pPr>
              <w:spacing w:after="0"/>
              <w:rPr>
                <w:sz w:val="3"/>
                <w:szCs w:val="3"/>
                <w:color w:val="auto"/>
              </w:rPr>
            </w:pPr>
          </w:p>
        </w:tc>
        <w:tc>
          <w:tcPr>
            <w:tcW w:w="566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37"/>
        </w:trPr>
        <w:tc>
          <w:tcPr>
            <w:tcW w:w="3600" w:type="dxa"/>
            <w:vAlign w:val="bottom"/>
          </w:tcPr>
          <w:p>
            <w:pPr>
              <w:jc w:val="center"/>
              <w:spacing w:after="0"/>
              <w:rPr>
                <w:sz w:val="20"/>
                <w:szCs w:val="20"/>
                <w:color w:val="auto"/>
              </w:rPr>
            </w:pPr>
            <w:r>
              <w:rPr>
                <w:rFonts w:ascii="Arial" w:cs="Arial" w:eastAsia="Arial" w:hAnsi="Arial"/>
                <w:sz w:val="18"/>
                <w:szCs w:val="18"/>
                <w:color w:val="auto"/>
                <w:w w:val="95"/>
              </w:rPr>
              <w:t>Kevin K. Gordon</w:t>
            </w:r>
          </w:p>
        </w:tc>
        <w:tc>
          <w:tcPr>
            <w:tcW w:w="56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84"/>
        </w:trPr>
        <w:tc>
          <w:tcPr>
            <w:tcW w:w="3600" w:type="dxa"/>
            <w:vAlign w:val="bottom"/>
          </w:tcPr>
          <w:p>
            <w:pPr>
              <w:jc w:val="center"/>
              <w:spacing w:after="0"/>
              <w:rPr>
                <w:sz w:val="20"/>
                <w:szCs w:val="20"/>
                <w:color w:val="auto"/>
              </w:rPr>
            </w:pPr>
            <w:r>
              <w:rPr>
                <w:rFonts w:ascii="Arial" w:cs="Arial" w:eastAsia="Arial" w:hAnsi="Arial"/>
                <w:sz w:val="18"/>
                <w:szCs w:val="18"/>
                <w:color w:val="auto"/>
                <w:w w:val="92"/>
              </w:rPr>
              <w:t>/s/ EVAN JONES</w:t>
            </w:r>
          </w:p>
        </w:tc>
        <w:tc>
          <w:tcPr>
            <w:tcW w:w="56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580" w:type="dxa"/>
            <w:vAlign w:val="bottom"/>
          </w:tcPr>
          <w:p>
            <w:pPr>
              <w:jc w:val="center"/>
              <w:ind w:left="570"/>
              <w:spacing w:after="0"/>
              <w:rPr>
                <w:sz w:val="20"/>
                <w:szCs w:val="20"/>
                <w:color w:val="auto"/>
              </w:rPr>
            </w:pPr>
            <w:r>
              <w:rPr>
                <w:rFonts w:ascii="Arial" w:cs="Arial" w:eastAsia="Arial" w:hAnsi="Arial"/>
                <w:sz w:val="18"/>
                <w:szCs w:val="18"/>
                <w:color w:val="auto"/>
                <w:w w:val="92"/>
              </w:rPr>
              <w:t>May 1, 2019</w:t>
            </w:r>
          </w:p>
        </w:tc>
      </w:tr>
      <w:tr>
        <w:trPr>
          <w:trHeight w:val="41"/>
        </w:trPr>
        <w:tc>
          <w:tcPr>
            <w:tcW w:w="3600" w:type="dxa"/>
            <w:vAlign w:val="bottom"/>
            <w:tcBorders>
              <w:bottom w:val="single" w:sz="8" w:color="auto"/>
            </w:tcBorders>
          </w:tcPr>
          <w:p>
            <w:pPr>
              <w:spacing w:after="0"/>
              <w:rPr>
                <w:sz w:val="3"/>
                <w:szCs w:val="3"/>
                <w:color w:val="auto"/>
              </w:rPr>
            </w:pPr>
          </w:p>
        </w:tc>
        <w:tc>
          <w:tcPr>
            <w:tcW w:w="566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37"/>
        </w:trPr>
        <w:tc>
          <w:tcPr>
            <w:tcW w:w="3600" w:type="dxa"/>
            <w:vAlign w:val="bottom"/>
          </w:tcPr>
          <w:p>
            <w:pPr>
              <w:jc w:val="center"/>
              <w:spacing w:after="0"/>
              <w:rPr>
                <w:sz w:val="20"/>
                <w:szCs w:val="20"/>
                <w:color w:val="auto"/>
              </w:rPr>
            </w:pPr>
            <w:r>
              <w:rPr>
                <w:rFonts w:ascii="Arial" w:cs="Arial" w:eastAsia="Arial" w:hAnsi="Arial"/>
                <w:sz w:val="18"/>
                <w:szCs w:val="18"/>
                <w:color w:val="auto"/>
                <w:w w:val="87"/>
              </w:rPr>
              <w:t>Evan Jones</w:t>
            </w:r>
          </w:p>
        </w:tc>
        <w:tc>
          <w:tcPr>
            <w:tcW w:w="56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84"/>
        </w:trPr>
        <w:tc>
          <w:tcPr>
            <w:tcW w:w="3600" w:type="dxa"/>
            <w:vAlign w:val="bottom"/>
          </w:tcPr>
          <w:p>
            <w:pPr>
              <w:jc w:val="center"/>
              <w:spacing w:after="0"/>
              <w:rPr>
                <w:sz w:val="20"/>
                <w:szCs w:val="20"/>
                <w:color w:val="auto"/>
              </w:rPr>
            </w:pPr>
            <w:r>
              <w:rPr>
                <w:rFonts w:ascii="Arial" w:cs="Arial" w:eastAsia="Arial" w:hAnsi="Arial"/>
                <w:sz w:val="18"/>
                <w:szCs w:val="18"/>
                <w:color w:val="auto"/>
                <w:w w:val="95"/>
              </w:rPr>
              <w:t>/s/ TINA S. NOVA, PH.D.</w:t>
            </w:r>
          </w:p>
        </w:tc>
        <w:tc>
          <w:tcPr>
            <w:tcW w:w="56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580" w:type="dxa"/>
            <w:vAlign w:val="bottom"/>
          </w:tcPr>
          <w:p>
            <w:pPr>
              <w:jc w:val="center"/>
              <w:ind w:left="570"/>
              <w:spacing w:after="0"/>
              <w:rPr>
                <w:sz w:val="20"/>
                <w:szCs w:val="20"/>
                <w:color w:val="auto"/>
              </w:rPr>
            </w:pPr>
            <w:r>
              <w:rPr>
                <w:rFonts w:ascii="Arial" w:cs="Arial" w:eastAsia="Arial" w:hAnsi="Arial"/>
                <w:sz w:val="18"/>
                <w:szCs w:val="18"/>
                <w:color w:val="auto"/>
                <w:w w:val="92"/>
              </w:rPr>
              <w:t>May 1, 2019</w:t>
            </w:r>
          </w:p>
        </w:tc>
      </w:tr>
      <w:tr>
        <w:trPr>
          <w:trHeight w:val="41"/>
        </w:trPr>
        <w:tc>
          <w:tcPr>
            <w:tcW w:w="3600" w:type="dxa"/>
            <w:vAlign w:val="bottom"/>
            <w:tcBorders>
              <w:bottom w:val="single" w:sz="8" w:color="auto"/>
            </w:tcBorders>
          </w:tcPr>
          <w:p>
            <w:pPr>
              <w:spacing w:after="0"/>
              <w:rPr>
                <w:sz w:val="3"/>
                <w:szCs w:val="3"/>
                <w:color w:val="auto"/>
              </w:rPr>
            </w:pPr>
          </w:p>
        </w:tc>
        <w:tc>
          <w:tcPr>
            <w:tcW w:w="566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37"/>
        </w:trPr>
        <w:tc>
          <w:tcPr>
            <w:tcW w:w="3600" w:type="dxa"/>
            <w:vAlign w:val="bottom"/>
          </w:tcPr>
          <w:p>
            <w:pPr>
              <w:jc w:val="center"/>
              <w:spacing w:after="0"/>
              <w:rPr>
                <w:sz w:val="20"/>
                <w:szCs w:val="20"/>
                <w:color w:val="auto"/>
              </w:rPr>
            </w:pPr>
            <w:r>
              <w:rPr>
                <w:rFonts w:ascii="Arial" w:cs="Arial" w:eastAsia="Arial" w:hAnsi="Arial"/>
                <w:sz w:val="18"/>
                <w:szCs w:val="18"/>
                <w:color w:val="auto"/>
                <w:w w:val="91"/>
              </w:rPr>
              <w:t>Tina S. Nova, Ph. D.</w:t>
            </w:r>
          </w:p>
        </w:tc>
        <w:tc>
          <w:tcPr>
            <w:tcW w:w="56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84"/>
        </w:trPr>
        <w:tc>
          <w:tcPr>
            <w:tcW w:w="3600" w:type="dxa"/>
            <w:vAlign w:val="bottom"/>
          </w:tcPr>
          <w:p>
            <w:pPr>
              <w:jc w:val="center"/>
              <w:spacing w:after="0"/>
              <w:rPr>
                <w:sz w:val="20"/>
                <w:szCs w:val="20"/>
                <w:color w:val="auto"/>
              </w:rPr>
            </w:pPr>
            <w:r>
              <w:rPr>
                <w:rFonts w:ascii="Arial" w:cs="Arial" w:eastAsia="Arial" w:hAnsi="Arial"/>
                <w:sz w:val="18"/>
                <w:szCs w:val="18"/>
                <w:color w:val="auto"/>
                <w:w w:val="92"/>
              </w:rPr>
              <w:t>/s/ JESSE I. TREU, PH.D.</w:t>
            </w:r>
          </w:p>
        </w:tc>
        <w:tc>
          <w:tcPr>
            <w:tcW w:w="56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580" w:type="dxa"/>
            <w:vAlign w:val="bottom"/>
          </w:tcPr>
          <w:p>
            <w:pPr>
              <w:jc w:val="center"/>
              <w:ind w:left="570"/>
              <w:spacing w:after="0"/>
              <w:rPr>
                <w:sz w:val="20"/>
                <w:szCs w:val="20"/>
                <w:color w:val="auto"/>
              </w:rPr>
            </w:pPr>
            <w:r>
              <w:rPr>
                <w:rFonts w:ascii="Arial" w:cs="Arial" w:eastAsia="Arial" w:hAnsi="Arial"/>
                <w:sz w:val="18"/>
                <w:szCs w:val="18"/>
                <w:color w:val="auto"/>
                <w:w w:val="92"/>
              </w:rPr>
              <w:t>May 1, 2019</w:t>
            </w:r>
          </w:p>
        </w:tc>
      </w:tr>
      <w:tr>
        <w:trPr>
          <w:trHeight w:val="41"/>
        </w:trPr>
        <w:tc>
          <w:tcPr>
            <w:tcW w:w="3600" w:type="dxa"/>
            <w:vAlign w:val="bottom"/>
            <w:tcBorders>
              <w:bottom w:val="single" w:sz="8" w:color="auto"/>
            </w:tcBorders>
          </w:tcPr>
          <w:p>
            <w:pPr>
              <w:spacing w:after="0"/>
              <w:rPr>
                <w:sz w:val="3"/>
                <w:szCs w:val="3"/>
                <w:color w:val="auto"/>
              </w:rPr>
            </w:pPr>
          </w:p>
        </w:tc>
        <w:tc>
          <w:tcPr>
            <w:tcW w:w="566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37"/>
        </w:trPr>
        <w:tc>
          <w:tcPr>
            <w:tcW w:w="3600" w:type="dxa"/>
            <w:vAlign w:val="bottom"/>
          </w:tcPr>
          <w:p>
            <w:pPr>
              <w:jc w:val="center"/>
              <w:spacing w:after="0"/>
              <w:rPr>
                <w:sz w:val="20"/>
                <w:szCs w:val="20"/>
                <w:color w:val="auto"/>
              </w:rPr>
            </w:pPr>
            <w:r>
              <w:rPr>
                <w:rFonts w:ascii="Arial" w:cs="Arial" w:eastAsia="Arial" w:hAnsi="Arial"/>
                <w:sz w:val="18"/>
                <w:szCs w:val="18"/>
                <w:color w:val="auto"/>
                <w:w w:val="87"/>
              </w:rPr>
              <w:t>Jesse I. Treu, Ph.D.</w:t>
            </w:r>
          </w:p>
        </w:tc>
        <w:tc>
          <w:tcPr>
            <w:tcW w:w="5660" w:type="dxa"/>
            <w:vAlign w:val="bottom"/>
          </w:tcPr>
          <w:p>
            <w:pPr>
              <w:spacing w:after="0"/>
              <w:rPr>
                <w:sz w:val="20"/>
                <w:szCs w:val="20"/>
                <w:color w:val="auto"/>
              </w:rPr>
            </w:pPr>
          </w:p>
        </w:tc>
        <w:tc>
          <w:tcPr>
            <w:tcW w:w="1580" w:type="dxa"/>
            <w:vAlign w:val="bottom"/>
          </w:tcPr>
          <w:p>
            <w:pPr>
              <w:spacing w:after="0"/>
              <w:rPr>
                <w:sz w:val="20"/>
                <w:szCs w:val="20"/>
                <w:color w:val="auto"/>
              </w:rPr>
            </w:pPr>
          </w:p>
        </w:tc>
      </w:tr>
    </w:tbl>
    <w:p>
      <w:pPr>
        <w:sectPr>
          <w:pgSz w:w="11900" w:h="16838" w:orient="portrait"/>
          <w:cols w:equalWidth="0" w:num="1">
            <w:col w:w="11400"/>
          </w:cols>
          <w:pgMar w:left="240" w:top="756" w:right="25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210820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 ]</w:t>
      </w:r>
    </w:p>
    <w:p>
      <w:pPr>
        <w:spacing w:after="0" w:line="175" w:lineRule="exact"/>
        <w:rPr>
          <w:sz w:val="20"/>
          <w:szCs w:val="20"/>
          <w:color w:val="auto"/>
        </w:rPr>
      </w:pPr>
    </w:p>
    <w:p>
      <w:pPr>
        <w:ind w:left="5480"/>
        <w:spacing w:after="0"/>
        <w:rPr>
          <w:sz w:val="20"/>
          <w:szCs w:val="20"/>
          <w:color w:val="auto"/>
        </w:rPr>
      </w:pPr>
      <w:r>
        <w:rPr>
          <w:rFonts w:ascii="Arial" w:cs="Arial" w:eastAsia="Arial" w:hAnsi="Arial"/>
          <w:sz w:val="18"/>
          <w:szCs w:val="18"/>
          <w:b w:val="1"/>
          <w:bCs w:val="1"/>
          <w:i w:val="1"/>
          <w:i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765175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Indenture</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i w:val="1"/>
          <w:iCs w:val="1"/>
          <w:color w:val="auto"/>
        </w:rPr>
        <w:t>Dated as of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344805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636270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1073785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9240" w:type="dxa"/>
            <w:vAlign w:val="bottom"/>
            <w:gridSpan w:val="3"/>
          </w:tcPr>
          <w:p>
            <w:pPr>
              <w:jc w:val="center"/>
              <w:ind w:right="2108"/>
              <w:spacing w:after="0"/>
              <w:rPr>
                <w:sz w:val="20"/>
                <w:szCs w:val="20"/>
                <w:color w:val="auto"/>
              </w:rPr>
            </w:pPr>
            <w:r>
              <w:rPr>
                <w:rFonts w:ascii="Arial" w:cs="Arial" w:eastAsia="Arial" w:hAnsi="Arial"/>
                <w:sz w:val="18"/>
                <w:szCs w:val="18"/>
                <w:b w:val="1"/>
                <w:bCs w:val="1"/>
                <w:color w:val="auto"/>
                <w:w w:val="91"/>
              </w:rPr>
              <w:t>Veracyte, Inc.</w:t>
            </w:r>
          </w:p>
        </w:tc>
      </w:tr>
      <w:tr>
        <w:trPr>
          <w:trHeight w:val="216"/>
        </w:trPr>
        <w:tc>
          <w:tcPr>
            <w:tcW w:w="2120" w:type="dxa"/>
            <w:vAlign w:val="bottom"/>
          </w:tcPr>
          <w:p>
            <w:pPr>
              <w:spacing w:after="0"/>
              <w:rPr>
                <w:sz w:val="18"/>
                <w:szCs w:val="18"/>
                <w:color w:val="auto"/>
              </w:rPr>
            </w:pPr>
          </w:p>
        </w:tc>
        <w:tc>
          <w:tcPr>
            <w:tcW w:w="9240" w:type="dxa"/>
            <w:vAlign w:val="bottom"/>
            <w:gridSpan w:val="3"/>
          </w:tcPr>
          <w:p>
            <w:pPr>
              <w:jc w:val="center"/>
              <w:ind w:right="2108"/>
              <w:spacing w:after="0"/>
              <w:rPr>
                <w:sz w:val="20"/>
                <w:szCs w:val="20"/>
                <w:color w:val="auto"/>
              </w:rPr>
            </w:pPr>
            <w:r>
              <w:rPr>
                <w:rFonts w:ascii="Arial" w:cs="Arial" w:eastAsia="Arial" w:hAnsi="Arial"/>
                <w:sz w:val="18"/>
                <w:szCs w:val="18"/>
                <w:b w:val="1"/>
                <w:bCs w:val="1"/>
                <w:color w:val="auto"/>
                <w:w w:val="90"/>
              </w:rPr>
              <w:t>Reconciliation and tie between Trust Indenture Act of 1939 and</w:t>
            </w:r>
          </w:p>
        </w:tc>
      </w:tr>
      <w:tr>
        <w:trPr>
          <w:trHeight w:val="234"/>
        </w:trPr>
        <w:tc>
          <w:tcPr>
            <w:tcW w:w="2120" w:type="dxa"/>
            <w:vAlign w:val="bottom"/>
          </w:tcPr>
          <w:p>
            <w:pPr>
              <w:spacing w:after="0"/>
              <w:rPr>
                <w:sz w:val="20"/>
                <w:szCs w:val="20"/>
                <w:color w:val="auto"/>
              </w:rPr>
            </w:pPr>
          </w:p>
        </w:tc>
        <w:tc>
          <w:tcPr>
            <w:tcW w:w="9240" w:type="dxa"/>
            <w:vAlign w:val="bottom"/>
            <w:gridSpan w:val="3"/>
          </w:tcPr>
          <w:p>
            <w:pPr>
              <w:jc w:val="center"/>
              <w:ind w:right="2088"/>
              <w:spacing w:after="0"/>
              <w:rPr>
                <w:sz w:val="20"/>
                <w:szCs w:val="20"/>
                <w:color w:val="auto"/>
              </w:rPr>
            </w:pPr>
            <w:r>
              <w:rPr>
                <w:rFonts w:ascii="Arial" w:cs="Arial" w:eastAsia="Arial" w:hAnsi="Arial"/>
                <w:sz w:val="18"/>
                <w:szCs w:val="18"/>
                <w:b w:val="1"/>
                <w:bCs w:val="1"/>
                <w:color w:val="auto"/>
                <w:w w:val="90"/>
              </w:rPr>
              <w:t>Indenture, dated as of , 20</w:t>
            </w:r>
          </w:p>
        </w:tc>
      </w:tr>
      <w:tr>
        <w:trPr>
          <w:trHeight w:val="542"/>
        </w:trPr>
        <w:tc>
          <w:tcPr>
            <w:tcW w:w="2120" w:type="dxa"/>
            <w:vAlign w:val="bottom"/>
          </w:tcPr>
          <w:p>
            <w:pPr>
              <w:ind w:left="20"/>
              <w:spacing w:after="0"/>
              <w:rPr>
                <w:sz w:val="20"/>
                <w:szCs w:val="20"/>
                <w:color w:val="auto"/>
              </w:rPr>
            </w:pPr>
            <w:r>
              <w:rPr>
                <w:rFonts w:ascii="Arial" w:cs="Arial" w:eastAsia="Arial" w:hAnsi="Arial"/>
                <w:sz w:val="14"/>
                <w:szCs w:val="14"/>
                <w:b w:val="1"/>
                <w:bCs w:val="1"/>
                <w:color w:val="auto"/>
              </w:rPr>
              <w:t>Trust Indenture</w:t>
            </w:r>
          </w:p>
        </w:tc>
        <w:tc>
          <w:tcPr>
            <w:tcW w:w="6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w w:val="93"/>
              </w:rPr>
              <w:t>Indenture</w:t>
            </w:r>
          </w:p>
        </w:tc>
      </w:tr>
      <w:tr>
        <w:trPr>
          <w:trHeight w:val="432"/>
        </w:trPr>
        <w:tc>
          <w:tcPr>
            <w:tcW w:w="2120" w:type="dxa"/>
            <w:vAlign w:val="bottom"/>
          </w:tcPr>
          <w:p>
            <w:pPr>
              <w:ind w:left="20"/>
              <w:spacing w:after="0"/>
              <w:rPr>
                <w:sz w:val="20"/>
                <w:szCs w:val="20"/>
                <w:color w:val="auto"/>
              </w:rPr>
            </w:pPr>
            <w:r>
              <w:rPr>
                <w:rFonts w:ascii="Arial" w:cs="Arial" w:eastAsia="Arial" w:hAnsi="Arial"/>
                <w:sz w:val="14"/>
                <w:szCs w:val="14"/>
                <w:b w:val="1"/>
                <w:bCs w:val="1"/>
                <w:color w:val="auto"/>
              </w:rPr>
              <w:t>Act Section</w:t>
            </w:r>
          </w:p>
        </w:tc>
        <w:tc>
          <w:tcPr>
            <w:tcW w:w="6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w w:val="85"/>
              </w:rPr>
              <w:t>Sections</w:t>
            </w:r>
          </w:p>
        </w:tc>
      </w:tr>
      <w:tr>
        <w:trPr>
          <w:trHeight w:val="242"/>
        </w:trPr>
        <w:tc>
          <w:tcPr>
            <w:tcW w:w="2120" w:type="dxa"/>
            <w:vAlign w:val="bottom"/>
            <w:tcBorders>
              <w:bottom w:val="single" w:sz="8" w:color="auto"/>
            </w:tcBorders>
          </w:tcPr>
          <w:p>
            <w:pPr>
              <w:spacing w:after="0"/>
              <w:rPr>
                <w:sz w:val="21"/>
                <w:szCs w:val="21"/>
                <w:color w:val="auto"/>
              </w:rPr>
            </w:pPr>
          </w:p>
        </w:tc>
        <w:tc>
          <w:tcPr>
            <w:tcW w:w="606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840" w:type="dxa"/>
            <w:vAlign w:val="bottom"/>
            <w:tcBorders>
              <w:bottom w:val="single" w:sz="8" w:color="auto"/>
            </w:tcBorders>
          </w:tcPr>
          <w:p>
            <w:pPr>
              <w:spacing w:after="0"/>
              <w:rPr>
                <w:sz w:val="21"/>
                <w:szCs w:val="21"/>
                <w:color w:val="auto"/>
              </w:rPr>
            </w:pPr>
          </w:p>
        </w:tc>
      </w:tr>
    </w:tbl>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700" w:type="dxa"/>
            <w:vAlign w:val="bottom"/>
            <w:shd w:val="clear" w:color="auto" w:fill="CCEEFF"/>
          </w:tcPr>
          <w:p>
            <w:pPr>
              <w:jc w:val="right"/>
              <w:ind w:right="3770"/>
              <w:spacing w:after="0"/>
              <w:rPr>
                <w:sz w:val="20"/>
                <w:szCs w:val="20"/>
                <w:color w:val="auto"/>
              </w:rPr>
            </w:pPr>
            <w:r>
              <w:rPr>
                <w:rFonts w:ascii="Arial" w:cs="Arial" w:eastAsia="Arial" w:hAnsi="Arial"/>
                <w:sz w:val="18"/>
                <w:szCs w:val="18"/>
                <w:color w:val="auto"/>
                <w:w w:val="92"/>
              </w:rPr>
              <w:t>§ 310(a)(1)</w:t>
            </w:r>
          </w:p>
        </w:tc>
        <w:tc>
          <w:tcPr>
            <w:tcW w:w="6660" w:type="dxa"/>
            <w:vAlign w:val="bottom"/>
            <w:shd w:val="clear" w:color="auto" w:fill="CCEEFF"/>
          </w:tcPr>
          <w:p>
            <w:pPr>
              <w:ind w:left="3860"/>
              <w:spacing w:after="0"/>
              <w:rPr>
                <w:sz w:val="20"/>
                <w:szCs w:val="20"/>
                <w:color w:val="auto"/>
              </w:rPr>
            </w:pPr>
            <w:r>
              <w:rPr>
                <w:rFonts w:ascii="Arial" w:cs="Arial" w:eastAsia="Arial" w:hAnsi="Arial"/>
                <w:sz w:val="18"/>
                <w:szCs w:val="18"/>
                <w:color w:val="auto"/>
              </w:rPr>
              <w:t>609</w:t>
            </w:r>
          </w:p>
        </w:tc>
      </w:tr>
      <w:tr>
        <w:trPr>
          <w:trHeight w:val="249"/>
        </w:trPr>
        <w:tc>
          <w:tcPr>
            <w:tcW w:w="4700" w:type="dxa"/>
            <w:vAlign w:val="bottom"/>
            <w:shd w:val="clear" w:color="auto" w:fill="CCEEFF"/>
          </w:tcPr>
          <w:p>
            <w:pPr>
              <w:spacing w:after="0"/>
              <w:rPr>
                <w:sz w:val="21"/>
                <w:szCs w:val="21"/>
                <w:color w:val="auto"/>
              </w:rPr>
            </w:pPr>
          </w:p>
        </w:tc>
        <w:tc>
          <w:tcPr>
            <w:tcW w:w="6660" w:type="dxa"/>
            <w:vAlign w:val="bottom"/>
            <w:shd w:val="clear" w:color="auto" w:fill="CCEEFF"/>
          </w:tcPr>
          <w:p>
            <w:pPr>
              <w:spacing w:after="0"/>
              <w:rPr>
                <w:sz w:val="21"/>
                <w:szCs w:val="21"/>
                <w:color w:val="auto"/>
              </w:rPr>
            </w:pPr>
          </w:p>
        </w:tc>
      </w:tr>
      <w:tr>
        <w:trPr>
          <w:trHeight w:val="243"/>
        </w:trPr>
        <w:tc>
          <w:tcPr>
            <w:tcW w:w="4700" w:type="dxa"/>
            <w:vAlign w:val="bottom"/>
          </w:tcPr>
          <w:p>
            <w:pPr>
              <w:jc w:val="right"/>
              <w:ind w:right="3770"/>
              <w:spacing w:after="0"/>
              <w:rPr>
                <w:sz w:val="20"/>
                <w:szCs w:val="20"/>
                <w:color w:val="auto"/>
              </w:rPr>
            </w:pPr>
            <w:r>
              <w:rPr>
                <w:rFonts w:ascii="Arial" w:cs="Arial" w:eastAsia="Arial" w:hAnsi="Arial"/>
                <w:sz w:val="18"/>
                <w:szCs w:val="18"/>
                <w:color w:val="auto"/>
              </w:rPr>
              <w:t>(a)(2)</w:t>
            </w:r>
          </w:p>
        </w:tc>
        <w:tc>
          <w:tcPr>
            <w:tcW w:w="6660" w:type="dxa"/>
            <w:vAlign w:val="bottom"/>
          </w:tcPr>
          <w:p>
            <w:pPr>
              <w:ind w:left="3860"/>
              <w:spacing w:after="0"/>
              <w:rPr>
                <w:sz w:val="20"/>
                <w:szCs w:val="20"/>
                <w:color w:val="auto"/>
              </w:rPr>
            </w:pPr>
            <w:r>
              <w:rPr>
                <w:rFonts w:ascii="Arial" w:cs="Arial" w:eastAsia="Arial" w:hAnsi="Arial"/>
                <w:sz w:val="18"/>
                <w:szCs w:val="18"/>
                <w:color w:val="auto"/>
              </w:rPr>
              <w:t>609</w:t>
            </w:r>
          </w:p>
        </w:tc>
      </w:tr>
      <w:tr>
        <w:trPr>
          <w:trHeight w:val="257"/>
        </w:trPr>
        <w:tc>
          <w:tcPr>
            <w:tcW w:w="470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43"/>
        </w:trPr>
        <w:tc>
          <w:tcPr>
            <w:tcW w:w="4700" w:type="dxa"/>
            <w:vAlign w:val="bottom"/>
            <w:shd w:val="clear" w:color="auto" w:fill="CCEEFF"/>
          </w:tcPr>
          <w:p>
            <w:pPr>
              <w:jc w:val="right"/>
              <w:ind w:right="3770"/>
              <w:spacing w:after="0"/>
              <w:rPr>
                <w:sz w:val="20"/>
                <w:szCs w:val="20"/>
                <w:color w:val="auto"/>
              </w:rPr>
            </w:pPr>
            <w:r>
              <w:rPr>
                <w:rFonts w:ascii="Arial" w:cs="Arial" w:eastAsia="Arial" w:hAnsi="Arial"/>
                <w:sz w:val="18"/>
                <w:szCs w:val="18"/>
                <w:color w:val="auto"/>
              </w:rPr>
              <w:t>(a)(3)</w:t>
            </w:r>
          </w:p>
        </w:tc>
        <w:tc>
          <w:tcPr>
            <w:tcW w:w="6660" w:type="dxa"/>
            <w:vAlign w:val="bottom"/>
            <w:shd w:val="clear" w:color="auto" w:fill="CCEEFF"/>
          </w:tcPr>
          <w:p>
            <w:pPr>
              <w:ind w:left="3860"/>
              <w:spacing w:after="0"/>
              <w:rPr>
                <w:sz w:val="20"/>
                <w:szCs w:val="20"/>
                <w:color w:val="auto"/>
              </w:rPr>
            </w:pPr>
            <w:r>
              <w:rPr>
                <w:rFonts w:ascii="Arial" w:cs="Arial" w:eastAsia="Arial" w:hAnsi="Arial"/>
                <w:sz w:val="18"/>
                <w:szCs w:val="18"/>
                <w:color w:val="auto"/>
              </w:rPr>
              <w:t>Not Applicable</w:t>
            </w:r>
          </w:p>
        </w:tc>
      </w:tr>
      <w:tr>
        <w:trPr>
          <w:trHeight w:val="257"/>
        </w:trPr>
        <w:tc>
          <w:tcPr>
            <w:tcW w:w="47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2"/>
                <w:szCs w:val="22"/>
                <w:color w:val="auto"/>
              </w:rPr>
            </w:pPr>
          </w:p>
        </w:tc>
      </w:tr>
      <w:tr>
        <w:trPr>
          <w:trHeight w:val="243"/>
        </w:trPr>
        <w:tc>
          <w:tcPr>
            <w:tcW w:w="4700" w:type="dxa"/>
            <w:vAlign w:val="bottom"/>
          </w:tcPr>
          <w:p>
            <w:pPr>
              <w:jc w:val="right"/>
              <w:ind w:right="3770"/>
              <w:spacing w:after="0"/>
              <w:rPr>
                <w:sz w:val="20"/>
                <w:szCs w:val="20"/>
                <w:color w:val="auto"/>
              </w:rPr>
            </w:pPr>
            <w:r>
              <w:rPr>
                <w:rFonts w:ascii="Arial" w:cs="Arial" w:eastAsia="Arial" w:hAnsi="Arial"/>
                <w:sz w:val="18"/>
                <w:szCs w:val="18"/>
                <w:color w:val="auto"/>
              </w:rPr>
              <w:t>(a)(4)</w:t>
            </w:r>
          </w:p>
        </w:tc>
        <w:tc>
          <w:tcPr>
            <w:tcW w:w="6660" w:type="dxa"/>
            <w:vAlign w:val="bottom"/>
          </w:tcPr>
          <w:p>
            <w:pPr>
              <w:ind w:left="3860"/>
              <w:spacing w:after="0"/>
              <w:rPr>
                <w:sz w:val="20"/>
                <w:szCs w:val="20"/>
                <w:color w:val="auto"/>
              </w:rPr>
            </w:pPr>
            <w:r>
              <w:rPr>
                <w:rFonts w:ascii="Arial" w:cs="Arial" w:eastAsia="Arial" w:hAnsi="Arial"/>
                <w:sz w:val="18"/>
                <w:szCs w:val="18"/>
                <w:color w:val="auto"/>
              </w:rPr>
              <w:t>Not Applicable</w:t>
            </w:r>
          </w:p>
        </w:tc>
      </w:tr>
      <w:tr>
        <w:trPr>
          <w:trHeight w:val="257"/>
        </w:trPr>
        <w:tc>
          <w:tcPr>
            <w:tcW w:w="470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43"/>
        </w:trPr>
        <w:tc>
          <w:tcPr>
            <w:tcW w:w="4700" w:type="dxa"/>
            <w:vAlign w:val="bottom"/>
            <w:shd w:val="clear" w:color="auto" w:fill="CCEEFF"/>
          </w:tcPr>
          <w:p>
            <w:pPr>
              <w:jc w:val="right"/>
              <w:ind w:right="3770"/>
              <w:spacing w:after="0"/>
              <w:rPr>
                <w:sz w:val="20"/>
                <w:szCs w:val="20"/>
                <w:color w:val="auto"/>
              </w:rPr>
            </w:pPr>
            <w:r>
              <w:rPr>
                <w:rFonts w:ascii="Arial" w:cs="Arial" w:eastAsia="Arial" w:hAnsi="Arial"/>
                <w:sz w:val="18"/>
                <w:szCs w:val="18"/>
                <w:color w:val="auto"/>
              </w:rPr>
              <w:t>(a)(5)</w:t>
            </w:r>
          </w:p>
        </w:tc>
        <w:tc>
          <w:tcPr>
            <w:tcW w:w="6660" w:type="dxa"/>
            <w:vAlign w:val="bottom"/>
            <w:shd w:val="clear" w:color="auto" w:fill="CCEEFF"/>
          </w:tcPr>
          <w:p>
            <w:pPr>
              <w:ind w:left="3860"/>
              <w:spacing w:after="0"/>
              <w:rPr>
                <w:sz w:val="20"/>
                <w:szCs w:val="20"/>
                <w:color w:val="auto"/>
              </w:rPr>
            </w:pPr>
            <w:r>
              <w:rPr>
                <w:rFonts w:ascii="Arial" w:cs="Arial" w:eastAsia="Arial" w:hAnsi="Arial"/>
                <w:sz w:val="18"/>
                <w:szCs w:val="18"/>
                <w:color w:val="auto"/>
              </w:rPr>
              <w:t>609</w:t>
            </w:r>
          </w:p>
        </w:tc>
      </w:tr>
      <w:tr>
        <w:trPr>
          <w:trHeight w:val="257"/>
        </w:trPr>
        <w:tc>
          <w:tcPr>
            <w:tcW w:w="47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2"/>
                <w:szCs w:val="22"/>
                <w:color w:val="auto"/>
              </w:rPr>
            </w:pPr>
          </w:p>
        </w:tc>
      </w:tr>
      <w:tr>
        <w:trPr>
          <w:trHeight w:val="243"/>
        </w:trPr>
        <w:tc>
          <w:tcPr>
            <w:tcW w:w="4700" w:type="dxa"/>
            <w:vAlign w:val="bottom"/>
          </w:tcPr>
          <w:p>
            <w:pPr>
              <w:ind w:left="440"/>
              <w:spacing w:after="0"/>
              <w:rPr>
                <w:sz w:val="20"/>
                <w:szCs w:val="20"/>
                <w:color w:val="auto"/>
              </w:rPr>
            </w:pPr>
            <w:r>
              <w:rPr>
                <w:rFonts w:ascii="Arial" w:cs="Arial" w:eastAsia="Arial" w:hAnsi="Arial"/>
                <w:sz w:val="18"/>
                <w:szCs w:val="18"/>
                <w:color w:val="auto"/>
              </w:rPr>
              <w:t>(b)</w:t>
            </w:r>
          </w:p>
        </w:tc>
        <w:tc>
          <w:tcPr>
            <w:tcW w:w="6660" w:type="dxa"/>
            <w:vAlign w:val="bottom"/>
          </w:tcPr>
          <w:p>
            <w:pPr>
              <w:ind w:left="3860"/>
              <w:spacing w:after="0"/>
              <w:rPr>
                <w:sz w:val="20"/>
                <w:szCs w:val="20"/>
                <w:color w:val="auto"/>
              </w:rPr>
            </w:pPr>
            <w:r>
              <w:rPr>
                <w:rFonts w:ascii="Arial" w:cs="Arial" w:eastAsia="Arial" w:hAnsi="Arial"/>
                <w:sz w:val="18"/>
                <w:szCs w:val="18"/>
                <w:color w:val="auto"/>
              </w:rPr>
              <w:t>608</w:t>
            </w:r>
          </w:p>
        </w:tc>
      </w:tr>
      <w:tr>
        <w:trPr>
          <w:trHeight w:val="257"/>
        </w:trPr>
        <w:tc>
          <w:tcPr>
            <w:tcW w:w="470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43"/>
        </w:trPr>
        <w:tc>
          <w:tcPr>
            <w:tcW w:w="4700" w:type="dxa"/>
            <w:vAlign w:val="bottom"/>
            <w:shd w:val="clear" w:color="auto" w:fill="CCEEFF"/>
          </w:tcPr>
          <w:p>
            <w:pPr>
              <w:spacing w:after="0"/>
              <w:rPr>
                <w:sz w:val="21"/>
                <w:szCs w:val="21"/>
                <w:color w:val="auto"/>
              </w:rPr>
            </w:pPr>
          </w:p>
        </w:tc>
        <w:tc>
          <w:tcPr>
            <w:tcW w:w="6660" w:type="dxa"/>
            <w:vAlign w:val="bottom"/>
            <w:shd w:val="clear" w:color="auto" w:fill="CCEEFF"/>
          </w:tcPr>
          <w:p>
            <w:pPr>
              <w:ind w:left="3860"/>
              <w:spacing w:after="0"/>
              <w:rPr>
                <w:sz w:val="20"/>
                <w:szCs w:val="20"/>
                <w:color w:val="auto"/>
              </w:rPr>
            </w:pPr>
            <w:r>
              <w:rPr>
                <w:rFonts w:ascii="Arial" w:cs="Arial" w:eastAsia="Arial" w:hAnsi="Arial"/>
                <w:sz w:val="18"/>
                <w:szCs w:val="18"/>
                <w:color w:val="auto"/>
              </w:rPr>
              <w:t>610</w:t>
            </w:r>
          </w:p>
        </w:tc>
      </w:tr>
      <w:tr>
        <w:trPr>
          <w:trHeight w:val="257"/>
        </w:trPr>
        <w:tc>
          <w:tcPr>
            <w:tcW w:w="47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2"/>
                <w:szCs w:val="22"/>
                <w:color w:val="auto"/>
              </w:rPr>
            </w:pPr>
          </w:p>
        </w:tc>
      </w:tr>
      <w:tr>
        <w:trPr>
          <w:trHeight w:val="243"/>
        </w:trPr>
        <w:tc>
          <w:tcPr>
            <w:tcW w:w="4700" w:type="dxa"/>
            <w:vAlign w:val="bottom"/>
          </w:tcPr>
          <w:p>
            <w:pPr>
              <w:jc w:val="right"/>
              <w:ind w:right="3990"/>
              <w:spacing w:after="0"/>
              <w:rPr>
                <w:sz w:val="20"/>
                <w:szCs w:val="20"/>
                <w:color w:val="auto"/>
              </w:rPr>
            </w:pPr>
            <w:r>
              <w:rPr>
                <w:rFonts w:ascii="Arial" w:cs="Arial" w:eastAsia="Arial" w:hAnsi="Arial"/>
                <w:sz w:val="18"/>
                <w:szCs w:val="18"/>
                <w:color w:val="auto"/>
                <w:w w:val="89"/>
              </w:rPr>
              <w:t>§ 311(a)</w:t>
            </w:r>
          </w:p>
        </w:tc>
        <w:tc>
          <w:tcPr>
            <w:tcW w:w="6660" w:type="dxa"/>
            <w:vAlign w:val="bottom"/>
          </w:tcPr>
          <w:p>
            <w:pPr>
              <w:ind w:left="3860"/>
              <w:spacing w:after="0"/>
              <w:rPr>
                <w:sz w:val="20"/>
                <w:szCs w:val="20"/>
                <w:color w:val="auto"/>
              </w:rPr>
            </w:pPr>
            <w:r>
              <w:rPr>
                <w:rFonts w:ascii="Arial" w:cs="Arial" w:eastAsia="Arial" w:hAnsi="Arial"/>
                <w:sz w:val="18"/>
                <w:szCs w:val="18"/>
                <w:color w:val="auto"/>
              </w:rPr>
              <w:t>613(a)</w:t>
            </w:r>
          </w:p>
        </w:tc>
      </w:tr>
      <w:tr>
        <w:trPr>
          <w:trHeight w:val="257"/>
        </w:trPr>
        <w:tc>
          <w:tcPr>
            <w:tcW w:w="470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43"/>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w:t>
            </w:r>
          </w:p>
        </w:tc>
        <w:tc>
          <w:tcPr>
            <w:tcW w:w="6660" w:type="dxa"/>
            <w:vAlign w:val="bottom"/>
            <w:shd w:val="clear" w:color="auto" w:fill="CCEEFF"/>
          </w:tcPr>
          <w:p>
            <w:pPr>
              <w:ind w:left="3860"/>
              <w:spacing w:after="0"/>
              <w:rPr>
                <w:sz w:val="20"/>
                <w:szCs w:val="20"/>
                <w:color w:val="auto"/>
              </w:rPr>
            </w:pPr>
            <w:r>
              <w:rPr>
                <w:rFonts w:ascii="Arial" w:cs="Arial" w:eastAsia="Arial" w:hAnsi="Arial"/>
                <w:sz w:val="18"/>
                <w:szCs w:val="18"/>
                <w:color w:val="auto"/>
              </w:rPr>
              <w:t>613(b)</w:t>
            </w:r>
          </w:p>
        </w:tc>
      </w:tr>
      <w:tr>
        <w:trPr>
          <w:trHeight w:val="257"/>
        </w:trPr>
        <w:tc>
          <w:tcPr>
            <w:tcW w:w="47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2"/>
                <w:szCs w:val="22"/>
                <w:color w:val="auto"/>
              </w:rPr>
            </w:pPr>
          </w:p>
        </w:tc>
      </w:tr>
      <w:tr>
        <w:trPr>
          <w:trHeight w:val="243"/>
        </w:trPr>
        <w:tc>
          <w:tcPr>
            <w:tcW w:w="4700" w:type="dxa"/>
            <w:vAlign w:val="bottom"/>
          </w:tcPr>
          <w:p>
            <w:pPr>
              <w:ind w:left="440"/>
              <w:spacing w:after="0"/>
              <w:rPr>
                <w:sz w:val="20"/>
                <w:szCs w:val="20"/>
                <w:color w:val="auto"/>
              </w:rPr>
            </w:pPr>
            <w:r>
              <w:rPr>
                <w:rFonts w:ascii="Arial" w:cs="Arial" w:eastAsia="Arial" w:hAnsi="Arial"/>
                <w:sz w:val="18"/>
                <w:szCs w:val="18"/>
                <w:color w:val="auto"/>
              </w:rPr>
              <w:t>(b)(2)</w:t>
            </w:r>
          </w:p>
        </w:tc>
        <w:tc>
          <w:tcPr>
            <w:tcW w:w="6660" w:type="dxa"/>
            <w:vAlign w:val="bottom"/>
          </w:tcPr>
          <w:p>
            <w:pPr>
              <w:ind w:left="3860"/>
              <w:spacing w:after="0"/>
              <w:rPr>
                <w:sz w:val="20"/>
                <w:szCs w:val="20"/>
                <w:color w:val="auto"/>
              </w:rPr>
            </w:pPr>
            <w:r>
              <w:rPr>
                <w:rFonts w:ascii="Arial" w:cs="Arial" w:eastAsia="Arial" w:hAnsi="Arial"/>
                <w:sz w:val="18"/>
                <w:szCs w:val="18"/>
                <w:color w:val="auto"/>
              </w:rPr>
              <w:t>703(a)(2)</w:t>
            </w:r>
          </w:p>
        </w:tc>
      </w:tr>
      <w:tr>
        <w:trPr>
          <w:trHeight w:val="257"/>
        </w:trPr>
        <w:tc>
          <w:tcPr>
            <w:tcW w:w="470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43"/>
        </w:trPr>
        <w:tc>
          <w:tcPr>
            <w:tcW w:w="4700" w:type="dxa"/>
            <w:vAlign w:val="bottom"/>
            <w:shd w:val="clear" w:color="auto" w:fill="CCEEFF"/>
          </w:tcPr>
          <w:p>
            <w:pPr>
              <w:spacing w:after="0"/>
              <w:rPr>
                <w:sz w:val="21"/>
                <w:szCs w:val="21"/>
                <w:color w:val="auto"/>
              </w:rPr>
            </w:pPr>
          </w:p>
        </w:tc>
        <w:tc>
          <w:tcPr>
            <w:tcW w:w="6660" w:type="dxa"/>
            <w:vAlign w:val="bottom"/>
            <w:shd w:val="clear" w:color="auto" w:fill="CCEEFF"/>
          </w:tcPr>
          <w:p>
            <w:pPr>
              <w:ind w:left="3860"/>
              <w:spacing w:after="0"/>
              <w:rPr>
                <w:sz w:val="20"/>
                <w:szCs w:val="20"/>
                <w:color w:val="auto"/>
              </w:rPr>
            </w:pPr>
            <w:r>
              <w:rPr>
                <w:rFonts w:ascii="Arial" w:cs="Arial" w:eastAsia="Arial" w:hAnsi="Arial"/>
                <w:sz w:val="18"/>
                <w:szCs w:val="18"/>
                <w:color w:val="auto"/>
              </w:rPr>
              <w:t>703(b)</w:t>
            </w:r>
          </w:p>
        </w:tc>
      </w:tr>
      <w:tr>
        <w:trPr>
          <w:trHeight w:val="257"/>
        </w:trPr>
        <w:tc>
          <w:tcPr>
            <w:tcW w:w="47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2"/>
                <w:szCs w:val="22"/>
                <w:color w:val="auto"/>
              </w:rPr>
            </w:pPr>
          </w:p>
        </w:tc>
      </w:tr>
      <w:tr>
        <w:trPr>
          <w:trHeight w:val="243"/>
        </w:trPr>
        <w:tc>
          <w:tcPr>
            <w:tcW w:w="4700" w:type="dxa"/>
            <w:vAlign w:val="bottom"/>
          </w:tcPr>
          <w:p>
            <w:pPr>
              <w:jc w:val="right"/>
              <w:ind w:right="3970"/>
              <w:spacing w:after="0"/>
              <w:rPr>
                <w:sz w:val="20"/>
                <w:szCs w:val="20"/>
                <w:color w:val="auto"/>
              </w:rPr>
            </w:pPr>
            <w:r>
              <w:rPr>
                <w:rFonts w:ascii="Arial" w:cs="Arial" w:eastAsia="Arial" w:hAnsi="Arial"/>
                <w:sz w:val="18"/>
                <w:szCs w:val="18"/>
                <w:color w:val="auto"/>
                <w:w w:val="92"/>
              </w:rPr>
              <w:t>§ 312(a)</w:t>
            </w:r>
          </w:p>
        </w:tc>
        <w:tc>
          <w:tcPr>
            <w:tcW w:w="6660" w:type="dxa"/>
            <w:vAlign w:val="bottom"/>
          </w:tcPr>
          <w:p>
            <w:pPr>
              <w:ind w:left="3860"/>
              <w:spacing w:after="0"/>
              <w:rPr>
                <w:sz w:val="20"/>
                <w:szCs w:val="20"/>
                <w:color w:val="auto"/>
              </w:rPr>
            </w:pPr>
            <w:r>
              <w:rPr>
                <w:rFonts w:ascii="Arial" w:cs="Arial" w:eastAsia="Arial" w:hAnsi="Arial"/>
                <w:sz w:val="18"/>
                <w:szCs w:val="18"/>
                <w:color w:val="auto"/>
              </w:rPr>
              <w:t>701</w:t>
            </w:r>
          </w:p>
        </w:tc>
      </w:tr>
      <w:tr>
        <w:trPr>
          <w:trHeight w:val="257"/>
        </w:trPr>
        <w:tc>
          <w:tcPr>
            <w:tcW w:w="470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43"/>
        </w:trPr>
        <w:tc>
          <w:tcPr>
            <w:tcW w:w="4700" w:type="dxa"/>
            <w:vAlign w:val="bottom"/>
            <w:shd w:val="clear" w:color="auto" w:fill="CCEEFF"/>
          </w:tcPr>
          <w:p>
            <w:pPr>
              <w:spacing w:after="0"/>
              <w:rPr>
                <w:sz w:val="21"/>
                <w:szCs w:val="21"/>
                <w:color w:val="auto"/>
              </w:rPr>
            </w:pPr>
          </w:p>
        </w:tc>
        <w:tc>
          <w:tcPr>
            <w:tcW w:w="6660" w:type="dxa"/>
            <w:vAlign w:val="bottom"/>
            <w:shd w:val="clear" w:color="auto" w:fill="CCEEFF"/>
          </w:tcPr>
          <w:p>
            <w:pPr>
              <w:ind w:left="3860"/>
              <w:spacing w:after="0"/>
              <w:rPr>
                <w:sz w:val="20"/>
                <w:szCs w:val="20"/>
                <w:color w:val="auto"/>
              </w:rPr>
            </w:pPr>
            <w:r>
              <w:rPr>
                <w:rFonts w:ascii="Arial" w:cs="Arial" w:eastAsia="Arial" w:hAnsi="Arial"/>
                <w:sz w:val="18"/>
                <w:szCs w:val="18"/>
                <w:color w:val="auto"/>
              </w:rPr>
              <w:t>702(a)</w:t>
            </w:r>
          </w:p>
        </w:tc>
      </w:tr>
      <w:tr>
        <w:trPr>
          <w:trHeight w:val="257"/>
        </w:trPr>
        <w:tc>
          <w:tcPr>
            <w:tcW w:w="47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2"/>
                <w:szCs w:val="22"/>
                <w:color w:val="auto"/>
              </w:rPr>
            </w:pPr>
          </w:p>
        </w:tc>
      </w:tr>
    </w:tbl>
    <w:p>
      <w:pPr>
        <w:sectPr>
          <w:pgSz w:w="11900" w:h="16838" w:orient="portrait"/>
          <w:cols w:equalWidth="0" w:num="1">
            <w:col w:w="11360"/>
          </w:cols>
          <w:pgMar w:left="300" w:top="580" w:right="2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ind w:left="440"/>
              <w:spacing w:after="0"/>
              <w:rPr>
                <w:sz w:val="20"/>
                <w:szCs w:val="20"/>
                <w:color w:val="auto"/>
              </w:rPr>
            </w:pPr>
            <w:r>
              <w:rPr>
                <w:rFonts w:ascii="Arial" w:cs="Arial" w:eastAsia="Arial" w:hAnsi="Arial"/>
                <w:sz w:val="18"/>
                <w:szCs w:val="18"/>
                <w:color w:val="auto"/>
              </w:rPr>
              <w:t>(b)</w:t>
            </w:r>
          </w:p>
        </w:tc>
        <w:tc>
          <w:tcPr>
            <w:tcW w:w="6660" w:type="dxa"/>
            <w:vAlign w:val="bottom"/>
          </w:tcPr>
          <w:p>
            <w:pPr>
              <w:ind w:left="3860"/>
              <w:spacing w:after="0"/>
              <w:rPr>
                <w:sz w:val="20"/>
                <w:szCs w:val="20"/>
                <w:color w:val="auto"/>
              </w:rPr>
            </w:pPr>
            <w:r>
              <w:rPr>
                <w:rFonts w:ascii="Arial" w:cs="Arial" w:eastAsia="Arial" w:hAnsi="Arial"/>
                <w:sz w:val="18"/>
                <w:szCs w:val="18"/>
                <w:color w:val="auto"/>
              </w:rPr>
              <w:t>702(b)</w:t>
            </w:r>
          </w:p>
        </w:tc>
      </w:tr>
      <w:tr>
        <w:trPr>
          <w:trHeight w:val="257"/>
        </w:trPr>
        <w:tc>
          <w:tcPr>
            <w:tcW w:w="470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43"/>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w:t>
            </w:r>
          </w:p>
        </w:tc>
        <w:tc>
          <w:tcPr>
            <w:tcW w:w="6660" w:type="dxa"/>
            <w:vAlign w:val="bottom"/>
            <w:shd w:val="clear" w:color="auto" w:fill="CCEEFF"/>
          </w:tcPr>
          <w:p>
            <w:pPr>
              <w:ind w:left="3860"/>
              <w:spacing w:after="0"/>
              <w:rPr>
                <w:sz w:val="20"/>
                <w:szCs w:val="20"/>
                <w:color w:val="auto"/>
              </w:rPr>
            </w:pPr>
            <w:r>
              <w:rPr>
                <w:rFonts w:ascii="Arial" w:cs="Arial" w:eastAsia="Arial" w:hAnsi="Arial"/>
                <w:sz w:val="18"/>
                <w:szCs w:val="18"/>
                <w:color w:val="auto"/>
              </w:rPr>
              <w:t>702(c)</w:t>
            </w:r>
          </w:p>
        </w:tc>
      </w:tr>
      <w:tr>
        <w:trPr>
          <w:trHeight w:val="257"/>
        </w:trPr>
        <w:tc>
          <w:tcPr>
            <w:tcW w:w="47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2"/>
                <w:szCs w:val="22"/>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 313(a)</w:t>
            </w:r>
          </w:p>
        </w:tc>
        <w:tc>
          <w:tcPr>
            <w:tcW w:w="6660" w:type="dxa"/>
            <w:vAlign w:val="bottom"/>
          </w:tcPr>
          <w:p>
            <w:pPr>
              <w:ind w:left="3860"/>
              <w:spacing w:after="0"/>
              <w:rPr>
                <w:sz w:val="20"/>
                <w:szCs w:val="20"/>
                <w:color w:val="auto"/>
              </w:rPr>
            </w:pPr>
            <w:r>
              <w:rPr>
                <w:rFonts w:ascii="Arial" w:cs="Arial" w:eastAsia="Arial" w:hAnsi="Arial"/>
                <w:sz w:val="18"/>
                <w:szCs w:val="18"/>
                <w:color w:val="auto"/>
              </w:rPr>
              <w:t>703(a)</w:t>
            </w:r>
          </w:p>
        </w:tc>
      </w:tr>
      <w:tr>
        <w:trPr>
          <w:trHeight w:val="257"/>
        </w:trPr>
        <w:tc>
          <w:tcPr>
            <w:tcW w:w="470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43"/>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w:t>
            </w:r>
          </w:p>
        </w:tc>
        <w:tc>
          <w:tcPr>
            <w:tcW w:w="6660" w:type="dxa"/>
            <w:vAlign w:val="bottom"/>
            <w:shd w:val="clear" w:color="auto" w:fill="CCEEFF"/>
          </w:tcPr>
          <w:p>
            <w:pPr>
              <w:ind w:left="3860"/>
              <w:spacing w:after="0"/>
              <w:rPr>
                <w:sz w:val="20"/>
                <w:szCs w:val="20"/>
                <w:color w:val="auto"/>
              </w:rPr>
            </w:pPr>
            <w:r>
              <w:rPr>
                <w:rFonts w:ascii="Arial" w:cs="Arial" w:eastAsia="Arial" w:hAnsi="Arial"/>
                <w:sz w:val="18"/>
                <w:szCs w:val="18"/>
                <w:color w:val="auto"/>
              </w:rPr>
              <w:t>703(b)</w:t>
            </w:r>
          </w:p>
        </w:tc>
      </w:tr>
      <w:tr>
        <w:trPr>
          <w:trHeight w:val="257"/>
        </w:trPr>
        <w:tc>
          <w:tcPr>
            <w:tcW w:w="47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2"/>
                <w:szCs w:val="22"/>
                <w:color w:val="auto"/>
              </w:rPr>
            </w:pPr>
          </w:p>
        </w:tc>
      </w:tr>
      <w:tr>
        <w:trPr>
          <w:trHeight w:val="243"/>
        </w:trPr>
        <w:tc>
          <w:tcPr>
            <w:tcW w:w="4700" w:type="dxa"/>
            <w:vAlign w:val="bottom"/>
          </w:tcPr>
          <w:p>
            <w:pPr>
              <w:ind w:left="440"/>
              <w:spacing w:after="0"/>
              <w:rPr>
                <w:sz w:val="20"/>
                <w:szCs w:val="20"/>
                <w:color w:val="auto"/>
              </w:rPr>
            </w:pPr>
            <w:r>
              <w:rPr>
                <w:rFonts w:ascii="Arial" w:cs="Arial" w:eastAsia="Arial" w:hAnsi="Arial"/>
                <w:sz w:val="18"/>
                <w:szCs w:val="18"/>
                <w:color w:val="auto"/>
              </w:rPr>
              <w:t>(c)</w:t>
            </w:r>
          </w:p>
        </w:tc>
        <w:tc>
          <w:tcPr>
            <w:tcW w:w="6660" w:type="dxa"/>
            <w:vAlign w:val="bottom"/>
          </w:tcPr>
          <w:p>
            <w:pPr>
              <w:ind w:left="3860"/>
              <w:spacing w:after="0"/>
              <w:rPr>
                <w:sz w:val="20"/>
                <w:szCs w:val="20"/>
                <w:color w:val="auto"/>
              </w:rPr>
            </w:pPr>
            <w:r>
              <w:rPr>
                <w:rFonts w:ascii="Arial" w:cs="Arial" w:eastAsia="Arial" w:hAnsi="Arial"/>
                <w:sz w:val="18"/>
                <w:szCs w:val="18"/>
                <w:color w:val="auto"/>
              </w:rPr>
              <w:t>703(a), 703(b)</w:t>
            </w:r>
          </w:p>
        </w:tc>
      </w:tr>
      <w:tr>
        <w:trPr>
          <w:trHeight w:val="257"/>
        </w:trPr>
        <w:tc>
          <w:tcPr>
            <w:tcW w:w="470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43"/>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w:t>
            </w:r>
          </w:p>
        </w:tc>
        <w:tc>
          <w:tcPr>
            <w:tcW w:w="6660" w:type="dxa"/>
            <w:vAlign w:val="bottom"/>
            <w:shd w:val="clear" w:color="auto" w:fill="CCEEFF"/>
          </w:tcPr>
          <w:p>
            <w:pPr>
              <w:ind w:left="3860"/>
              <w:spacing w:after="0"/>
              <w:rPr>
                <w:sz w:val="20"/>
                <w:szCs w:val="20"/>
                <w:color w:val="auto"/>
              </w:rPr>
            </w:pPr>
            <w:r>
              <w:rPr>
                <w:rFonts w:ascii="Arial" w:cs="Arial" w:eastAsia="Arial" w:hAnsi="Arial"/>
                <w:sz w:val="18"/>
                <w:szCs w:val="18"/>
                <w:color w:val="auto"/>
              </w:rPr>
              <w:t>703(c)</w:t>
            </w:r>
          </w:p>
        </w:tc>
      </w:tr>
      <w:tr>
        <w:trPr>
          <w:trHeight w:val="257"/>
        </w:trPr>
        <w:tc>
          <w:tcPr>
            <w:tcW w:w="47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2"/>
                <w:szCs w:val="22"/>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 314(a)</w:t>
            </w:r>
          </w:p>
        </w:tc>
        <w:tc>
          <w:tcPr>
            <w:tcW w:w="6660" w:type="dxa"/>
            <w:vAlign w:val="bottom"/>
          </w:tcPr>
          <w:p>
            <w:pPr>
              <w:ind w:left="3860"/>
              <w:spacing w:after="0"/>
              <w:rPr>
                <w:sz w:val="20"/>
                <w:szCs w:val="20"/>
                <w:color w:val="auto"/>
              </w:rPr>
            </w:pPr>
            <w:r>
              <w:rPr>
                <w:rFonts w:ascii="Arial" w:cs="Arial" w:eastAsia="Arial" w:hAnsi="Arial"/>
                <w:sz w:val="18"/>
                <w:szCs w:val="18"/>
                <w:color w:val="auto"/>
              </w:rPr>
              <w:t>704, 1004</w:t>
            </w:r>
          </w:p>
        </w:tc>
      </w:tr>
      <w:tr>
        <w:trPr>
          <w:trHeight w:val="257"/>
        </w:trPr>
        <w:tc>
          <w:tcPr>
            <w:tcW w:w="470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43"/>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w:t>
            </w:r>
          </w:p>
        </w:tc>
        <w:tc>
          <w:tcPr>
            <w:tcW w:w="6660" w:type="dxa"/>
            <w:vAlign w:val="bottom"/>
            <w:shd w:val="clear" w:color="auto" w:fill="CCEEFF"/>
          </w:tcPr>
          <w:p>
            <w:pPr>
              <w:ind w:left="3860"/>
              <w:spacing w:after="0"/>
              <w:rPr>
                <w:sz w:val="20"/>
                <w:szCs w:val="20"/>
                <w:color w:val="auto"/>
              </w:rPr>
            </w:pPr>
            <w:r>
              <w:rPr>
                <w:rFonts w:ascii="Arial" w:cs="Arial" w:eastAsia="Arial" w:hAnsi="Arial"/>
                <w:sz w:val="18"/>
                <w:szCs w:val="18"/>
                <w:color w:val="auto"/>
              </w:rPr>
              <w:t>Not Applicable</w:t>
            </w:r>
          </w:p>
        </w:tc>
      </w:tr>
      <w:tr>
        <w:trPr>
          <w:trHeight w:val="257"/>
        </w:trPr>
        <w:tc>
          <w:tcPr>
            <w:tcW w:w="47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2"/>
                <w:szCs w:val="22"/>
                <w:color w:val="auto"/>
              </w:rPr>
            </w:pPr>
          </w:p>
        </w:tc>
      </w:tr>
      <w:tr>
        <w:trPr>
          <w:trHeight w:val="243"/>
        </w:trPr>
        <w:tc>
          <w:tcPr>
            <w:tcW w:w="4700" w:type="dxa"/>
            <w:vAlign w:val="bottom"/>
          </w:tcPr>
          <w:p>
            <w:pPr>
              <w:ind w:left="440"/>
              <w:spacing w:after="0"/>
              <w:rPr>
                <w:sz w:val="20"/>
                <w:szCs w:val="20"/>
                <w:color w:val="auto"/>
              </w:rPr>
            </w:pPr>
            <w:r>
              <w:rPr>
                <w:rFonts w:ascii="Arial" w:cs="Arial" w:eastAsia="Arial" w:hAnsi="Arial"/>
                <w:sz w:val="18"/>
                <w:szCs w:val="18"/>
                <w:color w:val="auto"/>
              </w:rPr>
              <w:t>(c)(1)</w:t>
            </w:r>
          </w:p>
        </w:tc>
        <w:tc>
          <w:tcPr>
            <w:tcW w:w="6660" w:type="dxa"/>
            <w:vAlign w:val="bottom"/>
          </w:tcPr>
          <w:p>
            <w:pPr>
              <w:ind w:left="3860"/>
              <w:spacing w:after="0"/>
              <w:rPr>
                <w:sz w:val="20"/>
                <w:szCs w:val="20"/>
                <w:color w:val="auto"/>
              </w:rPr>
            </w:pPr>
            <w:r>
              <w:rPr>
                <w:rFonts w:ascii="Arial" w:cs="Arial" w:eastAsia="Arial" w:hAnsi="Arial"/>
                <w:sz w:val="18"/>
                <w:szCs w:val="18"/>
                <w:color w:val="auto"/>
              </w:rPr>
              <w:t>102</w:t>
            </w:r>
          </w:p>
        </w:tc>
      </w:tr>
      <w:tr>
        <w:trPr>
          <w:trHeight w:val="257"/>
        </w:trPr>
        <w:tc>
          <w:tcPr>
            <w:tcW w:w="470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43"/>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(c)(2)</w:t>
            </w:r>
          </w:p>
        </w:tc>
        <w:tc>
          <w:tcPr>
            <w:tcW w:w="6660" w:type="dxa"/>
            <w:vAlign w:val="bottom"/>
            <w:shd w:val="clear" w:color="auto" w:fill="CCEEFF"/>
          </w:tcPr>
          <w:p>
            <w:pPr>
              <w:ind w:left="3860"/>
              <w:spacing w:after="0"/>
              <w:rPr>
                <w:sz w:val="20"/>
                <w:szCs w:val="20"/>
                <w:color w:val="auto"/>
              </w:rPr>
            </w:pPr>
            <w:r>
              <w:rPr>
                <w:rFonts w:ascii="Arial" w:cs="Arial" w:eastAsia="Arial" w:hAnsi="Arial"/>
                <w:sz w:val="18"/>
                <w:szCs w:val="18"/>
                <w:color w:val="auto"/>
              </w:rPr>
              <w:t>102</w:t>
            </w:r>
          </w:p>
        </w:tc>
      </w:tr>
      <w:tr>
        <w:trPr>
          <w:trHeight w:val="257"/>
        </w:trPr>
        <w:tc>
          <w:tcPr>
            <w:tcW w:w="47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2"/>
                <w:szCs w:val="22"/>
                <w:color w:val="auto"/>
              </w:rPr>
            </w:pPr>
          </w:p>
        </w:tc>
      </w:tr>
      <w:tr>
        <w:trPr>
          <w:trHeight w:val="243"/>
        </w:trPr>
        <w:tc>
          <w:tcPr>
            <w:tcW w:w="4700" w:type="dxa"/>
            <w:vAlign w:val="bottom"/>
          </w:tcPr>
          <w:p>
            <w:pPr>
              <w:ind w:left="440"/>
              <w:spacing w:after="0"/>
              <w:rPr>
                <w:sz w:val="20"/>
                <w:szCs w:val="20"/>
                <w:color w:val="auto"/>
              </w:rPr>
            </w:pPr>
            <w:r>
              <w:rPr>
                <w:rFonts w:ascii="Arial" w:cs="Arial" w:eastAsia="Arial" w:hAnsi="Arial"/>
                <w:sz w:val="18"/>
                <w:szCs w:val="18"/>
                <w:color w:val="auto"/>
              </w:rPr>
              <w:t>(c)(3)</w:t>
            </w:r>
          </w:p>
        </w:tc>
        <w:tc>
          <w:tcPr>
            <w:tcW w:w="6660" w:type="dxa"/>
            <w:vAlign w:val="bottom"/>
          </w:tcPr>
          <w:p>
            <w:pPr>
              <w:ind w:left="3860"/>
              <w:spacing w:after="0"/>
              <w:rPr>
                <w:sz w:val="20"/>
                <w:szCs w:val="20"/>
                <w:color w:val="auto"/>
              </w:rPr>
            </w:pPr>
            <w:r>
              <w:rPr>
                <w:rFonts w:ascii="Arial" w:cs="Arial" w:eastAsia="Arial" w:hAnsi="Arial"/>
                <w:sz w:val="18"/>
                <w:szCs w:val="18"/>
                <w:color w:val="auto"/>
              </w:rPr>
              <w:t>Not Applicable</w:t>
            </w:r>
          </w:p>
        </w:tc>
      </w:tr>
      <w:tr>
        <w:trPr>
          <w:trHeight w:val="257"/>
        </w:trPr>
        <w:tc>
          <w:tcPr>
            <w:tcW w:w="470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43"/>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w:t>
            </w:r>
          </w:p>
        </w:tc>
        <w:tc>
          <w:tcPr>
            <w:tcW w:w="6660" w:type="dxa"/>
            <w:vAlign w:val="bottom"/>
            <w:shd w:val="clear" w:color="auto" w:fill="CCEEFF"/>
          </w:tcPr>
          <w:p>
            <w:pPr>
              <w:ind w:left="3860"/>
              <w:spacing w:after="0"/>
              <w:rPr>
                <w:sz w:val="20"/>
                <w:szCs w:val="20"/>
                <w:color w:val="auto"/>
              </w:rPr>
            </w:pPr>
            <w:r>
              <w:rPr>
                <w:rFonts w:ascii="Arial" w:cs="Arial" w:eastAsia="Arial" w:hAnsi="Arial"/>
                <w:sz w:val="18"/>
                <w:szCs w:val="18"/>
                <w:color w:val="auto"/>
              </w:rPr>
              <w:t>Not Applicable</w:t>
            </w:r>
          </w:p>
        </w:tc>
      </w:tr>
      <w:tr>
        <w:trPr>
          <w:trHeight w:val="257"/>
        </w:trPr>
        <w:tc>
          <w:tcPr>
            <w:tcW w:w="47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2"/>
                <w:szCs w:val="22"/>
                <w:color w:val="auto"/>
              </w:rPr>
            </w:pPr>
          </w:p>
        </w:tc>
      </w:tr>
      <w:tr>
        <w:trPr>
          <w:trHeight w:val="243"/>
        </w:trPr>
        <w:tc>
          <w:tcPr>
            <w:tcW w:w="4700" w:type="dxa"/>
            <w:vAlign w:val="bottom"/>
          </w:tcPr>
          <w:p>
            <w:pPr>
              <w:ind w:left="440"/>
              <w:spacing w:after="0"/>
              <w:rPr>
                <w:sz w:val="20"/>
                <w:szCs w:val="20"/>
                <w:color w:val="auto"/>
              </w:rPr>
            </w:pPr>
            <w:r>
              <w:rPr>
                <w:rFonts w:ascii="Arial" w:cs="Arial" w:eastAsia="Arial" w:hAnsi="Arial"/>
                <w:sz w:val="18"/>
                <w:szCs w:val="18"/>
                <w:color w:val="auto"/>
              </w:rPr>
              <w:t>(e)</w:t>
            </w:r>
          </w:p>
        </w:tc>
        <w:tc>
          <w:tcPr>
            <w:tcW w:w="6660" w:type="dxa"/>
            <w:vAlign w:val="bottom"/>
          </w:tcPr>
          <w:p>
            <w:pPr>
              <w:ind w:left="3860"/>
              <w:spacing w:after="0"/>
              <w:rPr>
                <w:sz w:val="20"/>
                <w:szCs w:val="20"/>
                <w:color w:val="auto"/>
              </w:rPr>
            </w:pPr>
            <w:r>
              <w:rPr>
                <w:rFonts w:ascii="Arial" w:cs="Arial" w:eastAsia="Arial" w:hAnsi="Arial"/>
                <w:sz w:val="18"/>
                <w:szCs w:val="18"/>
                <w:color w:val="auto"/>
              </w:rPr>
              <w:t>102</w:t>
            </w:r>
          </w:p>
        </w:tc>
      </w:tr>
      <w:tr>
        <w:trPr>
          <w:trHeight w:val="257"/>
        </w:trPr>
        <w:tc>
          <w:tcPr>
            <w:tcW w:w="470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4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315(a)</w:t>
            </w:r>
          </w:p>
        </w:tc>
        <w:tc>
          <w:tcPr>
            <w:tcW w:w="6660" w:type="dxa"/>
            <w:vAlign w:val="bottom"/>
            <w:shd w:val="clear" w:color="auto" w:fill="CCEEFF"/>
          </w:tcPr>
          <w:p>
            <w:pPr>
              <w:ind w:left="3860"/>
              <w:spacing w:after="0"/>
              <w:rPr>
                <w:sz w:val="20"/>
                <w:szCs w:val="20"/>
                <w:color w:val="auto"/>
              </w:rPr>
            </w:pPr>
            <w:r>
              <w:rPr>
                <w:rFonts w:ascii="Arial" w:cs="Arial" w:eastAsia="Arial" w:hAnsi="Arial"/>
                <w:sz w:val="18"/>
                <w:szCs w:val="18"/>
                <w:color w:val="auto"/>
              </w:rPr>
              <w:t>601(a)</w:t>
            </w:r>
          </w:p>
        </w:tc>
      </w:tr>
      <w:tr>
        <w:trPr>
          <w:trHeight w:val="257"/>
        </w:trPr>
        <w:tc>
          <w:tcPr>
            <w:tcW w:w="47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2"/>
                <w:szCs w:val="22"/>
                <w:color w:val="auto"/>
              </w:rPr>
            </w:pPr>
          </w:p>
        </w:tc>
      </w:tr>
      <w:tr>
        <w:trPr>
          <w:trHeight w:val="243"/>
        </w:trPr>
        <w:tc>
          <w:tcPr>
            <w:tcW w:w="4700" w:type="dxa"/>
            <w:vAlign w:val="bottom"/>
          </w:tcPr>
          <w:p>
            <w:pPr>
              <w:ind w:left="440"/>
              <w:spacing w:after="0"/>
              <w:rPr>
                <w:sz w:val="20"/>
                <w:szCs w:val="20"/>
                <w:color w:val="auto"/>
              </w:rPr>
            </w:pPr>
            <w:r>
              <w:rPr>
                <w:rFonts w:ascii="Arial" w:cs="Arial" w:eastAsia="Arial" w:hAnsi="Arial"/>
                <w:sz w:val="18"/>
                <w:szCs w:val="18"/>
                <w:color w:val="auto"/>
              </w:rPr>
              <w:t>(b)</w:t>
            </w:r>
          </w:p>
        </w:tc>
        <w:tc>
          <w:tcPr>
            <w:tcW w:w="6660" w:type="dxa"/>
            <w:vAlign w:val="bottom"/>
          </w:tcPr>
          <w:p>
            <w:pPr>
              <w:ind w:left="3860"/>
              <w:spacing w:after="0"/>
              <w:rPr>
                <w:sz w:val="20"/>
                <w:szCs w:val="20"/>
                <w:color w:val="auto"/>
              </w:rPr>
            </w:pPr>
            <w:r>
              <w:rPr>
                <w:rFonts w:ascii="Arial" w:cs="Arial" w:eastAsia="Arial" w:hAnsi="Arial"/>
                <w:sz w:val="18"/>
                <w:szCs w:val="18"/>
                <w:color w:val="auto"/>
              </w:rPr>
              <w:t>602</w:t>
            </w:r>
          </w:p>
        </w:tc>
      </w:tr>
      <w:tr>
        <w:trPr>
          <w:trHeight w:val="257"/>
        </w:trPr>
        <w:tc>
          <w:tcPr>
            <w:tcW w:w="470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43"/>
        </w:trPr>
        <w:tc>
          <w:tcPr>
            <w:tcW w:w="4700" w:type="dxa"/>
            <w:vAlign w:val="bottom"/>
            <w:shd w:val="clear" w:color="auto" w:fill="CCEEFF"/>
          </w:tcPr>
          <w:p>
            <w:pPr>
              <w:spacing w:after="0"/>
              <w:rPr>
                <w:sz w:val="21"/>
                <w:szCs w:val="21"/>
                <w:color w:val="auto"/>
              </w:rPr>
            </w:pPr>
          </w:p>
        </w:tc>
        <w:tc>
          <w:tcPr>
            <w:tcW w:w="6660" w:type="dxa"/>
            <w:vAlign w:val="bottom"/>
            <w:shd w:val="clear" w:color="auto" w:fill="CCEEFF"/>
          </w:tcPr>
          <w:p>
            <w:pPr>
              <w:ind w:left="3860"/>
              <w:spacing w:after="0"/>
              <w:rPr>
                <w:sz w:val="20"/>
                <w:szCs w:val="20"/>
                <w:color w:val="auto"/>
              </w:rPr>
            </w:pPr>
            <w:r>
              <w:rPr>
                <w:rFonts w:ascii="Arial" w:cs="Arial" w:eastAsia="Arial" w:hAnsi="Arial"/>
                <w:sz w:val="18"/>
                <w:szCs w:val="18"/>
                <w:color w:val="auto"/>
              </w:rPr>
              <w:t>703(a)(7)</w:t>
            </w:r>
          </w:p>
        </w:tc>
      </w:tr>
      <w:tr>
        <w:trPr>
          <w:trHeight w:val="257"/>
        </w:trPr>
        <w:tc>
          <w:tcPr>
            <w:tcW w:w="47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2"/>
                <w:szCs w:val="22"/>
                <w:color w:val="auto"/>
              </w:rPr>
            </w:pPr>
          </w:p>
        </w:tc>
      </w:tr>
      <w:tr>
        <w:trPr>
          <w:trHeight w:val="243"/>
        </w:trPr>
        <w:tc>
          <w:tcPr>
            <w:tcW w:w="4700" w:type="dxa"/>
            <w:vAlign w:val="bottom"/>
          </w:tcPr>
          <w:p>
            <w:pPr>
              <w:ind w:left="440"/>
              <w:spacing w:after="0"/>
              <w:rPr>
                <w:sz w:val="20"/>
                <w:szCs w:val="20"/>
                <w:color w:val="auto"/>
              </w:rPr>
            </w:pPr>
            <w:r>
              <w:rPr>
                <w:rFonts w:ascii="Arial" w:cs="Arial" w:eastAsia="Arial" w:hAnsi="Arial"/>
                <w:sz w:val="18"/>
                <w:szCs w:val="18"/>
                <w:color w:val="auto"/>
              </w:rPr>
              <w:t>(c)</w:t>
            </w:r>
          </w:p>
        </w:tc>
        <w:tc>
          <w:tcPr>
            <w:tcW w:w="6660" w:type="dxa"/>
            <w:vAlign w:val="bottom"/>
          </w:tcPr>
          <w:p>
            <w:pPr>
              <w:ind w:left="3860"/>
              <w:spacing w:after="0"/>
              <w:rPr>
                <w:sz w:val="20"/>
                <w:szCs w:val="20"/>
                <w:color w:val="auto"/>
              </w:rPr>
            </w:pPr>
            <w:r>
              <w:rPr>
                <w:rFonts w:ascii="Arial" w:cs="Arial" w:eastAsia="Arial" w:hAnsi="Arial"/>
                <w:sz w:val="18"/>
                <w:szCs w:val="18"/>
                <w:color w:val="auto"/>
              </w:rPr>
              <w:t>601(b)</w:t>
            </w:r>
          </w:p>
        </w:tc>
      </w:tr>
      <w:tr>
        <w:trPr>
          <w:trHeight w:val="257"/>
        </w:trPr>
        <w:tc>
          <w:tcPr>
            <w:tcW w:w="470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43"/>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w:t>
            </w:r>
          </w:p>
        </w:tc>
        <w:tc>
          <w:tcPr>
            <w:tcW w:w="6660" w:type="dxa"/>
            <w:vAlign w:val="bottom"/>
            <w:shd w:val="clear" w:color="auto" w:fill="CCEEFF"/>
          </w:tcPr>
          <w:p>
            <w:pPr>
              <w:ind w:left="3860"/>
              <w:spacing w:after="0"/>
              <w:rPr>
                <w:sz w:val="20"/>
                <w:szCs w:val="20"/>
                <w:color w:val="auto"/>
              </w:rPr>
            </w:pPr>
            <w:r>
              <w:rPr>
                <w:rFonts w:ascii="Arial" w:cs="Arial" w:eastAsia="Arial" w:hAnsi="Arial"/>
                <w:sz w:val="18"/>
                <w:szCs w:val="18"/>
                <w:color w:val="auto"/>
              </w:rPr>
              <w:t>601(c)</w:t>
            </w:r>
          </w:p>
        </w:tc>
      </w:tr>
      <w:tr>
        <w:trPr>
          <w:trHeight w:val="257"/>
        </w:trPr>
        <w:tc>
          <w:tcPr>
            <w:tcW w:w="470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2"/>
                <w:szCs w:val="22"/>
                <w:color w:val="auto"/>
              </w:rPr>
            </w:pPr>
          </w:p>
        </w:tc>
      </w:tr>
    </w:tbl>
    <w:p>
      <w:pPr>
        <w:sectPr>
          <w:pgSz w:w="11900" w:h="16838" w:orient="portrait"/>
          <w:cols w:equalWidth="0" w:num="1">
            <w:col w:w="11360"/>
          </w:cols>
          <w:pgMar w:left="300" w:top="530" w:right="239" w:bottom="1440" w:gutter="0" w:footer="0" w:header="0"/>
        </w:sectPr>
      </w:pPr>
    </w:p>
    <w:bookmarkStart w:id="28" w:name="page29"/>
    <w:bookmarkEnd w:id="28"/>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820" w:type="dxa"/>
            <w:vAlign w:val="bottom"/>
          </w:tcPr>
          <w:p>
            <w:pPr>
              <w:ind w:left="440"/>
              <w:spacing w:after="0"/>
              <w:rPr>
                <w:sz w:val="20"/>
                <w:szCs w:val="20"/>
                <w:color w:val="auto"/>
              </w:rPr>
            </w:pPr>
            <w:r>
              <w:rPr>
                <w:rFonts w:ascii="Arial" w:cs="Arial" w:eastAsia="Arial" w:hAnsi="Arial"/>
                <w:sz w:val="18"/>
                <w:szCs w:val="18"/>
                <w:color w:val="auto"/>
              </w:rPr>
              <w:t>(d)(l)</w:t>
            </w:r>
          </w:p>
        </w:tc>
        <w:tc>
          <w:tcPr>
            <w:tcW w:w="6540" w:type="dxa"/>
            <w:vAlign w:val="bottom"/>
          </w:tcPr>
          <w:p>
            <w:pPr>
              <w:ind w:left="3740"/>
              <w:spacing w:after="0"/>
              <w:rPr>
                <w:sz w:val="20"/>
                <w:szCs w:val="20"/>
                <w:color w:val="auto"/>
              </w:rPr>
            </w:pPr>
            <w:r>
              <w:rPr>
                <w:rFonts w:ascii="Arial" w:cs="Arial" w:eastAsia="Arial" w:hAnsi="Arial"/>
                <w:sz w:val="18"/>
                <w:szCs w:val="18"/>
                <w:color w:val="auto"/>
              </w:rPr>
              <w:t>601(a)(1)</w:t>
            </w:r>
          </w:p>
        </w:tc>
      </w:tr>
      <w:tr>
        <w:trPr>
          <w:trHeight w:val="257"/>
        </w:trPr>
        <w:tc>
          <w:tcPr>
            <w:tcW w:w="4820" w:type="dxa"/>
            <w:vAlign w:val="bottom"/>
          </w:tcPr>
          <w:p>
            <w:pPr>
              <w:spacing w:after="0"/>
              <w:rPr>
                <w:sz w:val="22"/>
                <w:szCs w:val="22"/>
                <w:color w:val="auto"/>
              </w:rPr>
            </w:pPr>
          </w:p>
        </w:tc>
        <w:tc>
          <w:tcPr>
            <w:tcW w:w="6540" w:type="dxa"/>
            <w:vAlign w:val="bottom"/>
          </w:tcPr>
          <w:p>
            <w:pPr>
              <w:spacing w:after="0"/>
              <w:rPr>
                <w:sz w:val="22"/>
                <w:szCs w:val="22"/>
                <w:color w:val="auto"/>
              </w:rPr>
            </w:pPr>
          </w:p>
        </w:tc>
      </w:tr>
      <w:tr>
        <w:trPr>
          <w:trHeight w:val="243"/>
        </w:trPr>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(d)(2)</w:t>
            </w:r>
          </w:p>
        </w:tc>
        <w:tc>
          <w:tcPr>
            <w:tcW w:w="6540" w:type="dxa"/>
            <w:vAlign w:val="bottom"/>
            <w:shd w:val="clear" w:color="auto" w:fill="CCEEFF"/>
          </w:tcPr>
          <w:p>
            <w:pPr>
              <w:ind w:left="3740"/>
              <w:spacing w:after="0"/>
              <w:rPr>
                <w:sz w:val="20"/>
                <w:szCs w:val="20"/>
                <w:color w:val="auto"/>
              </w:rPr>
            </w:pPr>
            <w:r>
              <w:rPr>
                <w:rFonts w:ascii="Arial" w:cs="Arial" w:eastAsia="Arial" w:hAnsi="Arial"/>
                <w:sz w:val="18"/>
                <w:szCs w:val="18"/>
                <w:color w:val="auto"/>
              </w:rPr>
              <w:t>601(c)(2)</w:t>
            </w:r>
          </w:p>
        </w:tc>
      </w:tr>
      <w:tr>
        <w:trPr>
          <w:trHeight w:val="257"/>
        </w:trPr>
        <w:tc>
          <w:tcPr>
            <w:tcW w:w="4820" w:type="dxa"/>
            <w:vAlign w:val="bottom"/>
            <w:shd w:val="clear" w:color="auto" w:fill="CCEEFF"/>
          </w:tcPr>
          <w:p>
            <w:pPr>
              <w:spacing w:after="0"/>
              <w:rPr>
                <w:sz w:val="22"/>
                <w:szCs w:val="22"/>
                <w:color w:val="auto"/>
              </w:rPr>
            </w:pPr>
          </w:p>
        </w:tc>
        <w:tc>
          <w:tcPr>
            <w:tcW w:w="6540" w:type="dxa"/>
            <w:vAlign w:val="bottom"/>
            <w:shd w:val="clear" w:color="auto" w:fill="CCEEFF"/>
          </w:tcPr>
          <w:p>
            <w:pPr>
              <w:spacing w:after="0"/>
              <w:rPr>
                <w:sz w:val="22"/>
                <w:szCs w:val="22"/>
                <w:color w:val="auto"/>
              </w:rPr>
            </w:pPr>
          </w:p>
        </w:tc>
      </w:tr>
      <w:tr>
        <w:trPr>
          <w:trHeight w:val="243"/>
        </w:trPr>
        <w:tc>
          <w:tcPr>
            <w:tcW w:w="4820" w:type="dxa"/>
            <w:vAlign w:val="bottom"/>
          </w:tcPr>
          <w:p>
            <w:pPr>
              <w:ind w:left="440"/>
              <w:spacing w:after="0"/>
              <w:rPr>
                <w:sz w:val="20"/>
                <w:szCs w:val="20"/>
                <w:color w:val="auto"/>
              </w:rPr>
            </w:pPr>
            <w:r>
              <w:rPr>
                <w:rFonts w:ascii="Arial" w:cs="Arial" w:eastAsia="Arial" w:hAnsi="Arial"/>
                <w:sz w:val="18"/>
                <w:szCs w:val="18"/>
                <w:color w:val="auto"/>
              </w:rPr>
              <w:t>(d)(3)</w:t>
            </w:r>
          </w:p>
        </w:tc>
        <w:tc>
          <w:tcPr>
            <w:tcW w:w="6540" w:type="dxa"/>
            <w:vAlign w:val="bottom"/>
          </w:tcPr>
          <w:p>
            <w:pPr>
              <w:ind w:left="3740"/>
              <w:spacing w:after="0"/>
              <w:rPr>
                <w:sz w:val="20"/>
                <w:szCs w:val="20"/>
                <w:color w:val="auto"/>
              </w:rPr>
            </w:pPr>
            <w:r>
              <w:rPr>
                <w:rFonts w:ascii="Arial" w:cs="Arial" w:eastAsia="Arial" w:hAnsi="Arial"/>
                <w:sz w:val="18"/>
                <w:szCs w:val="18"/>
                <w:color w:val="auto"/>
              </w:rPr>
              <w:t>601(c)(3)</w:t>
            </w:r>
          </w:p>
        </w:tc>
      </w:tr>
      <w:tr>
        <w:trPr>
          <w:trHeight w:val="257"/>
        </w:trPr>
        <w:tc>
          <w:tcPr>
            <w:tcW w:w="4820" w:type="dxa"/>
            <w:vAlign w:val="bottom"/>
          </w:tcPr>
          <w:p>
            <w:pPr>
              <w:spacing w:after="0"/>
              <w:rPr>
                <w:sz w:val="22"/>
                <w:szCs w:val="22"/>
                <w:color w:val="auto"/>
              </w:rPr>
            </w:pPr>
          </w:p>
        </w:tc>
        <w:tc>
          <w:tcPr>
            <w:tcW w:w="6540" w:type="dxa"/>
            <w:vAlign w:val="bottom"/>
          </w:tcPr>
          <w:p>
            <w:pPr>
              <w:spacing w:after="0"/>
              <w:rPr>
                <w:sz w:val="22"/>
                <w:szCs w:val="22"/>
                <w:color w:val="auto"/>
              </w:rPr>
            </w:pPr>
          </w:p>
        </w:tc>
      </w:tr>
      <w:tr>
        <w:trPr>
          <w:trHeight w:val="243"/>
        </w:trPr>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w:t>
            </w:r>
          </w:p>
        </w:tc>
        <w:tc>
          <w:tcPr>
            <w:tcW w:w="6540" w:type="dxa"/>
            <w:vAlign w:val="bottom"/>
            <w:shd w:val="clear" w:color="auto" w:fill="CCEEFF"/>
          </w:tcPr>
          <w:p>
            <w:pPr>
              <w:ind w:left="3740"/>
              <w:spacing w:after="0"/>
              <w:rPr>
                <w:sz w:val="20"/>
                <w:szCs w:val="20"/>
                <w:color w:val="auto"/>
              </w:rPr>
            </w:pPr>
            <w:r>
              <w:rPr>
                <w:rFonts w:ascii="Arial" w:cs="Arial" w:eastAsia="Arial" w:hAnsi="Arial"/>
                <w:sz w:val="18"/>
                <w:szCs w:val="18"/>
                <w:color w:val="auto"/>
              </w:rPr>
              <w:t>514</w:t>
            </w:r>
          </w:p>
        </w:tc>
      </w:tr>
      <w:tr>
        <w:trPr>
          <w:trHeight w:val="257"/>
        </w:trPr>
        <w:tc>
          <w:tcPr>
            <w:tcW w:w="4820" w:type="dxa"/>
            <w:vAlign w:val="bottom"/>
            <w:shd w:val="clear" w:color="auto" w:fill="CCEEFF"/>
          </w:tcPr>
          <w:p>
            <w:pPr>
              <w:spacing w:after="0"/>
              <w:rPr>
                <w:sz w:val="22"/>
                <w:szCs w:val="22"/>
                <w:color w:val="auto"/>
              </w:rPr>
            </w:pPr>
          </w:p>
        </w:tc>
        <w:tc>
          <w:tcPr>
            <w:tcW w:w="6540" w:type="dxa"/>
            <w:vAlign w:val="bottom"/>
            <w:shd w:val="clear" w:color="auto" w:fill="CCEEFF"/>
          </w:tcPr>
          <w:p>
            <w:pPr>
              <w:spacing w:after="0"/>
              <w:rPr>
                <w:sz w:val="22"/>
                <w:szCs w:val="22"/>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 316(a)</w:t>
            </w:r>
          </w:p>
        </w:tc>
        <w:tc>
          <w:tcPr>
            <w:tcW w:w="6540" w:type="dxa"/>
            <w:vAlign w:val="bottom"/>
          </w:tcPr>
          <w:p>
            <w:pPr>
              <w:ind w:left="3740"/>
              <w:spacing w:after="0"/>
              <w:rPr>
                <w:sz w:val="20"/>
                <w:szCs w:val="20"/>
                <w:color w:val="auto"/>
              </w:rPr>
            </w:pPr>
            <w:r>
              <w:rPr>
                <w:rFonts w:ascii="Arial" w:cs="Arial" w:eastAsia="Arial" w:hAnsi="Arial"/>
                <w:sz w:val="18"/>
                <w:szCs w:val="18"/>
                <w:color w:val="auto"/>
              </w:rPr>
              <w:t>101</w:t>
            </w:r>
          </w:p>
        </w:tc>
      </w:tr>
      <w:tr>
        <w:trPr>
          <w:trHeight w:val="257"/>
        </w:trPr>
        <w:tc>
          <w:tcPr>
            <w:tcW w:w="4820" w:type="dxa"/>
            <w:vAlign w:val="bottom"/>
          </w:tcPr>
          <w:p>
            <w:pPr>
              <w:spacing w:after="0"/>
              <w:rPr>
                <w:sz w:val="22"/>
                <w:szCs w:val="22"/>
                <w:color w:val="auto"/>
              </w:rPr>
            </w:pPr>
          </w:p>
        </w:tc>
        <w:tc>
          <w:tcPr>
            <w:tcW w:w="6540" w:type="dxa"/>
            <w:vAlign w:val="bottom"/>
          </w:tcPr>
          <w:p>
            <w:pPr>
              <w:spacing w:after="0"/>
              <w:rPr>
                <w:sz w:val="22"/>
                <w:szCs w:val="22"/>
                <w:color w:val="auto"/>
              </w:rPr>
            </w:pPr>
          </w:p>
        </w:tc>
      </w:tr>
      <w:tr>
        <w:trPr>
          <w:trHeight w:val="243"/>
        </w:trPr>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(a)(1)(A)</w:t>
            </w:r>
          </w:p>
        </w:tc>
        <w:tc>
          <w:tcPr>
            <w:tcW w:w="6540" w:type="dxa"/>
            <w:vAlign w:val="bottom"/>
            <w:shd w:val="clear" w:color="auto" w:fill="CCEEFF"/>
          </w:tcPr>
          <w:p>
            <w:pPr>
              <w:ind w:left="3740"/>
              <w:spacing w:after="0"/>
              <w:rPr>
                <w:sz w:val="20"/>
                <w:szCs w:val="20"/>
                <w:color w:val="auto"/>
              </w:rPr>
            </w:pPr>
            <w:r>
              <w:rPr>
                <w:rFonts w:ascii="Arial" w:cs="Arial" w:eastAsia="Arial" w:hAnsi="Arial"/>
                <w:sz w:val="18"/>
                <w:szCs w:val="18"/>
                <w:color w:val="auto"/>
              </w:rPr>
              <w:t>502</w:t>
            </w:r>
          </w:p>
        </w:tc>
      </w:tr>
      <w:tr>
        <w:trPr>
          <w:trHeight w:val="257"/>
        </w:trPr>
        <w:tc>
          <w:tcPr>
            <w:tcW w:w="4820" w:type="dxa"/>
            <w:vAlign w:val="bottom"/>
            <w:shd w:val="clear" w:color="auto" w:fill="CCEEFF"/>
          </w:tcPr>
          <w:p>
            <w:pPr>
              <w:spacing w:after="0"/>
              <w:rPr>
                <w:sz w:val="22"/>
                <w:szCs w:val="22"/>
                <w:color w:val="auto"/>
              </w:rPr>
            </w:pPr>
          </w:p>
        </w:tc>
        <w:tc>
          <w:tcPr>
            <w:tcW w:w="6540" w:type="dxa"/>
            <w:vAlign w:val="bottom"/>
            <w:shd w:val="clear" w:color="auto" w:fill="CCEEFF"/>
          </w:tcPr>
          <w:p>
            <w:pPr>
              <w:spacing w:after="0"/>
              <w:rPr>
                <w:sz w:val="22"/>
                <w:szCs w:val="22"/>
                <w:color w:val="auto"/>
              </w:rPr>
            </w:pPr>
          </w:p>
        </w:tc>
      </w:tr>
      <w:tr>
        <w:trPr>
          <w:trHeight w:val="243"/>
        </w:trPr>
        <w:tc>
          <w:tcPr>
            <w:tcW w:w="4820" w:type="dxa"/>
            <w:vAlign w:val="bottom"/>
          </w:tcPr>
          <w:p>
            <w:pPr>
              <w:spacing w:after="0"/>
              <w:rPr>
                <w:sz w:val="21"/>
                <w:szCs w:val="21"/>
                <w:color w:val="auto"/>
              </w:rPr>
            </w:pPr>
          </w:p>
        </w:tc>
        <w:tc>
          <w:tcPr>
            <w:tcW w:w="6540" w:type="dxa"/>
            <w:vAlign w:val="bottom"/>
          </w:tcPr>
          <w:p>
            <w:pPr>
              <w:ind w:left="3740"/>
              <w:spacing w:after="0"/>
              <w:rPr>
                <w:sz w:val="20"/>
                <w:szCs w:val="20"/>
                <w:color w:val="auto"/>
              </w:rPr>
            </w:pPr>
            <w:r>
              <w:rPr>
                <w:rFonts w:ascii="Arial" w:cs="Arial" w:eastAsia="Arial" w:hAnsi="Arial"/>
                <w:sz w:val="18"/>
                <w:szCs w:val="18"/>
                <w:color w:val="auto"/>
              </w:rPr>
              <w:t>512</w:t>
            </w:r>
          </w:p>
        </w:tc>
      </w:tr>
      <w:tr>
        <w:trPr>
          <w:trHeight w:val="257"/>
        </w:trPr>
        <w:tc>
          <w:tcPr>
            <w:tcW w:w="4820" w:type="dxa"/>
            <w:vAlign w:val="bottom"/>
          </w:tcPr>
          <w:p>
            <w:pPr>
              <w:spacing w:after="0"/>
              <w:rPr>
                <w:sz w:val="22"/>
                <w:szCs w:val="22"/>
                <w:color w:val="auto"/>
              </w:rPr>
            </w:pPr>
          </w:p>
        </w:tc>
        <w:tc>
          <w:tcPr>
            <w:tcW w:w="6540" w:type="dxa"/>
            <w:vAlign w:val="bottom"/>
          </w:tcPr>
          <w:p>
            <w:pPr>
              <w:spacing w:after="0"/>
              <w:rPr>
                <w:sz w:val="22"/>
                <w:szCs w:val="22"/>
                <w:color w:val="auto"/>
              </w:rPr>
            </w:pPr>
          </w:p>
        </w:tc>
      </w:tr>
      <w:tr>
        <w:trPr>
          <w:trHeight w:val="243"/>
        </w:trPr>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(a)(1)(B)</w:t>
            </w:r>
          </w:p>
        </w:tc>
        <w:tc>
          <w:tcPr>
            <w:tcW w:w="6540" w:type="dxa"/>
            <w:vAlign w:val="bottom"/>
            <w:shd w:val="clear" w:color="auto" w:fill="CCEEFF"/>
          </w:tcPr>
          <w:p>
            <w:pPr>
              <w:ind w:left="3740"/>
              <w:spacing w:after="0"/>
              <w:rPr>
                <w:sz w:val="20"/>
                <w:szCs w:val="20"/>
                <w:color w:val="auto"/>
              </w:rPr>
            </w:pPr>
            <w:r>
              <w:rPr>
                <w:rFonts w:ascii="Arial" w:cs="Arial" w:eastAsia="Arial" w:hAnsi="Arial"/>
                <w:sz w:val="18"/>
                <w:szCs w:val="18"/>
                <w:color w:val="auto"/>
              </w:rPr>
              <w:t>513</w:t>
            </w:r>
          </w:p>
        </w:tc>
      </w:tr>
      <w:tr>
        <w:trPr>
          <w:trHeight w:val="257"/>
        </w:trPr>
        <w:tc>
          <w:tcPr>
            <w:tcW w:w="4820" w:type="dxa"/>
            <w:vAlign w:val="bottom"/>
            <w:shd w:val="clear" w:color="auto" w:fill="CCEEFF"/>
          </w:tcPr>
          <w:p>
            <w:pPr>
              <w:spacing w:after="0"/>
              <w:rPr>
                <w:sz w:val="22"/>
                <w:szCs w:val="22"/>
                <w:color w:val="auto"/>
              </w:rPr>
            </w:pPr>
          </w:p>
        </w:tc>
        <w:tc>
          <w:tcPr>
            <w:tcW w:w="6540" w:type="dxa"/>
            <w:vAlign w:val="bottom"/>
            <w:shd w:val="clear" w:color="auto" w:fill="CCEEFF"/>
          </w:tcPr>
          <w:p>
            <w:pPr>
              <w:spacing w:after="0"/>
              <w:rPr>
                <w:sz w:val="22"/>
                <w:szCs w:val="22"/>
                <w:color w:val="auto"/>
              </w:rPr>
            </w:pPr>
          </w:p>
        </w:tc>
      </w:tr>
      <w:tr>
        <w:trPr>
          <w:trHeight w:val="243"/>
        </w:trPr>
        <w:tc>
          <w:tcPr>
            <w:tcW w:w="4820" w:type="dxa"/>
            <w:vAlign w:val="bottom"/>
          </w:tcPr>
          <w:p>
            <w:pPr>
              <w:ind w:left="440"/>
              <w:spacing w:after="0"/>
              <w:rPr>
                <w:sz w:val="20"/>
                <w:szCs w:val="20"/>
                <w:color w:val="auto"/>
              </w:rPr>
            </w:pPr>
            <w:r>
              <w:rPr>
                <w:rFonts w:ascii="Arial" w:cs="Arial" w:eastAsia="Arial" w:hAnsi="Arial"/>
                <w:sz w:val="18"/>
                <w:szCs w:val="18"/>
                <w:color w:val="auto"/>
              </w:rPr>
              <w:t>(a)(2)</w:t>
            </w:r>
          </w:p>
        </w:tc>
        <w:tc>
          <w:tcPr>
            <w:tcW w:w="6540" w:type="dxa"/>
            <w:vAlign w:val="bottom"/>
          </w:tcPr>
          <w:p>
            <w:pPr>
              <w:ind w:left="3740"/>
              <w:spacing w:after="0"/>
              <w:rPr>
                <w:sz w:val="20"/>
                <w:szCs w:val="20"/>
                <w:color w:val="auto"/>
              </w:rPr>
            </w:pPr>
            <w:r>
              <w:rPr>
                <w:rFonts w:ascii="Arial" w:cs="Arial" w:eastAsia="Arial" w:hAnsi="Arial"/>
                <w:sz w:val="18"/>
                <w:szCs w:val="18"/>
                <w:color w:val="auto"/>
              </w:rPr>
              <w:t>Not Applicable</w:t>
            </w:r>
          </w:p>
        </w:tc>
      </w:tr>
      <w:tr>
        <w:trPr>
          <w:trHeight w:val="257"/>
        </w:trPr>
        <w:tc>
          <w:tcPr>
            <w:tcW w:w="4820" w:type="dxa"/>
            <w:vAlign w:val="bottom"/>
          </w:tcPr>
          <w:p>
            <w:pPr>
              <w:spacing w:after="0"/>
              <w:rPr>
                <w:sz w:val="22"/>
                <w:szCs w:val="22"/>
                <w:color w:val="auto"/>
              </w:rPr>
            </w:pPr>
          </w:p>
        </w:tc>
        <w:tc>
          <w:tcPr>
            <w:tcW w:w="6540" w:type="dxa"/>
            <w:vAlign w:val="bottom"/>
          </w:tcPr>
          <w:p>
            <w:pPr>
              <w:spacing w:after="0"/>
              <w:rPr>
                <w:sz w:val="22"/>
                <w:szCs w:val="22"/>
                <w:color w:val="auto"/>
              </w:rPr>
            </w:pPr>
          </w:p>
        </w:tc>
      </w:tr>
      <w:tr>
        <w:trPr>
          <w:trHeight w:val="243"/>
        </w:trPr>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w:t>
            </w:r>
          </w:p>
        </w:tc>
        <w:tc>
          <w:tcPr>
            <w:tcW w:w="6540" w:type="dxa"/>
            <w:vAlign w:val="bottom"/>
            <w:shd w:val="clear" w:color="auto" w:fill="CCEEFF"/>
          </w:tcPr>
          <w:p>
            <w:pPr>
              <w:ind w:left="3740"/>
              <w:spacing w:after="0"/>
              <w:rPr>
                <w:sz w:val="20"/>
                <w:szCs w:val="20"/>
                <w:color w:val="auto"/>
              </w:rPr>
            </w:pPr>
            <w:r>
              <w:rPr>
                <w:rFonts w:ascii="Arial" w:cs="Arial" w:eastAsia="Arial" w:hAnsi="Arial"/>
                <w:sz w:val="18"/>
                <w:szCs w:val="18"/>
                <w:color w:val="auto"/>
              </w:rPr>
              <w:t>508</w:t>
            </w:r>
          </w:p>
        </w:tc>
      </w:tr>
      <w:tr>
        <w:trPr>
          <w:trHeight w:val="257"/>
        </w:trPr>
        <w:tc>
          <w:tcPr>
            <w:tcW w:w="4820" w:type="dxa"/>
            <w:vAlign w:val="bottom"/>
            <w:shd w:val="clear" w:color="auto" w:fill="CCEEFF"/>
          </w:tcPr>
          <w:p>
            <w:pPr>
              <w:spacing w:after="0"/>
              <w:rPr>
                <w:sz w:val="22"/>
                <w:szCs w:val="22"/>
                <w:color w:val="auto"/>
              </w:rPr>
            </w:pPr>
          </w:p>
        </w:tc>
        <w:tc>
          <w:tcPr>
            <w:tcW w:w="6540" w:type="dxa"/>
            <w:vAlign w:val="bottom"/>
            <w:shd w:val="clear" w:color="auto" w:fill="CCEEFF"/>
          </w:tcPr>
          <w:p>
            <w:pPr>
              <w:spacing w:after="0"/>
              <w:rPr>
                <w:sz w:val="22"/>
                <w:szCs w:val="22"/>
                <w:color w:val="auto"/>
              </w:rPr>
            </w:pPr>
          </w:p>
        </w:tc>
      </w:tr>
      <w:tr>
        <w:trPr>
          <w:trHeight w:val="243"/>
        </w:trPr>
        <w:tc>
          <w:tcPr>
            <w:tcW w:w="4820" w:type="dxa"/>
            <w:vAlign w:val="bottom"/>
          </w:tcPr>
          <w:p>
            <w:pPr>
              <w:ind w:left="440"/>
              <w:spacing w:after="0"/>
              <w:rPr>
                <w:sz w:val="20"/>
                <w:szCs w:val="20"/>
                <w:color w:val="auto"/>
              </w:rPr>
            </w:pPr>
            <w:r>
              <w:rPr>
                <w:rFonts w:ascii="Arial" w:cs="Arial" w:eastAsia="Arial" w:hAnsi="Arial"/>
                <w:sz w:val="18"/>
                <w:szCs w:val="18"/>
                <w:color w:val="auto"/>
              </w:rPr>
              <w:t>(c)</w:t>
            </w:r>
          </w:p>
        </w:tc>
        <w:tc>
          <w:tcPr>
            <w:tcW w:w="6540" w:type="dxa"/>
            <w:vAlign w:val="bottom"/>
          </w:tcPr>
          <w:p>
            <w:pPr>
              <w:ind w:left="3740"/>
              <w:spacing w:after="0"/>
              <w:rPr>
                <w:sz w:val="20"/>
                <w:szCs w:val="20"/>
                <w:color w:val="auto"/>
              </w:rPr>
            </w:pPr>
            <w:r>
              <w:rPr>
                <w:rFonts w:ascii="Arial" w:cs="Arial" w:eastAsia="Arial" w:hAnsi="Arial"/>
                <w:sz w:val="18"/>
                <w:szCs w:val="18"/>
                <w:color w:val="auto"/>
              </w:rPr>
              <w:t>104(e)</w:t>
            </w:r>
          </w:p>
        </w:tc>
      </w:tr>
      <w:tr>
        <w:trPr>
          <w:trHeight w:val="257"/>
        </w:trPr>
        <w:tc>
          <w:tcPr>
            <w:tcW w:w="4820" w:type="dxa"/>
            <w:vAlign w:val="bottom"/>
          </w:tcPr>
          <w:p>
            <w:pPr>
              <w:spacing w:after="0"/>
              <w:rPr>
                <w:sz w:val="22"/>
                <w:szCs w:val="22"/>
                <w:color w:val="auto"/>
              </w:rPr>
            </w:pPr>
          </w:p>
        </w:tc>
        <w:tc>
          <w:tcPr>
            <w:tcW w:w="6540" w:type="dxa"/>
            <w:vAlign w:val="bottom"/>
          </w:tcPr>
          <w:p>
            <w:pPr>
              <w:spacing w:after="0"/>
              <w:rPr>
                <w:sz w:val="22"/>
                <w:szCs w:val="22"/>
                <w:color w:val="auto"/>
              </w:rPr>
            </w:pPr>
          </w:p>
        </w:tc>
      </w:tr>
      <w:tr>
        <w:trPr>
          <w:trHeight w:val="24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317(a)(l)</w:t>
            </w:r>
          </w:p>
        </w:tc>
        <w:tc>
          <w:tcPr>
            <w:tcW w:w="6540" w:type="dxa"/>
            <w:vAlign w:val="bottom"/>
            <w:shd w:val="clear" w:color="auto" w:fill="CCEEFF"/>
          </w:tcPr>
          <w:p>
            <w:pPr>
              <w:ind w:left="3740"/>
              <w:spacing w:after="0"/>
              <w:rPr>
                <w:sz w:val="20"/>
                <w:szCs w:val="20"/>
                <w:color w:val="auto"/>
              </w:rPr>
            </w:pPr>
            <w:r>
              <w:rPr>
                <w:rFonts w:ascii="Arial" w:cs="Arial" w:eastAsia="Arial" w:hAnsi="Arial"/>
                <w:sz w:val="18"/>
                <w:szCs w:val="18"/>
                <w:color w:val="auto"/>
              </w:rPr>
              <w:t>503</w:t>
            </w:r>
          </w:p>
        </w:tc>
      </w:tr>
      <w:tr>
        <w:trPr>
          <w:trHeight w:val="257"/>
        </w:trPr>
        <w:tc>
          <w:tcPr>
            <w:tcW w:w="4820" w:type="dxa"/>
            <w:vAlign w:val="bottom"/>
            <w:shd w:val="clear" w:color="auto" w:fill="CCEEFF"/>
          </w:tcPr>
          <w:p>
            <w:pPr>
              <w:spacing w:after="0"/>
              <w:rPr>
                <w:sz w:val="22"/>
                <w:szCs w:val="22"/>
                <w:color w:val="auto"/>
              </w:rPr>
            </w:pPr>
          </w:p>
        </w:tc>
        <w:tc>
          <w:tcPr>
            <w:tcW w:w="6540" w:type="dxa"/>
            <w:vAlign w:val="bottom"/>
            <w:shd w:val="clear" w:color="auto" w:fill="CCEEFF"/>
          </w:tcPr>
          <w:p>
            <w:pPr>
              <w:spacing w:after="0"/>
              <w:rPr>
                <w:sz w:val="22"/>
                <w:szCs w:val="22"/>
                <w:color w:val="auto"/>
              </w:rPr>
            </w:pPr>
          </w:p>
        </w:tc>
      </w:tr>
      <w:tr>
        <w:trPr>
          <w:trHeight w:val="243"/>
        </w:trPr>
        <w:tc>
          <w:tcPr>
            <w:tcW w:w="4820" w:type="dxa"/>
            <w:vAlign w:val="bottom"/>
          </w:tcPr>
          <w:p>
            <w:pPr>
              <w:ind w:left="440"/>
              <w:spacing w:after="0"/>
              <w:rPr>
                <w:sz w:val="20"/>
                <w:szCs w:val="20"/>
                <w:color w:val="auto"/>
              </w:rPr>
            </w:pPr>
            <w:r>
              <w:rPr>
                <w:rFonts w:ascii="Arial" w:cs="Arial" w:eastAsia="Arial" w:hAnsi="Arial"/>
                <w:sz w:val="18"/>
                <w:szCs w:val="18"/>
                <w:color w:val="auto"/>
              </w:rPr>
              <w:t>(a)(2)</w:t>
            </w:r>
          </w:p>
        </w:tc>
        <w:tc>
          <w:tcPr>
            <w:tcW w:w="6540" w:type="dxa"/>
            <w:vAlign w:val="bottom"/>
          </w:tcPr>
          <w:p>
            <w:pPr>
              <w:ind w:left="3740"/>
              <w:spacing w:after="0"/>
              <w:rPr>
                <w:sz w:val="20"/>
                <w:szCs w:val="20"/>
                <w:color w:val="auto"/>
              </w:rPr>
            </w:pPr>
            <w:r>
              <w:rPr>
                <w:rFonts w:ascii="Arial" w:cs="Arial" w:eastAsia="Arial" w:hAnsi="Arial"/>
                <w:sz w:val="18"/>
                <w:szCs w:val="18"/>
                <w:color w:val="auto"/>
              </w:rPr>
              <w:t>504</w:t>
            </w:r>
          </w:p>
        </w:tc>
      </w:tr>
      <w:tr>
        <w:trPr>
          <w:trHeight w:val="257"/>
        </w:trPr>
        <w:tc>
          <w:tcPr>
            <w:tcW w:w="4820" w:type="dxa"/>
            <w:vAlign w:val="bottom"/>
          </w:tcPr>
          <w:p>
            <w:pPr>
              <w:spacing w:after="0"/>
              <w:rPr>
                <w:sz w:val="22"/>
                <w:szCs w:val="22"/>
                <w:color w:val="auto"/>
              </w:rPr>
            </w:pPr>
          </w:p>
        </w:tc>
        <w:tc>
          <w:tcPr>
            <w:tcW w:w="6540" w:type="dxa"/>
            <w:vAlign w:val="bottom"/>
          </w:tcPr>
          <w:p>
            <w:pPr>
              <w:spacing w:after="0"/>
              <w:rPr>
                <w:sz w:val="22"/>
                <w:szCs w:val="22"/>
                <w:color w:val="auto"/>
              </w:rPr>
            </w:pPr>
          </w:p>
        </w:tc>
      </w:tr>
      <w:tr>
        <w:trPr>
          <w:trHeight w:val="243"/>
        </w:trPr>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w:t>
            </w:r>
          </w:p>
        </w:tc>
        <w:tc>
          <w:tcPr>
            <w:tcW w:w="6540" w:type="dxa"/>
            <w:vAlign w:val="bottom"/>
            <w:shd w:val="clear" w:color="auto" w:fill="CCEEFF"/>
          </w:tcPr>
          <w:p>
            <w:pPr>
              <w:ind w:left="3740"/>
              <w:spacing w:after="0"/>
              <w:rPr>
                <w:sz w:val="20"/>
                <w:szCs w:val="20"/>
                <w:color w:val="auto"/>
              </w:rPr>
            </w:pPr>
            <w:r>
              <w:rPr>
                <w:rFonts w:ascii="Arial" w:cs="Arial" w:eastAsia="Arial" w:hAnsi="Arial"/>
                <w:sz w:val="18"/>
                <w:szCs w:val="18"/>
                <w:color w:val="auto"/>
              </w:rPr>
              <w:t>1003</w:t>
            </w:r>
          </w:p>
        </w:tc>
      </w:tr>
      <w:tr>
        <w:trPr>
          <w:trHeight w:val="257"/>
        </w:trPr>
        <w:tc>
          <w:tcPr>
            <w:tcW w:w="4820" w:type="dxa"/>
            <w:vAlign w:val="bottom"/>
            <w:shd w:val="clear" w:color="auto" w:fill="CCEEFF"/>
          </w:tcPr>
          <w:p>
            <w:pPr>
              <w:spacing w:after="0"/>
              <w:rPr>
                <w:sz w:val="22"/>
                <w:szCs w:val="22"/>
                <w:color w:val="auto"/>
              </w:rPr>
            </w:pPr>
          </w:p>
        </w:tc>
        <w:tc>
          <w:tcPr>
            <w:tcW w:w="6540" w:type="dxa"/>
            <w:vAlign w:val="bottom"/>
            <w:shd w:val="clear" w:color="auto" w:fill="CCEEFF"/>
          </w:tcPr>
          <w:p>
            <w:pPr>
              <w:spacing w:after="0"/>
              <w:rPr>
                <w:sz w:val="22"/>
                <w:szCs w:val="22"/>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 318(a)</w:t>
            </w:r>
          </w:p>
        </w:tc>
        <w:tc>
          <w:tcPr>
            <w:tcW w:w="6540" w:type="dxa"/>
            <w:vAlign w:val="bottom"/>
          </w:tcPr>
          <w:p>
            <w:pPr>
              <w:ind w:left="3740"/>
              <w:spacing w:after="0"/>
              <w:rPr>
                <w:sz w:val="20"/>
                <w:szCs w:val="20"/>
                <w:color w:val="auto"/>
              </w:rPr>
            </w:pPr>
            <w:r>
              <w:rPr>
                <w:rFonts w:ascii="Arial" w:cs="Arial" w:eastAsia="Arial" w:hAnsi="Arial"/>
                <w:sz w:val="18"/>
                <w:szCs w:val="18"/>
                <w:color w:val="auto"/>
              </w:rPr>
              <w:t>107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a part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062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6480810</wp:posOffset>
            </wp:positionH>
            <wp:positionV relativeFrom="paragraph">
              <wp:posOffset>169545</wp:posOffset>
            </wp:positionV>
            <wp:extent cx="7200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ONE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AND OTHER PROVISIONS OF GENERAL APPLICATION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101.</w:t>
            </w:r>
          </w:p>
        </w:tc>
        <w:tc>
          <w:tcPr>
            <w:tcW w:w="6540" w:type="dxa"/>
            <w:vAlign w:val="bottom"/>
          </w:tcPr>
          <w:p>
            <w:pPr>
              <w:ind w:left="240"/>
              <w:spacing w:after="0"/>
              <w:rPr>
                <w:sz w:val="20"/>
                <w:szCs w:val="20"/>
                <w:color w:val="auto"/>
              </w:rPr>
            </w:pPr>
            <w:r>
              <w:rPr>
                <w:rFonts w:ascii="Arial" w:cs="Arial" w:eastAsia="Arial" w:hAnsi="Arial"/>
                <w:sz w:val="18"/>
                <w:szCs w:val="18"/>
                <w:i w:val="1"/>
                <w:iCs w:val="1"/>
                <w:color w:val="auto"/>
              </w:rPr>
              <w:t>Definitions</w:t>
            </w:r>
          </w:p>
        </w:tc>
        <w:tc>
          <w:tcPr>
            <w:tcW w:w="3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102.</w:t>
            </w:r>
          </w:p>
        </w:tc>
        <w:tc>
          <w:tcPr>
            <w:tcW w:w="6540" w:type="dxa"/>
            <w:vAlign w:val="bottom"/>
          </w:tcPr>
          <w:p>
            <w:pPr>
              <w:ind w:left="240"/>
              <w:spacing w:after="0"/>
              <w:rPr>
                <w:sz w:val="20"/>
                <w:szCs w:val="20"/>
                <w:color w:val="auto"/>
              </w:rPr>
            </w:pPr>
            <w:r>
              <w:rPr>
                <w:rFonts w:ascii="Arial" w:cs="Arial" w:eastAsia="Arial" w:hAnsi="Arial"/>
                <w:sz w:val="18"/>
                <w:szCs w:val="18"/>
                <w:i w:val="1"/>
                <w:iCs w:val="1"/>
                <w:color w:val="auto"/>
              </w:rPr>
              <w:t>Compliance Certificates and Opinions</w:t>
            </w:r>
          </w:p>
        </w:tc>
        <w:tc>
          <w:tcPr>
            <w:tcW w:w="3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103.</w:t>
            </w:r>
          </w:p>
        </w:tc>
        <w:tc>
          <w:tcPr>
            <w:tcW w:w="6540" w:type="dxa"/>
            <w:vAlign w:val="bottom"/>
          </w:tcPr>
          <w:p>
            <w:pPr>
              <w:ind w:left="240"/>
              <w:spacing w:after="0"/>
              <w:rPr>
                <w:sz w:val="20"/>
                <w:szCs w:val="20"/>
                <w:color w:val="auto"/>
              </w:rPr>
            </w:pPr>
            <w:r>
              <w:rPr>
                <w:rFonts w:ascii="Arial" w:cs="Arial" w:eastAsia="Arial" w:hAnsi="Arial"/>
                <w:sz w:val="18"/>
                <w:szCs w:val="18"/>
                <w:i w:val="1"/>
                <w:iCs w:val="1"/>
                <w:color w:val="auto"/>
              </w:rPr>
              <w:t>Form of Documents Delivered to Trustee</w:t>
            </w:r>
          </w:p>
        </w:tc>
        <w:tc>
          <w:tcPr>
            <w:tcW w:w="3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104.</w:t>
            </w:r>
          </w:p>
        </w:tc>
        <w:tc>
          <w:tcPr>
            <w:tcW w:w="6540" w:type="dxa"/>
            <w:vAlign w:val="bottom"/>
          </w:tcPr>
          <w:p>
            <w:pPr>
              <w:ind w:left="240"/>
              <w:spacing w:after="0"/>
              <w:rPr>
                <w:sz w:val="20"/>
                <w:szCs w:val="20"/>
                <w:color w:val="auto"/>
              </w:rPr>
            </w:pPr>
            <w:r>
              <w:rPr>
                <w:rFonts w:ascii="Arial" w:cs="Arial" w:eastAsia="Arial" w:hAnsi="Arial"/>
                <w:sz w:val="18"/>
                <w:szCs w:val="18"/>
                <w:i w:val="1"/>
                <w:iCs w:val="1"/>
                <w:color w:val="auto"/>
              </w:rPr>
              <w:t>Acts of Holders</w:t>
            </w:r>
          </w:p>
        </w:tc>
        <w:tc>
          <w:tcPr>
            <w:tcW w:w="3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105.</w:t>
            </w:r>
          </w:p>
        </w:tc>
        <w:tc>
          <w:tcPr>
            <w:tcW w:w="6540" w:type="dxa"/>
            <w:vAlign w:val="bottom"/>
          </w:tcPr>
          <w:p>
            <w:pPr>
              <w:ind w:left="240"/>
              <w:spacing w:after="0"/>
              <w:rPr>
                <w:sz w:val="20"/>
                <w:szCs w:val="20"/>
                <w:color w:val="auto"/>
              </w:rPr>
            </w:pPr>
            <w:r>
              <w:rPr>
                <w:rFonts w:ascii="Arial" w:cs="Arial" w:eastAsia="Arial" w:hAnsi="Arial"/>
                <w:sz w:val="18"/>
                <w:szCs w:val="18"/>
                <w:i w:val="1"/>
                <w:iCs w:val="1"/>
                <w:color w:val="auto"/>
              </w:rPr>
              <w:t>Notices, Etc. to Trustee and Company</w:t>
            </w:r>
          </w:p>
        </w:tc>
        <w:tc>
          <w:tcPr>
            <w:tcW w:w="3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106.</w:t>
            </w:r>
          </w:p>
        </w:tc>
        <w:tc>
          <w:tcPr>
            <w:tcW w:w="6540" w:type="dxa"/>
            <w:vAlign w:val="bottom"/>
          </w:tcPr>
          <w:p>
            <w:pPr>
              <w:ind w:left="240"/>
              <w:spacing w:after="0"/>
              <w:rPr>
                <w:sz w:val="20"/>
                <w:szCs w:val="20"/>
                <w:color w:val="auto"/>
              </w:rPr>
            </w:pPr>
            <w:r>
              <w:rPr>
                <w:rFonts w:ascii="Arial" w:cs="Arial" w:eastAsia="Arial" w:hAnsi="Arial"/>
                <w:sz w:val="18"/>
                <w:szCs w:val="18"/>
                <w:i w:val="1"/>
                <w:iCs w:val="1"/>
                <w:color w:val="auto"/>
              </w:rPr>
              <w:t>Notice to Holders; Waiver</w:t>
            </w:r>
          </w:p>
        </w:tc>
        <w:tc>
          <w:tcPr>
            <w:tcW w:w="3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107.</w:t>
            </w:r>
          </w:p>
        </w:tc>
        <w:tc>
          <w:tcPr>
            <w:tcW w:w="6540" w:type="dxa"/>
            <w:vAlign w:val="bottom"/>
          </w:tcPr>
          <w:p>
            <w:pPr>
              <w:ind w:left="240"/>
              <w:spacing w:after="0"/>
              <w:rPr>
                <w:sz w:val="20"/>
                <w:szCs w:val="20"/>
                <w:color w:val="auto"/>
              </w:rPr>
            </w:pPr>
            <w:r>
              <w:rPr>
                <w:rFonts w:ascii="Arial" w:cs="Arial" w:eastAsia="Arial" w:hAnsi="Arial"/>
                <w:sz w:val="18"/>
                <w:szCs w:val="18"/>
                <w:i w:val="1"/>
                <w:iCs w:val="1"/>
                <w:color w:val="auto"/>
              </w:rPr>
              <w:t>Conflict With Trust Indenture Act</w:t>
            </w:r>
          </w:p>
        </w:tc>
        <w:tc>
          <w:tcPr>
            <w:tcW w:w="3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108.</w:t>
            </w:r>
          </w:p>
        </w:tc>
        <w:tc>
          <w:tcPr>
            <w:tcW w:w="6540" w:type="dxa"/>
            <w:vAlign w:val="bottom"/>
          </w:tcPr>
          <w:p>
            <w:pPr>
              <w:ind w:left="240"/>
              <w:spacing w:after="0"/>
              <w:rPr>
                <w:sz w:val="20"/>
                <w:szCs w:val="20"/>
                <w:color w:val="auto"/>
              </w:rPr>
            </w:pPr>
            <w:r>
              <w:rPr>
                <w:rFonts w:ascii="Arial" w:cs="Arial" w:eastAsia="Arial" w:hAnsi="Arial"/>
                <w:sz w:val="18"/>
                <w:szCs w:val="18"/>
                <w:i w:val="1"/>
                <w:iCs w:val="1"/>
                <w:color w:val="auto"/>
              </w:rPr>
              <w:t>Effect of Headings and Table of Contents</w:t>
            </w:r>
          </w:p>
        </w:tc>
        <w:tc>
          <w:tcPr>
            <w:tcW w:w="3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109.</w:t>
            </w:r>
          </w:p>
        </w:tc>
        <w:tc>
          <w:tcPr>
            <w:tcW w:w="6540" w:type="dxa"/>
            <w:vAlign w:val="bottom"/>
          </w:tcPr>
          <w:p>
            <w:pPr>
              <w:ind w:left="240"/>
              <w:spacing w:after="0"/>
              <w:rPr>
                <w:sz w:val="20"/>
                <w:szCs w:val="20"/>
                <w:color w:val="auto"/>
              </w:rPr>
            </w:pPr>
            <w:r>
              <w:rPr>
                <w:rFonts w:ascii="Arial" w:cs="Arial" w:eastAsia="Arial" w:hAnsi="Arial"/>
                <w:sz w:val="18"/>
                <w:szCs w:val="18"/>
                <w:i w:val="1"/>
                <w:iCs w:val="1"/>
                <w:color w:val="auto"/>
              </w:rPr>
              <w:t>Successors and Assigns</w:t>
            </w:r>
          </w:p>
        </w:tc>
        <w:tc>
          <w:tcPr>
            <w:tcW w:w="3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110.</w:t>
            </w:r>
          </w:p>
        </w:tc>
        <w:tc>
          <w:tcPr>
            <w:tcW w:w="6540" w:type="dxa"/>
            <w:vAlign w:val="bottom"/>
          </w:tcPr>
          <w:p>
            <w:pPr>
              <w:ind w:left="240"/>
              <w:spacing w:after="0"/>
              <w:rPr>
                <w:sz w:val="20"/>
                <w:szCs w:val="20"/>
                <w:color w:val="auto"/>
              </w:rPr>
            </w:pPr>
            <w:r>
              <w:rPr>
                <w:rFonts w:ascii="Arial" w:cs="Arial" w:eastAsia="Arial" w:hAnsi="Arial"/>
                <w:sz w:val="18"/>
                <w:szCs w:val="18"/>
                <w:i w:val="1"/>
                <w:iCs w:val="1"/>
                <w:color w:val="auto"/>
              </w:rPr>
              <w:t>Separability Clause</w:t>
            </w:r>
          </w:p>
        </w:tc>
        <w:tc>
          <w:tcPr>
            <w:tcW w:w="3420" w:type="dxa"/>
            <w:vAlign w:val="bottom"/>
          </w:tcPr>
          <w:p>
            <w:pPr>
              <w:jc w:val="right"/>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320"/>
          </w:cols>
          <w:pgMar w:left="320" w:top="742" w:right="25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111.</w:t>
            </w:r>
          </w:p>
        </w:tc>
        <w:tc>
          <w:tcPr>
            <w:tcW w:w="6080" w:type="dxa"/>
            <w:vAlign w:val="bottom"/>
          </w:tcPr>
          <w:p>
            <w:pPr>
              <w:ind w:left="240"/>
              <w:spacing w:after="0"/>
              <w:rPr>
                <w:sz w:val="20"/>
                <w:szCs w:val="20"/>
                <w:color w:val="auto"/>
              </w:rPr>
            </w:pPr>
            <w:r>
              <w:rPr>
                <w:rFonts w:ascii="Arial" w:cs="Arial" w:eastAsia="Arial" w:hAnsi="Arial"/>
                <w:sz w:val="18"/>
                <w:szCs w:val="18"/>
                <w:i w:val="1"/>
                <w:iCs w:val="1"/>
                <w:color w:val="auto"/>
              </w:rPr>
              <w:t>Benefits of Indenture</w:t>
            </w:r>
          </w:p>
        </w:tc>
        <w:tc>
          <w:tcPr>
            <w:tcW w:w="3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112.</w:t>
            </w:r>
          </w:p>
        </w:tc>
        <w:tc>
          <w:tcPr>
            <w:tcW w:w="6080" w:type="dxa"/>
            <w:vAlign w:val="bottom"/>
          </w:tcPr>
          <w:p>
            <w:pPr>
              <w:ind w:left="240"/>
              <w:spacing w:after="0"/>
              <w:rPr>
                <w:sz w:val="20"/>
                <w:szCs w:val="20"/>
                <w:color w:val="auto"/>
              </w:rPr>
            </w:pPr>
            <w:r>
              <w:rPr>
                <w:rFonts w:ascii="Arial" w:cs="Arial" w:eastAsia="Arial" w:hAnsi="Arial"/>
                <w:sz w:val="18"/>
                <w:szCs w:val="18"/>
                <w:i w:val="1"/>
                <w:iCs w:val="1"/>
                <w:color w:val="auto"/>
              </w:rPr>
              <w:t>Governing Law</w:t>
            </w:r>
          </w:p>
        </w:tc>
        <w:tc>
          <w:tcPr>
            <w:tcW w:w="3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113.</w:t>
            </w:r>
          </w:p>
        </w:tc>
        <w:tc>
          <w:tcPr>
            <w:tcW w:w="6080" w:type="dxa"/>
            <w:vAlign w:val="bottom"/>
          </w:tcPr>
          <w:p>
            <w:pPr>
              <w:ind w:left="240"/>
              <w:spacing w:after="0"/>
              <w:rPr>
                <w:sz w:val="20"/>
                <w:szCs w:val="20"/>
                <w:color w:val="auto"/>
              </w:rPr>
            </w:pPr>
            <w:r>
              <w:rPr>
                <w:rFonts w:ascii="Arial" w:cs="Arial" w:eastAsia="Arial" w:hAnsi="Arial"/>
                <w:sz w:val="18"/>
                <w:szCs w:val="18"/>
                <w:i w:val="1"/>
                <w:iCs w:val="1"/>
                <w:color w:val="auto"/>
              </w:rPr>
              <w:t>Legal Holidays</w:t>
            </w:r>
          </w:p>
        </w:tc>
        <w:tc>
          <w:tcPr>
            <w:tcW w:w="3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114.</w:t>
            </w:r>
          </w:p>
        </w:tc>
        <w:tc>
          <w:tcPr>
            <w:tcW w:w="6080" w:type="dxa"/>
            <w:vAlign w:val="bottom"/>
          </w:tcPr>
          <w:p>
            <w:pPr>
              <w:ind w:left="240"/>
              <w:spacing w:after="0"/>
              <w:rPr>
                <w:sz w:val="20"/>
                <w:szCs w:val="20"/>
                <w:color w:val="auto"/>
              </w:rPr>
            </w:pPr>
            <w:r>
              <w:rPr>
                <w:rFonts w:ascii="Arial" w:cs="Arial" w:eastAsia="Arial" w:hAnsi="Arial"/>
                <w:sz w:val="18"/>
                <w:szCs w:val="18"/>
                <w:i w:val="1"/>
                <w:iCs w:val="1"/>
                <w:color w:val="auto"/>
              </w:rPr>
              <w:t>Rules by Trustee and Agents</w:t>
            </w:r>
          </w:p>
        </w:tc>
        <w:tc>
          <w:tcPr>
            <w:tcW w:w="3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115.</w:t>
            </w:r>
          </w:p>
        </w:tc>
        <w:tc>
          <w:tcPr>
            <w:tcW w:w="6080" w:type="dxa"/>
            <w:vAlign w:val="bottom"/>
          </w:tcPr>
          <w:p>
            <w:pPr>
              <w:ind w:left="240"/>
              <w:spacing w:after="0"/>
              <w:rPr>
                <w:sz w:val="20"/>
                <w:szCs w:val="20"/>
                <w:color w:val="auto"/>
              </w:rPr>
            </w:pPr>
            <w:r>
              <w:rPr>
                <w:rFonts w:ascii="Arial" w:cs="Arial" w:eastAsia="Arial" w:hAnsi="Arial"/>
                <w:sz w:val="18"/>
                <w:szCs w:val="18"/>
                <w:i w:val="1"/>
                <w:iCs w:val="1"/>
                <w:color w:val="auto"/>
              </w:rPr>
              <w:t>No Recourse Against Others</w:t>
            </w:r>
          </w:p>
        </w:tc>
        <w:tc>
          <w:tcPr>
            <w:tcW w:w="388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TWO</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SECURITY FORMS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201.</w:t>
            </w:r>
          </w:p>
        </w:tc>
        <w:tc>
          <w:tcPr>
            <w:tcW w:w="6700" w:type="dxa"/>
            <w:vAlign w:val="bottom"/>
          </w:tcPr>
          <w:p>
            <w:pPr>
              <w:ind w:left="240"/>
              <w:spacing w:after="0"/>
              <w:rPr>
                <w:sz w:val="20"/>
                <w:szCs w:val="20"/>
                <w:color w:val="auto"/>
              </w:rPr>
            </w:pPr>
            <w:r>
              <w:rPr>
                <w:rFonts w:ascii="Arial" w:cs="Arial" w:eastAsia="Arial" w:hAnsi="Arial"/>
                <w:sz w:val="18"/>
                <w:szCs w:val="18"/>
                <w:i w:val="1"/>
                <w:iCs w:val="1"/>
                <w:color w:val="auto"/>
              </w:rPr>
              <w:t>Forms Generally</w:t>
            </w:r>
          </w:p>
        </w:tc>
        <w:tc>
          <w:tcPr>
            <w:tcW w:w="32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202.</w:t>
            </w:r>
          </w:p>
        </w:tc>
        <w:tc>
          <w:tcPr>
            <w:tcW w:w="6700" w:type="dxa"/>
            <w:vAlign w:val="bottom"/>
          </w:tcPr>
          <w:p>
            <w:pPr>
              <w:ind w:left="240"/>
              <w:spacing w:after="0"/>
              <w:rPr>
                <w:sz w:val="20"/>
                <w:szCs w:val="20"/>
                <w:color w:val="auto"/>
              </w:rPr>
            </w:pPr>
            <w:r>
              <w:rPr>
                <w:rFonts w:ascii="Arial" w:cs="Arial" w:eastAsia="Arial" w:hAnsi="Arial"/>
                <w:sz w:val="18"/>
                <w:szCs w:val="18"/>
                <w:i w:val="1"/>
                <w:iCs w:val="1"/>
                <w:color w:val="auto"/>
              </w:rPr>
              <w:t>Form of Trustee’s Certificate of Authentication</w:t>
            </w:r>
          </w:p>
        </w:tc>
        <w:tc>
          <w:tcPr>
            <w:tcW w:w="326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THREE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SECURITIES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1580" w:val="left"/>
          <w:tab w:leader="none" w:pos="1112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8"/>
          <w:szCs w:val="18"/>
          <w:i w:val="1"/>
          <w:iCs w:val="1"/>
          <w:color w:val="auto"/>
        </w:rPr>
        <w:t>Amount Unlimited; Issuable in Series</w:t>
      </w:r>
      <w:r>
        <w:rPr>
          <w:sz w:val="20"/>
          <w:szCs w:val="20"/>
          <w:color w:val="auto"/>
        </w:rPr>
        <w:tab/>
      </w:r>
      <w:r>
        <w:rPr>
          <w:rFonts w:ascii="Arial" w:cs="Arial" w:eastAsia="Arial" w:hAnsi="Arial"/>
          <w:sz w:val="16"/>
          <w:szCs w:val="16"/>
          <w:color w:val="auto"/>
        </w:rPr>
        <w:t>10</w:t>
      </w:r>
    </w:p>
    <w:p>
      <w:pPr>
        <w:sectPr>
          <w:pgSz w:w="11900" w:h="16838" w:orient="portrait"/>
          <w:cols w:equalWidth="0" w:num="1">
            <w:col w:w="11320"/>
          </w:cols>
          <w:pgMar w:left="320" w:top="530" w:right="25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302.</w:t>
            </w:r>
          </w:p>
        </w:tc>
        <w:tc>
          <w:tcPr>
            <w:tcW w:w="7620" w:type="dxa"/>
            <w:vAlign w:val="bottom"/>
          </w:tcPr>
          <w:p>
            <w:pPr>
              <w:ind w:left="240"/>
              <w:spacing w:after="0"/>
              <w:rPr>
                <w:sz w:val="20"/>
                <w:szCs w:val="20"/>
                <w:color w:val="auto"/>
              </w:rPr>
            </w:pPr>
            <w:r>
              <w:rPr>
                <w:rFonts w:ascii="Arial" w:cs="Arial" w:eastAsia="Arial" w:hAnsi="Arial"/>
                <w:sz w:val="18"/>
                <w:szCs w:val="18"/>
                <w:i w:val="1"/>
                <w:iCs w:val="1"/>
                <w:color w:val="auto"/>
              </w:rPr>
              <w:t>Denominations</w:t>
            </w:r>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303.</w:t>
            </w:r>
          </w:p>
        </w:tc>
        <w:tc>
          <w:tcPr>
            <w:tcW w:w="7620" w:type="dxa"/>
            <w:vAlign w:val="bottom"/>
          </w:tcPr>
          <w:p>
            <w:pPr>
              <w:ind w:left="240"/>
              <w:spacing w:after="0"/>
              <w:rPr>
                <w:sz w:val="20"/>
                <w:szCs w:val="20"/>
                <w:color w:val="auto"/>
              </w:rPr>
            </w:pPr>
            <w:r>
              <w:rPr>
                <w:rFonts w:ascii="Arial" w:cs="Arial" w:eastAsia="Arial" w:hAnsi="Arial"/>
                <w:sz w:val="18"/>
                <w:szCs w:val="18"/>
                <w:i w:val="1"/>
                <w:iCs w:val="1"/>
                <w:color w:val="auto"/>
              </w:rPr>
              <w:t>Execution, Authentication, Delivery and Dating</w:t>
            </w:r>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304.</w:t>
            </w:r>
          </w:p>
        </w:tc>
        <w:tc>
          <w:tcPr>
            <w:tcW w:w="7620" w:type="dxa"/>
            <w:vAlign w:val="bottom"/>
          </w:tcPr>
          <w:p>
            <w:pPr>
              <w:ind w:left="240"/>
              <w:spacing w:after="0"/>
              <w:rPr>
                <w:sz w:val="20"/>
                <w:szCs w:val="20"/>
                <w:color w:val="auto"/>
              </w:rPr>
            </w:pPr>
            <w:r>
              <w:rPr>
                <w:rFonts w:ascii="Arial" w:cs="Arial" w:eastAsia="Arial" w:hAnsi="Arial"/>
                <w:sz w:val="18"/>
                <w:szCs w:val="18"/>
                <w:i w:val="1"/>
                <w:iCs w:val="1"/>
                <w:color w:val="auto"/>
              </w:rPr>
              <w:t>Temporary Securities</w:t>
            </w:r>
          </w:p>
        </w:tc>
        <w:tc>
          <w:tcPr>
            <w:tcW w:w="2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305.</w:t>
            </w:r>
          </w:p>
        </w:tc>
        <w:tc>
          <w:tcPr>
            <w:tcW w:w="7620" w:type="dxa"/>
            <w:vAlign w:val="bottom"/>
          </w:tcPr>
          <w:p>
            <w:pPr>
              <w:ind w:left="240"/>
              <w:spacing w:after="0"/>
              <w:rPr>
                <w:sz w:val="20"/>
                <w:szCs w:val="20"/>
                <w:color w:val="auto"/>
              </w:rPr>
            </w:pPr>
            <w:r>
              <w:rPr>
                <w:rFonts w:ascii="Arial" w:cs="Arial" w:eastAsia="Arial" w:hAnsi="Arial"/>
                <w:sz w:val="18"/>
                <w:szCs w:val="18"/>
                <w:i w:val="1"/>
                <w:iCs w:val="1"/>
                <w:color w:val="auto"/>
              </w:rPr>
              <w:t>Registration, Registration of Transfer and Exchange</w:t>
            </w:r>
          </w:p>
        </w:tc>
        <w:tc>
          <w:tcPr>
            <w:tcW w:w="2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306.</w:t>
            </w:r>
          </w:p>
        </w:tc>
        <w:tc>
          <w:tcPr>
            <w:tcW w:w="7620" w:type="dxa"/>
            <w:vAlign w:val="bottom"/>
          </w:tcPr>
          <w:p>
            <w:pPr>
              <w:ind w:left="240"/>
              <w:spacing w:after="0"/>
              <w:rPr>
                <w:sz w:val="20"/>
                <w:szCs w:val="20"/>
                <w:color w:val="auto"/>
              </w:rPr>
            </w:pPr>
            <w:r>
              <w:rPr>
                <w:rFonts w:ascii="Arial" w:cs="Arial" w:eastAsia="Arial" w:hAnsi="Arial"/>
                <w:sz w:val="18"/>
                <w:szCs w:val="18"/>
                <w:i w:val="1"/>
                <w:iCs w:val="1"/>
                <w:color w:val="auto"/>
              </w:rPr>
              <w:t>Mutilated, Destroyed, Lost and Stolen Securities</w:t>
            </w:r>
          </w:p>
        </w:tc>
        <w:tc>
          <w:tcPr>
            <w:tcW w:w="2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307.</w:t>
            </w:r>
          </w:p>
        </w:tc>
        <w:tc>
          <w:tcPr>
            <w:tcW w:w="7620" w:type="dxa"/>
            <w:vAlign w:val="bottom"/>
          </w:tcPr>
          <w:p>
            <w:pPr>
              <w:ind w:left="240"/>
              <w:spacing w:after="0"/>
              <w:rPr>
                <w:sz w:val="20"/>
                <w:szCs w:val="20"/>
                <w:color w:val="auto"/>
              </w:rPr>
            </w:pPr>
            <w:r>
              <w:rPr>
                <w:rFonts w:ascii="Arial" w:cs="Arial" w:eastAsia="Arial" w:hAnsi="Arial"/>
                <w:sz w:val="18"/>
                <w:szCs w:val="18"/>
                <w:i w:val="1"/>
                <w:iCs w:val="1"/>
                <w:color w:val="auto"/>
              </w:rPr>
              <w:t>Payment of Interest; Interest Rights Preserved</w:t>
            </w:r>
          </w:p>
        </w:tc>
        <w:tc>
          <w:tcPr>
            <w:tcW w:w="2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308.</w:t>
            </w:r>
          </w:p>
        </w:tc>
        <w:tc>
          <w:tcPr>
            <w:tcW w:w="7620" w:type="dxa"/>
            <w:vAlign w:val="bottom"/>
          </w:tcPr>
          <w:p>
            <w:pPr>
              <w:ind w:left="240"/>
              <w:spacing w:after="0"/>
              <w:rPr>
                <w:sz w:val="20"/>
                <w:szCs w:val="20"/>
                <w:color w:val="auto"/>
              </w:rPr>
            </w:pPr>
            <w:r>
              <w:rPr>
                <w:rFonts w:ascii="Arial" w:cs="Arial" w:eastAsia="Arial" w:hAnsi="Arial"/>
                <w:sz w:val="18"/>
                <w:szCs w:val="18"/>
                <w:i w:val="1"/>
                <w:iCs w:val="1"/>
                <w:color w:val="auto"/>
              </w:rPr>
              <w:t>Persons Deemed Owners</w:t>
            </w:r>
          </w:p>
        </w:tc>
        <w:tc>
          <w:tcPr>
            <w:tcW w:w="2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309.</w:t>
            </w:r>
          </w:p>
        </w:tc>
        <w:tc>
          <w:tcPr>
            <w:tcW w:w="7620" w:type="dxa"/>
            <w:vAlign w:val="bottom"/>
          </w:tcPr>
          <w:p>
            <w:pPr>
              <w:ind w:left="240"/>
              <w:spacing w:after="0"/>
              <w:rPr>
                <w:sz w:val="20"/>
                <w:szCs w:val="20"/>
                <w:color w:val="auto"/>
              </w:rPr>
            </w:pPr>
            <w:r>
              <w:rPr>
                <w:rFonts w:ascii="Arial" w:cs="Arial" w:eastAsia="Arial" w:hAnsi="Arial"/>
                <w:sz w:val="18"/>
                <w:szCs w:val="18"/>
                <w:i w:val="1"/>
                <w:iCs w:val="1"/>
                <w:color w:val="auto"/>
              </w:rPr>
              <w:t>Cancellation</w:t>
            </w:r>
          </w:p>
        </w:tc>
        <w:tc>
          <w:tcPr>
            <w:tcW w:w="2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310.</w:t>
            </w:r>
          </w:p>
        </w:tc>
        <w:tc>
          <w:tcPr>
            <w:tcW w:w="7620" w:type="dxa"/>
            <w:vAlign w:val="bottom"/>
          </w:tcPr>
          <w:p>
            <w:pPr>
              <w:ind w:left="240"/>
              <w:spacing w:after="0"/>
              <w:rPr>
                <w:sz w:val="20"/>
                <w:szCs w:val="20"/>
                <w:color w:val="auto"/>
              </w:rPr>
            </w:pPr>
            <w:r>
              <w:rPr>
                <w:rFonts w:ascii="Arial" w:cs="Arial" w:eastAsia="Arial" w:hAnsi="Arial"/>
                <w:sz w:val="18"/>
                <w:szCs w:val="18"/>
                <w:i w:val="1"/>
                <w:iCs w:val="1"/>
                <w:color w:val="auto"/>
              </w:rPr>
              <w:t>Computation of Interest</w:t>
            </w:r>
          </w:p>
        </w:tc>
        <w:tc>
          <w:tcPr>
            <w:tcW w:w="2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311.</w:t>
            </w:r>
          </w:p>
        </w:tc>
        <w:tc>
          <w:tcPr>
            <w:tcW w:w="7620" w:type="dxa"/>
            <w:vAlign w:val="bottom"/>
          </w:tcPr>
          <w:p>
            <w:pPr>
              <w:ind w:left="240"/>
              <w:spacing w:after="0"/>
              <w:rPr>
                <w:sz w:val="20"/>
                <w:szCs w:val="20"/>
                <w:color w:val="auto"/>
              </w:rPr>
            </w:pPr>
            <w:r>
              <w:rPr>
                <w:rFonts w:ascii="Arial" w:cs="Arial" w:eastAsia="Arial" w:hAnsi="Arial"/>
                <w:sz w:val="18"/>
                <w:szCs w:val="18"/>
                <w:i w:val="1"/>
                <w:iCs w:val="1"/>
                <w:color w:val="auto"/>
              </w:rPr>
              <w:t>Global Securities; Exchanges; Registration and Registration of Transfer</w:t>
            </w:r>
          </w:p>
        </w:tc>
        <w:tc>
          <w:tcPr>
            <w:tcW w:w="234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216535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320" w:top="530" w:right="259" w:bottom="1440" w:gutter="0" w:footer="0" w:header="0"/>
        </w:sectPr>
      </w:pPr>
    </w:p>
    <w:bookmarkStart w:id="32" w:name="page33"/>
    <w:bookmarkEnd w:id="32"/>
    <w:p>
      <w:pPr>
        <w:spacing w:after="0"/>
        <w:tabs>
          <w:tab w:leader="none" w:pos="1580" w:val="left"/>
          <w:tab w:leader="none" w:pos="11120" w:val="left"/>
        </w:tabs>
        <w:rPr>
          <w:sz w:val="20"/>
          <w:szCs w:val="20"/>
          <w:color w:val="auto"/>
        </w:rPr>
      </w:pPr>
      <w:r>
        <w:rPr>
          <w:rFonts w:ascii="Arial" w:cs="Arial" w:eastAsia="Arial" w:hAnsi="Arial"/>
          <w:sz w:val="18"/>
          <w:szCs w:val="18"/>
          <w:color w:val="auto"/>
        </w:rPr>
        <w:t>SECTION 312.</w:t>
      </w:r>
      <w:r>
        <w:rPr>
          <w:sz w:val="20"/>
          <w:szCs w:val="20"/>
          <w:color w:val="auto"/>
        </w:rPr>
        <w:tab/>
      </w:r>
      <w:r>
        <w:rPr>
          <w:rFonts w:ascii="Arial" w:cs="Arial" w:eastAsia="Arial" w:hAnsi="Arial"/>
          <w:sz w:val="18"/>
          <w:szCs w:val="18"/>
          <w:i w:val="1"/>
          <w:iCs w:val="1"/>
          <w:color w:val="auto"/>
        </w:rPr>
        <w:t>Extension of Interest Payment</w:t>
      </w:r>
      <w:r>
        <w:rPr>
          <w:sz w:val="20"/>
          <w:szCs w:val="20"/>
          <w:color w:val="auto"/>
        </w:rPr>
        <w:tab/>
      </w:r>
      <w:r>
        <w:rPr>
          <w:rFonts w:ascii="Arial" w:cs="Arial" w:eastAsia="Arial" w:hAnsi="Arial"/>
          <w:sz w:val="16"/>
          <w:szCs w:val="16"/>
          <w:color w:val="auto"/>
        </w:rPr>
        <w:t>17</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FOUR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SATISFACTION AND DISCHARGE; DEFEASANCE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401.</w:t>
            </w:r>
          </w:p>
        </w:tc>
        <w:tc>
          <w:tcPr>
            <w:tcW w:w="6440" w:type="dxa"/>
            <w:vAlign w:val="bottom"/>
          </w:tcPr>
          <w:p>
            <w:pPr>
              <w:ind w:left="240"/>
              <w:spacing w:after="0"/>
              <w:rPr>
                <w:sz w:val="20"/>
                <w:szCs w:val="20"/>
                <w:color w:val="auto"/>
              </w:rPr>
            </w:pPr>
            <w:r>
              <w:rPr>
                <w:rFonts w:ascii="Arial" w:cs="Arial" w:eastAsia="Arial" w:hAnsi="Arial"/>
                <w:sz w:val="18"/>
                <w:szCs w:val="18"/>
                <w:i w:val="1"/>
                <w:iCs w:val="1"/>
                <w:color w:val="auto"/>
              </w:rPr>
              <w:t>Termination of Company’s Obligations</w:t>
            </w:r>
          </w:p>
        </w:tc>
        <w:tc>
          <w:tcPr>
            <w:tcW w:w="3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402.</w:t>
            </w:r>
          </w:p>
        </w:tc>
        <w:tc>
          <w:tcPr>
            <w:tcW w:w="6440" w:type="dxa"/>
            <w:vAlign w:val="bottom"/>
          </w:tcPr>
          <w:p>
            <w:pPr>
              <w:ind w:left="240"/>
              <w:spacing w:after="0"/>
              <w:rPr>
                <w:sz w:val="20"/>
                <w:szCs w:val="20"/>
                <w:color w:val="auto"/>
              </w:rPr>
            </w:pPr>
            <w:r>
              <w:rPr>
                <w:rFonts w:ascii="Arial" w:cs="Arial" w:eastAsia="Arial" w:hAnsi="Arial"/>
                <w:sz w:val="18"/>
                <w:szCs w:val="18"/>
                <w:i w:val="1"/>
                <w:iCs w:val="1"/>
                <w:color w:val="auto"/>
              </w:rPr>
              <w:t>Defeasance and Discharge of Indenture</w:t>
            </w:r>
          </w:p>
        </w:tc>
        <w:tc>
          <w:tcPr>
            <w:tcW w:w="3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403.</w:t>
            </w:r>
          </w:p>
        </w:tc>
        <w:tc>
          <w:tcPr>
            <w:tcW w:w="6440" w:type="dxa"/>
            <w:vAlign w:val="bottom"/>
          </w:tcPr>
          <w:p>
            <w:pPr>
              <w:ind w:left="240"/>
              <w:spacing w:after="0"/>
              <w:rPr>
                <w:sz w:val="20"/>
                <w:szCs w:val="20"/>
                <w:color w:val="auto"/>
              </w:rPr>
            </w:pPr>
            <w:r>
              <w:rPr>
                <w:rFonts w:ascii="Arial" w:cs="Arial" w:eastAsia="Arial" w:hAnsi="Arial"/>
                <w:sz w:val="18"/>
                <w:szCs w:val="18"/>
                <w:i w:val="1"/>
                <w:iCs w:val="1"/>
                <w:color w:val="auto"/>
              </w:rPr>
              <w:t>Defeasance of Certain Obligations</w:t>
            </w:r>
          </w:p>
        </w:tc>
        <w:tc>
          <w:tcPr>
            <w:tcW w:w="3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404.</w:t>
            </w:r>
          </w:p>
        </w:tc>
        <w:tc>
          <w:tcPr>
            <w:tcW w:w="6440" w:type="dxa"/>
            <w:vAlign w:val="bottom"/>
          </w:tcPr>
          <w:p>
            <w:pPr>
              <w:ind w:left="240"/>
              <w:spacing w:after="0"/>
              <w:rPr>
                <w:sz w:val="20"/>
                <w:szCs w:val="20"/>
                <w:color w:val="auto"/>
              </w:rPr>
            </w:pPr>
            <w:r>
              <w:rPr>
                <w:rFonts w:ascii="Arial" w:cs="Arial" w:eastAsia="Arial" w:hAnsi="Arial"/>
                <w:sz w:val="18"/>
                <w:szCs w:val="18"/>
                <w:i w:val="1"/>
                <w:iCs w:val="1"/>
                <w:color w:val="auto"/>
              </w:rPr>
              <w:t>Conditions to Defeasance</w:t>
            </w:r>
          </w:p>
        </w:tc>
        <w:tc>
          <w:tcPr>
            <w:tcW w:w="3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405.</w:t>
            </w:r>
          </w:p>
        </w:tc>
        <w:tc>
          <w:tcPr>
            <w:tcW w:w="6440" w:type="dxa"/>
            <w:vAlign w:val="bottom"/>
          </w:tcPr>
          <w:p>
            <w:pPr>
              <w:ind w:left="240"/>
              <w:spacing w:after="0"/>
              <w:rPr>
                <w:sz w:val="20"/>
                <w:szCs w:val="20"/>
                <w:color w:val="auto"/>
              </w:rPr>
            </w:pPr>
            <w:r>
              <w:rPr>
                <w:rFonts w:ascii="Arial" w:cs="Arial" w:eastAsia="Arial" w:hAnsi="Arial"/>
                <w:sz w:val="18"/>
                <w:szCs w:val="18"/>
                <w:i w:val="1"/>
                <w:iCs w:val="1"/>
                <w:color w:val="auto"/>
              </w:rPr>
              <w:t>Application of Trust Money</w:t>
            </w:r>
          </w:p>
        </w:tc>
        <w:tc>
          <w:tcPr>
            <w:tcW w:w="3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406.</w:t>
            </w:r>
          </w:p>
        </w:tc>
        <w:tc>
          <w:tcPr>
            <w:tcW w:w="6440" w:type="dxa"/>
            <w:vAlign w:val="bottom"/>
          </w:tcPr>
          <w:p>
            <w:pPr>
              <w:ind w:left="240"/>
              <w:spacing w:after="0"/>
              <w:rPr>
                <w:sz w:val="20"/>
                <w:szCs w:val="20"/>
                <w:color w:val="auto"/>
              </w:rPr>
            </w:pPr>
            <w:r>
              <w:rPr>
                <w:rFonts w:ascii="Arial" w:cs="Arial" w:eastAsia="Arial" w:hAnsi="Arial"/>
                <w:sz w:val="18"/>
                <w:szCs w:val="18"/>
                <w:i w:val="1"/>
                <w:iCs w:val="1"/>
                <w:color w:val="auto"/>
              </w:rPr>
              <w:t>Reinstatement</w:t>
            </w:r>
          </w:p>
        </w:tc>
        <w:tc>
          <w:tcPr>
            <w:tcW w:w="352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FIVE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REMEDIES</w:t>
      </w:r>
    </w:p>
    <w:p>
      <w:pPr>
        <w:sectPr>
          <w:pgSz w:w="11900" w:h="16838" w:orient="portrait"/>
          <w:cols w:equalWidth="0" w:num="1">
            <w:col w:w="11320"/>
          </w:cols>
          <w:pgMar w:left="320" w:top="746" w:right="25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501.</w:t>
            </w:r>
          </w:p>
        </w:tc>
        <w:tc>
          <w:tcPr>
            <w:tcW w:w="7740" w:type="dxa"/>
            <w:vAlign w:val="bottom"/>
          </w:tcPr>
          <w:p>
            <w:pPr>
              <w:ind w:left="240"/>
              <w:spacing w:after="0"/>
              <w:rPr>
                <w:sz w:val="20"/>
                <w:szCs w:val="20"/>
                <w:color w:val="auto"/>
              </w:rPr>
            </w:pPr>
            <w:r>
              <w:rPr>
                <w:rFonts w:ascii="Arial" w:cs="Arial" w:eastAsia="Arial" w:hAnsi="Arial"/>
                <w:sz w:val="18"/>
                <w:szCs w:val="18"/>
                <w:i w:val="1"/>
                <w:iCs w:val="1"/>
                <w:color w:val="auto"/>
              </w:rPr>
              <w:t>Events of Default</w:t>
            </w:r>
          </w:p>
        </w:tc>
        <w:tc>
          <w:tcPr>
            <w:tcW w:w="22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502.</w:t>
            </w:r>
          </w:p>
        </w:tc>
        <w:tc>
          <w:tcPr>
            <w:tcW w:w="7740" w:type="dxa"/>
            <w:vAlign w:val="bottom"/>
          </w:tcPr>
          <w:p>
            <w:pPr>
              <w:ind w:left="240"/>
              <w:spacing w:after="0"/>
              <w:rPr>
                <w:sz w:val="20"/>
                <w:szCs w:val="20"/>
                <w:color w:val="auto"/>
              </w:rPr>
            </w:pPr>
            <w:r>
              <w:rPr>
                <w:rFonts w:ascii="Arial" w:cs="Arial" w:eastAsia="Arial" w:hAnsi="Arial"/>
                <w:sz w:val="18"/>
                <w:szCs w:val="18"/>
                <w:i w:val="1"/>
                <w:iCs w:val="1"/>
                <w:color w:val="auto"/>
              </w:rPr>
              <w:t>Acceleration of Maturity; Rescission and Annulment</w:t>
            </w:r>
          </w:p>
        </w:tc>
        <w:tc>
          <w:tcPr>
            <w:tcW w:w="22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503.</w:t>
            </w:r>
          </w:p>
        </w:tc>
        <w:tc>
          <w:tcPr>
            <w:tcW w:w="7740" w:type="dxa"/>
            <w:vAlign w:val="bottom"/>
          </w:tcPr>
          <w:p>
            <w:pPr>
              <w:ind w:left="240"/>
              <w:spacing w:after="0"/>
              <w:rPr>
                <w:sz w:val="20"/>
                <w:szCs w:val="20"/>
                <w:color w:val="auto"/>
              </w:rPr>
            </w:pPr>
            <w:r>
              <w:rPr>
                <w:rFonts w:ascii="Arial" w:cs="Arial" w:eastAsia="Arial" w:hAnsi="Arial"/>
                <w:sz w:val="18"/>
                <w:szCs w:val="18"/>
                <w:i w:val="1"/>
                <w:iCs w:val="1"/>
                <w:color w:val="auto"/>
              </w:rPr>
              <w:t>Collection of Indebtedness and Suits for Enforcement by Trustee</w:t>
            </w:r>
          </w:p>
        </w:tc>
        <w:tc>
          <w:tcPr>
            <w:tcW w:w="22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504.</w:t>
            </w:r>
          </w:p>
        </w:tc>
        <w:tc>
          <w:tcPr>
            <w:tcW w:w="7740" w:type="dxa"/>
            <w:vAlign w:val="bottom"/>
          </w:tcPr>
          <w:p>
            <w:pPr>
              <w:ind w:left="240"/>
              <w:spacing w:after="0"/>
              <w:rPr>
                <w:sz w:val="20"/>
                <w:szCs w:val="20"/>
                <w:color w:val="auto"/>
              </w:rPr>
            </w:pPr>
            <w:r>
              <w:rPr>
                <w:rFonts w:ascii="Arial" w:cs="Arial" w:eastAsia="Arial" w:hAnsi="Arial"/>
                <w:sz w:val="18"/>
                <w:szCs w:val="18"/>
                <w:i w:val="1"/>
                <w:iCs w:val="1"/>
                <w:color w:val="auto"/>
              </w:rPr>
              <w:t>Trustee May File Proofs of Claim</w:t>
            </w:r>
          </w:p>
        </w:tc>
        <w:tc>
          <w:tcPr>
            <w:tcW w:w="22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505.</w:t>
            </w:r>
          </w:p>
        </w:tc>
        <w:tc>
          <w:tcPr>
            <w:tcW w:w="7740" w:type="dxa"/>
            <w:vAlign w:val="bottom"/>
          </w:tcPr>
          <w:p>
            <w:pPr>
              <w:ind w:left="240"/>
              <w:spacing w:after="0"/>
              <w:rPr>
                <w:sz w:val="20"/>
                <w:szCs w:val="20"/>
                <w:color w:val="auto"/>
              </w:rPr>
            </w:pPr>
            <w:r>
              <w:rPr>
                <w:rFonts w:ascii="Arial" w:cs="Arial" w:eastAsia="Arial" w:hAnsi="Arial"/>
                <w:sz w:val="18"/>
                <w:szCs w:val="18"/>
                <w:i w:val="1"/>
                <w:iCs w:val="1"/>
                <w:color w:val="auto"/>
              </w:rPr>
              <w:t>Trustee May Enforce Claims Without Possession of Securities</w:t>
            </w:r>
          </w:p>
        </w:tc>
        <w:tc>
          <w:tcPr>
            <w:tcW w:w="22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506.</w:t>
            </w:r>
          </w:p>
        </w:tc>
        <w:tc>
          <w:tcPr>
            <w:tcW w:w="7740" w:type="dxa"/>
            <w:vAlign w:val="bottom"/>
          </w:tcPr>
          <w:p>
            <w:pPr>
              <w:ind w:left="240"/>
              <w:spacing w:after="0"/>
              <w:rPr>
                <w:sz w:val="20"/>
                <w:szCs w:val="20"/>
                <w:color w:val="auto"/>
              </w:rPr>
            </w:pPr>
            <w:r>
              <w:rPr>
                <w:rFonts w:ascii="Arial" w:cs="Arial" w:eastAsia="Arial" w:hAnsi="Arial"/>
                <w:sz w:val="18"/>
                <w:szCs w:val="18"/>
                <w:i w:val="1"/>
                <w:iCs w:val="1"/>
                <w:color w:val="auto"/>
              </w:rPr>
              <w:t>Application of Money Collected</w:t>
            </w:r>
          </w:p>
        </w:tc>
        <w:tc>
          <w:tcPr>
            <w:tcW w:w="22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507.</w:t>
            </w:r>
          </w:p>
        </w:tc>
        <w:tc>
          <w:tcPr>
            <w:tcW w:w="7740" w:type="dxa"/>
            <w:vAlign w:val="bottom"/>
          </w:tcPr>
          <w:p>
            <w:pPr>
              <w:ind w:left="240"/>
              <w:spacing w:after="0"/>
              <w:rPr>
                <w:sz w:val="20"/>
                <w:szCs w:val="20"/>
                <w:color w:val="auto"/>
              </w:rPr>
            </w:pPr>
            <w:r>
              <w:rPr>
                <w:rFonts w:ascii="Arial" w:cs="Arial" w:eastAsia="Arial" w:hAnsi="Arial"/>
                <w:sz w:val="18"/>
                <w:szCs w:val="18"/>
                <w:i w:val="1"/>
                <w:iCs w:val="1"/>
                <w:color w:val="auto"/>
              </w:rPr>
              <w:t>Limitation on Suits</w:t>
            </w:r>
          </w:p>
        </w:tc>
        <w:tc>
          <w:tcPr>
            <w:tcW w:w="22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508.</w:t>
            </w:r>
          </w:p>
        </w:tc>
        <w:tc>
          <w:tcPr>
            <w:tcW w:w="7740" w:type="dxa"/>
            <w:vAlign w:val="bottom"/>
          </w:tcPr>
          <w:p>
            <w:pPr>
              <w:ind w:left="240"/>
              <w:spacing w:after="0"/>
              <w:rPr>
                <w:sz w:val="20"/>
                <w:szCs w:val="20"/>
                <w:color w:val="auto"/>
              </w:rPr>
            </w:pPr>
            <w:r>
              <w:rPr>
                <w:rFonts w:ascii="Arial" w:cs="Arial" w:eastAsia="Arial" w:hAnsi="Arial"/>
                <w:sz w:val="18"/>
                <w:szCs w:val="18"/>
                <w:i w:val="1"/>
                <w:iCs w:val="1"/>
                <w:color w:val="auto"/>
              </w:rPr>
              <w:t>Unconditional Right of Holders to Receive Principal, Premium and Interest</w:t>
            </w:r>
          </w:p>
        </w:tc>
        <w:tc>
          <w:tcPr>
            <w:tcW w:w="22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509.</w:t>
            </w:r>
          </w:p>
        </w:tc>
        <w:tc>
          <w:tcPr>
            <w:tcW w:w="7740" w:type="dxa"/>
            <w:vAlign w:val="bottom"/>
          </w:tcPr>
          <w:p>
            <w:pPr>
              <w:ind w:left="240"/>
              <w:spacing w:after="0"/>
              <w:rPr>
                <w:sz w:val="20"/>
                <w:szCs w:val="20"/>
                <w:color w:val="auto"/>
              </w:rPr>
            </w:pPr>
            <w:r>
              <w:rPr>
                <w:rFonts w:ascii="Arial" w:cs="Arial" w:eastAsia="Arial" w:hAnsi="Arial"/>
                <w:sz w:val="18"/>
                <w:szCs w:val="18"/>
                <w:i w:val="1"/>
                <w:iCs w:val="1"/>
                <w:color w:val="auto"/>
              </w:rPr>
              <w:t>Restoration of Rights and Remedies</w:t>
            </w:r>
          </w:p>
        </w:tc>
        <w:tc>
          <w:tcPr>
            <w:tcW w:w="22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510.</w:t>
            </w:r>
          </w:p>
        </w:tc>
        <w:tc>
          <w:tcPr>
            <w:tcW w:w="7740" w:type="dxa"/>
            <w:vAlign w:val="bottom"/>
          </w:tcPr>
          <w:p>
            <w:pPr>
              <w:ind w:left="240"/>
              <w:spacing w:after="0"/>
              <w:rPr>
                <w:sz w:val="20"/>
                <w:szCs w:val="20"/>
                <w:color w:val="auto"/>
              </w:rPr>
            </w:pPr>
            <w:r>
              <w:rPr>
                <w:rFonts w:ascii="Arial" w:cs="Arial" w:eastAsia="Arial" w:hAnsi="Arial"/>
                <w:sz w:val="18"/>
                <w:szCs w:val="18"/>
                <w:i w:val="1"/>
                <w:iCs w:val="1"/>
                <w:color w:val="auto"/>
              </w:rPr>
              <w:t>Rights and Remedies Cumulative</w:t>
            </w:r>
          </w:p>
        </w:tc>
        <w:tc>
          <w:tcPr>
            <w:tcW w:w="22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511.</w:t>
            </w:r>
          </w:p>
        </w:tc>
        <w:tc>
          <w:tcPr>
            <w:tcW w:w="7740" w:type="dxa"/>
            <w:vAlign w:val="bottom"/>
          </w:tcPr>
          <w:p>
            <w:pPr>
              <w:ind w:left="240"/>
              <w:spacing w:after="0"/>
              <w:rPr>
                <w:sz w:val="20"/>
                <w:szCs w:val="20"/>
                <w:color w:val="auto"/>
              </w:rPr>
            </w:pPr>
            <w:r>
              <w:rPr>
                <w:rFonts w:ascii="Arial" w:cs="Arial" w:eastAsia="Arial" w:hAnsi="Arial"/>
                <w:sz w:val="18"/>
                <w:szCs w:val="18"/>
                <w:i w:val="1"/>
                <w:iCs w:val="1"/>
                <w:color w:val="auto"/>
              </w:rPr>
              <w:t>Delay or Omission Not Waiver</w:t>
            </w:r>
          </w:p>
        </w:tc>
        <w:tc>
          <w:tcPr>
            <w:tcW w:w="22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512.</w:t>
            </w:r>
          </w:p>
        </w:tc>
        <w:tc>
          <w:tcPr>
            <w:tcW w:w="7740" w:type="dxa"/>
            <w:vAlign w:val="bottom"/>
          </w:tcPr>
          <w:p>
            <w:pPr>
              <w:ind w:left="240"/>
              <w:spacing w:after="0"/>
              <w:rPr>
                <w:sz w:val="20"/>
                <w:szCs w:val="20"/>
                <w:color w:val="auto"/>
              </w:rPr>
            </w:pPr>
            <w:r>
              <w:rPr>
                <w:rFonts w:ascii="Arial" w:cs="Arial" w:eastAsia="Arial" w:hAnsi="Arial"/>
                <w:sz w:val="18"/>
                <w:szCs w:val="18"/>
                <w:i w:val="1"/>
                <w:iCs w:val="1"/>
                <w:color w:val="auto"/>
              </w:rPr>
              <w:t>Control by Holders</w:t>
            </w:r>
          </w:p>
        </w:tc>
        <w:tc>
          <w:tcPr>
            <w:tcW w:w="22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513.</w:t>
            </w:r>
          </w:p>
        </w:tc>
        <w:tc>
          <w:tcPr>
            <w:tcW w:w="7740" w:type="dxa"/>
            <w:vAlign w:val="bottom"/>
          </w:tcPr>
          <w:p>
            <w:pPr>
              <w:ind w:left="240"/>
              <w:spacing w:after="0"/>
              <w:rPr>
                <w:sz w:val="20"/>
                <w:szCs w:val="20"/>
                <w:color w:val="auto"/>
              </w:rPr>
            </w:pPr>
            <w:r>
              <w:rPr>
                <w:rFonts w:ascii="Arial" w:cs="Arial" w:eastAsia="Arial" w:hAnsi="Arial"/>
                <w:sz w:val="18"/>
                <w:szCs w:val="18"/>
                <w:i w:val="1"/>
                <w:iCs w:val="1"/>
                <w:color w:val="auto"/>
              </w:rPr>
              <w:t>Waiver of Past Defaults</w:t>
            </w:r>
          </w:p>
        </w:tc>
        <w:tc>
          <w:tcPr>
            <w:tcW w:w="22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514.</w:t>
            </w:r>
          </w:p>
        </w:tc>
        <w:tc>
          <w:tcPr>
            <w:tcW w:w="7740" w:type="dxa"/>
            <w:vAlign w:val="bottom"/>
          </w:tcPr>
          <w:p>
            <w:pPr>
              <w:ind w:left="240"/>
              <w:spacing w:after="0"/>
              <w:rPr>
                <w:sz w:val="20"/>
                <w:szCs w:val="20"/>
                <w:color w:val="auto"/>
              </w:rPr>
            </w:pPr>
            <w:r>
              <w:rPr>
                <w:rFonts w:ascii="Arial" w:cs="Arial" w:eastAsia="Arial" w:hAnsi="Arial"/>
                <w:sz w:val="18"/>
                <w:szCs w:val="18"/>
                <w:i w:val="1"/>
                <w:iCs w:val="1"/>
                <w:color w:val="auto"/>
              </w:rPr>
              <w:t>Undertaking for Costs</w:t>
            </w:r>
          </w:p>
        </w:tc>
        <w:tc>
          <w:tcPr>
            <w:tcW w:w="22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515.</w:t>
            </w:r>
          </w:p>
        </w:tc>
        <w:tc>
          <w:tcPr>
            <w:tcW w:w="7740" w:type="dxa"/>
            <w:vAlign w:val="bottom"/>
          </w:tcPr>
          <w:p>
            <w:pPr>
              <w:ind w:left="240"/>
              <w:spacing w:after="0"/>
              <w:rPr>
                <w:sz w:val="20"/>
                <w:szCs w:val="20"/>
                <w:color w:val="auto"/>
              </w:rPr>
            </w:pPr>
            <w:r>
              <w:rPr>
                <w:rFonts w:ascii="Arial" w:cs="Arial" w:eastAsia="Arial" w:hAnsi="Arial"/>
                <w:sz w:val="18"/>
                <w:szCs w:val="18"/>
                <w:i w:val="1"/>
                <w:iCs w:val="1"/>
                <w:color w:val="auto"/>
              </w:rPr>
              <w:t>Waiver of Stay or Extension Laws</w:t>
            </w:r>
          </w:p>
        </w:tc>
        <w:tc>
          <w:tcPr>
            <w:tcW w:w="2220" w:type="dxa"/>
            <w:vAlign w:val="bottom"/>
          </w:tcPr>
          <w:p>
            <w:pPr>
              <w:jc w:val="right"/>
              <w:spacing w:after="0"/>
              <w:rPr>
                <w:sz w:val="20"/>
                <w:szCs w:val="20"/>
                <w:color w:val="auto"/>
              </w:rPr>
            </w:pPr>
            <w:r>
              <w:rPr>
                <w:rFonts w:ascii="Arial" w:cs="Arial" w:eastAsia="Arial" w:hAnsi="Arial"/>
                <w:sz w:val="18"/>
                <w:szCs w:val="18"/>
                <w:color w:val="auto"/>
              </w:rPr>
              <w:t>26</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SIX</w:t>
      </w:r>
    </w:p>
    <w:p>
      <w:pPr>
        <w:sectPr>
          <w:pgSz w:w="11900" w:h="16838" w:orient="portrait"/>
          <w:cols w:equalWidth="0" w:num="1">
            <w:col w:w="11320"/>
          </w:cols>
          <w:pgMar w:left="320" w:top="530" w:right="25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color w:val="auto"/>
        </w:rPr>
        <w:t>THE TRUSTEE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601.</w:t>
            </w:r>
          </w:p>
        </w:tc>
        <w:tc>
          <w:tcPr>
            <w:tcW w:w="6940" w:type="dxa"/>
            <w:vAlign w:val="bottom"/>
          </w:tcPr>
          <w:p>
            <w:pPr>
              <w:ind w:left="240"/>
              <w:spacing w:after="0"/>
              <w:rPr>
                <w:sz w:val="20"/>
                <w:szCs w:val="20"/>
                <w:color w:val="auto"/>
              </w:rPr>
            </w:pPr>
            <w:r>
              <w:rPr>
                <w:rFonts w:ascii="Arial" w:cs="Arial" w:eastAsia="Arial" w:hAnsi="Arial"/>
                <w:sz w:val="18"/>
                <w:szCs w:val="18"/>
                <w:i w:val="1"/>
                <w:iCs w:val="1"/>
                <w:color w:val="auto"/>
              </w:rPr>
              <w:t>Certain Duties and Responsibilities</w:t>
            </w:r>
          </w:p>
        </w:tc>
        <w:tc>
          <w:tcPr>
            <w:tcW w:w="30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602.</w:t>
            </w:r>
          </w:p>
        </w:tc>
        <w:tc>
          <w:tcPr>
            <w:tcW w:w="6940" w:type="dxa"/>
            <w:vAlign w:val="bottom"/>
          </w:tcPr>
          <w:p>
            <w:pPr>
              <w:ind w:left="240"/>
              <w:spacing w:after="0"/>
              <w:rPr>
                <w:sz w:val="20"/>
                <w:szCs w:val="20"/>
                <w:color w:val="auto"/>
              </w:rPr>
            </w:pPr>
            <w:r>
              <w:rPr>
                <w:rFonts w:ascii="Arial" w:cs="Arial" w:eastAsia="Arial" w:hAnsi="Arial"/>
                <w:sz w:val="18"/>
                <w:szCs w:val="18"/>
                <w:i w:val="1"/>
                <w:iCs w:val="1"/>
                <w:color w:val="auto"/>
              </w:rPr>
              <w:t>Notice of Defaults</w:t>
            </w:r>
          </w:p>
        </w:tc>
        <w:tc>
          <w:tcPr>
            <w:tcW w:w="3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603.</w:t>
            </w:r>
          </w:p>
        </w:tc>
        <w:tc>
          <w:tcPr>
            <w:tcW w:w="6940" w:type="dxa"/>
            <w:vAlign w:val="bottom"/>
          </w:tcPr>
          <w:p>
            <w:pPr>
              <w:ind w:left="240"/>
              <w:spacing w:after="0"/>
              <w:rPr>
                <w:sz w:val="20"/>
                <w:szCs w:val="20"/>
                <w:color w:val="auto"/>
              </w:rPr>
            </w:pPr>
            <w:r>
              <w:rPr>
                <w:rFonts w:ascii="Arial" w:cs="Arial" w:eastAsia="Arial" w:hAnsi="Arial"/>
                <w:sz w:val="18"/>
                <w:szCs w:val="18"/>
                <w:i w:val="1"/>
                <w:iCs w:val="1"/>
                <w:color w:val="auto"/>
              </w:rPr>
              <w:t>Certain Rights of Trustee</w:t>
            </w:r>
          </w:p>
        </w:tc>
        <w:tc>
          <w:tcPr>
            <w:tcW w:w="3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604.</w:t>
            </w:r>
          </w:p>
        </w:tc>
        <w:tc>
          <w:tcPr>
            <w:tcW w:w="6940" w:type="dxa"/>
            <w:vAlign w:val="bottom"/>
          </w:tcPr>
          <w:p>
            <w:pPr>
              <w:ind w:left="240"/>
              <w:spacing w:after="0"/>
              <w:rPr>
                <w:sz w:val="20"/>
                <w:szCs w:val="20"/>
                <w:color w:val="auto"/>
              </w:rPr>
            </w:pPr>
            <w:r>
              <w:rPr>
                <w:rFonts w:ascii="Arial" w:cs="Arial" w:eastAsia="Arial" w:hAnsi="Arial"/>
                <w:sz w:val="18"/>
                <w:szCs w:val="18"/>
                <w:i w:val="1"/>
                <w:iCs w:val="1"/>
                <w:color w:val="auto"/>
              </w:rPr>
              <w:t>Not Responsible for Recitals or Issuance of Securities</w:t>
            </w:r>
          </w:p>
        </w:tc>
        <w:tc>
          <w:tcPr>
            <w:tcW w:w="3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605.</w:t>
            </w:r>
          </w:p>
        </w:tc>
        <w:tc>
          <w:tcPr>
            <w:tcW w:w="6940" w:type="dxa"/>
            <w:vAlign w:val="bottom"/>
          </w:tcPr>
          <w:p>
            <w:pPr>
              <w:ind w:left="240"/>
              <w:spacing w:after="0"/>
              <w:rPr>
                <w:sz w:val="20"/>
                <w:szCs w:val="20"/>
                <w:color w:val="auto"/>
              </w:rPr>
            </w:pPr>
            <w:r>
              <w:rPr>
                <w:rFonts w:ascii="Arial" w:cs="Arial" w:eastAsia="Arial" w:hAnsi="Arial"/>
                <w:sz w:val="18"/>
                <w:szCs w:val="18"/>
                <w:i w:val="1"/>
                <w:iCs w:val="1"/>
                <w:color w:val="auto"/>
              </w:rPr>
              <w:t>May Hold Securities</w:t>
            </w:r>
          </w:p>
        </w:tc>
        <w:tc>
          <w:tcPr>
            <w:tcW w:w="3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606.</w:t>
            </w:r>
          </w:p>
        </w:tc>
        <w:tc>
          <w:tcPr>
            <w:tcW w:w="6940" w:type="dxa"/>
            <w:vAlign w:val="bottom"/>
          </w:tcPr>
          <w:p>
            <w:pPr>
              <w:ind w:left="240"/>
              <w:spacing w:after="0"/>
              <w:rPr>
                <w:sz w:val="20"/>
                <w:szCs w:val="20"/>
                <w:color w:val="auto"/>
              </w:rPr>
            </w:pPr>
            <w:r>
              <w:rPr>
                <w:rFonts w:ascii="Arial" w:cs="Arial" w:eastAsia="Arial" w:hAnsi="Arial"/>
                <w:sz w:val="18"/>
                <w:szCs w:val="18"/>
                <w:i w:val="1"/>
                <w:iCs w:val="1"/>
                <w:color w:val="auto"/>
              </w:rPr>
              <w:t>Money Held in Trust</w:t>
            </w:r>
          </w:p>
        </w:tc>
        <w:tc>
          <w:tcPr>
            <w:tcW w:w="3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607.</w:t>
            </w:r>
          </w:p>
        </w:tc>
        <w:tc>
          <w:tcPr>
            <w:tcW w:w="6940" w:type="dxa"/>
            <w:vAlign w:val="bottom"/>
          </w:tcPr>
          <w:p>
            <w:pPr>
              <w:ind w:left="240"/>
              <w:spacing w:after="0"/>
              <w:rPr>
                <w:sz w:val="20"/>
                <w:szCs w:val="20"/>
                <w:color w:val="auto"/>
              </w:rPr>
            </w:pPr>
            <w:r>
              <w:rPr>
                <w:rFonts w:ascii="Arial" w:cs="Arial" w:eastAsia="Arial" w:hAnsi="Arial"/>
                <w:sz w:val="18"/>
                <w:szCs w:val="18"/>
                <w:i w:val="1"/>
                <w:iCs w:val="1"/>
                <w:color w:val="auto"/>
              </w:rPr>
              <w:t>Compensation and Reimbursement</w:t>
            </w:r>
          </w:p>
        </w:tc>
        <w:tc>
          <w:tcPr>
            <w:tcW w:w="3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608.</w:t>
            </w:r>
          </w:p>
        </w:tc>
        <w:tc>
          <w:tcPr>
            <w:tcW w:w="6940" w:type="dxa"/>
            <w:vAlign w:val="bottom"/>
          </w:tcPr>
          <w:p>
            <w:pPr>
              <w:ind w:left="240"/>
              <w:spacing w:after="0"/>
              <w:rPr>
                <w:sz w:val="20"/>
                <w:szCs w:val="20"/>
                <w:color w:val="auto"/>
              </w:rPr>
            </w:pPr>
            <w:r>
              <w:rPr>
                <w:rFonts w:ascii="Arial" w:cs="Arial" w:eastAsia="Arial" w:hAnsi="Arial"/>
                <w:sz w:val="18"/>
                <w:szCs w:val="18"/>
                <w:i w:val="1"/>
                <w:iCs w:val="1"/>
                <w:color w:val="auto"/>
              </w:rPr>
              <w:t>Disqualification; Conflicting Interests</w:t>
            </w:r>
          </w:p>
        </w:tc>
        <w:tc>
          <w:tcPr>
            <w:tcW w:w="30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609.</w:t>
            </w:r>
          </w:p>
        </w:tc>
        <w:tc>
          <w:tcPr>
            <w:tcW w:w="6940" w:type="dxa"/>
            <w:vAlign w:val="bottom"/>
          </w:tcPr>
          <w:p>
            <w:pPr>
              <w:ind w:left="240"/>
              <w:spacing w:after="0"/>
              <w:rPr>
                <w:sz w:val="20"/>
                <w:szCs w:val="20"/>
                <w:color w:val="auto"/>
              </w:rPr>
            </w:pPr>
            <w:r>
              <w:rPr>
                <w:rFonts w:ascii="Arial" w:cs="Arial" w:eastAsia="Arial" w:hAnsi="Arial"/>
                <w:sz w:val="18"/>
                <w:szCs w:val="18"/>
                <w:i w:val="1"/>
                <w:iCs w:val="1"/>
                <w:color w:val="auto"/>
              </w:rPr>
              <w:t>Corporate Trustee Required; Eligibility</w:t>
            </w:r>
          </w:p>
        </w:tc>
        <w:tc>
          <w:tcPr>
            <w:tcW w:w="302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216535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320" w:top="530" w:right="25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610.</w:t>
            </w:r>
          </w:p>
        </w:tc>
        <w:tc>
          <w:tcPr>
            <w:tcW w:w="7220" w:type="dxa"/>
            <w:vAlign w:val="bottom"/>
          </w:tcPr>
          <w:p>
            <w:pPr>
              <w:ind w:left="240"/>
              <w:spacing w:after="0"/>
              <w:rPr>
                <w:sz w:val="20"/>
                <w:szCs w:val="20"/>
                <w:color w:val="auto"/>
              </w:rPr>
            </w:pPr>
            <w:r>
              <w:rPr>
                <w:rFonts w:ascii="Arial" w:cs="Arial" w:eastAsia="Arial" w:hAnsi="Arial"/>
                <w:sz w:val="18"/>
                <w:szCs w:val="18"/>
                <w:i w:val="1"/>
                <w:iCs w:val="1"/>
                <w:color w:val="auto"/>
              </w:rPr>
              <w:t>Resignation and Removal; Appointment of Successor</w:t>
            </w:r>
          </w:p>
        </w:tc>
        <w:tc>
          <w:tcPr>
            <w:tcW w:w="27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611.</w:t>
            </w:r>
          </w:p>
        </w:tc>
        <w:tc>
          <w:tcPr>
            <w:tcW w:w="7220" w:type="dxa"/>
            <w:vAlign w:val="bottom"/>
          </w:tcPr>
          <w:p>
            <w:pPr>
              <w:ind w:left="240"/>
              <w:spacing w:after="0"/>
              <w:rPr>
                <w:sz w:val="20"/>
                <w:szCs w:val="20"/>
                <w:color w:val="auto"/>
              </w:rPr>
            </w:pPr>
            <w:r>
              <w:rPr>
                <w:rFonts w:ascii="Arial" w:cs="Arial" w:eastAsia="Arial" w:hAnsi="Arial"/>
                <w:sz w:val="18"/>
                <w:szCs w:val="18"/>
                <w:i w:val="1"/>
                <w:iCs w:val="1"/>
                <w:color w:val="auto"/>
              </w:rPr>
              <w:t>Acceptance of Appointment by Successor</w:t>
            </w:r>
          </w:p>
        </w:tc>
        <w:tc>
          <w:tcPr>
            <w:tcW w:w="27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612.</w:t>
            </w:r>
          </w:p>
        </w:tc>
        <w:tc>
          <w:tcPr>
            <w:tcW w:w="7220" w:type="dxa"/>
            <w:vAlign w:val="bottom"/>
          </w:tcPr>
          <w:p>
            <w:pPr>
              <w:ind w:left="240"/>
              <w:spacing w:after="0"/>
              <w:rPr>
                <w:sz w:val="20"/>
                <w:szCs w:val="20"/>
                <w:color w:val="auto"/>
              </w:rPr>
            </w:pPr>
            <w:r>
              <w:rPr>
                <w:rFonts w:ascii="Arial" w:cs="Arial" w:eastAsia="Arial" w:hAnsi="Arial"/>
                <w:sz w:val="18"/>
                <w:szCs w:val="18"/>
                <w:i w:val="1"/>
                <w:iCs w:val="1"/>
                <w:color w:val="auto"/>
              </w:rPr>
              <w:t>Merger, Conversion, Consolidation or Succession to Business</w:t>
            </w:r>
          </w:p>
        </w:tc>
        <w:tc>
          <w:tcPr>
            <w:tcW w:w="27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613.</w:t>
            </w:r>
          </w:p>
        </w:tc>
        <w:tc>
          <w:tcPr>
            <w:tcW w:w="7220" w:type="dxa"/>
            <w:vAlign w:val="bottom"/>
          </w:tcPr>
          <w:p>
            <w:pPr>
              <w:ind w:left="240"/>
              <w:spacing w:after="0"/>
              <w:rPr>
                <w:sz w:val="20"/>
                <w:szCs w:val="20"/>
                <w:color w:val="auto"/>
              </w:rPr>
            </w:pPr>
            <w:r>
              <w:rPr>
                <w:rFonts w:ascii="Arial" w:cs="Arial" w:eastAsia="Arial" w:hAnsi="Arial"/>
                <w:sz w:val="18"/>
                <w:szCs w:val="18"/>
                <w:i w:val="1"/>
                <w:iCs w:val="1"/>
                <w:color w:val="auto"/>
              </w:rPr>
              <w:t>Preferential Collection of Claims Against Company</w:t>
            </w:r>
          </w:p>
        </w:tc>
        <w:tc>
          <w:tcPr>
            <w:tcW w:w="27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614.</w:t>
            </w:r>
          </w:p>
        </w:tc>
        <w:tc>
          <w:tcPr>
            <w:tcW w:w="7220" w:type="dxa"/>
            <w:vAlign w:val="bottom"/>
          </w:tcPr>
          <w:p>
            <w:pPr>
              <w:ind w:left="240"/>
              <w:spacing w:after="0"/>
              <w:rPr>
                <w:sz w:val="20"/>
                <w:szCs w:val="20"/>
                <w:color w:val="auto"/>
              </w:rPr>
            </w:pPr>
            <w:r>
              <w:rPr>
                <w:rFonts w:ascii="Arial" w:cs="Arial" w:eastAsia="Arial" w:hAnsi="Arial"/>
                <w:sz w:val="18"/>
                <w:szCs w:val="18"/>
                <w:i w:val="1"/>
                <w:iCs w:val="1"/>
                <w:color w:val="auto"/>
              </w:rPr>
              <w:t>Appointment of Authenticating Agent</w:t>
            </w:r>
          </w:p>
        </w:tc>
        <w:tc>
          <w:tcPr>
            <w:tcW w:w="274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SEVEN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HOLDERS’ LISTS AND REPORTS BY TRUSTEE AND COMPANY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701.</w:t>
            </w:r>
          </w:p>
        </w:tc>
        <w:tc>
          <w:tcPr>
            <w:tcW w:w="7260" w:type="dxa"/>
            <w:vAlign w:val="bottom"/>
          </w:tcPr>
          <w:p>
            <w:pPr>
              <w:ind w:left="240"/>
              <w:spacing w:after="0"/>
              <w:rPr>
                <w:sz w:val="20"/>
                <w:szCs w:val="20"/>
                <w:color w:val="auto"/>
              </w:rPr>
            </w:pPr>
            <w:r>
              <w:rPr>
                <w:rFonts w:ascii="Arial" w:cs="Arial" w:eastAsia="Arial" w:hAnsi="Arial"/>
                <w:sz w:val="18"/>
                <w:szCs w:val="18"/>
                <w:i w:val="1"/>
                <w:iCs w:val="1"/>
                <w:color w:val="auto"/>
              </w:rPr>
              <w:t>Company to Furnish Trustee Names and Addresses of Holders</w:t>
            </w:r>
          </w:p>
        </w:tc>
        <w:tc>
          <w:tcPr>
            <w:tcW w:w="27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702.</w:t>
            </w:r>
          </w:p>
        </w:tc>
        <w:tc>
          <w:tcPr>
            <w:tcW w:w="7260" w:type="dxa"/>
            <w:vAlign w:val="bottom"/>
          </w:tcPr>
          <w:p>
            <w:pPr>
              <w:ind w:left="240"/>
              <w:spacing w:after="0"/>
              <w:rPr>
                <w:sz w:val="20"/>
                <w:szCs w:val="20"/>
                <w:color w:val="auto"/>
              </w:rPr>
            </w:pPr>
            <w:r>
              <w:rPr>
                <w:rFonts w:ascii="Arial" w:cs="Arial" w:eastAsia="Arial" w:hAnsi="Arial"/>
                <w:sz w:val="18"/>
                <w:szCs w:val="18"/>
                <w:i w:val="1"/>
                <w:iCs w:val="1"/>
                <w:color w:val="auto"/>
              </w:rPr>
              <w:t>Preservation of Information; Communications to Holders</w:t>
            </w:r>
          </w:p>
        </w:tc>
        <w:tc>
          <w:tcPr>
            <w:tcW w:w="27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703.</w:t>
            </w:r>
          </w:p>
        </w:tc>
        <w:tc>
          <w:tcPr>
            <w:tcW w:w="7260" w:type="dxa"/>
            <w:vAlign w:val="bottom"/>
          </w:tcPr>
          <w:p>
            <w:pPr>
              <w:ind w:left="240"/>
              <w:spacing w:after="0"/>
              <w:rPr>
                <w:sz w:val="20"/>
                <w:szCs w:val="20"/>
                <w:color w:val="auto"/>
              </w:rPr>
            </w:pPr>
            <w:r>
              <w:rPr>
                <w:rFonts w:ascii="Arial" w:cs="Arial" w:eastAsia="Arial" w:hAnsi="Arial"/>
                <w:sz w:val="18"/>
                <w:szCs w:val="18"/>
                <w:i w:val="1"/>
                <w:iCs w:val="1"/>
                <w:color w:val="auto"/>
              </w:rPr>
              <w:t>Reports by Trustee</w:t>
            </w:r>
          </w:p>
        </w:tc>
        <w:tc>
          <w:tcPr>
            <w:tcW w:w="27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704.</w:t>
            </w:r>
          </w:p>
        </w:tc>
        <w:tc>
          <w:tcPr>
            <w:tcW w:w="7260" w:type="dxa"/>
            <w:vAlign w:val="bottom"/>
          </w:tcPr>
          <w:p>
            <w:pPr>
              <w:ind w:left="240"/>
              <w:spacing w:after="0"/>
              <w:rPr>
                <w:sz w:val="20"/>
                <w:szCs w:val="20"/>
                <w:color w:val="auto"/>
              </w:rPr>
            </w:pPr>
            <w:r>
              <w:rPr>
                <w:rFonts w:ascii="Arial" w:cs="Arial" w:eastAsia="Arial" w:hAnsi="Arial"/>
                <w:sz w:val="18"/>
                <w:szCs w:val="18"/>
                <w:i w:val="1"/>
                <w:iCs w:val="1"/>
                <w:color w:val="auto"/>
              </w:rPr>
              <w:t>Reports by Company</w:t>
            </w:r>
          </w:p>
        </w:tc>
        <w:tc>
          <w:tcPr>
            <w:tcW w:w="270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EIGHT</w:t>
      </w:r>
    </w:p>
    <w:p>
      <w:pPr>
        <w:sectPr>
          <w:pgSz w:w="11900" w:h="16838" w:orient="portrait"/>
          <w:cols w:equalWidth="0" w:num="1">
            <w:col w:w="11320"/>
          </w:cols>
          <w:pgMar w:left="320" w:top="746" w:right="25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color w:val="auto"/>
        </w:rPr>
        <w:t>CONSOLIDATION, MERGER, CONVEYANCE OR TRANSFER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801.</w:t>
            </w:r>
          </w:p>
        </w:tc>
        <w:tc>
          <w:tcPr>
            <w:tcW w:w="7020" w:type="dxa"/>
            <w:vAlign w:val="bottom"/>
          </w:tcPr>
          <w:p>
            <w:pPr>
              <w:ind w:left="240"/>
              <w:spacing w:after="0"/>
              <w:rPr>
                <w:sz w:val="20"/>
                <w:szCs w:val="20"/>
                <w:color w:val="auto"/>
              </w:rPr>
            </w:pPr>
            <w:r>
              <w:rPr>
                <w:rFonts w:ascii="Arial" w:cs="Arial" w:eastAsia="Arial" w:hAnsi="Arial"/>
                <w:sz w:val="18"/>
                <w:szCs w:val="18"/>
                <w:i w:val="1"/>
                <w:iCs w:val="1"/>
                <w:color w:val="auto"/>
              </w:rPr>
              <w:t>Company May Consolidate, Etc. Only on Certain Terms</w:t>
            </w:r>
          </w:p>
        </w:tc>
        <w:tc>
          <w:tcPr>
            <w:tcW w:w="29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802.</w:t>
            </w:r>
          </w:p>
        </w:tc>
        <w:tc>
          <w:tcPr>
            <w:tcW w:w="7020" w:type="dxa"/>
            <w:vAlign w:val="bottom"/>
          </w:tcPr>
          <w:p>
            <w:pPr>
              <w:ind w:left="240"/>
              <w:spacing w:after="0"/>
              <w:rPr>
                <w:sz w:val="20"/>
                <w:szCs w:val="20"/>
                <w:color w:val="auto"/>
              </w:rPr>
            </w:pPr>
            <w:r>
              <w:rPr>
                <w:rFonts w:ascii="Arial" w:cs="Arial" w:eastAsia="Arial" w:hAnsi="Arial"/>
                <w:sz w:val="18"/>
                <w:szCs w:val="18"/>
                <w:i w:val="1"/>
                <w:iCs w:val="1"/>
                <w:color w:val="auto"/>
              </w:rPr>
              <w:t>Successor Substituted for the Company</w:t>
            </w:r>
          </w:p>
        </w:tc>
        <w:tc>
          <w:tcPr>
            <w:tcW w:w="294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NINE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INDENTURES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901.</w:t>
            </w:r>
          </w:p>
        </w:tc>
        <w:tc>
          <w:tcPr>
            <w:tcW w:w="6920" w:type="dxa"/>
            <w:vAlign w:val="bottom"/>
          </w:tcPr>
          <w:p>
            <w:pPr>
              <w:ind w:left="240"/>
              <w:spacing w:after="0"/>
              <w:rPr>
                <w:sz w:val="20"/>
                <w:szCs w:val="20"/>
                <w:color w:val="auto"/>
              </w:rPr>
            </w:pPr>
            <w:r>
              <w:rPr>
                <w:rFonts w:ascii="Arial" w:cs="Arial" w:eastAsia="Arial" w:hAnsi="Arial"/>
                <w:sz w:val="18"/>
                <w:szCs w:val="18"/>
                <w:i w:val="1"/>
                <w:iCs w:val="1"/>
                <w:color w:val="auto"/>
              </w:rPr>
              <w:t>Supplemental Indentures Without Consent of Holders</w:t>
            </w:r>
          </w:p>
        </w:tc>
        <w:tc>
          <w:tcPr>
            <w:tcW w:w="30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902.</w:t>
            </w:r>
          </w:p>
        </w:tc>
        <w:tc>
          <w:tcPr>
            <w:tcW w:w="6920" w:type="dxa"/>
            <w:vAlign w:val="bottom"/>
          </w:tcPr>
          <w:p>
            <w:pPr>
              <w:ind w:left="240"/>
              <w:spacing w:after="0"/>
              <w:rPr>
                <w:sz w:val="20"/>
                <w:szCs w:val="20"/>
                <w:color w:val="auto"/>
              </w:rPr>
            </w:pPr>
            <w:r>
              <w:rPr>
                <w:rFonts w:ascii="Arial" w:cs="Arial" w:eastAsia="Arial" w:hAnsi="Arial"/>
                <w:sz w:val="18"/>
                <w:szCs w:val="18"/>
                <w:i w:val="1"/>
                <w:iCs w:val="1"/>
                <w:color w:val="auto"/>
              </w:rPr>
              <w:t>Supplemental Indentures With Consent of Holders</w:t>
            </w:r>
          </w:p>
        </w:tc>
        <w:tc>
          <w:tcPr>
            <w:tcW w:w="30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903.</w:t>
            </w:r>
          </w:p>
        </w:tc>
        <w:tc>
          <w:tcPr>
            <w:tcW w:w="6920" w:type="dxa"/>
            <w:vAlign w:val="bottom"/>
          </w:tcPr>
          <w:p>
            <w:pPr>
              <w:ind w:left="240"/>
              <w:spacing w:after="0"/>
              <w:rPr>
                <w:sz w:val="20"/>
                <w:szCs w:val="20"/>
                <w:color w:val="auto"/>
              </w:rPr>
            </w:pPr>
            <w:r>
              <w:rPr>
                <w:rFonts w:ascii="Arial" w:cs="Arial" w:eastAsia="Arial" w:hAnsi="Arial"/>
                <w:sz w:val="18"/>
                <w:szCs w:val="18"/>
                <w:i w:val="1"/>
                <w:iCs w:val="1"/>
                <w:color w:val="auto"/>
              </w:rPr>
              <w:t>Execution of Supplemental Indentures</w:t>
            </w:r>
          </w:p>
        </w:tc>
        <w:tc>
          <w:tcPr>
            <w:tcW w:w="30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904.</w:t>
            </w:r>
          </w:p>
        </w:tc>
        <w:tc>
          <w:tcPr>
            <w:tcW w:w="6920" w:type="dxa"/>
            <w:vAlign w:val="bottom"/>
          </w:tcPr>
          <w:p>
            <w:pPr>
              <w:ind w:left="240"/>
              <w:spacing w:after="0"/>
              <w:rPr>
                <w:sz w:val="20"/>
                <w:szCs w:val="20"/>
                <w:color w:val="auto"/>
              </w:rPr>
            </w:pPr>
            <w:r>
              <w:rPr>
                <w:rFonts w:ascii="Arial" w:cs="Arial" w:eastAsia="Arial" w:hAnsi="Arial"/>
                <w:sz w:val="18"/>
                <w:szCs w:val="18"/>
                <w:i w:val="1"/>
                <w:iCs w:val="1"/>
                <w:color w:val="auto"/>
              </w:rPr>
              <w:t>Effect of Supplemental Indentures</w:t>
            </w:r>
          </w:p>
        </w:tc>
        <w:tc>
          <w:tcPr>
            <w:tcW w:w="30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905.</w:t>
            </w:r>
          </w:p>
        </w:tc>
        <w:tc>
          <w:tcPr>
            <w:tcW w:w="6920" w:type="dxa"/>
            <w:vAlign w:val="bottom"/>
          </w:tcPr>
          <w:p>
            <w:pPr>
              <w:ind w:left="240"/>
              <w:spacing w:after="0"/>
              <w:rPr>
                <w:sz w:val="20"/>
                <w:szCs w:val="20"/>
                <w:color w:val="auto"/>
              </w:rPr>
            </w:pPr>
            <w:r>
              <w:rPr>
                <w:rFonts w:ascii="Arial" w:cs="Arial" w:eastAsia="Arial" w:hAnsi="Arial"/>
                <w:sz w:val="18"/>
                <w:szCs w:val="18"/>
                <w:i w:val="1"/>
                <w:iCs w:val="1"/>
                <w:color w:val="auto"/>
              </w:rPr>
              <w:t>Conformity With Trust Indenture Act</w:t>
            </w:r>
          </w:p>
        </w:tc>
        <w:tc>
          <w:tcPr>
            <w:tcW w:w="30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906.</w:t>
            </w:r>
          </w:p>
        </w:tc>
        <w:tc>
          <w:tcPr>
            <w:tcW w:w="6920" w:type="dxa"/>
            <w:vAlign w:val="bottom"/>
          </w:tcPr>
          <w:p>
            <w:pPr>
              <w:ind w:left="240"/>
              <w:spacing w:after="0"/>
              <w:rPr>
                <w:sz w:val="20"/>
                <w:szCs w:val="20"/>
                <w:color w:val="auto"/>
              </w:rPr>
            </w:pPr>
            <w:r>
              <w:rPr>
                <w:rFonts w:ascii="Arial" w:cs="Arial" w:eastAsia="Arial" w:hAnsi="Arial"/>
                <w:sz w:val="18"/>
                <w:szCs w:val="18"/>
                <w:i w:val="1"/>
                <w:iCs w:val="1"/>
                <w:color w:val="auto"/>
              </w:rPr>
              <w:t>Reference in Securities to Supplemental Indentures</w:t>
            </w:r>
          </w:p>
        </w:tc>
        <w:tc>
          <w:tcPr>
            <w:tcW w:w="30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907.</w:t>
            </w:r>
          </w:p>
        </w:tc>
        <w:tc>
          <w:tcPr>
            <w:tcW w:w="6920" w:type="dxa"/>
            <w:vAlign w:val="bottom"/>
          </w:tcPr>
          <w:p>
            <w:pPr>
              <w:ind w:left="240"/>
              <w:spacing w:after="0"/>
              <w:rPr>
                <w:sz w:val="20"/>
                <w:szCs w:val="20"/>
                <w:color w:val="auto"/>
              </w:rPr>
            </w:pPr>
            <w:r>
              <w:rPr>
                <w:rFonts w:ascii="Arial" w:cs="Arial" w:eastAsia="Arial" w:hAnsi="Arial"/>
                <w:sz w:val="18"/>
                <w:szCs w:val="18"/>
                <w:i w:val="1"/>
                <w:iCs w:val="1"/>
                <w:color w:val="auto"/>
              </w:rPr>
              <w:t>Revocation and Effect of Consents</w:t>
            </w:r>
          </w:p>
        </w:tc>
        <w:tc>
          <w:tcPr>
            <w:tcW w:w="30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500"/>
        </w:trPr>
        <w:tc>
          <w:tcPr>
            <w:tcW w:w="1360" w:type="dxa"/>
            <w:vAlign w:val="bottom"/>
          </w:tcPr>
          <w:p>
            <w:pPr>
              <w:spacing w:after="0"/>
              <w:rPr>
                <w:sz w:val="20"/>
                <w:szCs w:val="20"/>
                <w:color w:val="auto"/>
              </w:rPr>
            </w:pPr>
            <w:r>
              <w:rPr>
                <w:rFonts w:ascii="Arial" w:cs="Arial" w:eastAsia="Arial" w:hAnsi="Arial"/>
                <w:sz w:val="18"/>
                <w:szCs w:val="18"/>
                <w:color w:val="auto"/>
              </w:rPr>
              <w:t>SECTION 908.</w:t>
            </w:r>
          </w:p>
        </w:tc>
        <w:tc>
          <w:tcPr>
            <w:tcW w:w="6920" w:type="dxa"/>
            <w:vAlign w:val="bottom"/>
          </w:tcPr>
          <w:p>
            <w:pPr>
              <w:ind w:left="240"/>
              <w:spacing w:after="0"/>
              <w:rPr>
                <w:sz w:val="20"/>
                <w:szCs w:val="20"/>
                <w:color w:val="auto"/>
              </w:rPr>
            </w:pPr>
            <w:r>
              <w:rPr>
                <w:rFonts w:ascii="Arial" w:cs="Arial" w:eastAsia="Arial" w:hAnsi="Arial"/>
                <w:sz w:val="18"/>
                <w:szCs w:val="18"/>
                <w:i w:val="1"/>
                <w:iCs w:val="1"/>
                <w:color w:val="auto"/>
              </w:rPr>
              <w:t>Modification Without Supplemental Indenture</w:t>
            </w:r>
          </w:p>
        </w:tc>
        <w:tc>
          <w:tcPr>
            <w:tcW w:w="3040" w:type="dxa"/>
            <w:vAlign w:val="bottom"/>
          </w:tcPr>
          <w:p>
            <w:pPr>
              <w:jc w:val="right"/>
              <w:spacing w:after="0"/>
              <w:rPr>
                <w:sz w:val="20"/>
                <w:szCs w:val="20"/>
                <w:color w:val="auto"/>
              </w:rPr>
            </w:pPr>
            <w:r>
              <w:rPr>
                <w:rFonts w:ascii="Arial" w:cs="Arial" w:eastAsia="Arial" w:hAnsi="Arial"/>
                <w:sz w:val="18"/>
                <w:szCs w:val="18"/>
                <w:color w:val="auto"/>
              </w:rPr>
              <w:t>38</w:t>
            </w:r>
          </w:p>
        </w:tc>
      </w:tr>
    </w:tbl>
    <w:p>
      <w:pPr>
        <w:sectPr>
          <w:pgSz w:w="11900" w:h="16838" w:orient="portrait"/>
          <w:cols w:equalWidth="0" w:num="1">
            <w:col w:w="11320"/>
          </w:cols>
          <w:pgMar w:left="320" w:top="530" w:right="25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color w:val="auto"/>
        </w:rPr>
        <w:t>ARTICLE TEN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SECTION 1001.</w:t>
            </w:r>
          </w:p>
        </w:tc>
        <w:tc>
          <w:tcPr>
            <w:tcW w:w="6780" w:type="dxa"/>
            <w:vAlign w:val="bottom"/>
          </w:tcPr>
          <w:p>
            <w:pPr>
              <w:ind w:left="180"/>
              <w:spacing w:after="0"/>
              <w:rPr>
                <w:sz w:val="20"/>
                <w:szCs w:val="20"/>
                <w:color w:val="auto"/>
              </w:rPr>
            </w:pPr>
            <w:r>
              <w:rPr>
                <w:rFonts w:ascii="Arial" w:cs="Arial" w:eastAsia="Arial" w:hAnsi="Arial"/>
                <w:sz w:val="18"/>
                <w:szCs w:val="18"/>
                <w:i w:val="1"/>
                <w:iCs w:val="1"/>
                <w:color w:val="auto"/>
              </w:rPr>
              <w:t>Payment of Principal, Premium and Interest</w:t>
            </w:r>
          </w:p>
        </w:tc>
        <w:tc>
          <w:tcPr>
            <w:tcW w:w="31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500"/>
        </w:trPr>
        <w:tc>
          <w:tcPr>
            <w:tcW w:w="1420" w:type="dxa"/>
            <w:vAlign w:val="bottom"/>
          </w:tcPr>
          <w:p>
            <w:pPr>
              <w:spacing w:after="0"/>
              <w:rPr>
                <w:sz w:val="20"/>
                <w:szCs w:val="20"/>
                <w:color w:val="auto"/>
              </w:rPr>
            </w:pPr>
            <w:r>
              <w:rPr>
                <w:rFonts w:ascii="Arial" w:cs="Arial" w:eastAsia="Arial" w:hAnsi="Arial"/>
                <w:sz w:val="18"/>
                <w:szCs w:val="18"/>
                <w:color w:val="auto"/>
              </w:rPr>
              <w:t>SECTION 1002.</w:t>
            </w:r>
          </w:p>
        </w:tc>
        <w:tc>
          <w:tcPr>
            <w:tcW w:w="6780" w:type="dxa"/>
            <w:vAlign w:val="bottom"/>
          </w:tcPr>
          <w:p>
            <w:pPr>
              <w:ind w:left="180"/>
              <w:spacing w:after="0"/>
              <w:rPr>
                <w:sz w:val="20"/>
                <w:szCs w:val="20"/>
                <w:color w:val="auto"/>
              </w:rPr>
            </w:pPr>
            <w:r>
              <w:rPr>
                <w:rFonts w:ascii="Arial" w:cs="Arial" w:eastAsia="Arial" w:hAnsi="Arial"/>
                <w:sz w:val="18"/>
                <w:szCs w:val="18"/>
                <w:i w:val="1"/>
                <w:iCs w:val="1"/>
                <w:color w:val="auto"/>
              </w:rPr>
              <w:t>Maintenance of Office or Agency</w:t>
            </w:r>
          </w:p>
        </w:tc>
        <w:tc>
          <w:tcPr>
            <w:tcW w:w="31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500"/>
        </w:trPr>
        <w:tc>
          <w:tcPr>
            <w:tcW w:w="1420" w:type="dxa"/>
            <w:vAlign w:val="bottom"/>
          </w:tcPr>
          <w:p>
            <w:pPr>
              <w:spacing w:after="0"/>
              <w:rPr>
                <w:sz w:val="20"/>
                <w:szCs w:val="20"/>
                <w:color w:val="auto"/>
              </w:rPr>
            </w:pPr>
            <w:r>
              <w:rPr>
                <w:rFonts w:ascii="Arial" w:cs="Arial" w:eastAsia="Arial" w:hAnsi="Arial"/>
                <w:sz w:val="18"/>
                <w:szCs w:val="18"/>
                <w:color w:val="auto"/>
              </w:rPr>
              <w:t>SECTION 1003.</w:t>
            </w:r>
          </w:p>
        </w:tc>
        <w:tc>
          <w:tcPr>
            <w:tcW w:w="6780" w:type="dxa"/>
            <w:vAlign w:val="bottom"/>
          </w:tcPr>
          <w:p>
            <w:pPr>
              <w:ind w:left="180"/>
              <w:spacing w:after="0"/>
              <w:rPr>
                <w:sz w:val="20"/>
                <w:szCs w:val="20"/>
                <w:color w:val="auto"/>
              </w:rPr>
            </w:pPr>
            <w:r>
              <w:rPr>
                <w:rFonts w:ascii="Arial" w:cs="Arial" w:eastAsia="Arial" w:hAnsi="Arial"/>
                <w:sz w:val="18"/>
                <w:szCs w:val="18"/>
                <w:i w:val="1"/>
                <w:iCs w:val="1"/>
                <w:color w:val="auto"/>
              </w:rPr>
              <w:t>Money for Securities Payments to Be Held in Trust</w:t>
            </w:r>
          </w:p>
        </w:tc>
        <w:tc>
          <w:tcPr>
            <w:tcW w:w="31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500"/>
        </w:trPr>
        <w:tc>
          <w:tcPr>
            <w:tcW w:w="1420" w:type="dxa"/>
            <w:vAlign w:val="bottom"/>
          </w:tcPr>
          <w:p>
            <w:pPr>
              <w:spacing w:after="0"/>
              <w:rPr>
                <w:sz w:val="20"/>
                <w:szCs w:val="20"/>
                <w:color w:val="auto"/>
              </w:rPr>
            </w:pPr>
            <w:r>
              <w:rPr>
                <w:rFonts w:ascii="Arial" w:cs="Arial" w:eastAsia="Arial" w:hAnsi="Arial"/>
                <w:sz w:val="18"/>
                <w:szCs w:val="18"/>
                <w:color w:val="auto"/>
              </w:rPr>
              <w:t>SECTION 1004.</w:t>
            </w:r>
          </w:p>
        </w:tc>
        <w:tc>
          <w:tcPr>
            <w:tcW w:w="6780" w:type="dxa"/>
            <w:vAlign w:val="bottom"/>
          </w:tcPr>
          <w:p>
            <w:pPr>
              <w:ind w:left="180"/>
              <w:spacing w:after="0"/>
              <w:rPr>
                <w:sz w:val="20"/>
                <w:szCs w:val="20"/>
                <w:color w:val="auto"/>
              </w:rPr>
            </w:pPr>
            <w:r>
              <w:rPr>
                <w:rFonts w:ascii="Arial" w:cs="Arial" w:eastAsia="Arial" w:hAnsi="Arial"/>
                <w:sz w:val="18"/>
                <w:szCs w:val="18"/>
                <w:i w:val="1"/>
                <w:iCs w:val="1"/>
                <w:color w:val="auto"/>
              </w:rPr>
              <w:t>Statement as to Compliance</w:t>
            </w:r>
          </w:p>
        </w:tc>
        <w:tc>
          <w:tcPr>
            <w:tcW w:w="31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500"/>
        </w:trPr>
        <w:tc>
          <w:tcPr>
            <w:tcW w:w="1420" w:type="dxa"/>
            <w:vAlign w:val="bottom"/>
          </w:tcPr>
          <w:p>
            <w:pPr>
              <w:spacing w:after="0"/>
              <w:rPr>
                <w:sz w:val="20"/>
                <w:szCs w:val="20"/>
                <w:color w:val="auto"/>
              </w:rPr>
            </w:pPr>
            <w:r>
              <w:rPr>
                <w:rFonts w:ascii="Arial" w:cs="Arial" w:eastAsia="Arial" w:hAnsi="Arial"/>
                <w:sz w:val="18"/>
                <w:szCs w:val="18"/>
                <w:color w:val="auto"/>
              </w:rPr>
              <w:t>SECTION 1005.</w:t>
            </w:r>
          </w:p>
        </w:tc>
        <w:tc>
          <w:tcPr>
            <w:tcW w:w="6780" w:type="dxa"/>
            <w:vAlign w:val="bottom"/>
          </w:tcPr>
          <w:p>
            <w:pPr>
              <w:ind w:left="180"/>
              <w:spacing w:after="0"/>
              <w:rPr>
                <w:sz w:val="20"/>
                <w:szCs w:val="20"/>
                <w:color w:val="auto"/>
              </w:rPr>
            </w:pPr>
            <w:r>
              <w:rPr>
                <w:rFonts w:ascii="Arial" w:cs="Arial" w:eastAsia="Arial" w:hAnsi="Arial"/>
                <w:sz w:val="18"/>
                <w:szCs w:val="18"/>
                <w:i w:val="1"/>
                <w:iCs w:val="1"/>
                <w:color w:val="auto"/>
              </w:rPr>
              <w:t>Corporate Existence</w:t>
            </w:r>
          </w:p>
        </w:tc>
        <w:tc>
          <w:tcPr>
            <w:tcW w:w="31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500"/>
        </w:trPr>
        <w:tc>
          <w:tcPr>
            <w:tcW w:w="1420" w:type="dxa"/>
            <w:vAlign w:val="bottom"/>
          </w:tcPr>
          <w:p>
            <w:pPr>
              <w:spacing w:after="0"/>
              <w:rPr>
                <w:sz w:val="20"/>
                <w:szCs w:val="20"/>
                <w:color w:val="auto"/>
              </w:rPr>
            </w:pPr>
            <w:r>
              <w:rPr>
                <w:rFonts w:ascii="Arial" w:cs="Arial" w:eastAsia="Arial" w:hAnsi="Arial"/>
                <w:sz w:val="18"/>
                <w:szCs w:val="18"/>
                <w:color w:val="auto"/>
              </w:rPr>
              <w:t>SECTION 1006.</w:t>
            </w:r>
          </w:p>
        </w:tc>
        <w:tc>
          <w:tcPr>
            <w:tcW w:w="6780" w:type="dxa"/>
            <w:vAlign w:val="bottom"/>
          </w:tcPr>
          <w:p>
            <w:pPr>
              <w:ind w:left="180"/>
              <w:spacing w:after="0"/>
              <w:rPr>
                <w:sz w:val="20"/>
                <w:szCs w:val="20"/>
                <w:color w:val="auto"/>
              </w:rPr>
            </w:pPr>
            <w:r>
              <w:rPr>
                <w:rFonts w:ascii="Arial" w:cs="Arial" w:eastAsia="Arial" w:hAnsi="Arial"/>
                <w:sz w:val="18"/>
                <w:szCs w:val="18"/>
                <w:i w:val="1"/>
                <w:iCs w:val="1"/>
                <w:color w:val="auto"/>
              </w:rPr>
              <w:t>Waiver of Certain Covenants</w:t>
            </w:r>
          </w:p>
        </w:tc>
        <w:tc>
          <w:tcPr>
            <w:tcW w:w="312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216535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320" w:top="530" w:right="25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color w:val="auto"/>
        </w:rPr>
        <w:t>ARTICLE ELEVEN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REDEMPTION OF SECURITIES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SECTION 1101.</w:t>
            </w:r>
          </w:p>
        </w:tc>
        <w:tc>
          <w:tcPr>
            <w:tcW w:w="6760" w:type="dxa"/>
            <w:vAlign w:val="bottom"/>
          </w:tcPr>
          <w:p>
            <w:pPr>
              <w:ind w:left="200"/>
              <w:spacing w:after="0"/>
              <w:rPr>
                <w:sz w:val="20"/>
                <w:szCs w:val="20"/>
                <w:color w:val="auto"/>
              </w:rPr>
            </w:pPr>
            <w:r>
              <w:rPr>
                <w:rFonts w:ascii="Arial" w:cs="Arial" w:eastAsia="Arial" w:hAnsi="Arial"/>
                <w:sz w:val="18"/>
                <w:szCs w:val="18"/>
                <w:i w:val="1"/>
                <w:iCs w:val="1"/>
                <w:color w:val="auto"/>
              </w:rPr>
              <w:t>Applicability of Article</w:t>
            </w:r>
          </w:p>
        </w:tc>
        <w:tc>
          <w:tcPr>
            <w:tcW w:w="31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500"/>
        </w:trPr>
        <w:tc>
          <w:tcPr>
            <w:tcW w:w="1400" w:type="dxa"/>
            <w:vAlign w:val="bottom"/>
          </w:tcPr>
          <w:p>
            <w:pPr>
              <w:spacing w:after="0"/>
              <w:rPr>
                <w:sz w:val="20"/>
                <w:szCs w:val="20"/>
                <w:color w:val="auto"/>
              </w:rPr>
            </w:pPr>
            <w:r>
              <w:rPr>
                <w:rFonts w:ascii="Arial" w:cs="Arial" w:eastAsia="Arial" w:hAnsi="Arial"/>
                <w:sz w:val="18"/>
                <w:szCs w:val="18"/>
                <w:color w:val="auto"/>
              </w:rPr>
              <w:t>SECTION 1102.</w:t>
            </w:r>
          </w:p>
        </w:tc>
        <w:tc>
          <w:tcPr>
            <w:tcW w:w="6760" w:type="dxa"/>
            <w:vAlign w:val="bottom"/>
          </w:tcPr>
          <w:p>
            <w:pPr>
              <w:ind w:left="200"/>
              <w:spacing w:after="0"/>
              <w:rPr>
                <w:sz w:val="20"/>
                <w:szCs w:val="20"/>
                <w:color w:val="auto"/>
              </w:rPr>
            </w:pPr>
            <w:r>
              <w:rPr>
                <w:rFonts w:ascii="Arial" w:cs="Arial" w:eastAsia="Arial" w:hAnsi="Arial"/>
                <w:sz w:val="18"/>
                <w:szCs w:val="18"/>
                <w:i w:val="1"/>
                <w:iCs w:val="1"/>
                <w:color w:val="auto"/>
              </w:rPr>
              <w:t>Election to Redeem; Notice to Trustee</w:t>
            </w:r>
          </w:p>
        </w:tc>
        <w:tc>
          <w:tcPr>
            <w:tcW w:w="31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500"/>
        </w:trPr>
        <w:tc>
          <w:tcPr>
            <w:tcW w:w="1400" w:type="dxa"/>
            <w:vAlign w:val="bottom"/>
          </w:tcPr>
          <w:p>
            <w:pPr>
              <w:spacing w:after="0"/>
              <w:rPr>
                <w:sz w:val="20"/>
                <w:szCs w:val="20"/>
                <w:color w:val="auto"/>
              </w:rPr>
            </w:pPr>
            <w:r>
              <w:rPr>
                <w:rFonts w:ascii="Arial" w:cs="Arial" w:eastAsia="Arial" w:hAnsi="Arial"/>
                <w:sz w:val="18"/>
                <w:szCs w:val="18"/>
                <w:color w:val="auto"/>
              </w:rPr>
              <w:t>SECTION 1103.</w:t>
            </w:r>
          </w:p>
        </w:tc>
        <w:tc>
          <w:tcPr>
            <w:tcW w:w="6760" w:type="dxa"/>
            <w:vAlign w:val="bottom"/>
          </w:tcPr>
          <w:p>
            <w:pPr>
              <w:ind w:left="200"/>
              <w:spacing w:after="0"/>
              <w:rPr>
                <w:sz w:val="20"/>
                <w:szCs w:val="20"/>
                <w:color w:val="auto"/>
              </w:rPr>
            </w:pPr>
            <w:r>
              <w:rPr>
                <w:rFonts w:ascii="Arial" w:cs="Arial" w:eastAsia="Arial" w:hAnsi="Arial"/>
                <w:sz w:val="18"/>
                <w:szCs w:val="18"/>
                <w:i w:val="1"/>
                <w:iCs w:val="1"/>
                <w:color w:val="auto"/>
              </w:rPr>
              <w:t>Selection by Trustee of Securities to Be Redeemed</w:t>
            </w:r>
          </w:p>
        </w:tc>
        <w:tc>
          <w:tcPr>
            <w:tcW w:w="31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500"/>
        </w:trPr>
        <w:tc>
          <w:tcPr>
            <w:tcW w:w="1400" w:type="dxa"/>
            <w:vAlign w:val="bottom"/>
          </w:tcPr>
          <w:p>
            <w:pPr>
              <w:spacing w:after="0"/>
              <w:rPr>
                <w:sz w:val="20"/>
                <w:szCs w:val="20"/>
                <w:color w:val="auto"/>
              </w:rPr>
            </w:pPr>
            <w:r>
              <w:rPr>
                <w:rFonts w:ascii="Arial" w:cs="Arial" w:eastAsia="Arial" w:hAnsi="Arial"/>
                <w:sz w:val="18"/>
                <w:szCs w:val="18"/>
                <w:color w:val="auto"/>
              </w:rPr>
              <w:t>SECTION 1104.</w:t>
            </w:r>
          </w:p>
        </w:tc>
        <w:tc>
          <w:tcPr>
            <w:tcW w:w="6760" w:type="dxa"/>
            <w:vAlign w:val="bottom"/>
          </w:tcPr>
          <w:p>
            <w:pPr>
              <w:ind w:left="200"/>
              <w:spacing w:after="0"/>
              <w:rPr>
                <w:sz w:val="20"/>
                <w:szCs w:val="20"/>
                <w:color w:val="auto"/>
              </w:rPr>
            </w:pPr>
            <w:r>
              <w:rPr>
                <w:rFonts w:ascii="Arial" w:cs="Arial" w:eastAsia="Arial" w:hAnsi="Arial"/>
                <w:sz w:val="18"/>
                <w:szCs w:val="18"/>
                <w:i w:val="1"/>
                <w:iCs w:val="1"/>
                <w:color w:val="auto"/>
              </w:rPr>
              <w:t>Notice of Redemption</w:t>
            </w:r>
          </w:p>
        </w:tc>
        <w:tc>
          <w:tcPr>
            <w:tcW w:w="31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500"/>
        </w:trPr>
        <w:tc>
          <w:tcPr>
            <w:tcW w:w="1400" w:type="dxa"/>
            <w:vAlign w:val="bottom"/>
          </w:tcPr>
          <w:p>
            <w:pPr>
              <w:spacing w:after="0"/>
              <w:rPr>
                <w:sz w:val="20"/>
                <w:szCs w:val="20"/>
                <w:color w:val="auto"/>
              </w:rPr>
            </w:pPr>
            <w:r>
              <w:rPr>
                <w:rFonts w:ascii="Arial" w:cs="Arial" w:eastAsia="Arial" w:hAnsi="Arial"/>
                <w:sz w:val="18"/>
                <w:szCs w:val="18"/>
                <w:color w:val="auto"/>
              </w:rPr>
              <w:t>SECTION 1105.</w:t>
            </w:r>
          </w:p>
        </w:tc>
        <w:tc>
          <w:tcPr>
            <w:tcW w:w="6760" w:type="dxa"/>
            <w:vAlign w:val="bottom"/>
          </w:tcPr>
          <w:p>
            <w:pPr>
              <w:ind w:left="200"/>
              <w:spacing w:after="0"/>
              <w:rPr>
                <w:sz w:val="20"/>
                <w:szCs w:val="20"/>
                <w:color w:val="auto"/>
              </w:rPr>
            </w:pPr>
            <w:r>
              <w:rPr>
                <w:rFonts w:ascii="Arial" w:cs="Arial" w:eastAsia="Arial" w:hAnsi="Arial"/>
                <w:sz w:val="18"/>
                <w:szCs w:val="18"/>
                <w:i w:val="1"/>
                <w:iCs w:val="1"/>
                <w:color w:val="auto"/>
              </w:rPr>
              <w:t>Securities Payable on Redemption Date</w:t>
            </w:r>
          </w:p>
        </w:tc>
        <w:tc>
          <w:tcPr>
            <w:tcW w:w="31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500"/>
        </w:trPr>
        <w:tc>
          <w:tcPr>
            <w:tcW w:w="1400" w:type="dxa"/>
            <w:vAlign w:val="bottom"/>
          </w:tcPr>
          <w:p>
            <w:pPr>
              <w:spacing w:after="0"/>
              <w:rPr>
                <w:sz w:val="20"/>
                <w:szCs w:val="20"/>
                <w:color w:val="auto"/>
              </w:rPr>
            </w:pPr>
            <w:r>
              <w:rPr>
                <w:rFonts w:ascii="Arial" w:cs="Arial" w:eastAsia="Arial" w:hAnsi="Arial"/>
                <w:sz w:val="18"/>
                <w:szCs w:val="18"/>
                <w:color w:val="auto"/>
              </w:rPr>
              <w:t>SECTION 1106.</w:t>
            </w:r>
          </w:p>
        </w:tc>
        <w:tc>
          <w:tcPr>
            <w:tcW w:w="6760" w:type="dxa"/>
            <w:vAlign w:val="bottom"/>
          </w:tcPr>
          <w:p>
            <w:pPr>
              <w:ind w:left="200"/>
              <w:spacing w:after="0"/>
              <w:rPr>
                <w:sz w:val="20"/>
                <w:szCs w:val="20"/>
                <w:color w:val="auto"/>
              </w:rPr>
            </w:pPr>
            <w:r>
              <w:rPr>
                <w:rFonts w:ascii="Arial" w:cs="Arial" w:eastAsia="Arial" w:hAnsi="Arial"/>
                <w:sz w:val="18"/>
                <w:szCs w:val="18"/>
                <w:i w:val="1"/>
                <w:iCs w:val="1"/>
                <w:color w:val="auto"/>
              </w:rPr>
              <w:t>Securities Redeemed in Part</w:t>
            </w:r>
          </w:p>
        </w:tc>
        <w:tc>
          <w:tcPr>
            <w:tcW w:w="3160" w:type="dxa"/>
            <w:vAlign w:val="bottom"/>
          </w:tcPr>
          <w:p>
            <w:pPr>
              <w:jc w:val="right"/>
              <w:spacing w:after="0"/>
              <w:rPr>
                <w:sz w:val="20"/>
                <w:szCs w:val="20"/>
                <w:color w:val="auto"/>
              </w:rPr>
            </w:pPr>
            <w:r>
              <w:rPr>
                <w:rFonts w:ascii="Arial" w:cs="Arial" w:eastAsia="Arial" w:hAnsi="Arial"/>
                <w:sz w:val="18"/>
                <w:szCs w:val="18"/>
                <w:color w:val="auto"/>
              </w:rPr>
              <w:t>43</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TWELVE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REPAYMENT OF SECURITIES AT OPTION OF HOLDERS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SECTION 1201.</w:t>
            </w:r>
          </w:p>
        </w:tc>
        <w:tc>
          <w:tcPr>
            <w:tcW w:w="5900" w:type="dxa"/>
            <w:vAlign w:val="bottom"/>
          </w:tcPr>
          <w:p>
            <w:pPr>
              <w:ind w:left="180"/>
              <w:spacing w:after="0"/>
              <w:rPr>
                <w:sz w:val="20"/>
                <w:szCs w:val="20"/>
                <w:color w:val="auto"/>
              </w:rPr>
            </w:pPr>
            <w:r>
              <w:rPr>
                <w:rFonts w:ascii="Arial" w:cs="Arial" w:eastAsia="Arial" w:hAnsi="Arial"/>
                <w:sz w:val="18"/>
                <w:szCs w:val="18"/>
                <w:i w:val="1"/>
                <w:iCs w:val="1"/>
                <w:color w:val="auto"/>
              </w:rPr>
              <w:t>Applicability of Article</w:t>
            </w:r>
          </w:p>
        </w:tc>
        <w:tc>
          <w:tcPr>
            <w:tcW w:w="40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500"/>
        </w:trPr>
        <w:tc>
          <w:tcPr>
            <w:tcW w:w="1420" w:type="dxa"/>
            <w:vAlign w:val="bottom"/>
          </w:tcPr>
          <w:p>
            <w:pPr>
              <w:spacing w:after="0"/>
              <w:rPr>
                <w:sz w:val="20"/>
                <w:szCs w:val="20"/>
                <w:color w:val="auto"/>
              </w:rPr>
            </w:pPr>
            <w:r>
              <w:rPr>
                <w:rFonts w:ascii="Arial" w:cs="Arial" w:eastAsia="Arial" w:hAnsi="Arial"/>
                <w:sz w:val="18"/>
                <w:szCs w:val="18"/>
                <w:color w:val="auto"/>
              </w:rPr>
              <w:t>SECTION 1202.</w:t>
            </w:r>
          </w:p>
        </w:tc>
        <w:tc>
          <w:tcPr>
            <w:tcW w:w="5900" w:type="dxa"/>
            <w:vAlign w:val="bottom"/>
          </w:tcPr>
          <w:p>
            <w:pPr>
              <w:ind w:left="180"/>
              <w:spacing w:after="0"/>
              <w:rPr>
                <w:sz w:val="20"/>
                <w:szCs w:val="20"/>
                <w:color w:val="auto"/>
              </w:rPr>
            </w:pPr>
            <w:r>
              <w:rPr>
                <w:rFonts w:ascii="Arial" w:cs="Arial" w:eastAsia="Arial" w:hAnsi="Arial"/>
                <w:sz w:val="18"/>
                <w:szCs w:val="18"/>
                <w:i w:val="1"/>
                <w:iCs w:val="1"/>
                <w:color w:val="auto"/>
              </w:rPr>
              <w:t>Notice of Repayment Date</w:t>
            </w:r>
          </w:p>
        </w:tc>
        <w:tc>
          <w:tcPr>
            <w:tcW w:w="4000" w:type="dxa"/>
            <w:vAlign w:val="bottom"/>
          </w:tcPr>
          <w:p>
            <w:pPr>
              <w:jc w:val="right"/>
              <w:spacing w:after="0"/>
              <w:rPr>
                <w:sz w:val="20"/>
                <w:szCs w:val="20"/>
                <w:color w:val="auto"/>
              </w:rPr>
            </w:pPr>
            <w:r>
              <w:rPr>
                <w:rFonts w:ascii="Arial" w:cs="Arial" w:eastAsia="Arial" w:hAnsi="Arial"/>
                <w:sz w:val="18"/>
                <w:szCs w:val="18"/>
                <w:color w:val="auto"/>
              </w:rPr>
              <w:t>43</w:t>
            </w:r>
          </w:p>
        </w:tc>
      </w:tr>
    </w:tbl>
    <w:p>
      <w:pPr>
        <w:sectPr>
          <w:pgSz w:w="11900" w:h="16838" w:orient="portrait"/>
          <w:cols w:equalWidth="0" w:num="1">
            <w:col w:w="11320"/>
          </w:cols>
          <w:pgMar w:left="320" w:top="746" w:right="259" w:bottom="144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SECTION 1203.</w:t>
            </w:r>
          </w:p>
        </w:tc>
        <w:tc>
          <w:tcPr>
            <w:tcW w:w="6360" w:type="dxa"/>
            <w:vAlign w:val="bottom"/>
          </w:tcPr>
          <w:p>
            <w:pPr>
              <w:ind w:left="180"/>
              <w:spacing w:after="0"/>
              <w:rPr>
                <w:sz w:val="20"/>
                <w:szCs w:val="20"/>
                <w:color w:val="auto"/>
              </w:rPr>
            </w:pPr>
            <w:r>
              <w:rPr>
                <w:rFonts w:ascii="Arial" w:cs="Arial" w:eastAsia="Arial" w:hAnsi="Arial"/>
                <w:sz w:val="18"/>
                <w:szCs w:val="18"/>
                <w:i w:val="1"/>
                <w:iCs w:val="1"/>
                <w:color w:val="auto"/>
              </w:rPr>
              <w:t>Securities Payable on Repayment Date</w:t>
            </w:r>
          </w:p>
        </w:tc>
        <w:tc>
          <w:tcPr>
            <w:tcW w:w="35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500"/>
        </w:trPr>
        <w:tc>
          <w:tcPr>
            <w:tcW w:w="1420" w:type="dxa"/>
            <w:vAlign w:val="bottom"/>
          </w:tcPr>
          <w:p>
            <w:pPr>
              <w:spacing w:after="0"/>
              <w:rPr>
                <w:sz w:val="20"/>
                <w:szCs w:val="20"/>
                <w:color w:val="auto"/>
              </w:rPr>
            </w:pPr>
            <w:r>
              <w:rPr>
                <w:rFonts w:ascii="Arial" w:cs="Arial" w:eastAsia="Arial" w:hAnsi="Arial"/>
                <w:sz w:val="18"/>
                <w:szCs w:val="18"/>
                <w:color w:val="auto"/>
              </w:rPr>
              <w:t>SECTION 1204.</w:t>
            </w:r>
          </w:p>
        </w:tc>
        <w:tc>
          <w:tcPr>
            <w:tcW w:w="6360" w:type="dxa"/>
            <w:vAlign w:val="bottom"/>
          </w:tcPr>
          <w:p>
            <w:pPr>
              <w:ind w:left="180"/>
              <w:spacing w:after="0"/>
              <w:rPr>
                <w:sz w:val="20"/>
                <w:szCs w:val="20"/>
                <w:color w:val="auto"/>
              </w:rPr>
            </w:pPr>
            <w:r>
              <w:rPr>
                <w:rFonts w:ascii="Arial" w:cs="Arial" w:eastAsia="Arial" w:hAnsi="Arial"/>
                <w:sz w:val="18"/>
                <w:szCs w:val="18"/>
                <w:i w:val="1"/>
                <w:iCs w:val="1"/>
                <w:color w:val="auto"/>
              </w:rPr>
              <w:t>Securities Repaid in Part</w:t>
            </w:r>
          </w:p>
        </w:tc>
        <w:tc>
          <w:tcPr>
            <w:tcW w:w="3540" w:type="dxa"/>
            <w:vAlign w:val="bottom"/>
          </w:tcPr>
          <w:p>
            <w:pPr>
              <w:jc w:val="right"/>
              <w:spacing w:after="0"/>
              <w:rPr>
                <w:sz w:val="20"/>
                <w:szCs w:val="20"/>
                <w:color w:val="auto"/>
              </w:rPr>
            </w:pPr>
            <w:r>
              <w:rPr>
                <w:rFonts w:ascii="Arial" w:cs="Arial" w:eastAsia="Arial" w:hAnsi="Arial"/>
                <w:sz w:val="18"/>
                <w:szCs w:val="18"/>
                <w:color w:val="auto"/>
              </w:rPr>
              <w:t>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216535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320" w:top="530" w:right="259" w:bottom="1440" w:gutter="0" w:footer="0" w:header="0"/>
        </w:sectPr>
      </w:pPr>
    </w:p>
    <w:bookmarkStart w:id="40" w:name="page41"/>
    <w:bookmarkEnd w:id="40"/>
    <w:p>
      <w:pPr>
        <w:ind w:right="180" w:firstLine="693"/>
        <w:spacing w:after="0" w:line="258" w:lineRule="auto"/>
        <w:rPr>
          <w:sz w:val="20"/>
          <w:szCs w:val="20"/>
          <w:color w:val="auto"/>
        </w:rPr>
      </w:pPr>
      <w:r>
        <w:rPr>
          <w:rFonts w:ascii="Arial" w:cs="Arial" w:eastAsia="Arial" w:hAnsi="Arial"/>
          <w:sz w:val="18"/>
          <w:szCs w:val="18"/>
          <w:color w:val="auto"/>
        </w:rPr>
        <w:t>INDENTURE, dated as of , 20 , between VERACYTE, INC., a corporation duly organized and existing under the laws of Delaware (herein called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having its principal office at , and [TRUSTEE] (herein called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w:t>
      </w:r>
    </w:p>
    <w:p>
      <w:pPr>
        <w:spacing w:after="0" w:line="1" w:lineRule="exact"/>
        <w:rPr>
          <w:sz w:val="20"/>
          <w:szCs w:val="20"/>
          <w:color w:val="auto"/>
        </w:rPr>
      </w:pPr>
    </w:p>
    <w:p>
      <w:pPr>
        <w:jc w:val="center"/>
        <w:ind w:left="1360"/>
        <w:spacing w:after="0"/>
        <w:rPr>
          <w:sz w:val="20"/>
          <w:szCs w:val="20"/>
          <w:color w:val="auto"/>
        </w:rPr>
      </w:pPr>
      <w:r>
        <w:rPr>
          <w:rFonts w:ascii="Arial" w:cs="Arial" w:eastAsia="Arial" w:hAnsi="Arial"/>
          <w:sz w:val="18"/>
          <w:szCs w:val="18"/>
          <w:color w:val="auto"/>
        </w:rPr>
        <w:t>RECITALS OF THE COMPANY</w:t>
      </w:r>
    </w:p>
    <w:p>
      <w:pPr>
        <w:spacing w:after="0" w:line="211"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The Company has duly authorized the execution and delivery of this Indenture to provide for the issuance from time to time of its unsecured debentures, notes or other evidences of indebtedness (each herein called a “</w:t>
      </w:r>
      <w:r>
        <w:rPr>
          <w:rFonts w:ascii="Arial" w:cs="Arial" w:eastAsia="Arial" w:hAnsi="Arial"/>
          <w:sz w:val="18"/>
          <w:szCs w:val="18"/>
          <w:b w:val="1"/>
          <w:bCs w:val="1"/>
          <w:i w:val="1"/>
          <w:iCs w:val="1"/>
          <w:color w:val="auto"/>
        </w:rPr>
        <w:t>Security</w:t>
      </w:r>
      <w:r>
        <w:rPr>
          <w:rFonts w:ascii="Arial" w:cs="Arial" w:eastAsia="Arial" w:hAnsi="Arial"/>
          <w:sz w:val="18"/>
          <w:szCs w:val="18"/>
          <w:color w:val="auto"/>
        </w:rPr>
        <w:t>” or, collectively, the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in an unlimited aggregate principal amount to be issued in one or more series as in this Indenture provided.</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All things necessary to make this Indenture a valid agreement of the Company, in accordance with its terms, have been done.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THIS INDENTURE WITNESSETH:</w:t>
      </w:r>
    </w:p>
    <w:p>
      <w:pPr>
        <w:spacing w:after="0" w:line="225"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For and in consideration of the premises and the purchase of the Securities by the Holders thereof, it is mutually covenanted and agreed, for the equal and proportionate benefit of all Holders of the Securities or of any series thereof, as follows: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 AND OTHER PROVISIONS OF GENERAL APPLICATION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i w:val="1"/>
          <w:iCs w:val="1"/>
          <w:color w:val="auto"/>
        </w:rPr>
        <w:t>Definitions</w:t>
      </w:r>
      <w:r>
        <w:rPr>
          <w:rFonts w:ascii="Arial" w:cs="Arial" w:eastAsia="Arial" w:hAnsi="Arial"/>
          <w:sz w:val="17"/>
          <w:szCs w:val="17"/>
          <w:color w:val="auto"/>
        </w:rPr>
        <w:t>. For all purposes of this Indenture, except as otherwise expressly provided or unless the context otherwise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requires;</w:t>
      </w:r>
    </w:p>
    <w:p>
      <w:pPr>
        <w:spacing w:after="0" w:line="225" w:lineRule="exact"/>
        <w:rPr>
          <w:sz w:val="20"/>
          <w:szCs w:val="20"/>
          <w:color w:val="auto"/>
        </w:rPr>
      </w:pPr>
    </w:p>
    <w:p>
      <w:pPr>
        <w:ind w:left="1520" w:hanging="215"/>
        <w:spacing w:after="0"/>
        <w:tabs>
          <w:tab w:leader="none" w:pos="15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terms defined in this Article have the meanings assigned to them in this Article and include the plural as well as the singular;</w:t>
      </w:r>
    </w:p>
    <w:p>
      <w:pPr>
        <w:spacing w:after="0" w:line="277" w:lineRule="exact"/>
        <w:rPr>
          <w:rFonts w:ascii="Arial" w:cs="Arial" w:eastAsia="Arial" w:hAnsi="Arial"/>
          <w:sz w:val="17"/>
          <w:szCs w:val="17"/>
          <w:color w:val="auto"/>
        </w:rPr>
      </w:pPr>
    </w:p>
    <w:p>
      <w:pPr>
        <w:ind w:left="1520" w:hanging="215"/>
        <w:spacing w:after="0"/>
        <w:tabs>
          <w:tab w:leader="none" w:pos="15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all other terms used herein that are defined in the Trust Indenture Act, either directly or by reference therein, have the meanings assigned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to them therein;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(3) all accounting terms not otherwise defined herein have the meanings assigned to them in accordance with generally accepted accounting</w:t>
      </w:r>
    </w:p>
    <w:p>
      <w:pPr>
        <w:spacing w:after="0" w:line="7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principles, and, except as otherwise herein expressly provided, the term “</w:t>
      </w:r>
      <w:r>
        <w:rPr>
          <w:rFonts w:ascii="Arial" w:cs="Arial" w:eastAsia="Arial" w:hAnsi="Arial"/>
          <w:sz w:val="18"/>
          <w:szCs w:val="18"/>
          <w:b w:val="1"/>
          <w:bCs w:val="1"/>
          <w:i w:val="1"/>
          <w:iCs w:val="1"/>
          <w:color w:val="auto"/>
        </w:rPr>
        <w:t>generally accepted accounting principles</w:t>
      </w:r>
      <w:r>
        <w:rPr>
          <w:rFonts w:ascii="Arial" w:cs="Arial" w:eastAsia="Arial" w:hAnsi="Arial"/>
          <w:sz w:val="18"/>
          <w:szCs w:val="18"/>
          <w:color w:val="auto"/>
        </w:rPr>
        <w:t>” with respect to any computation required or permitted hereunder shall mean such accounting principles as are generally accepted in the United States at the date of such computation or, at the election of the Company from time to time, at the date of the execution and delivery of this Indenture;</w:t>
      </w:r>
    </w:p>
    <w:p>
      <w:pPr>
        <w:spacing w:after="0" w:line="181" w:lineRule="exact"/>
        <w:rPr>
          <w:sz w:val="20"/>
          <w:szCs w:val="20"/>
          <w:color w:val="auto"/>
        </w:rPr>
      </w:pPr>
    </w:p>
    <w:p>
      <w:pPr>
        <w:ind w:left="1520" w:hanging="215"/>
        <w:spacing w:after="0"/>
        <w:tabs>
          <w:tab w:leader="none" w:pos="1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word “or” is not exclusive; and</w:t>
      </w:r>
    </w:p>
    <w:p>
      <w:pPr>
        <w:spacing w:after="0" w:line="277" w:lineRule="exact"/>
        <w:rPr>
          <w:rFonts w:ascii="Arial" w:cs="Arial" w:eastAsia="Arial" w:hAnsi="Arial"/>
          <w:sz w:val="17"/>
          <w:szCs w:val="17"/>
          <w:color w:val="auto"/>
        </w:rPr>
      </w:pPr>
    </w:p>
    <w:p>
      <w:pPr>
        <w:ind w:right="640" w:firstLine="1305"/>
        <w:spacing w:after="0" w:line="357" w:lineRule="auto"/>
        <w:tabs>
          <w:tab w:leader="none" w:pos="1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words “herein”, “hereof” and “hereunder” and other words of similar import refer to this Indenture as a whole and not to any particular Article, Section or other subdivision.</w:t>
      </w:r>
    </w:p>
    <w:p>
      <w:pPr>
        <w:spacing w:after="0" w:line="10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Certain terms, used principally in Article Six, are defined in that Article.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Act</w:t>
      </w:r>
      <w:r>
        <w:rPr>
          <w:rFonts w:ascii="Arial" w:cs="Arial" w:eastAsia="Arial" w:hAnsi="Arial"/>
          <w:sz w:val="18"/>
          <w:szCs w:val="18"/>
          <w:color w:val="auto"/>
        </w:rPr>
        <w:t>”, when used with respect to any Holder, has the meaning specified in Section 104.</w:t>
      </w:r>
    </w:p>
    <w:p>
      <w:pPr>
        <w:spacing w:after="0" w:line="225"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312420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1" w:name="page42"/>
    <w:bookmarkEnd w:id="41"/>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Authenticating Agent</w:t>
      </w:r>
      <w:r>
        <w:rPr>
          <w:rFonts w:ascii="Arial" w:cs="Arial" w:eastAsia="Arial" w:hAnsi="Arial"/>
          <w:sz w:val="17"/>
          <w:szCs w:val="17"/>
          <w:color w:val="auto"/>
        </w:rPr>
        <w:t>” means any Person authorized by the Trustee to act on behalf of the Trustee to authenticate Securities.</w:t>
      </w:r>
    </w:p>
    <w:p>
      <w:pPr>
        <w:spacing w:after="0" w:line="237"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Authorized Newspaper</w:t>
      </w:r>
      <w:r>
        <w:rPr>
          <w:rFonts w:ascii="Arial" w:cs="Arial" w:eastAsia="Arial" w:hAnsi="Arial"/>
          <w:sz w:val="17"/>
          <w:szCs w:val="17"/>
          <w:color w:val="auto"/>
        </w:rPr>
        <w:t>” means a newspaper in an official language of the country of publication or in the English language, customarily published on each Business Day, whether or not published on Saturdays, Sundays or holidays, and of general circulation in the place in connection with which the term is used. Whenever successive publications are required to be made in Authorized Newspapers, the successive publications may be made in the same or in different newspapers in the same city meeting the foregoing requirements and in each case on any Business Day. If it shall be impossible or impractical to make any publication of any notice required by this Indenture in the manner herein provided, any publication or other notice in lieu thereof that is made or given by the Trustee shall constitute a sufficient publication of such notice.</w:t>
      </w:r>
    </w:p>
    <w:p>
      <w:pPr>
        <w:spacing w:after="0" w:line="178" w:lineRule="exact"/>
        <w:rPr>
          <w:sz w:val="20"/>
          <w:szCs w:val="20"/>
          <w:color w:val="auto"/>
        </w:rPr>
      </w:pPr>
    </w:p>
    <w:p>
      <w:pPr>
        <w:ind w:right="20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Authorized Officer</w:t>
      </w:r>
      <w:r>
        <w:rPr>
          <w:rFonts w:ascii="Arial" w:cs="Arial" w:eastAsia="Arial" w:hAnsi="Arial"/>
          <w:sz w:val="18"/>
          <w:szCs w:val="18"/>
          <w:color w:val="auto"/>
        </w:rPr>
        <w:t>” means the Chief Executive Officer, the President, any Vice President (whether or not designated by a number or numbers or word or words added before or after the title “Vice President”), the Chief Financial Officer, the Treasurer, the Secretary, any Assistant Treasurer or any Assistant Secretary of the Company.</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 of Directors</w:t>
      </w:r>
      <w:r>
        <w:rPr>
          <w:rFonts w:ascii="Arial" w:cs="Arial" w:eastAsia="Arial" w:hAnsi="Arial"/>
          <w:sz w:val="18"/>
          <w:szCs w:val="18"/>
          <w:color w:val="auto"/>
        </w:rPr>
        <w:t>” means either the board of directors of the Company or any duly authorized committee of that board.</w:t>
      </w:r>
    </w:p>
    <w:p>
      <w:pPr>
        <w:spacing w:after="0" w:line="225" w:lineRule="exact"/>
        <w:rPr>
          <w:sz w:val="20"/>
          <w:szCs w:val="20"/>
          <w:color w:val="auto"/>
        </w:rPr>
      </w:pPr>
    </w:p>
    <w:p>
      <w:pPr>
        <w:ind w:right="4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 Resolution</w:t>
      </w:r>
      <w:r>
        <w:rPr>
          <w:rFonts w:ascii="Arial" w:cs="Arial" w:eastAsia="Arial" w:hAnsi="Arial"/>
          <w:sz w:val="18"/>
          <w:szCs w:val="18"/>
          <w:color w:val="auto"/>
        </w:rPr>
        <w:t>” when used with reference to the Company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81"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when used with respect to any Place of Payment or any other particular location specified in the Securities or this Indenture, means each Monday, Tuesday, Wednesday, Thursday and Friday that is not a day on which banking institutions in that Place of Payment, such other location or the city in which the Corporate Trust Office of the Trustee is located, are authorized or obligated by law to close, except as may be otherwise specified as contemplated by Section 301(b).</w:t>
      </w:r>
    </w:p>
    <w:p>
      <w:pPr>
        <w:spacing w:after="0" w:line="187" w:lineRule="exact"/>
        <w:rPr>
          <w:sz w:val="20"/>
          <w:szCs w:val="20"/>
          <w:color w:val="auto"/>
        </w:rPr>
      </w:pPr>
    </w:p>
    <w:p>
      <w:pPr>
        <w:jc w:val="both"/>
        <w:ind w:right="2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means the Securities and Exchange Commission, as from time to time constituted, created under the Securities Exchange Act of 1934, or, if at any time after the execution of this indenture such Commission is not existing and performing the duties now assigned to it under the Trust Indenture Act, then the body performing such duties at such time.</w:t>
      </w:r>
    </w:p>
    <w:p>
      <w:pPr>
        <w:spacing w:after="0" w:line="181"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the Person named as the “Company” in the first paragraph of this instrument until a successor Person has become such pursuant to the applicable provisions of this Indenture, and thereafter “Company” shall mean such successor Person.</w:t>
      </w:r>
    </w:p>
    <w:p>
      <w:pPr>
        <w:spacing w:after="0" w:line="170"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Request</w:t>
      </w:r>
      <w:r>
        <w:rPr>
          <w:rFonts w:ascii="Arial" w:cs="Arial" w:eastAsia="Arial" w:hAnsi="Arial"/>
          <w:sz w:val="18"/>
          <w:szCs w:val="18"/>
          <w:color w:val="auto"/>
        </w:rPr>
        <w:t>” or “</w:t>
      </w:r>
      <w:r>
        <w:rPr>
          <w:rFonts w:ascii="Arial" w:cs="Arial" w:eastAsia="Arial" w:hAnsi="Arial"/>
          <w:sz w:val="18"/>
          <w:szCs w:val="18"/>
          <w:b w:val="1"/>
          <w:bCs w:val="1"/>
          <w:i w:val="1"/>
          <w:iCs w:val="1"/>
          <w:color w:val="auto"/>
        </w:rPr>
        <w:t>Company Order</w:t>
      </w:r>
      <w:r>
        <w:rPr>
          <w:rFonts w:ascii="Arial" w:cs="Arial" w:eastAsia="Arial" w:hAnsi="Arial"/>
          <w:sz w:val="18"/>
          <w:szCs w:val="18"/>
          <w:color w:val="auto"/>
        </w:rPr>
        <w:t>” means a written request or order signed in the name of the Company by an Authorized Officer and delivered to the Trustee.</w:t>
      </w:r>
    </w:p>
    <w:p>
      <w:pPr>
        <w:spacing w:after="0" w:line="170"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Trust Office</w:t>
      </w:r>
      <w:r>
        <w:rPr>
          <w:rFonts w:ascii="Arial" w:cs="Arial" w:eastAsia="Arial" w:hAnsi="Arial"/>
          <w:sz w:val="18"/>
          <w:szCs w:val="18"/>
          <w:color w:val="auto"/>
        </w:rPr>
        <w:t>” means the office of the Trustee at which at any particular time its corporate trust business shall be principally administered and which at the date hereof is located at •.</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means a corporation, association, joint stock company, limited liability company or business trust.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Defaulted Interest</w:t>
      </w:r>
      <w:r>
        <w:rPr>
          <w:rFonts w:ascii="Arial" w:cs="Arial" w:eastAsia="Arial" w:hAnsi="Arial"/>
          <w:sz w:val="18"/>
          <w:szCs w:val="18"/>
          <w:color w:val="auto"/>
        </w:rPr>
        <w:t>” has the meaning specified in Section 307.</w:t>
      </w:r>
    </w:p>
    <w:p>
      <w:pPr>
        <w:spacing w:after="0" w:line="225" w:lineRule="exact"/>
        <w:rPr>
          <w:sz w:val="20"/>
          <w:szCs w:val="20"/>
          <w:color w:val="auto"/>
        </w:rPr>
      </w:pPr>
    </w:p>
    <w:p>
      <w:pPr>
        <w:ind w:right="20"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Depositary</w:t>
      </w:r>
      <w:r>
        <w:rPr>
          <w:rFonts w:ascii="Arial" w:cs="Arial" w:eastAsia="Arial" w:hAnsi="Arial"/>
          <w:sz w:val="16"/>
          <w:szCs w:val="16"/>
          <w:color w:val="auto"/>
        </w:rPr>
        <w:t>” means, with respect to the Securities of any series issuable or issued in the form of a Global Security, the Person designated as Depositary by the Company in Section 301(b) until a successor Depositary shall have become such pursuant to the applicable provisions of this Indenture, and thereafter “Depositary” shall mean or include each Person who is then a Depositary hereunder, and if at any time there is more than one such</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2" w:name="page43"/>
    <w:bookmarkEnd w:id="42"/>
    <w:p>
      <w:pPr>
        <w:spacing w:after="0"/>
        <w:rPr>
          <w:sz w:val="20"/>
          <w:szCs w:val="20"/>
          <w:color w:val="auto"/>
        </w:rPr>
      </w:pPr>
      <w:r>
        <w:rPr>
          <w:rFonts w:ascii="Arial" w:cs="Arial" w:eastAsia="Arial" w:hAnsi="Arial"/>
          <w:sz w:val="17"/>
          <w:szCs w:val="17"/>
          <w:color w:val="auto"/>
        </w:rPr>
        <w:t>Person, “Depositary” as used with respect to the Securities of any such series shall mean the Depositary with respect to the Securities of that series.</w:t>
      </w:r>
    </w:p>
    <w:p>
      <w:pPr>
        <w:spacing w:after="0" w:line="237"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Dollar</w:t>
      </w:r>
      <w:r>
        <w:rPr>
          <w:rFonts w:ascii="Arial" w:cs="Arial" w:eastAsia="Arial" w:hAnsi="Arial"/>
          <w:sz w:val="18"/>
          <w:szCs w:val="18"/>
          <w:color w:val="auto"/>
        </w:rPr>
        <w:t>” or “</w:t>
      </w:r>
      <w:r>
        <w:rPr>
          <w:rFonts w:ascii="Arial" w:cs="Arial" w:eastAsia="Arial" w:hAnsi="Arial"/>
          <w:sz w:val="18"/>
          <w:szCs w:val="18"/>
          <w:b w:val="1"/>
          <w:bCs w:val="1"/>
          <w:i w:val="1"/>
          <w:iCs w:val="1"/>
          <w:color w:val="auto"/>
        </w:rPr>
        <w:t>$</w:t>
      </w:r>
      <w:r>
        <w:rPr>
          <w:rFonts w:ascii="Arial" w:cs="Arial" w:eastAsia="Arial" w:hAnsi="Arial"/>
          <w:sz w:val="18"/>
          <w:szCs w:val="18"/>
          <w:color w:val="auto"/>
        </w:rPr>
        <w:t>” means a dollar or other equivalent unit in such coin or currency of the United States of America that is legal tender for the payment of public and private debts at the time of payment.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Obligations</w:t>
      </w:r>
      <w:r>
        <w:rPr>
          <w:rFonts w:ascii="Arial" w:cs="Arial" w:eastAsia="Arial" w:hAnsi="Arial"/>
          <w:sz w:val="18"/>
          <w:szCs w:val="18"/>
          <w:color w:val="auto"/>
        </w:rPr>
        <w:t>” means:</w:t>
      </w:r>
    </w:p>
    <w:p>
      <w:pPr>
        <w:spacing w:after="0" w:line="225" w:lineRule="exact"/>
        <w:rPr>
          <w:sz w:val="20"/>
          <w:szCs w:val="20"/>
          <w:color w:val="auto"/>
        </w:rPr>
      </w:pPr>
    </w:p>
    <w:p>
      <w:pPr>
        <w:ind w:left="1540" w:hanging="235"/>
        <w:spacing w:after="0"/>
        <w:tabs>
          <w:tab w:leader="none" w:pos="1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 respect to Securities denominated in Dollars, U.S. Government Obligations; or</w:t>
      </w:r>
    </w:p>
    <w:p>
      <w:pPr>
        <w:spacing w:after="0" w:line="225" w:lineRule="exact"/>
        <w:rPr>
          <w:rFonts w:ascii="Arial" w:cs="Arial" w:eastAsia="Arial" w:hAnsi="Arial"/>
          <w:sz w:val="18"/>
          <w:szCs w:val="18"/>
          <w:color w:val="auto"/>
        </w:rPr>
      </w:pPr>
    </w:p>
    <w:p>
      <w:pPr>
        <w:ind w:firstLine="1305"/>
        <w:spacing w:after="0" w:line="277" w:lineRule="auto"/>
        <w:tabs>
          <w:tab w:leader="none" w:pos="1551"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 respect to Securities denominated in a currency other than Dollars or in a composite currency, such other obligations or instruments as shall be specified with respect to such Securities, as contemplated by Section 301(b).</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Event of Default</w:t>
      </w:r>
      <w:r>
        <w:rPr>
          <w:rFonts w:ascii="Arial" w:cs="Arial" w:eastAsia="Arial" w:hAnsi="Arial"/>
          <w:sz w:val="18"/>
          <w:szCs w:val="18"/>
          <w:color w:val="auto"/>
        </w:rPr>
        <w:t>” has the meaning specified in Section 501.</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Global Security</w:t>
      </w:r>
      <w:r>
        <w:rPr>
          <w:rFonts w:ascii="Arial" w:cs="Arial" w:eastAsia="Arial" w:hAnsi="Arial"/>
          <w:sz w:val="17"/>
          <w:szCs w:val="17"/>
          <w:color w:val="auto"/>
        </w:rPr>
        <w:t>” means a Security, if any, issued to evidence all or a part of a series of Securities in accordance with Section 301.</w:t>
      </w:r>
    </w:p>
    <w:p>
      <w:pPr>
        <w:spacing w:after="0" w:line="237"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Hedging Obligations</w:t>
      </w:r>
      <w:r>
        <w:rPr>
          <w:rFonts w:ascii="Arial" w:cs="Arial" w:eastAsia="Arial" w:hAnsi="Arial"/>
          <w:sz w:val="18"/>
          <w:szCs w:val="18"/>
          <w:color w:val="auto"/>
        </w:rPr>
        <w:t>” means, with respect to any Person, the obligations of such Person under (i) interest rate swap agreements, interest rate cap agreements and interest rate collar agreements and (ii) other agreements or arrangements designed to protect such Person against fluctuations in interest rates.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means, with respect to a Security, a Person in whose name such Security is registered in the Security Register.</w:t>
      </w:r>
    </w:p>
    <w:p>
      <w:pPr>
        <w:spacing w:after="0" w:line="225"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means this instrument as originally executed and as it may from time to time be supplemented or amended by one or more indentures supplemental hereto entered into pursuant to the applicable provisions hereof and shall include the form and terms of particular series of Securities established as contemplated by Section 301.</w:t>
      </w:r>
    </w:p>
    <w:p>
      <w:pPr>
        <w:spacing w:after="0" w:line="181"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Indexed Security</w:t>
      </w:r>
      <w:r>
        <w:rPr>
          <w:rFonts w:ascii="Arial" w:cs="Arial" w:eastAsia="Arial" w:hAnsi="Arial"/>
          <w:sz w:val="18"/>
          <w:szCs w:val="18"/>
          <w:color w:val="auto"/>
        </w:rPr>
        <w:t>” means a Security the terms of which provide that the principal amount thereof payable at Stated Maturity may be more or less than the principal face amount thereof at original issuance.</w:t>
      </w:r>
    </w:p>
    <w:p>
      <w:pPr>
        <w:spacing w:after="0" w:line="170"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w:t>
      </w:r>
      <w:r>
        <w:rPr>
          <w:rFonts w:ascii="Arial" w:cs="Arial" w:eastAsia="Arial" w:hAnsi="Arial"/>
          <w:sz w:val="18"/>
          <w:szCs w:val="18"/>
          <w:color w:val="auto"/>
        </w:rPr>
        <w:t>”, when used with respect to an Original Issue Discount Security that by its terms bears interest only after Maturity, means interest payable after Maturity.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Interest Payment Date</w:t>
      </w:r>
      <w:r>
        <w:rPr>
          <w:rFonts w:ascii="Arial" w:cs="Arial" w:eastAsia="Arial" w:hAnsi="Arial"/>
          <w:sz w:val="16"/>
          <w:szCs w:val="16"/>
          <w:color w:val="auto"/>
        </w:rPr>
        <w:t>”, when used with respect to any Security, means the Stated Maturity of an installment of interest on such Security.</w:t>
      </w:r>
    </w:p>
    <w:p>
      <w:pPr>
        <w:spacing w:after="0" w:line="248"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Maturity</w:t>
      </w:r>
      <w:r>
        <w:rPr>
          <w:rFonts w:ascii="Arial" w:cs="Arial" w:eastAsia="Arial" w:hAnsi="Arial"/>
          <w:sz w:val="18"/>
          <w:szCs w:val="18"/>
          <w:color w:val="auto"/>
        </w:rPr>
        <w:t>”, when used with respect to any Security, means the date on which the principal of such Security or an installment of principal becomes due and payable as therein or herein provided, whether at the Stated Maturity or by declaration of acceleration, upon call for redemption, exercise of repayment option or otherwise.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Officer’s Certificate</w:t>
      </w:r>
      <w:r>
        <w:rPr>
          <w:rFonts w:ascii="Arial" w:cs="Arial" w:eastAsia="Arial" w:hAnsi="Arial"/>
          <w:sz w:val="18"/>
          <w:szCs w:val="18"/>
          <w:color w:val="auto"/>
        </w:rPr>
        <w:t>” means a certificate signed by an Authorized Officer and delivered to the Trustee.</w:t>
      </w:r>
    </w:p>
    <w:p>
      <w:pPr>
        <w:spacing w:after="0" w:line="225"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Opinion of Counsel</w:t>
      </w:r>
      <w:r>
        <w:rPr>
          <w:rFonts w:ascii="Arial" w:cs="Arial" w:eastAsia="Arial" w:hAnsi="Arial"/>
          <w:sz w:val="18"/>
          <w:szCs w:val="18"/>
          <w:color w:val="auto"/>
        </w:rPr>
        <w:t>” means a written opinion of counsel, who may be an employee of, or counsel for, the Company or an Affiliate of the Company, and who shall be reasonably acceptable to the Trustee.</w:t>
      </w:r>
    </w:p>
    <w:p>
      <w:pPr>
        <w:spacing w:after="0" w:line="170" w:lineRule="exact"/>
        <w:rPr>
          <w:sz w:val="20"/>
          <w:szCs w:val="20"/>
          <w:color w:val="auto"/>
        </w:rPr>
      </w:pPr>
    </w:p>
    <w:p>
      <w:pPr>
        <w:ind w:right="240" w:firstLine="129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Issue Discount Security</w:t>
      </w:r>
      <w:r>
        <w:rPr>
          <w:rFonts w:ascii="Arial" w:cs="Arial" w:eastAsia="Arial" w:hAnsi="Arial"/>
          <w:sz w:val="18"/>
          <w:szCs w:val="18"/>
          <w:color w:val="auto"/>
        </w:rPr>
        <w:t>” means any Security that provides for an amount less than the principal amount thereof to be due and payable upon a declaration of acceleration of the Maturity thereof pursuant to Section 502.</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3" w:name="page44"/>
    <w:bookmarkEnd w:id="43"/>
    <w:p>
      <w:pPr>
        <w:ind w:right="6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Outstanding</w:t>
      </w:r>
      <w:r>
        <w:rPr>
          <w:rFonts w:ascii="Arial" w:cs="Arial" w:eastAsia="Arial" w:hAnsi="Arial"/>
          <w:sz w:val="18"/>
          <w:szCs w:val="18"/>
          <w:color w:val="auto"/>
        </w:rPr>
        <w:t xml:space="preserve">”, when used with respect to Securities of any series, means, as of the date of determination, all Securities theretofore authenticated and delivered under this Indenture, </w:t>
      </w:r>
      <w:r>
        <w:rPr>
          <w:rFonts w:ascii="Arial" w:cs="Arial" w:eastAsia="Arial" w:hAnsi="Arial"/>
          <w:sz w:val="18"/>
          <w:szCs w:val="18"/>
          <w:i w:val="1"/>
          <w:iCs w:val="1"/>
          <w:color w:val="auto"/>
        </w:rPr>
        <w:t>except</w:t>
      </w:r>
      <w:r>
        <w:rPr>
          <w:rFonts w:ascii="Arial" w:cs="Arial" w:eastAsia="Arial" w:hAnsi="Arial"/>
          <w:sz w:val="18"/>
          <w:szCs w:val="18"/>
          <w:color w:val="auto"/>
        </w:rPr>
        <w:t>:</w:t>
      </w:r>
    </w:p>
    <w:p>
      <w:pPr>
        <w:spacing w:after="0" w:line="170" w:lineRule="exact"/>
        <w:rPr>
          <w:sz w:val="20"/>
          <w:szCs w:val="20"/>
          <w:color w:val="auto"/>
        </w:rPr>
      </w:pPr>
    </w:p>
    <w:p>
      <w:pPr>
        <w:ind w:left="1520" w:hanging="215"/>
        <w:spacing w:after="0"/>
        <w:tabs>
          <w:tab w:leader="none" w:pos="1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Securities theretofore cancelled by the Trustee or delivered to the Trustee for cancellation;</w:t>
      </w:r>
    </w:p>
    <w:p>
      <w:pPr>
        <w:spacing w:after="0" w:line="277" w:lineRule="exact"/>
        <w:rPr>
          <w:rFonts w:ascii="Arial" w:cs="Arial" w:eastAsia="Arial" w:hAnsi="Arial"/>
          <w:sz w:val="17"/>
          <w:szCs w:val="17"/>
          <w:color w:val="auto"/>
        </w:rPr>
      </w:pPr>
    </w:p>
    <w:p>
      <w:pPr>
        <w:ind w:left="1520" w:hanging="215"/>
        <w:spacing w:after="0"/>
        <w:tabs>
          <w:tab w:leader="none" w:pos="1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Securities or portions thereof for whose payment or redemption money or Eligible Obligations (or any combination of money and</w:t>
      </w:r>
    </w:p>
    <w:p>
      <w:pPr>
        <w:spacing w:after="0" w:line="61" w:lineRule="exact"/>
        <w:rPr>
          <w:sz w:val="20"/>
          <w:szCs w:val="20"/>
          <w:color w:val="auto"/>
        </w:rPr>
      </w:pPr>
    </w:p>
    <w:p>
      <w:pPr>
        <w:ind w:left="660" w:right="40"/>
        <w:spacing w:after="0" w:line="257" w:lineRule="auto"/>
        <w:rPr>
          <w:sz w:val="20"/>
          <w:szCs w:val="20"/>
          <w:color w:val="auto"/>
        </w:rPr>
      </w:pPr>
      <w:r>
        <w:rPr>
          <w:rFonts w:ascii="Arial" w:cs="Arial" w:eastAsia="Arial" w:hAnsi="Arial"/>
          <w:sz w:val="18"/>
          <w:szCs w:val="18"/>
          <w:color w:val="auto"/>
        </w:rPr>
        <w:t xml:space="preserve">Eligible Obligations) in the necessary amount has been theretofore deposited with the Trustee or any Paying Agent (other than the Company or any other obligor on such Security) in trust or set aside and segregated in trust by the Company or any other obligor on such Security (if the Company or any other obligor on such Security acts as its own Paying Agent) for the Holders of such Securities;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such Securities, or portions thereof, are to be redeemed prior to the Stated Maturity thereof, notice of such redemption has been duly given pursuant to this Indenture or provision therefor satisfactory to the Trustee has been made;</w:t>
      </w:r>
    </w:p>
    <w:p>
      <w:pPr>
        <w:spacing w:after="0" w:line="188" w:lineRule="exact"/>
        <w:rPr>
          <w:sz w:val="20"/>
          <w:szCs w:val="20"/>
          <w:color w:val="auto"/>
        </w:rPr>
      </w:pPr>
    </w:p>
    <w:p>
      <w:pPr>
        <w:ind w:left="1520" w:hanging="215"/>
        <w:spacing w:after="0"/>
        <w:tabs>
          <w:tab w:leader="none" w:pos="1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Securities as to which the Company has effected defeasance as provided in Section 402;</w:t>
      </w:r>
    </w:p>
    <w:p>
      <w:pPr>
        <w:spacing w:after="0" w:line="265" w:lineRule="exact"/>
        <w:rPr>
          <w:rFonts w:ascii="Arial" w:cs="Arial" w:eastAsia="Arial" w:hAnsi="Arial"/>
          <w:sz w:val="18"/>
          <w:szCs w:val="18"/>
          <w:color w:val="auto"/>
        </w:rPr>
      </w:pPr>
    </w:p>
    <w:p>
      <w:pPr>
        <w:ind w:left="1520" w:hanging="215"/>
        <w:spacing w:after="0"/>
        <w:tabs>
          <w:tab w:leader="none" w:pos="15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Securities that have been paid pursuant to Section 306 or in exchange for or in lieu of which other Securities have been authenticated and</w:t>
      </w:r>
    </w:p>
    <w:p>
      <w:pPr>
        <w:spacing w:after="0" w:line="73" w:lineRule="exact"/>
        <w:rPr>
          <w:sz w:val="20"/>
          <w:szCs w:val="20"/>
          <w:color w:val="auto"/>
        </w:rPr>
      </w:pPr>
    </w:p>
    <w:p>
      <w:pPr>
        <w:ind w:left="660" w:right="80"/>
        <w:spacing w:after="0" w:line="342" w:lineRule="auto"/>
        <w:rPr>
          <w:sz w:val="20"/>
          <w:szCs w:val="20"/>
          <w:color w:val="auto"/>
        </w:rPr>
      </w:pPr>
      <w:r>
        <w:rPr>
          <w:rFonts w:ascii="Arial" w:cs="Arial" w:eastAsia="Arial" w:hAnsi="Arial"/>
          <w:sz w:val="16"/>
          <w:szCs w:val="16"/>
          <w:color w:val="auto"/>
        </w:rPr>
        <w:t>delivered pursuant to this Indenture, other than any such Securities in respect of which there have been presented to the Trustee proof satisfactory to it and the Company that such Securities are held by a bona fide purchaser in whose hands such Securities are valid obligations of the Company;</w:t>
      </w:r>
    </w:p>
    <w:p>
      <w:pPr>
        <w:spacing w:after="0" w:line="12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in determining whether the Holders of the requisite principal amount of the Outstanding Securities have given, made or taken any</w:t>
      </w:r>
      <w:r>
        <w:rPr>
          <w:rFonts w:ascii="Arial" w:cs="Arial" w:eastAsia="Arial" w:hAnsi="Arial"/>
          <w:sz w:val="18"/>
          <w:szCs w:val="18"/>
          <w:i w:val="1"/>
          <w:iCs w:val="1"/>
          <w:color w:val="auto"/>
        </w:rPr>
        <w:t xml:space="preserve"> </w:t>
      </w:r>
      <w:r>
        <w:rPr>
          <w:rFonts w:ascii="Arial" w:cs="Arial" w:eastAsia="Arial" w:hAnsi="Arial"/>
          <w:sz w:val="18"/>
          <w:szCs w:val="18"/>
          <w:color w:val="auto"/>
        </w:rPr>
        <w:t>request, demand, authorization, direction, notice, consent, waiver or other action hereunder,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 Securities owned by the Company or any other obligor upon the Securities or any Affiliate of the Company or of such other obligor</w:t>
      </w:r>
    </w:p>
    <w:p>
      <w:pPr>
        <w:spacing w:after="0" w:line="61" w:lineRule="exact"/>
        <w:rPr>
          <w:sz w:val="20"/>
          <w:szCs w:val="20"/>
          <w:color w:val="auto"/>
        </w:rPr>
      </w:pPr>
    </w:p>
    <w:p>
      <w:pPr>
        <w:ind w:left="660" w:right="40"/>
        <w:spacing w:after="0" w:line="291" w:lineRule="auto"/>
        <w:rPr>
          <w:sz w:val="20"/>
          <w:szCs w:val="20"/>
          <w:color w:val="auto"/>
        </w:rPr>
      </w:pPr>
      <w:r>
        <w:rPr>
          <w:rFonts w:ascii="Arial" w:cs="Arial" w:eastAsia="Arial" w:hAnsi="Arial"/>
          <w:sz w:val="16"/>
          <w:szCs w:val="16"/>
          <w:color w:val="auto"/>
        </w:rPr>
        <w:t>(unless the Company, such Affiliate or such obligor owns (x) all Securities Outstanding under this Indenture or (y) except for the purposes of actions to be taken by Holders of more than one series or Tranche voting as a class, all Outstanding Securities of each such series and each such Tranche, as the case may be, determined without regard to this clause) shall be disregarded and deemed not to be Outstanding, except that, in determining whether the Trustee shall be protected in relying upon any such request, demand, authorization, direction, notice, consent or waiver, only Securities that the Trustee knows to be so owned shall be so disregarded. Securities so owned that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(ii) in determining whether the Holders of the requisite principal amount of Securities of any series or Tranche have concurred in any</w:t>
      </w:r>
    </w:p>
    <w:p>
      <w:pPr>
        <w:spacing w:after="0" w:line="6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direction, waiver or consent, the principal amount of Original Issue Discount Securities that shall be deemed to be outstanding shall be the amount of the principal thereof that would be due and payable as of the date of such determination upon acceleration of the maturity thereof pursuant to Section 502;</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(iii) in the case of any Security the principal of that is payable from time to time without presentment or surrender, the principal amount of</w:t>
      </w:r>
    </w:p>
    <w:p>
      <w:pPr>
        <w:spacing w:after="0" w:line="73"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such Security that shall be deemed to be Outstanding at any time for all purposes of this Indenture shall be the original principal amount thereof less the aggregate amount of principal thereof theretofore paid; and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(iv) in the case of Securities having been denominated in a currency other than Dollars and remaining outstanding contemporaneously with</w:t>
      </w:r>
    </w:p>
    <w:p>
      <w:pPr>
        <w:spacing w:after="0" w:line="73" w:lineRule="exact"/>
        <w:rPr>
          <w:sz w:val="20"/>
          <w:szCs w:val="20"/>
          <w:color w:val="auto"/>
        </w:rPr>
      </w:pPr>
    </w:p>
    <w:p>
      <w:pPr>
        <w:ind w:left="660" w:right="500"/>
        <w:spacing w:after="0" w:line="308" w:lineRule="auto"/>
        <w:rPr>
          <w:sz w:val="20"/>
          <w:szCs w:val="20"/>
          <w:color w:val="auto"/>
        </w:rPr>
      </w:pPr>
      <w:r>
        <w:rPr>
          <w:rFonts w:ascii="Arial" w:cs="Arial" w:eastAsia="Arial" w:hAnsi="Arial"/>
          <w:sz w:val="17"/>
          <w:szCs w:val="17"/>
          <w:color w:val="auto"/>
        </w:rPr>
        <w:t>Securities denominated in Dollars, the principal amount of any Security that is denominated in a currency other than Dollars or in a composite currency that shall be deemed to be Outstanding for such purposes shall be determined as contemplated by Section 301(b).</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4" w:name="page45"/>
    <w:bookmarkEnd w:id="44"/>
    <w:p>
      <w:pPr>
        <w:ind w:right="3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Paying Agent</w:t>
      </w:r>
      <w:r>
        <w:rPr>
          <w:rFonts w:ascii="Arial" w:cs="Arial" w:eastAsia="Arial" w:hAnsi="Arial"/>
          <w:sz w:val="18"/>
          <w:szCs w:val="18"/>
          <w:color w:val="auto"/>
        </w:rPr>
        <w:t>” means any Person, including the Company, authorized by the Company to pay the principal of (and premium, if any) or interest on any Securities on behalf of the Company.</w:t>
      </w:r>
    </w:p>
    <w:p>
      <w:pPr>
        <w:spacing w:after="0" w:line="170" w:lineRule="exact"/>
        <w:rPr>
          <w:sz w:val="20"/>
          <w:szCs w:val="20"/>
          <w:color w:val="auto"/>
        </w:rPr>
      </w:pPr>
    </w:p>
    <w:p>
      <w:pPr>
        <w:ind w:right="20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Periodic Offering</w:t>
      </w:r>
      <w:r>
        <w:rPr>
          <w:rFonts w:ascii="Arial" w:cs="Arial" w:eastAsia="Arial" w:hAnsi="Arial"/>
          <w:sz w:val="18"/>
          <w:szCs w:val="18"/>
          <w:color w:val="auto"/>
        </w:rPr>
        <w:t>” means an offering of Securities of a series from time to time any or all of the specific terms of which Securities, including without limitation the rate or rates of interest, if any, thereon, the Stated Maturity or Maturities thereof and the redemption provisions, if any, with respect thereto, are to be determined by the Company or its agents from time to time subsequent to the initial request for the authentication and delivery of such Securities by the Trustee, all as contemplated in Sections 301 and 303.</w:t>
      </w:r>
    </w:p>
    <w:p>
      <w:pPr>
        <w:spacing w:after="0" w:line="187"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corporation, partnership, joint venture, trust, unincorporated organization or government or any agency or political subdivision thereof.</w:t>
      </w:r>
    </w:p>
    <w:p>
      <w:pPr>
        <w:spacing w:after="0" w:line="170" w:lineRule="exact"/>
        <w:rPr>
          <w:sz w:val="20"/>
          <w:szCs w:val="20"/>
          <w:color w:val="auto"/>
        </w:rPr>
      </w:pPr>
    </w:p>
    <w:p>
      <w:pPr>
        <w:ind w:right="16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Place of Payment</w:t>
      </w:r>
      <w:r>
        <w:rPr>
          <w:rFonts w:ascii="Arial" w:cs="Arial" w:eastAsia="Arial" w:hAnsi="Arial"/>
          <w:sz w:val="16"/>
          <w:szCs w:val="16"/>
          <w:color w:val="auto"/>
        </w:rPr>
        <w:t>”, when used with respect to the Securities of any series, or any Tranche thereof, means the place or places where the principal of (and premium, if any) and interest, if any, on the Securities of that series or Tranche are payable as specified as contemplated by Section 301(b).</w:t>
      </w:r>
    </w:p>
    <w:p>
      <w:pPr>
        <w:spacing w:after="0" w:line="124" w:lineRule="exact"/>
        <w:rPr>
          <w:sz w:val="20"/>
          <w:szCs w:val="20"/>
          <w:color w:val="auto"/>
        </w:rPr>
      </w:pPr>
    </w:p>
    <w:p>
      <w:pPr>
        <w:ind w:right="140"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Predecessor Security</w:t>
      </w:r>
      <w:r>
        <w:rPr>
          <w:rFonts w:ascii="Arial" w:cs="Arial" w:eastAsia="Arial" w:hAnsi="Arial"/>
          <w:sz w:val="16"/>
          <w:szCs w:val="16"/>
          <w:color w:val="auto"/>
        </w:rPr>
        <w:t>”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Redemption Date</w:t>
      </w:r>
      <w:r>
        <w:rPr>
          <w:rFonts w:ascii="Arial" w:cs="Arial" w:eastAsia="Arial" w:hAnsi="Arial"/>
          <w:sz w:val="16"/>
          <w:szCs w:val="16"/>
          <w:color w:val="auto"/>
        </w:rPr>
        <w:t>”, when used with respect to any Security to be redeemed, means the date fixed for such redemption by or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Indenture.</w:t>
      </w:r>
    </w:p>
    <w:p>
      <w:pPr>
        <w:spacing w:after="0" w:line="211"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Redemption Price</w:t>
      </w:r>
      <w:r>
        <w:rPr>
          <w:rFonts w:ascii="Arial" w:cs="Arial" w:eastAsia="Arial" w:hAnsi="Arial"/>
          <w:sz w:val="18"/>
          <w:szCs w:val="18"/>
          <w:color w:val="auto"/>
        </w:rPr>
        <w:t>”, when used with respect to any Security to be redeemed, means the price at which it is to be redeemed pursuant to this Indenture, exclusive of accrued and unpaid interest, if any.</w:t>
      </w:r>
    </w:p>
    <w:p>
      <w:pPr>
        <w:spacing w:after="0" w:line="170"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Regular Record Date</w:t>
      </w:r>
      <w:r>
        <w:rPr>
          <w:rFonts w:ascii="Arial" w:cs="Arial" w:eastAsia="Arial" w:hAnsi="Arial"/>
          <w:sz w:val="18"/>
          <w:szCs w:val="18"/>
          <w:color w:val="auto"/>
        </w:rPr>
        <w:t>” for the interest payable on any Interest Payment Date on the Securities of any series means the date specified for that purpose as contemplated by Section 301(b).</w:t>
      </w:r>
    </w:p>
    <w:p>
      <w:pPr>
        <w:spacing w:after="0" w:line="170"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Repayment Date</w:t>
      </w:r>
      <w:r>
        <w:rPr>
          <w:rFonts w:ascii="Arial" w:cs="Arial" w:eastAsia="Arial" w:hAnsi="Arial"/>
          <w:sz w:val="18"/>
          <w:szCs w:val="18"/>
          <w:color w:val="auto"/>
        </w:rPr>
        <w:t>”, when used with respect to any Security of any series to be repaid or repurchased, means the date, if any, fixed for such repayment or for such repurchase (whether at the option of the Holders or otherwise) pursuant to this Indenture.</w:t>
      </w:r>
    </w:p>
    <w:p>
      <w:pPr>
        <w:spacing w:after="0" w:line="170"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Repayment Price</w:t>
      </w:r>
      <w:r>
        <w:rPr>
          <w:rFonts w:ascii="Arial" w:cs="Arial" w:eastAsia="Arial" w:hAnsi="Arial"/>
          <w:sz w:val="18"/>
          <w:szCs w:val="18"/>
          <w:color w:val="auto"/>
        </w:rPr>
        <w:t>”, when used with respect to any Security of any series to be repaid, means the price, if any, at which it is to be repaid pursuant to Section 301(b).</w:t>
      </w:r>
    </w:p>
    <w:p>
      <w:pPr>
        <w:spacing w:after="0" w:line="170" w:lineRule="exact"/>
        <w:rPr>
          <w:sz w:val="20"/>
          <w:szCs w:val="20"/>
          <w:color w:val="auto"/>
        </w:rPr>
      </w:pPr>
    </w:p>
    <w:p>
      <w:pPr>
        <w:ind w:right="280"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Responsible Officer</w:t>
      </w:r>
      <w:r>
        <w:rPr>
          <w:rFonts w:ascii="Arial" w:cs="Arial" w:eastAsia="Arial" w:hAnsi="Arial"/>
          <w:sz w:val="16"/>
          <w:szCs w:val="16"/>
          <w:color w:val="auto"/>
        </w:rPr>
        <w:t>”, when used with respect to the Trustee, means any officer within the corporate trust department or any other successor group of the Trustee, including any vice president, assistant vice president, assistant secretary or any other officer of the Trustee customarily performing functions similar to those performed by any of the above designated officers and also means, with respect to a particular corporate trust matter, any other officer of the Trustee to whom such matter is referred because of his or her knowledge of and familiarity with the particular subject.</w:t>
      </w:r>
    </w:p>
    <w:p>
      <w:pPr>
        <w:spacing w:after="0" w:line="154" w:lineRule="exact"/>
        <w:rPr>
          <w:sz w:val="20"/>
          <w:szCs w:val="20"/>
          <w:color w:val="auto"/>
        </w:rPr>
      </w:pPr>
    </w:p>
    <w:p>
      <w:pPr>
        <w:ind w:right="7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Security</w:t>
      </w:r>
      <w:r>
        <w:rPr>
          <w:rFonts w:ascii="Arial" w:cs="Arial" w:eastAsia="Arial" w:hAnsi="Arial"/>
          <w:sz w:val="18"/>
          <w:szCs w:val="18"/>
          <w:color w:val="auto"/>
        </w:rPr>
        <w:t>” or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has the meaning stated in the first recital of this Indenture and, more particularly, means any Security or Securities authenticated and delivered under this Indenture.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Security Register</w:t>
      </w:r>
      <w:r>
        <w:rPr>
          <w:rFonts w:ascii="Arial" w:cs="Arial" w:eastAsia="Arial" w:hAnsi="Arial"/>
          <w:sz w:val="18"/>
          <w:szCs w:val="18"/>
          <w:color w:val="auto"/>
        </w:rPr>
        <w:t>” and “</w:t>
      </w:r>
      <w:r>
        <w:rPr>
          <w:rFonts w:ascii="Arial" w:cs="Arial" w:eastAsia="Arial" w:hAnsi="Arial"/>
          <w:sz w:val="18"/>
          <w:szCs w:val="18"/>
          <w:b w:val="1"/>
          <w:bCs w:val="1"/>
          <w:i w:val="1"/>
          <w:iCs w:val="1"/>
          <w:color w:val="auto"/>
        </w:rPr>
        <w:t>Security Registrar</w:t>
      </w:r>
      <w:r>
        <w:rPr>
          <w:rFonts w:ascii="Arial" w:cs="Arial" w:eastAsia="Arial" w:hAnsi="Arial"/>
          <w:sz w:val="18"/>
          <w:szCs w:val="18"/>
          <w:color w:val="auto"/>
        </w:rPr>
        <w:t>” have the respective meanings specified in Section 305.</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w:t>
      </w:r>
      <w:r>
        <w:rPr>
          <w:rFonts w:ascii="Arial" w:cs="Arial" w:eastAsia="Arial" w:hAnsi="Arial"/>
          <w:sz w:val="18"/>
          <w:szCs w:val="18"/>
          <w:color w:val="auto"/>
        </w:rPr>
        <w:t>” or “</w:t>
      </w:r>
      <w:r>
        <w:rPr>
          <w:rFonts w:ascii="Arial" w:cs="Arial" w:eastAsia="Arial" w:hAnsi="Arial"/>
          <w:sz w:val="18"/>
          <w:szCs w:val="18"/>
          <w:b w:val="1"/>
          <w:bCs w:val="1"/>
          <w:i w:val="1"/>
          <w:iCs w:val="1"/>
          <w:color w:val="auto"/>
        </w:rPr>
        <w:t>series of Securities</w:t>
      </w:r>
      <w:r>
        <w:rPr>
          <w:rFonts w:ascii="Arial" w:cs="Arial" w:eastAsia="Arial" w:hAnsi="Arial"/>
          <w:sz w:val="18"/>
          <w:szCs w:val="18"/>
          <w:color w:val="auto"/>
        </w:rPr>
        <w:t>” means a series of Securities issued under this Indenture as determined by Board Resolution or as otherwise determined under this Indenture.</w:t>
      </w:r>
    </w:p>
    <w:p>
      <w:pPr>
        <w:spacing w:after="0" w:line="170"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Special Record Date</w:t>
      </w:r>
      <w:r>
        <w:rPr>
          <w:rFonts w:ascii="Arial" w:cs="Arial" w:eastAsia="Arial" w:hAnsi="Arial"/>
          <w:sz w:val="18"/>
          <w:szCs w:val="18"/>
          <w:color w:val="auto"/>
        </w:rPr>
        <w:t>” for the payment of any Defaulted Interest means a date fixed by the Company pursuant to Section 307.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5" w:name="page46"/>
    <w:bookmarkEnd w:id="45"/>
    <w:p>
      <w:pPr>
        <w:ind w:right="60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Stated Maturity</w:t>
      </w:r>
      <w:r>
        <w:rPr>
          <w:rFonts w:ascii="Arial" w:cs="Arial" w:eastAsia="Arial" w:hAnsi="Arial"/>
          <w:sz w:val="16"/>
          <w:szCs w:val="16"/>
          <w:color w:val="auto"/>
        </w:rPr>
        <w:t>”,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124"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of any Person means (a) any corporation, association or other business entity of which more than 50% of the outstanding total voting power ordinarily entitled (without regard to the occurrence of any contingency) to vote in the election of directors, managers, trustees or other voting members of the governing body thereof is at the time owned or controlled, directly or indirectly, by the Company or by one or more other Subsidiaries, or by the Company and one or more other Subsidiaries or (b) any partnership the sole general partner or the managing general partner of which is the Company or a Subsidiary of the Company or the only general partners of which are the Company or of one or more Subsidiaries of the Company (or any combination thereof).</w:t>
      </w:r>
    </w:p>
    <w:p>
      <w:pPr>
        <w:spacing w:after="0" w:line="193" w:lineRule="exact"/>
        <w:rPr>
          <w:sz w:val="20"/>
          <w:szCs w:val="20"/>
          <w:color w:val="auto"/>
        </w:rPr>
      </w:pPr>
    </w:p>
    <w:p>
      <w:pPr>
        <w:ind w:right="8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Tranche</w:t>
      </w:r>
      <w:r>
        <w:rPr>
          <w:rFonts w:ascii="Arial" w:cs="Arial" w:eastAsia="Arial" w:hAnsi="Arial"/>
          <w:sz w:val="17"/>
          <w:szCs w:val="17"/>
          <w:color w:val="auto"/>
        </w:rPr>
        <w:t>” means a group of Securities which (a) are of the same series and (b) have identical terms to other Tranches of such series except as to principal amount, date of issuance or first interest payment date, each of which may vary among Tranches of any one series.</w:t>
      </w:r>
    </w:p>
    <w:p>
      <w:pPr>
        <w:spacing w:after="0" w:line="147"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means the Person named as the “Trustee” in the first paragraph of this instrument until a successor Trustee shall have been appointed with respect to one or more series of Securities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7"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 Indenture Act</w:t>
      </w:r>
      <w:r>
        <w:rPr>
          <w:rFonts w:ascii="Arial" w:cs="Arial" w:eastAsia="Arial" w:hAnsi="Arial"/>
          <w:sz w:val="18"/>
          <w:szCs w:val="18"/>
          <w:color w:val="auto"/>
        </w:rPr>
        <w:t>” means the Trust Indenture Act of 1939 as in force at the date as of which this instrument was executed, except as provided in Section 905.</w:t>
      </w:r>
    </w:p>
    <w:p>
      <w:pPr>
        <w:spacing w:after="0" w:line="170"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U.S. Government Obligations</w:t>
      </w:r>
      <w:r>
        <w:rPr>
          <w:rFonts w:ascii="Arial" w:cs="Arial" w:eastAsia="Arial" w:hAnsi="Arial"/>
          <w:sz w:val="17"/>
          <w:szCs w:val="17"/>
          <w:color w:val="auto"/>
        </w:rPr>
        <w:t>” means (x) any security that is (i) a direct obligation of the United States of America for the payment of which the full faith and credit of the United States of America are pledged or (ii) an obligation of a Person controlled or supervised by and acting as an agency or instrumentality of the United States of America the payment of which is unconditionally guaranteed as a full faith and credit obligation by the United States of America, and (y) any depositary receipt issued by a bank (as defined in Section 3(a)(2) of the Securities Act of 1933) as custodian with respect to any U.S. Government Obligation that is specified in clause (x) above and held by such bank for the account of the holder of such depositary receipt, or with respect to any specific payment of principal of or interest on any U.S. Government Obligation which is so specified and held, provided that (except as required by law) such custodian is not authorized to make any deduction from the amount payable to the holder of such depositary receipt from any amount received by the custodian in respect of the U.S. Government Obligation or the specific payment of principal of or interest on the U.S. Government Obligation evidenced by such depositary receipt.</w:t>
      </w:r>
    </w:p>
    <w:p>
      <w:pPr>
        <w:spacing w:after="0" w:line="182"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Vice President</w:t>
      </w:r>
      <w:r>
        <w:rPr>
          <w:rFonts w:ascii="Arial" w:cs="Arial" w:eastAsia="Arial" w:hAnsi="Arial"/>
          <w:sz w:val="18"/>
          <w:szCs w:val="18"/>
          <w:color w:val="auto"/>
        </w:rPr>
        <w:t>”, when used with respect to the Company or the Trustee, means any vice president, whether or not designated by a number or a word or words added before or after the title “vice president”.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i w:val="1"/>
          <w:iCs w:val="1"/>
          <w:color w:val="auto"/>
        </w:rPr>
        <w:t>Compliance Certificates and Opinions</w:t>
      </w:r>
      <w:r>
        <w:rPr>
          <w:rFonts w:ascii="Arial" w:cs="Arial" w:eastAsia="Arial" w:hAnsi="Arial"/>
          <w:sz w:val="16"/>
          <w:szCs w:val="16"/>
          <w:color w:val="auto"/>
        </w:rPr>
        <w:t>. (a) Except as otherwise expressly provided in this Indenture, upon any application or</w:t>
      </w:r>
    </w:p>
    <w:p>
      <w:pPr>
        <w:spacing w:after="0" w:line="7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request by the Company to the Trustee to take any action under any provision of this Indenture, the Company shall, if requested by the Trustee,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73" w:lineRule="exact"/>
        <w:rPr>
          <w:sz w:val="20"/>
          <w:szCs w:val="20"/>
          <w:color w:val="auto"/>
        </w:rPr>
      </w:pPr>
    </w:p>
    <w:p>
      <w:pPr>
        <w:ind w:right="840" w:firstLine="1305"/>
        <w:spacing w:after="0" w:line="357" w:lineRule="auto"/>
        <w:tabs>
          <w:tab w:leader="none" w:pos="15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Every certificate or opinion with respect to compliance with a condition or covenant provided for in this Indenture (except for certificates provided for in Section 1004) shall include:</w:t>
      </w:r>
    </w:p>
    <w:p>
      <w:pPr>
        <w:spacing w:after="0" w:line="10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 a statement that each individual signing such certificate or opinion has read such covenant or condition and the definitions herein relating</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6" w:name="page47"/>
    <w:bookmarkEnd w:id="46"/>
    <w:p>
      <w:pPr>
        <w:ind w:left="660" w:right="100" w:firstLine="645"/>
        <w:spacing w:after="0" w:line="324" w:lineRule="auto"/>
        <w:tabs>
          <w:tab w:leader="none" w:pos="1532"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29" w:lineRule="exact"/>
        <w:rPr>
          <w:rFonts w:ascii="Arial" w:cs="Arial" w:eastAsia="Arial" w:hAnsi="Arial"/>
          <w:sz w:val="18"/>
          <w:szCs w:val="18"/>
          <w:color w:val="auto"/>
        </w:rPr>
      </w:pPr>
    </w:p>
    <w:p>
      <w:pPr>
        <w:ind w:left="660" w:right="180" w:firstLine="645"/>
        <w:spacing w:after="0" w:line="324" w:lineRule="auto"/>
        <w:tabs>
          <w:tab w:leader="none" w:pos="1532"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129" w:lineRule="exact"/>
        <w:rPr>
          <w:rFonts w:ascii="Arial" w:cs="Arial" w:eastAsia="Arial" w:hAnsi="Arial"/>
          <w:sz w:val="18"/>
          <w:szCs w:val="18"/>
          <w:color w:val="auto"/>
        </w:rPr>
      </w:pPr>
    </w:p>
    <w:p>
      <w:pPr>
        <w:ind w:left="1520" w:hanging="215"/>
        <w:spacing w:after="0"/>
        <w:tabs>
          <w:tab w:leader="none" w:pos="15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statement as to whether, in the opinion of each such individual, such condition or covenant has been complied with.</w:t>
      </w:r>
    </w:p>
    <w:p>
      <w:pPr>
        <w:spacing w:after="0" w:line="27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i w:val="1"/>
          <w:iCs w:val="1"/>
          <w:color w:val="auto"/>
        </w:rPr>
        <w:t>Form of Documents Delivered to Trustee</w:t>
      </w:r>
      <w:r>
        <w:rPr>
          <w:rFonts w:ascii="Arial" w:cs="Arial" w:eastAsia="Arial" w:hAnsi="Arial"/>
          <w:sz w:val="16"/>
          <w:szCs w:val="16"/>
          <w:color w:val="auto"/>
        </w:rPr>
        <w:t>. (a) In any case where several matters are required to be certified by, or covered by</w:t>
      </w:r>
    </w:p>
    <w:p>
      <w:pPr>
        <w:spacing w:after="0" w:line="7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 Any certificate, statement or opinion of an officer of the Company may be based, insofar as it relates to legal matters, upon a certificate</w:t>
      </w:r>
    </w:p>
    <w:p>
      <w:pPr>
        <w:spacing w:after="0" w:line="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or an Opinion of Counsel, or representations by counsel. Any such certificate, statement or Opinion of Counsel may be based, insofar as it relates to factual matters, upon a certificate, statement or opinion of, or representations by, an officer or officers of the Company stating that the information with respect to such factual matters is in the possession of the Company. Any certificate, statement or opinion of an officer of the Company or of counsel may be based, insofar as it relates to accounting matters, upon a certificate, statement or opinion of, or representations by, an accountant or firm of accountants in the employ of the Company. Any certificate, statement or opinion of, or representations by, any independent firm of public accountants filed with the Trustee shall contain a statement that such firm is independent.</w:t>
      </w:r>
    </w:p>
    <w:p>
      <w:pPr>
        <w:spacing w:after="0" w:line="193" w:lineRule="exact"/>
        <w:rPr>
          <w:sz w:val="20"/>
          <w:szCs w:val="20"/>
          <w:color w:val="auto"/>
        </w:rPr>
      </w:pPr>
    </w:p>
    <w:p>
      <w:pPr>
        <w:ind w:right="100" w:firstLine="1305"/>
        <w:spacing w:after="0" w:line="357" w:lineRule="auto"/>
        <w:tabs>
          <w:tab w:leader="none" w:pos="151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0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SECTION 104. </w:t>
      </w:r>
      <w:r>
        <w:rPr>
          <w:rFonts w:ascii="Arial" w:cs="Arial" w:eastAsia="Arial" w:hAnsi="Arial"/>
          <w:sz w:val="17"/>
          <w:szCs w:val="17"/>
          <w:i w:val="1"/>
          <w:iCs w:val="1"/>
          <w:color w:val="auto"/>
        </w:rPr>
        <w:t>Acts of Holders</w:t>
      </w:r>
      <w:r>
        <w:rPr>
          <w:rFonts w:ascii="Arial" w:cs="Arial" w:eastAsia="Arial" w:hAnsi="Arial"/>
          <w:sz w:val="17"/>
          <w:szCs w:val="17"/>
          <w:color w:val="auto"/>
        </w:rPr>
        <w:t>. (a) Any request, demand, authorization, direction, notice, consent, waiver or other action provided or</w:t>
      </w:r>
    </w:p>
    <w:p>
      <w:pPr>
        <w:spacing w:after="0" w:line="6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permitted by this Indenture to be made, given or taken by Holders may be embodied in and evidenced by one or more instruments of substantially similar tenor signed by such Holders in person or by an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Section 601) conclusive in favor of the Trustee and the Company, if made in the manner provided in this Section.</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 The fact and date of the execution by any Person of any such instrument or writing may be proved by the affidavit of a witness of such</w:t>
      </w:r>
    </w:p>
    <w:p>
      <w:pPr>
        <w:spacing w:after="0" w:line="7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acceptable to the Trustee.</w:t>
      </w:r>
    </w:p>
    <w:p>
      <w:pPr>
        <w:spacing w:after="0" w:line="171" w:lineRule="exact"/>
        <w:rPr>
          <w:sz w:val="20"/>
          <w:szCs w:val="20"/>
          <w:color w:val="auto"/>
        </w:rPr>
      </w:pPr>
    </w:p>
    <w:p>
      <w:pPr>
        <w:ind w:right="560" w:firstLine="1305"/>
        <w:spacing w:after="0" w:line="357" w:lineRule="auto"/>
        <w:tabs>
          <w:tab w:leader="none" w:pos="151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principal amount (except as otherwise contemplated in clause (ii) of the proviso to the definition of “Outstanding”) and serial numbers of Securities held by any Person, and the date of holding the same, shall be proved by the Security Register.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7" w:name="page48"/>
    <w:bookmarkEnd w:id="47"/>
    <w:p>
      <w:pPr>
        <w:ind w:left="1300"/>
        <w:spacing w:after="0"/>
        <w:rPr>
          <w:sz w:val="20"/>
          <w:szCs w:val="20"/>
          <w:color w:val="auto"/>
        </w:rPr>
      </w:pPr>
      <w:r>
        <w:rPr>
          <w:rFonts w:ascii="Arial" w:cs="Arial" w:eastAsia="Arial" w:hAnsi="Arial"/>
          <w:sz w:val="17"/>
          <w:szCs w:val="17"/>
          <w:color w:val="auto"/>
        </w:rPr>
        <w:t>(d) Any request, demand, authorization, direction, notice, consent, election, waiver or other Act of the Holder of any Security shall bind</w:t>
      </w:r>
    </w:p>
    <w:p>
      <w:pPr>
        <w:spacing w:after="0" w:line="6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(e) The Company may set a record date for purposes of determining the identity of Holders of any Outstanding Securities of any series</w:t>
      </w:r>
    </w:p>
    <w:p>
      <w:pPr>
        <w:spacing w:after="0" w:line="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entitled to vote or consent to any action by vote or consent authorized or permitted by Section 512 or 513. Such record date shall be not less than 10 nor more than 60 days prior to the first solicitation of such consent or the date of the most recent list of Holders of such Securities furnished to the Trustee pursuant to Section 701 prior to such solicitation.</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(f) If the Company solicits from Holders any request, demand, authorization, direction, notice, consent, election, waiver or other Act, the</w:t>
      </w:r>
    </w:p>
    <w:p>
      <w:pPr>
        <w:spacing w:after="0" w:line="73"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Company may, at its option, fix in advance a record date for the determination of Holders entitled to give such request, demand, authorization, direction, notice, consent, election, waiver or other Act, but the Company shall have no obligation to do so. If such a record date is fixed, such request, demand, authorization, direction, notice, consent, election, waiver or other Act may be given before or after such record date, but only the Holders of record at the close of business on the record date shall be deemed to be Holders for the purposes of determining whether Holders of the requisite proportion of the Outstanding Securities have authorized or agreed or consented to such request, demand, authorization, direction, notice, consent, election, waiver or other Act, and for that purpose the Outstanding Securities shall be computed as of the record date.</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i w:val="1"/>
          <w:iCs w:val="1"/>
          <w:color w:val="auto"/>
        </w:rPr>
        <w:t>Notices, Etc. to Trustee and Company</w:t>
      </w:r>
      <w:r>
        <w:rPr>
          <w:rFonts w:ascii="Arial" w:cs="Arial" w:eastAsia="Arial" w:hAnsi="Arial"/>
          <w:sz w:val="16"/>
          <w:szCs w:val="16"/>
          <w:color w:val="auto"/>
        </w:rPr>
        <w:t>. Except as otherwise provided herein, any request, demand, authorization, direction,</w:t>
      </w:r>
    </w:p>
    <w:p>
      <w:pPr>
        <w:spacing w:after="0" w:line="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notice, consent, election, waiver or Act of Holders or other document provided or permitted by this Indenture to be made upon, given or furnished to, or filed with,</w:t>
      </w:r>
    </w:p>
    <w:p>
      <w:pPr>
        <w:spacing w:after="0" w:line="170" w:lineRule="exact"/>
        <w:rPr>
          <w:sz w:val="20"/>
          <w:szCs w:val="20"/>
          <w:color w:val="auto"/>
        </w:rPr>
      </w:pPr>
    </w:p>
    <w:p>
      <w:pPr>
        <w:ind w:left="660" w:firstLine="645"/>
        <w:spacing w:after="0" w:line="357" w:lineRule="auto"/>
        <w:tabs>
          <w:tab w:leader="none" w:pos="1521"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Trustee by any Holder or by the Company shall be sufficient for every purpose hereunder if made, given, furnished or filed in writing to or with the Trustee at its Corporate Trust Office, Attention: •, or</w:t>
      </w:r>
    </w:p>
    <w:p>
      <w:pPr>
        <w:spacing w:after="0" w:line="107" w:lineRule="exact"/>
        <w:rPr>
          <w:rFonts w:ascii="Arial" w:cs="Arial" w:eastAsia="Arial" w:hAnsi="Arial"/>
          <w:sz w:val="17"/>
          <w:szCs w:val="17"/>
          <w:color w:val="auto"/>
        </w:rPr>
      </w:pPr>
    </w:p>
    <w:p>
      <w:pPr>
        <w:ind w:left="1520" w:hanging="215"/>
        <w:spacing w:after="0"/>
        <w:tabs>
          <w:tab w:leader="none" w:pos="15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Company by the Trustee or by any Holder shall be sufficient for every purpose hereunder (unless otherwise herein expressly</w:t>
      </w:r>
    </w:p>
    <w:p>
      <w:pPr>
        <w:spacing w:after="0" w:line="61" w:lineRule="exact"/>
        <w:rPr>
          <w:sz w:val="20"/>
          <w:szCs w:val="20"/>
          <w:color w:val="auto"/>
        </w:rPr>
      </w:pPr>
    </w:p>
    <w:p>
      <w:pPr>
        <w:ind w:left="660" w:right="280"/>
        <w:spacing w:after="0" w:line="308" w:lineRule="auto"/>
        <w:rPr>
          <w:sz w:val="20"/>
          <w:szCs w:val="20"/>
          <w:color w:val="auto"/>
        </w:rPr>
      </w:pPr>
      <w:r>
        <w:rPr>
          <w:rFonts w:ascii="Arial" w:cs="Arial" w:eastAsia="Arial" w:hAnsi="Arial"/>
          <w:sz w:val="17"/>
          <w:szCs w:val="17"/>
          <w:color w:val="auto"/>
        </w:rPr>
        <w:t>provided) if in writing and mailed, first-class postage prepaid, to the Company addressed to it at the address of its principal office specified in the first paragraph of this instrument or at any other address furnished in writing to the Trustee by the Company prior to such mailing.</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i w:val="1"/>
          <w:iCs w:val="1"/>
          <w:color w:val="auto"/>
        </w:rPr>
        <w:t>Notice to Holders; Waiver</w:t>
      </w:r>
      <w:r>
        <w:rPr>
          <w:rFonts w:ascii="Arial" w:cs="Arial" w:eastAsia="Arial" w:hAnsi="Arial"/>
          <w:sz w:val="16"/>
          <w:szCs w:val="16"/>
          <w:color w:val="auto"/>
        </w:rPr>
        <w:t>. (a) Except as otherwise expressly provided herein, where this Indenture provides for notice of</w:t>
      </w:r>
    </w:p>
    <w:p>
      <w:pPr>
        <w:spacing w:after="0" w:line="73"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any event or reports to Holders, such notice or report shall be sufficiently given if in writing and mailed, first-class postage prepaid or electronically in the case of Global Securities, to each Holder of Securities affected by such event, at the address of such Holder as it appears in the Security Register and to addresses filed with the Trustee or preserved on the Trustee’s list pursuant to Section 702(a) for other Holders (and to such other addressees as may be required in the case of such notice or report under Section 313(c) of the Trust Indenture Act), not later than the latest date, and not earlier than the earliest date, prescribed for the giving of such notice or report.</w:t>
      </w:r>
    </w:p>
    <w:p>
      <w:pPr>
        <w:spacing w:after="0" w:line="188" w:lineRule="exact"/>
        <w:rPr>
          <w:sz w:val="20"/>
          <w:szCs w:val="20"/>
          <w:color w:val="auto"/>
        </w:rPr>
      </w:pPr>
    </w:p>
    <w:p>
      <w:pPr>
        <w:ind w:right="260" w:firstLine="1305"/>
        <w:spacing w:after="0" w:line="357" w:lineRule="auto"/>
        <w:tabs>
          <w:tab w:leader="none" w:pos="15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 any case where notice to Holders is given by mail, neither the failure to mail such notice, nor any defect in any notice so mailed, to any particular Holder shall affect the sufficiency of such notice with respect to other Holders.</w:t>
      </w:r>
    </w:p>
    <w:p>
      <w:pPr>
        <w:spacing w:after="0" w:line="107" w:lineRule="exact"/>
        <w:rPr>
          <w:rFonts w:ascii="Arial" w:cs="Arial" w:eastAsia="Arial" w:hAnsi="Arial"/>
          <w:sz w:val="17"/>
          <w:szCs w:val="17"/>
          <w:color w:val="auto"/>
        </w:rPr>
      </w:pPr>
    </w:p>
    <w:p>
      <w:pPr>
        <w:ind w:left="1520" w:hanging="215"/>
        <w:spacing w:after="0"/>
        <w:tabs>
          <w:tab w:leader="none" w:pos="15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Where this Indenture provides for notice in any manner, such notice may be waived in writing by the Person entitled to receive such</w:t>
      </w:r>
    </w:p>
    <w:p>
      <w:pPr>
        <w:spacing w:after="0" w:line="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8" w:name="page49"/>
    <w:bookmarkEnd w:id="48"/>
    <w:p>
      <w:pPr>
        <w:ind w:left="1300"/>
        <w:spacing w:after="0"/>
        <w:rPr>
          <w:sz w:val="20"/>
          <w:szCs w:val="20"/>
          <w:color w:val="auto"/>
        </w:rPr>
      </w:pPr>
      <w:r>
        <w:rPr>
          <w:rFonts w:ascii="Arial" w:cs="Arial" w:eastAsia="Arial" w:hAnsi="Arial"/>
          <w:sz w:val="16"/>
          <w:szCs w:val="16"/>
          <w:color w:val="auto"/>
        </w:rPr>
        <w:t>(d) Notwithstanding any other provision of this Indenture or any Security, where this Indenture or any Security provides for notice of any</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event (including any notice of redemption) to a holder of a Global Security (whether by mail or otherwise), such notice shall be sufficiently given if given to the Depositary for such Security (or its designee) pursuant to the applicable procedures of the Depositary.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SECTION 107. </w:t>
      </w:r>
      <w:r>
        <w:rPr>
          <w:rFonts w:ascii="Arial" w:cs="Arial" w:eastAsia="Arial" w:hAnsi="Arial"/>
          <w:sz w:val="17"/>
          <w:szCs w:val="17"/>
          <w:i w:val="1"/>
          <w:iCs w:val="1"/>
          <w:color w:val="auto"/>
        </w:rPr>
        <w:t>Conflict With Trust Indenture Act</w:t>
      </w:r>
      <w:r>
        <w:rPr>
          <w:rFonts w:ascii="Arial" w:cs="Arial" w:eastAsia="Arial" w:hAnsi="Arial"/>
          <w:sz w:val="17"/>
          <w:szCs w:val="17"/>
          <w:color w:val="auto"/>
        </w:rPr>
        <w:t>. If any provision hereof limits, qualifies or conflicts with a provision of the Trust</w:t>
      </w:r>
    </w:p>
    <w:p>
      <w:pPr>
        <w:spacing w:after="0" w:line="6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Indenture Act that is required under the Trust Indenture Act to be a part of and govern this Indenture, the latter provision shall control. If any provision of this Indenture modifies or excludes any provision of the Trust Indenture Act that may be so modified or excluded, the latter provision shall be deemed to apply to this Indenture as so modified or to be excluded, as the case may be.</w:t>
      </w:r>
    </w:p>
    <w:p>
      <w:pPr>
        <w:spacing w:after="0" w:line="181" w:lineRule="exact"/>
        <w:rPr>
          <w:sz w:val="20"/>
          <w:szCs w:val="20"/>
          <w:color w:val="auto"/>
        </w:rPr>
      </w:pPr>
    </w:p>
    <w:p>
      <w:pPr>
        <w:ind w:right="580" w:firstLine="1297"/>
        <w:spacing w:after="0" w:line="324"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i w:val="1"/>
          <w:iCs w:val="1"/>
          <w:color w:val="auto"/>
        </w:rPr>
        <w:t>Effect of Headings and Table of Contents</w:t>
      </w:r>
      <w:r>
        <w:rPr>
          <w:rFonts w:ascii="Arial" w:cs="Arial" w:eastAsia="Arial" w:hAnsi="Arial"/>
          <w:sz w:val="18"/>
          <w:szCs w:val="18"/>
          <w:color w:val="auto"/>
        </w:rPr>
        <w:t>. The Article and Section headings herein and the Table of Contents are for convenience only and shall not affect the construction hereof.</w:t>
      </w:r>
    </w:p>
    <w:p>
      <w:pPr>
        <w:spacing w:after="0" w:line="130" w:lineRule="exact"/>
        <w:rPr>
          <w:sz w:val="20"/>
          <w:szCs w:val="20"/>
          <w:color w:val="auto"/>
        </w:rPr>
      </w:pPr>
    </w:p>
    <w:p>
      <w:pPr>
        <w:ind w:right="460" w:firstLine="1297"/>
        <w:spacing w:after="0" w:line="324"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i w:val="1"/>
          <w:iCs w:val="1"/>
          <w:color w:val="auto"/>
        </w:rPr>
        <w:t>Successors and Assigns</w:t>
      </w:r>
      <w:r>
        <w:rPr>
          <w:rFonts w:ascii="Arial" w:cs="Arial" w:eastAsia="Arial" w:hAnsi="Arial"/>
          <w:sz w:val="18"/>
          <w:szCs w:val="18"/>
          <w:color w:val="auto"/>
        </w:rPr>
        <w:t>. All covenants and agreements in this Indenture by the Company shall bind its successors and assigns, whether so expressed or not.</w:t>
      </w:r>
    </w:p>
    <w:p>
      <w:pPr>
        <w:spacing w:after="0" w:line="130" w:lineRule="exact"/>
        <w:rPr>
          <w:sz w:val="20"/>
          <w:szCs w:val="20"/>
          <w:color w:val="auto"/>
        </w:rPr>
      </w:pPr>
    </w:p>
    <w:p>
      <w:pPr>
        <w:ind w:right="460" w:firstLine="1297"/>
        <w:spacing w:after="0" w:line="324" w:lineRule="auto"/>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i w:val="1"/>
          <w:iCs w:val="1"/>
          <w:color w:val="auto"/>
        </w:rPr>
        <w:t>Separability Clause</w:t>
      </w:r>
      <w:r>
        <w:rPr>
          <w:rFonts w:ascii="Arial" w:cs="Arial" w:eastAsia="Arial" w:hAnsi="Arial"/>
          <w:sz w:val="18"/>
          <w:szCs w:val="18"/>
          <w:color w:val="auto"/>
        </w:rPr>
        <w:t>. In case any provision in this Indenture or in the Securities is invalid, illegal or unenforceable, the validity, legality and enforceability of the remaining provisions shall not in any way be affected or impaired thereby.</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111. </w:t>
      </w:r>
      <w:r>
        <w:rPr>
          <w:rFonts w:ascii="Arial" w:cs="Arial" w:eastAsia="Arial" w:hAnsi="Arial"/>
          <w:sz w:val="16"/>
          <w:szCs w:val="16"/>
          <w:i w:val="1"/>
          <w:iCs w:val="1"/>
          <w:color w:val="auto"/>
        </w:rPr>
        <w:t>Benefits of Indenture</w:t>
      </w:r>
      <w:r>
        <w:rPr>
          <w:rFonts w:ascii="Arial" w:cs="Arial" w:eastAsia="Arial" w:hAnsi="Arial"/>
          <w:sz w:val="16"/>
          <w:szCs w:val="16"/>
          <w:color w:val="auto"/>
        </w:rPr>
        <w:t>. Nothing in this Indenture or in the Securities, express or implied, shall give to any Person, other than</w:t>
      </w:r>
    </w:p>
    <w:p>
      <w:pPr>
        <w:spacing w:after="0" w:line="73"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parties hereto (including any Paying Agent appointed pursuant to Section 1002 and Authenticating Agent appointed pursuant to Section 614 to the extent provided herein) and their successors hereunder and the Holders, any benefit or any legal or equitable right, remedy or claim under this Indenture.</w:t>
      </w:r>
    </w:p>
    <w:p>
      <w:pPr>
        <w:spacing w:after="0" w:line="124" w:lineRule="exact"/>
        <w:rPr>
          <w:sz w:val="20"/>
          <w:szCs w:val="20"/>
          <w:color w:val="auto"/>
        </w:rPr>
      </w:pPr>
    </w:p>
    <w:p>
      <w:pPr>
        <w:ind w:right="260" w:firstLine="1297"/>
        <w:spacing w:after="0" w:line="324"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i w:val="1"/>
          <w:iCs w:val="1"/>
          <w:color w:val="auto"/>
        </w:rPr>
        <w:t>Governing Law</w:t>
      </w:r>
      <w:r>
        <w:rPr>
          <w:rFonts w:ascii="Arial" w:cs="Arial" w:eastAsia="Arial" w:hAnsi="Arial"/>
          <w:sz w:val="18"/>
          <w:szCs w:val="18"/>
          <w:color w:val="auto"/>
        </w:rPr>
        <w:t>. This Indenture and the Securities shall be governed by and construed in accordance with the laws of the State of New York in the United States, but without giving effect to the conflicts of laws principles thereof.</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113. </w:t>
      </w:r>
      <w:r>
        <w:rPr>
          <w:rFonts w:ascii="Arial" w:cs="Arial" w:eastAsia="Arial" w:hAnsi="Arial"/>
          <w:sz w:val="16"/>
          <w:szCs w:val="16"/>
          <w:i w:val="1"/>
          <w:iCs w:val="1"/>
          <w:color w:val="auto"/>
        </w:rPr>
        <w:t>Legal Holidays</w:t>
      </w:r>
      <w:r>
        <w:rPr>
          <w:rFonts w:ascii="Arial" w:cs="Arial" w:eastAsia="Arial" w:hAnsi="Arial"/>
          <w:sz w:val="16"/>
          <w:szCs w:val="16"/>
          <w:color w:val="auto"/>
        </w:rPr>
        <w:t>. In any case where any Interest Payment Date, Redemption Date, Repayment Date or Stated Maturity of any</w:t>
      </w:r>
    </w:p>
    <w:p>
      <w:pPr>
        <w:spacing w:after="0" w:line="7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Security is not a Business Day at any Place of Payment or the city in which the Corporate Trust Office of the Trustee is located, then (notwithstanding any other provision of this Indenture or of the Securities, other than a provision in Securities of any series, or in the Board Resolution, Supplemental Indenture or Officer’s Certificate that establishes the terms of such Securities, that specifically states that such provision shall apply in lieu of this Section) payment of interest or principal (and premium, if any) need not be made at such Place of Payment on such date, but may be made on the next succeeding Business Day at such Place of Payment with the same force and effect as if made on the Interest Payment Date or Redemption Date, Repayment Date, or at the Stated Maturity, and such extension of time shall in such case be (1) excluded in the computation of interest, if any, accruing on such Security at a fixed rate and (2) included in the computation of interest, if any, accruing on such Security at a floating rate;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such extension would cause payment of interest at a floating rate to be made in the next following calendar month, such payment shall be made on the next preceding Business Day.</w:t>
      </w:r>
    </w:p>
    <w:p>
      <w:pPr>
        <w:spacing w:after="0" w:line="166" w:lineRule="exact"/>
        <w:rPr>
          <w:sz w:val="20"/>
          <w:szCs w:val="20"/>
          <w:color w:val="auto"/>
        </w:rPr>
      </w:pPr>
    </w:p>
    <w:p>
      <w:pPr>
        <w:ind w:right="380" w:firstLine="1297"/>
        <w:spacing w:after="0" w:line="357" w:lineRule="auto"/>
        <w:rPr>
          <w:sz w:val="20"/>
          <w:szCs w:val="20"/>
          <w:color w:val="auto"/>
        </w:rPr>
      </w:pPr>
      <w:r>
        <w:rPr>
          <w:rFonts w:ascii="Arial" w:cs="Arial" w:eastAsia="Arial" w:hAnsi="Arial"/>
          <w:sz w:val="17"/>
          <w:szCs w:val="17"/>
          <w:color w:val="auto"/>
        </w:rPr>
        <w:t xml:space="preserve">SECTION 114. </w:t>
      </w:r>
      <w:r>
        <w:rPr>
          <w:rFonts w:ascii="Arial" w:cs="Arial" w:eastAsia="Arial" w:hAnsi="Arial"/>
          <w:sz w:val="17"/>
          <w:szCs w:val="17"/>
          <w:i w:val="1"/>
          <w:iCs w:val="1"/>
          <w:color w:val="auto"/>
        </w:rPr>
        <w:t>Rules by Trustee and Agents</w:t>
      </w:r>
      <w:r>
        <w:rPr>
          <w:rFonts w:ascii="Arial" w:cs="Arial" w:eastAsia="Arial" w:hAnsi="Arial"/>
          <w:sz w:val="17"/>
          <w:szCs w:val="17"/>
          <w:color w:val="auto"/>
        </w:rPr>
        <w:t>. The Trustee may make reasonable rules for action by or at a meeting of Holders of one or more series. The Paying Agent or Security Registrar may make reasonable rules and set reasonable requirements for its functions.</w:t>
      </w:r>
    </w:p>
    <w:p>
      <w:pPr>
        <w:spacing w:after="0" w:line="10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115. </w:t>
      </w:r>
      <w:r>
        <w:rPr>
          <w:rFonts w:ascii="Arial" w:cs="Arial" w:eastAsia="Arial" w:hAnsi="Arial"/>
          <w:sz w:val="16"/>
          <w:szCs w:val="16"/>
          <w:i w:val="1"/>
          <w:iCs w:val="1"/>
          <w:color w:val="auto"/>
        </w:rPr>
        <w:t>No Recourse Against Others</w:t>
      </w:r>
      <w:r>
        <w:rPr>
          <w:rFonts w:ascii="Arial" w:cs="Arial" w:eastAsia="Arial" w:hAnsi="Arial"/>
          <w:sz w:val="16"/>
          <w:szCs w:val="16"/>
          <w:color w:val="auto"/>
        </w:rPr>
        <w:t>. No past, present or future director, officer, stockholder or employee, as such, of the Company</w:t>
      </w:r>
    </w:p>
    <w:p>
      <w:pPr>
        <w:spacing w:after="0" w:line="7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or any of its Affiliates or any successor corporation shall have any liability for any obligation, covenant or agreement of the Company under this Indenture or any indenture supplemental hereto, or in the Securities, or for any claim based on, in respect of or by reason of such obligations, covenants or agreements or their creation. Each Holder by accepting a Security waives and releases all such</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liability. The waiver and release are part of the consideration for the execution and delivery of this Indenture and the issue of the Securities.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TWO</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SECURITY FORMS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i w:val="1"/>
          <w:iCs w:val="1"/>
          <w:color w:val="auto"/>
        </w:rPr>
        <w:t>Forms Generally</w:t>
      </w:r>
      <w:r>
        <w:rPr>
          <w:rFonts w:ascii="Arial" w:cs="Arial" w:eastAsia="Arial" w:hAnsi="Arial"/>
          <w:sz w:val="16"/>
          <w:szCs w:val="16"/>
          <w:color w:val="auto"/>
        </w:rPr>
        <w:t>. (a) The Securities of each series shall be in substantially such form as shall be established by or pursuant</w:t>
      </w:r>
    </w:p>
    <w:p>
      <w:pPr>
        <w:spacing w:after="0" w:line="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to a Board Resolution, and set forth in an Officer’s Certificate, or established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law or with any rules or regulations pursuant thereto, or with any rules of any securities exchange or to conform with general usage, all as may, consistently herewith, be determined by the officers executing such Securities, as evidenced by their execution of the Securities. When the form of Securities of any series is established by action taken pursuant to a Board Resolution, a copy of an appropriate record of such action shall be delivered to the Trustee at or prior to the delivery of the Company Order contemplated by Section 303 for the authentication and delivery of such Securities.</w:t>
      </w:r>
    </w:p>
    <w:p>
      <w:pPr>
        <w:spacing w:after="0" w:line="178" w:lineRule="exact"/>
        <w:rPr>
          <w:sz w:val="20"/>
          <w:szCs w:val="20"/>
          <w:color w:val="auto"/>
        </w:rPr>
      </w:pPr>
    </w:p>
    <w:p>
      <w:pPr>
        <w:ind w:right="120" w:firstLine="1305"/>
        <w:spacing w:after="0" w:line="357" w:lineRule="auto"/>
        <w:tabs>
          <w:tab w:leader="none" w:pos="15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definitive Securities shall be produced in such manner or combination of manners, all as determined by the officers executing such Securities, as evidenced by their execution of such Securities.</w:t>
      </w:r>
    </w:p>
    <w:p>
      <w:pPr>
        <w:spacing w:after="0" w:line="10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i w:val="1"/>
          <w:iCs w:val="1"/>
          <w:color w:val="auto"/>
        </w:rPr>
        <w:t>Form of Trustee’s Certificate of Authentication</w:t>
      </w:r>
      <w:r>
        <w:rPr>
          <w:rFonts w:ascii="Arial" w:cs="Arial" w:eastAsia="Arial" w:hAnsi="Arial"/>
          <w:sz w:val="17"/>
          <w:szCs w:val="17"/>
          <w:color w:val="auto"/>
        </w:rPr>
        <w:t>. The Trustee’s certificate of authentication shall be in substantially the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following form: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Securities of the series designated herein, referred to in the within-mentioned Indenture.</w:t>
      </w:r>
    </w:p>
    <w:p>
      <w:pPr>
        <w:spacing w:after="0" w:line="387"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 ]</w:t>
      </w:r>
    </w:p>
    <w:p>
      <w:pPr>
        <w:spacing w:after="0" w:line="29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177800</wp:posOffset>
            </wp:positionV>
            <wp:extent cx="33877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273"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THREE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SECURITIES</w:t>
      </w:r>
    </w:p>
    <w:p>
      <w:pPr>
        <w:spacing w:after="0" w:line="229" w:lineRule="exact"/>
        <w:rPr>
          <w:sz w:val="20"/>
          <w:szCs w:val="20"/>
          <w:color w:val="auto"/>
        </w:rPr>
      </w:pPr>
    </w:p>
    <w:p>
      <w:pPr>
        <w:ind w:right="460" w:firstLine="1297"/>
        <w:spacing w:after="0" w:line="324"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Amount Unlimited; Issuable in Series</w:t>
      </w:r>
      <w:r>
        <w:rPr>
          <w:rFonts w:ascii="Arial" w:cs="Arial" w:eastAsia="Arial" w:hAnsi="Arial"/>
          <w:sz w:val="18"/>
          <w:szCs w:val="18"/>
          <w:color w:val="auto"/>
        </w:rPr>
        <w:t>. (a) The aggregate principal amount of Securities that may be authenticated and delivered under this Indenture is unlimited.</w:t>
      </w:r>
    </w:p>
    <w:p>
      <w:pPr>
        <w:sectPr>
          <w:pgSz w:w="11900" w:h="16838" w:orient="portrait"/>
          <w:cols w:equalWidth="0" w:num="1">
            <w:col w:w="11380"/>
          </w:cols>
          <w:pgMar w:left="240" w:top="584" w:right="279" w:bottom="1440" w:gutter="0" w:footer="0" w:header="0"/>
        </w:sectPr>
      </w:pPr>
    </w:p>
    <w:bookmarkStart w:id="50" w:name="page51"/>
    <w:bookmarkEnd w:id="50"/>
    <w:p>
      <w:pPr>
        <w:ind w:left="-240" w:firstLine="1305"/>
        <w:spacing w:after="0" w:line="357" w:lineRule="auto"/>
        <w:tabs>
          <w:tab w:leader="none" w:pos="12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Securities may be issued in one or more series. There shall be established in or pursuant to a Board Resolution, and set forth in an Officer’s Certificate, or established in one or more indentures supplemental hereto, prior to the issuance of Securities of any series,</w:t>
      </w:r>
    </w:p>
    <w:p>
      <w:pPr>
        <w:spacing w:after="0" w:line="107" w:lineRule="exact"/>
        <w:rPr>
          <w:sz w:val="20"/>
          <w:szCs w:val="20"/>
          <w:color w:val="auto"/>
        </w:rPr>
      </w:pPr>
    </w:p>
    <w:p>
      <w:pPr>
        <w:ind w:left="1280" w:hanging="215"/>
        <w:spacing w:after="0"/>
        <w:tabs>
          <w:tab w:leader="none" w:pos="12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title of the Securities of such series (which shall distinguish the Securities of the series from all other Securities);</w:t>
      </w:r>
    </w:p>
    <w:p>
      <w:pPr>
        <w:spacing w:after="0" w:line="277" w:lineRule="exact"/>
        <w:rPr>
          <w:rFonts w:ascii="Arial" w:cs="Arial" w:eastAsia="Arial" w:hAnsi="Arial"/>
          <w:sz w:val="17"/>
          <w:szCs w:val="17"/>
          <w:color w:val="auto"/>
        </w:rPr>
      </w:pPr>
    </w:p>
    <w:p>
      <w:pPr>
        <w:ind w:left="420" w:right="440" w:firstLine="645"/>
        <w:spacing w:after="0" w:line="324" w:lineRule="auto"/>
        <w:tabs>
          <w:tab w:leader="none" w:pos="1292"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such series that may be authenticated and delivered under this Indenture (except for Securities authenticated and delivered upon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216535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960"/>
          </w:cols>
          <w:pgMar w:left="480" w:top="584" w:right="459" w:bottom="1440" w:gutter="0" w:footer="0" w:header="0"/>
        </w:sectPr>
      </w:pPr>
    </w:p>
    <w:bookmarkStart w:id="51" w:name="page52"/>
    <w:bookmarkEnd w:id="51"/>
    <w:p>
      <w:pPr>
        <w:ind w:right="180"/>
        <w:spacing w:after="0" w:line="308" w:lineRule="auto"/>
        <w:rPr>
          <w:sz w:val="20"/>
          <w:szCs w:val="20"/>
          <w:color w:val="auto"/>
        </w:rPr>
      </w:pPr>
      <w:r>
        <w:rPr>
          <w:rFonts w:ascii="Arial" w:cs="Arial" w:eastAsia="Arial" w:hAnsi="Arial"/>
          <w:sz w:val="17"/>
          <w:szCs w:val="17"/>
          <w:color w:val="auto"/>
        </w:rPr>
        <w:t>registration of transfer of, or in exchange for, or in lieu of, other Securities of such series pursuant to Section 304, 305, 306, 906, 1107 or 1204 and except for any Securities that, pursuant to Section 303, are deemed never to have been authenticated and delivered hereunder);</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(3) the date or dates on which the principal and premium, if any, of the Securities of such series, or any Tranche thereof, is payable or any</w:t>
      </w:r>
    </w:p>
    <w:p>
      <w:pPr>
        <w:spacing w:after="0" w:line="7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formula or other method or other means by which such date or dates shall be determined, by reference to an index or other fact or event ascertainable outside of this Indenture or otherwise (without regard to any provisions for redemption, prepayment, acceleration, purchase or extension);</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(4) the rate or rates at which the Securities of such series, or any Tranche thereof, shall bear interest, if any (including the rate or rates at</w:t>
      </w:r>
    </w:p>
    <w:p>
      <w:pPr>
        <w:spacing w:after="0" w:line="7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which overdue principal shall bear interest, if different from the rate or rates at which such Securities shall bear interest prior to Maturity, and, if applicable, the rate or rates at which overdue premium or interest shall bear interest, if any), or any formula or other method or other means by which such rate or rates shall be determined, by reference to an index or other fact or event ascertainable outside of this Indenture or otherwise; the date or dates from which such interest shall accrue; the Interest Payment Dates on which such interest shall be payable and the Regular Record Date, if any, for the interest payable on such Securities on any Interest Payment Date; the right of the Company, if any, to extend the interest payment periods and the duration of any such extension as contemplated by Section 312; and the basis of computation of interest, if other than as provided in Section 310;</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(5) the place or places where the principal of and premium, if any, and interest, if any, on Securities of such series, or any Tranche thereof,</w:t>
      </w:r>
    </w:p>
    <w:p>
      <w:pPr>
        <w:spacing w:after="0" w:line="73" w:lineRule="exact"/>
        <w:rPr>
          <w:sz w:val="20"/>
          <w:szCs w:val="20"/>
          <w:color w:val="auto"/>
        </w:rPr>
      </w:pPr>
    </w:p>
    <w:p>
      <w:pPr>
        <w:jc w:val="both"/>
        <w:ind w:right="240"/>
        <w:spacing w:after="0" w:line="302" w:lineRule="auto"/>
        <w:rPr>
          <w:sz w:val="20"/>
          <w:szCs w:val="20"/>
          <w:color w:val="auto"/>
        </w:rPr>
      </w:pPr>
      <w:r>
        <w:rPr>
          <w:rFonts w:ascii="Arial" w:cs="Arial" w:eastAsia="Arial" w:hAnsi="Arial"/>
          <w:sz w:val="16"/>
          <w:szCs w:val="16"/>
          <w:color w:val="auto"/>
        </w:rPr>
        <w:t>shall be payable, where the Securities of such series, or any Tranche thereof, may be surrendered for registration of transferor for exchange, and where notices and demands to or upon the Company in respect of the Securities of such series, or any Tranche thereof, and this Indenture may be served and notices to Holders pursuant to Section 106 will be published; the Security Registrar and any Paying Agent or Agents for such series or Tranche; and if such is the case, that the principal of such Securities shall be payable without presentment or surrender thereof;</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(6) if applicable, the period or periods within which, the price or prices at which and the terms and conditions upon which Securities of such</w:t>
      </w:r>
    </w:p>
    <w:p>
      <w:pPr>
        <w:spacing w:after="0" w:line="7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series, or any Tranche thereof, may be redeemed, in whole or in part, at the option of the Company and, if other than by a Board Resolution, the manner in which any election by the Company to redeem such Securities shall be evidenced;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(7) the obligation, if any, of the Company to redeem or purchase Securities of such series, or any Tranche thereof, pursuant to any sinking</w:t>
      </w:r>
    </w:p>
    <w:p>
      <w:pPr>
        <w:spacing w:after="0" w:line="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fund or analogous provisions or at the option of the Holder thereof and the period or periods within which, the price or prices at which and the terms and conditions upon which Securities of such series, or any Tranche thereof, shall be redeemed or purchased, in whole or in part, pursuant to such obligation;</w:t>
      </w:r>
    </w:p>
    <w:p>
      <w:pPr>
        <w:spacing w:after="0" w:line="181" w:lineRule="exact"/>
        <w:rPr>
          <w:sz w:val="20"/>
          <w:szCs w:val="20"/>
          <w:color w:val="auto"/>
        </w:rPr>
      </w:pPr>
    </w:p>
    <w:p>
      <w:pPr>
        <w:ind w:left="860" w:hanging="215"/>
        <w:spacing w:after="0"/>
        <w:tabs>
          <w:tab w:leader="none" w:pos="8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terms, if any, on which the Securities of such series will be subordinate in right and priority of payment to other debt of the</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25" w:lineRule="exact"/>
        <w:rPr>
          <w:rFonts w:ascii="Arial" w:cs="Arial" w:eastAsia="Arial" w:hAnsi="Arial"/>
          <w:sz w:val="17"/>
          <w:szCs w:val="17"/>
          <w:color w:val="auto"/>
        </w:rPr>
      </w:pPr>
    </w:p>
    <w:p>
      <w:pPr>
        <w:ind w:right="560" w:firstLine="645"/>
        <w:spacing w:after="0" w:line="324" w:lineRule="auto"/>
        <w:tabs>
          <w:tab w:leader="none" w:pos="87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denominations in which any Securities of such series shall be issuable, if other than denominations of $1,000 and any integral multiple thereof;</w:t>
      </w:r>
    </w:p>
    <w:p>
      <w:pPr>
        <w:spacing w:after="0" w:line="129" w:lineRule="exact"/>
        <w:rPr>
          <w:rFonts w:ascii="Arial" w:cs="Arial" w:eastAsia="Arial" w:hAnsi="Arial"/>
          <w:sz w:val="18"/>
          <w:szCs w:val="18"/>
          <w:color w:val="auto"/>
        </w:rPr>
      </w:pPr>
    </w:p>
    <w:p>
      <w:pPr>
        <w:ind w:right="300" w:firstLine="645"/>
        <w:spacing w:after="0" w:line="357" w:lineRule="auto"/>
        <w:tabs>
          <w:tab w:leader="none" w:pos="962" w:val="left"/>
        </w:tabs>
        <w:numPr>
          <w:ilvl w:val="0"/>
          <w:numId w:val="46"/>
        </w:numPr>
        <w:rPr>
          <w:rFonts w:ascii="Arial" w:cs="Arial" w:eastAsia="Arial" w:hAnsi="Arial"/>
          <w:sz w:val="17"/>
          <w:szCs w:val="17"/>
          <w:color w:val="auto"/>
        </w:rPr>
      </w:pPr>
      <w:r>
        <w:rPr>
          <w:rFonts w:ascii="Arial" w:cs="Arial" w:eastAsia="Arial" w:hAnsi="Arial"/>
          <w:sz w:val="17"/>
          <w:szCs w:val="17"/>
          <w:color w:val="auto"/>
        </w:rPr>
        <w:t>if other than the principal amount thereof, the portion of the principal amount of Securities of such series that shall be payable upon declaration of acceleration of the Maturity thereof pursuant to Section 502;</w:t>
      </w:r>
    </w:p>
    <w:p>
      <w:pPr>
        <w:spacing w:after="0" w:line="107" w:lineRule="exact"/>
        <w:rPr>
          <w:rFonts w:ascii="Arial" w:cs="Arial" w:eastAsia="Arial" w:hAnsi="Arial"/>
          <w:sz w:val="17"/>
          <w:szCs w:val="17"/>
          <w:color w:val="auto"/>
        </w:rPr>
      </w:pPr>
    </w:p>
    <w:p>
      <w:pPr>
        <w:ind w:left="960" w:hanging="315"/>
        <w:spacing w:after="0"/>
        <w:tabs>
          <w:tab w:leader="none" w:pos="9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if other than the currency of the United States of America, the currency or currencies, including composite currencies, in which the</w:t>
      </w:r>
    </w:p>
    <w:p>
      <w:pPr>
        <w:spacing w:after="0" w:line="6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principal of or any premium or interest on the Securities of such series shall be payable and the manner of determining the equivalent of any such amount in Dollars is to be determined for any purpose, including for the purpose of determining the principal amount of such Securities deemed to be Outstanding at any time;</w:t>
      </w:r>
    </w:p>
    <w:p>
      <w:pPr>
        <w:spacing w:after="0" w:line="18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216535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740"/>
          </w:cols>
          <w:pgMar w:left="900" w:top="584" w:right="259" w:bottom="1440" w:gutter="0" w:footer="0" w:header="0"/>
        </w:sectPr>
      </w:pPr>
    </w:p>
    <w:bookmarkStart w:id="52" w:name="page53"/>
    <w:bookmarkEnd w:id="52"/>
    <w:p>
      <w:pPr>
        <w:ind w:left="1300"/>
        <w:spacing w:after="0"/>
        <w:rPr>
          <w:sz w:val="20"/>
          <w:szCs w:val="20"/>
          <w:color w:val="auto"/>
        </w:rPr>
      </w:pPr>
      <w:r>
        <w:rPr>
          <w:rFonts w:ascii="Arial" w:cs="Arial" w:eastAsia="Arial" w:hAnsi="Arial"/>
          <w:sz w:val="16"/>
          <w:szCs w:val="16"/>
          <w:color w:val="auto"/>
        </w:rPr>
        <w:t>(12) if the principal of or any premium or interest on the Securities of such series is to be payable, or is to be payable at the election of the</w:t>
      </w:r>
    </w:p>
    <w:p>
      <w:pPr>
        <w:spacing w:after="0" w:line="73" w:lineRule="exact"/>
        <w:rPr>
          <w:sz w:val="20"/>
          <w:szCs w:val="20"/>
          <w:color w:val="auto"/>
        </w:rPr>
      </w:pPr>
    </w:p>
    <w:p>
      <w:pPr>
        <w:ind w:left="660" w:right="80"/>
        <w:spacing w:after="0" w:line="342" w:lineRule="auto"/>
        <w:rPr>
          <w:sz w:val="20"/>
          <w:szCs w:val="20"/>
          <w:color w:val="auto"/>
        </w:rPr>
      </w:pPr>
      <w:r>
        <w:rPr>
          <w:rFonts w:ascii="Arial" w:cs="Arial" w:eastAsia="Arial" w:hAnsi="Arial"/>
          <w:sz w:val="16"/>
          <w:szCs w:val="16"/>
          <w:color w:val="auto"/>
        </w:rPr>
        <w:t>Company or a Holder thereof, in securities or other property, the type and amount of such securities or other property, or the manner of determining such amount shall be determined, and the period or periods within which, and the terms and conditions upon which, any such election may be made;</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(13) the Person to whom any interest on any Security of such series shall be payable, if other than the Person in whose name that Security is</w:t>
      </w:r>
    </w:p>
    <w:p>
      <w:pPr>
        <w:spacing w:after="0" w:line="73"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registered at the close of business on the Regular Record Date for such interest, and the extent to which, or the manner in which, any interest payable on a temporary or permanent Global Security on an interest payment date will be paid;</w:t>
      </w:r>
    </w:p>
    <w:p>
      <w:pPr>
        <w:spacing w:after="0" w:line="170" w:lineRule="exact"/>
        <w:rPr>
          <w:sz w:val="20"/>
          <w:szCs w:val="20"/>
          <w:color w:val="auto"/>
        </w:rPr>
      </w:pPr>
    </w:p>
    <w:p>
      <w:pPr>
        <w:ind w:left="660" w:right="340" w:firstLine="645"/>
        <w:spacing w:after="0" w:line="357" w:lineRule="auto"/>
        <w:tabs>
          <w:tab w:leader="none" w:pos="1622"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any addition to or change in the Events of Default, with respect to the Securities of such series, and any addition to or change in the covenants of the Company for the benefit of the Holders of the Securities of such series in addition to those set forth in Article Ten;</w:t>
      </w:r>
    </w:p>
    <w:p>
      <w:pPr>
        <w:spacing w:after="0" w:line="107" w:lineRule="exact"/>
        <w:rPr>
          <w:rFonts w:ascii="Arial" w:cs="Arial" w:eastAsia="Arial" w:hAnsi="Arial"/>
          <w:sz w:val="17"/>
          <w:szCs w:val="17"/>
          <w:color w:val="auto"/>
        </w:rPr>
      </w:pPr>
    </w:p>
    <w:p>
      <w:pPr>
        <w:ind w:left="660" w:right="280" w:firstLine="645"/>
        <w:spacing w:after="0" w:line="357" w:lineRule="auto"/>
        <w:tabs>
          <w:tab w:leader="none" w:pos="1622"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terms and conditions, if any, pursuant to which the Securities of such series may be converted into or exchanged for securities or other property of the Company or any other Person;</w:t>
      </w:r>
    </w:p>
    <w:p>
      <w:pPr>
        <w:spacing w:after="0" w:line="107" w:lineRule="exact"/>
        <w:rPr>
          <w:rFonts w:ascii="Arial" w:cs="Arial" w:eastAsia="Arial" w:hAnsi="Arial"/>
          <w:sz w:val="17"/>
          <w:szCs w:val="17"/>
          <w:color w:val="auto"/>
        </w:rPr>
      </w:pPr>
    </w:p>
    <w:p>
      <w:pPr>
        <w:ind w:left="660" w:right="440" w:firstLine="645"/>
        <w:spacing w:after="0" w:line="357" w:lineRule="auto"/>
        <w:tabs>
          <w:tab w:leader="none" w:pos="1622"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terms and conditions, if any, pursuant to which the Company’s obligations under this Indenture may be terminated through the deposit of money or Eligible Instruments as provided in Article Four;</w:t>
      </w:r>
    </w:p>
    <w:p>
      <w:pPr>
        <w:spacing w:after="0" w:line="107" w:lineRule="exact"/>
        <w:rPr>
          <w:rFonts w:ascii="Arial" w:cs="Arial" w:eastAsia="Arial" w:hAnsi="Arial"/>
          <w:sz w:val="17"/>
          <w:szCs w:val="17"/>
          <w:color w:val="auto"/>
        </w:rPr>
      </w:pPr>
    </w:p>
    <w:p>
      <w:pPr>
        <w:ind w:left="1620" w:hanging="315"/>
        <w:spacing w:after="0"/>
        <w:tabs>
          <w:tab w:leader="none" w:pos="1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any exceptions to Section 113, or variation in the definition of Business Day, with respect to the Securities of such series;</w:t>
      </w:r>
    </w:p>
    <w:p>
      <w:pPr>
        <w:spacing w:after="0" w:line="277" w:lineRule="exact"/>
        <w:rPr>
          <w:rFonts w:ascii="Arial" w:cs="Arial" w:eastAsia="Arial" w:hAnsi="Arial"/>
          <w:sz w:val="17"/>
          <w:szCs w:val="17"/>
          <w:color w:val="auto"/>
        </w:rPr>
      </w:pPr>
    </w:p>
    <w:p>
      <w:pPr>
        <w:ind w:left="1620" w:hanging="315"/>
        <w:spacing w:after="0"/>
        <w:tabs>
          <w:tab w:leader="none" w:pos="1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any collateral security, assurance or guaranty for the Securities of such series;</w:t>
      </w:r>
    </w:p>
    <w:p>
      <w:pPr>
        <w:spacing w:after="0" w:line="277" w:lineRule="exact"/>
        <w:rPr>
          <w:rFonts w:ascii="Arial" w:cs="Arial" w:eastAsia="Arial" w:hAnsi="Arial"/>
          <w:sz w:val="17"/>
          <w:szCs w:val="17"/>
          <w:color w:val="auto"/>
        </w:rPr>
      </w:pPr>
    </w:p>
    <w:p>
      <w:pPr>
        <w:ind w:left="660" w:right="240" w:firstLine="645"/>
        <w:spacing w:after="0" w:line="357" w:lineRule="auto"/>
        <w:tabs>
          <w:tab w:leader="none" w:pos="1622"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non-applicability of Section 608 to the Securities of such series or any exceptions or modifications of Section 608 with respect to the Securities of such series;</w:t>
      </w:r>
    </w:p>
    <w:p>
      <w:pPr>
        <w:spacing w:after="0" w:line="107" w:lineRule="exact"/>
        <w:rPr>
          <w:rFonts w:ascii="Arial" w:cs="Arial" w:eastAsia="Arial" w:hAnsi="Arial"/>
          <w:sz w:val="17"/>
          <w:szCs w:val="17"/>
          <w:color w:val="auto"/>
        </w:rPr>
      </w:pPr>
    </w:p>
    <w:p>
      <w:pPr>
        <w:ind w:left="1620" w:hanging="315"/>
        <w:spacing w:after="0"/>
        <w:tabs>
          <w:tab w:leader="none" w:pos="16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any rights or duties of another Person to assume the obligations of the Company with respect to the Securities of such series (whether</w:t>
      </w:r>
    </w:p>
    <w:p>
      <w:pPr>
        <w:spacing w:after="0" w:line="73"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as joint obligor, primary obligor, secondary obligor or substitute obligor) and any rights or duties to discharge and release any obligor with respect to the Securities of such series or this Indenture to the extent related to such series; and</w:t>
      </w:r>
    </w:p>
    <w:p>
      <w:pPr>
        <w:spacing w:after="0" w:line="170" w:lineRule="exact"/>
        <w:rPr>
          <w:sz w:val="20"/>
          <w:szCs w:val="20"/>
          <w:color w:val="auto"/>
        </w:rPr>
      </w:pPr>
    </w:p>
    <w:p>
      <w:pPr>
        <w:ind w:left="660" w:right="60" w:firstLine="645"/>
        <w:spacing w:after="0" w:line="357" w:lineRule="auto"/>
        <w:tabs>
          <w:tab w:leader="none" w:pos="1622"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any other terms, conditions and rights of such series (which terms, conditions and rights shall not be inconsistent with the provisions of this Indenture, except as permitted by Section 901(a)(4)).</w:t>
      </w:r>
    </w:p>
    <w:p>
      <w:pPr>
        <w:spacing w:after="0" w:line="10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 All Securities of any one series (other than Securities offered in a Periodic Offering) shall be substantially identical except as to</w:t>
      </w:r>
    </w:p>
    <w:p>
      <w:pPr>
        <w:spacing w:after="0" w:line="61"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denomination and except as may otherwise be provided in or pursuant to such Board Resolution and set forth in such Officer’s Certificate or in any such indenture supplemental hereto and as reasonably acceptable to the Trustee. Securities of different series may differ in any respect.</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(d) If the terms and form or forms of any series of Securities are established by or pursuant to a Board Resolution, the Company shall</w:t>
      </w:r>
    </w:p>
    <w:p>
      <w:pPr>
        <w:spacing w:after="0" w:line="6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deliver a copy of such Board Resolution to the Trustee at or prior to the issuance of such series with (1) the form or forms of Security that have been approved attached thereto, or (2) if such Board Resolution authorizes a specific officer or officers to approve the terms and form or forms of the Securities, a certificate of such officer or officers approving the terms and form or forms of Security with such form or forms of Securities attached thereto. Such Board Resolution or certificate may provide general terms or parameters for Securities of any series and may provide that the specific terms of particular Securities of a series may be determined in accordance with or pursuant to the Company Order referred to in Section 303.</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(e) With respect to Securities of a series subject to a Periodic Offering, the indenture supplemental hereto or the Board Resolution that</w:t>
      </w:r>
    </w:p>
    <w:p>
      <w:pPr>
        <w:spacing w:after="0" w:line="6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establishes such series, or the Officer’s Certificate pursuant to such supplemental indenture or Board Resolution, as the case may be, may provide general terms or parameters for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3" w:name="page54"/>
    <w:bookmarkEnd w:id="53"/>
    <w:p>
      <w:pPr>
        <w:ind w:right="200"/>
        <w:spacing w:after="0" w:line="342" w:lineRule="auto"/>
        <w:rPr>
          <w:sz w:val="20"/>
          <w:szCs w:val="20"/>
          <w:color w:val="auto"/>
        </w:rPr>
      </w:pPr>
      <w:r>
        <w:rPr>
          <w:rFonts w:ascii="Arial" w:cs="Arial" w:eastAsia="Arial" w:hAnsi="Arial"/>
          <w:sz w:val="16"/>
          <w:szCs w:val="16"/>
          <w:color w:val="auto"/>
        </w:rPr>
        <w:t>Securities of such series and provide either that the specific terms of Securities of such series shall be specified in a Company Order or that such terms shall be determined by the Company or its agents in accordance with procedures specified in a Company Order as contemplated by Section 303(c).</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(f) Unless otherwise specified with respect to a series of Securities pursuant to paragraph (2) of Section 301(b), such series of Securities may</w:t>
      </w:r>
    </w:p>
    <w:p>
      <w:pPr>
        <w:spacing w:after="0" w:line="73"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be issued in one or more Tranches with various principal amounts without the consent of any Holders and additional Tranches of such series may be authenticated and delivered pursuant to Section 303.</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i w:val="1"/>
          <w:iCs w:val="1"/>
          <w:color w:val="auto"/>
        </w:rPr>
        <w:t>Denominations</w:t>
      </w:r>
      <w:r>
        <w:rPr>
          <w:rFonts w:ascii="Arial" w:cs="Arial" w:eastAsia="Arial" w:hAnsi="Arial"/>
          <w:sz w:val="16"/>
          <w:szCs w:val="16"/>
          <w:color w:val="auto"/>
        </w:rPr>
        <w:t>. The Securities of each series shall be issuable in registered form in such denominations as shall be specified</w:t>
      </w:r>
    </w:p>
    <w:p>
      <w:pPr>
        <w:spacing w:after="0" w:line="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contemplated by Section 301(b). In the absence of any such provisions with respect to the Securities of any series, the Securities of such series shall be issuable in denominations of $1,000 and any integral multiple thereof.</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i w:val="1"/>
          <w:iCs w:val="1"/>
          <w:color w:val="auto"/>
        </w:rPr>
        <w:t>Execution, Authentication, Delivery and Dating</w:t>
      </w:r>
      <w:r>
        <w:rPr>
          <w:rFonts w:ascii="Arial" w:cs="Arial" w:eastAsia="Arial" w:hAnsi="Arial"/>
          <w:sz w:val="17"/>
          <w:szCs w:val="17"/>
          <w:color w:val="auto"/>
        </w:rPr>
        <w:t>. (a) The Securities shall be signed on behalf of the Company by an</w:t>
      </w:r>
    </w:p>
    <w:p>
      <w:pPr>
        <w:spacing w:after="0" w:line="6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Authorized Officer and attested by its Secretary or any Assistant Secretary. The signature of any of these officers on the Securities may be manual or facsimile. Typographical and other minor errors or defects in any such signature shall not affect the validity or enforceability of any Security that has been duly authenticated and delivered by the Trustee.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 Securities bearing the manual or facsimile signatures of individuals who were at any time the proper officers of the Company shall bind</w:t>
      </w:r>
    </w:p>
    <w:p>
      <w:pPr>
        <w:spacing w:after="0" w:line="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notwithstanding that such individuals or any of them have ceased to hold such offices prior to the authentication and delivery of such Securities or did not hold such offices at the date of such Securities.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 At any time and from time to time after the execution and delivery of this Indenture, the Company may deliver Securities of any series</w:t>
      </w:r>
    </w:p>
    <w:p>
      <w:pPr>
        <w:spacing w:after="0" w:line="73"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(or any Tranche thereof) executed by the Company to the Trustee for authentication, together with a Company Order for the authentication and delivery of such Securities (or such Tranche), and the Trustee in accordance with the Company Order shall authenticate and deliver such Securities (or such Tranche);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with respect to Securities of a series subject to a Periodic Offering, (i) such Company Order may be delivered by the Company to the</w:t>
      </w:r>
      <w:r>
        <w:rPr>
          <w:rFonts w:ascii="Arial" w:cs="Arial" w:eastAsia="Arial" w:hAnsi="Arial"/>
          <w:sz w:val="16"/>
          <w:szCs w:val="16"/>
          <w:i w:val="1"/>
          <w:iCs w:val="1"/>
          <w:color w:val="auto"/>
        </w:rPr>
        <w:t xml:space="preserve"> </w:t>
      </w:r>
      <w:r>
        <w:rPr>
          <w:rFonts w:ascii="Arial" w:cs="Arial" w:eastAsia="Arial" w:hAnsi="Arial"/>
          <w:sz w:val="16"/>
          <w:szCs w:val="16"/>
          <w:color w:val="auto"/>
        </w:rPr>
        <w:t>Trustee prior to the delivery to the Trustee of such Securities for authentication and delivery, (ii) the Trustee shall authenticate and deliver Securities of such series for original issue from time to time, in an aggregate principal amount not exceeding the aggregate principal amount established for such series, all pursuant to a Company Order or pursuant to such procedures acceptable to the Trustee as may be specified from time to time by a Company Order, (iii) the maturity date or dates, original issue date or dates, interest rate or rates and any other terms of Securities of such series shall be determined by Company Order or pursuant to such procedures and (iv) if provided for in such procedures, such Company Order may authorize authentication and delivery pursuant to oral or electronic instructions from the Company or its duly authorized agent or agents, which oral instructions shall be promptly confirmed in writing.</w:t>
      </w:r>
    </w:p>
    <w:p>
      <w:pPr>
        <w:spacing w:after="0" w:line="167" w:lineRule="exact"/>
        <w:rPr>
          <w:sz w:val="20"/>
          <w:szCs w:val="20"/>
          <w:color w:val="auto"/>
        </w:rPr>
      </w:pPr>
    </w:p>
    <w:p>
      <w:pPr>
        <w:ind w:right="440" w:firstLine="1305"/>
        <w:spacing w:after="0" w:line="395" w:lineRule="auto"/>
        <w:tabs>
          <w:tab w:leader="none" w:pos="15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 authenticating such Securities and accepting the additional responsibilities under this Indenture in relation to such Securities, the Trustee shall be entitled to receive, and (subject to Section 601) shall be fully protected in relying upon, an Opinion of Counsel stating:</w:t>
      </w:r>
    </w:p>
    <w:p>
      <w:pPr>
        <w:spacing w:after="0" w:line="83" w:lineRule="exact"/>
        <w:rPr>
          <w:sz w:val="20"/>
          <w:szCs w:val="20"/>
          <w:color w:val="auto"/>
        </w:rPr>
      </w:pPr>
    </w:p>
    <w:p>
      <w:pPr>
        <w:ind w:left="1480" w:hanging="175"/>
        <w:spacing w:after="0"/>
        <w:tabs>
          <w:tab w:leader="none" w:pos="1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that such form of Securities has been established in conformity with the provisions of this Indenture;</w:t>
      </w:r>
    </w:p>
    <w:p>
      <w:pPr>
        <w:spacing w:after="0" w:line="265" w:lineRule="exact"/>
        <w:rPr>
          <w:rFonts w:ascii="Arial" w:cs="Arial" w:eastAsia="Arial" w:hAnsi="Arial"/>
          <w:sz w:val="18"/>
          <w:szCs w:val="18"/>
          <w:color w:val="auto"/>
        </w:rPr>
      </w:pPr>
    </w:p>
    <w:p>
      <w:pPr>
        <w:ind w:left="1540" w:hanging="235"/>
        <w:spacing w:after="0"/>
        <w:tabs>
          <w:tab w:leader="none" w:pos="1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that the terms of such Securities have been established in conformity with the provisions of this Indenture; and</w:t>
      </w:r>
    </w:p>
    <w:p>
      <w:pPr>
        <w:spacing w:after="0" w:line="265" w:lineRule="exact"/>
        <w:rPr>
          <w:rFonts w:ascii="Arial" w:cs="Arial" w:eastAsia="Arial" w:hAnsi="Arial"/>
          <w:sz w:val="18"/>
          <w:szCs w:val="18"/>
          <w:color w:val="auto"/>
        </w:rPr>
      </w:pPr>
    </w:p>
    <w:p>
      <w:pPr>
        <w:ind w:left="1580" w:hanging="275"/>
        <w:spacing w:after="0"/>
        <w:tabs>
          <w:tab w:leader="none" w:pos="15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that such Securities, when authenticated and delivered by the Trustee and issued by the Company in the manner and subject to any</w:t>
      </w:r>
    </w:p>
    <w:p>
      <w:pPr>
        <w:spacing w:after="0" w:line="73" w:lineRule="exact"/>
        <w:rPr>
          <w:sz w:val="20"/>
          <w:szCs w:val="20"/>
          <w:color w:val="auto"/>
        </w:rPr>
      </w:pPr>
    </w:p>
    <w:p>
      <w:pPr>
        <w:ind w:left="660" w:right="120"/>
        <w:spacing w:after="0" w:line="264" w:lineRule="auto"/>
        <w:rPr>
          <w:sz w:val="20"/>
          <w:szCs w:val="20"/>
          <w:color w:val="auto"/>
        </w:rPr>
      </w:pPr>
      <w:r>
        <w:rPr>
          <w:rFonts w:ascii="Arial" w:cs="Arial" w:eastAsia="Arial" w:hAnsi="Arial"/>
          <w:sz w:val="18"/>
          <w:szCs w:val="18"/>
          <w:color w:val="auto"/>
        </w:rPr>
        <w:t>conditions specified in such Opinion of Counsel, will constitute valid and legally binding obligations of the Company, enforceable in accordance with their terms, subject to bankruptcy, insolvency, fraudulent transfer, reorganization, moratorium and similar laws of general applicability relating to or affecting creditors’ rights generally and to general principles of equity.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4" w:name="page55"/>
    <w:bookmarkEnd w:id="54"/>
    <w:p>
      <w:pPr>
        <w:ind w:left="1300"/>
        <w:spacing w:after="0"/>
        <w:rPr>
          <w:sz w:val="20"/>
          <w:szCs w:val="20"/>
          <w:color w:val="auto"/>
        </w:rPr>
      </w:pPr>
      <w:r>
        <w:rPr>
          <w:rFonts w:ascii="Arial" w:cs="Arial" w:eastAsia="Arial" w:hAnsi="Arial"/>
          <w:sz w:val="17"/>
          <w:szCs w:val="17"/>
          <w:color w:val="auto"/>
        </w:rPr>
        <w:t>(e) Notwithstanding the provisions of Section 301 and of the preceding paragraphs of Sections 303(c) and 303(d) in connection with a</w:t>
      </w:r>
    </w:p>
    <w:p>
      <w:pPr>
        <w:spacing w:after="0" w:line="6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Periodic Offering, if all Securities of a series are not to be originally issued at one time, it shall not be necessary to deliver an Officer’s Certificate or execute a supplemental indenture otherwise required pursuant to Section 301(b) or the Company Order and Opinion of Counsel otherwise required pursuant to such preceding paragraphs at or prior to the time of authentication of each Security of such series if such documents are delivered at or prior to the authentication upon original issuance of the first Security of such series to be issued.</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(f) If such form or terms have been so established, the Trustee shall not be required to authenticate such Securities if the issuance of such</w:t>
      </w:r>
    </w:p>
    <w:p>
      <w:pPr>
        <w:spacing w:after="0" w:line="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Securities pursuant to this Indenture will affect the Trustee’s own rights, duties or immunities under the Securities and this Indenture or otherwise in a manner that is not reasonably acceptable to the Trustee.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(g) No Security shall be entitled to any benefit under this Indenture or be valid or obligatory for any purpose unless there appears on such</w:t>
      </w:r>
    </w:p>
    <w:p>
      <w:pPr>
        <w:spacing w:after="0" w:line="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Security a certificate of authentication substantially in the form provided for herein executed by the Trustee by manual or facsimile signature, and such certificate upon any Security shall be conclusive evidence, and the only evidence, that such Security has been duly authenticated and delivered hereunder and is entitled to the benefits of this Indenture.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i w:val="1"/>
          <w:iCs w:val="1"/>
          <w:color w:val="auto"/>
        </w:rPr>
        <w:t>Temporary Securities</w:t>
      </w:r>
      <w:r>
        <w:rPr>
          <w:rFonts w:ascii="Arial" w:cs="Arial" w:eastAsia="Arial" w:hAnsi="Arial"/>
          <w:sz w:val="16"/>
          <w:szCs w:val="16"/>
          <w:color w:val="auto"/>
        </w:rPr>
        <w:t>. (a) Until definitive Securities of any series (including Global Securities) are ready for delivery, the</w:t>
      </w:r>
    </w:p>
    <w:p>
      <w:pPr>
        <w:spacing w:after="0" w:line="73"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Company may execute, and upon Company Order the Trustee shall authenticate and deliver one or more temporary Securities that are produced in any 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(b) If temporary Securities of any series are issued, the Company will cause definitive Securities of that series to be prepared without</w:t>
      </w:r>
    </w:p>
    <w:p>
      <w:pPr>
        <w:spacing w:after="0" w:line="6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a like principal amount of definitive Securities of the same series of authorized denominations. Until so exchanged the temporary Securities of any series shall in all respects be entitled to the same benefits under this Indenture as definitive Securities of such series.</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i w:val="1"/>
          <w:iCs w:val="1"/>
          <w:color w:val="auto"/>
        </w:rPr>
        <w:t>Registration, Registration of Transfer and Exchange</w:t>
      </w:r>
      <w:r>
        <w:rPr>
          <w:rFonts w:ascii="Arial" w:cs="Arial" w:eastAsia="Arial" w:hAnsi="Arial"/>
          <w:sz w:val="16"/>
          <w:szCs w:val="16"/>
          <w:color w:val="auto"/>
        </w:rPr>
        <w:t>. (a) The Company shall cause to be kept at the Corporate Trust Office</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of the Trustee a register (the register maintained in such office and in any other office or agency of the Company in a Place of Payment being herein sometimes collectively referred to as the “</w:t>
      </w:r>
      <w:r>
        <w:rPr>
          <w:rFonts w:ascii="Arial" w:cs="Arial" w:eastAsia="Arial" w:hAnsi="Arial"/>
          <w:sz w:val="18"/>
          <w:szCs w:val="18"/>
          <w:b w:val="1"/>
          <w:bCs w:val="1"/>
          <w:i w:val="1"/>
          <w:iCs w:val="1"/>
          <w:color w:val="auto"/>
        </w:rPr>
        <w:t>Security Register</w:t>
      </w:r>
      <w:r>
        <w:rPr>
          <w:rFonts w:ascii="Arial" w:cs="Arial" w:eastAsia="Arial" w:hAnsi="Arial"/>
          <w:sz w:val="18"/>
          <w:szCs w:val="18"/>
          <w:color w:val="auto"/>
        </w:rPr>
        <w:t>”) in which, subject to such reasonable regulations as it may prescribe, the Company shall provide for the registration of Securities and of transfers of Securities. The Trustee is hereby appointed “</w:t>
      </w:r>
      <w:r>
        <w:rPr>
          <w:rFonts w:ascii="Arial" w:cs="Arial" w:eastAsia="Arial" w:hAnsi="Arial"/>
          <w:sz w:val="18"/>
          <w:szCs w:val="18"/>
          <w:b w:val="1"/>
          <w:bCs w:val="1"/>
          <w:i w:val="1"/>
          <w:iCs w:val="1"/>
          <w:color w:val="auto"/>
        </w:rPr>
        <w:t>Security Registrar</w:t>
      </w:r>
      <w:r>
        <w:rPr>
          <w:rFonts w:ascii="Arial" w:cs="Arial" w:eastAsia="Arial" w:hAnsi="Arial"/>
          <w:sz w:val="18"/>
          <w:szCs w:val="18"/>
          <w:color w:val="auto"/>
        </w:rPr>
        <w:t>” for the purpose of registering Securities and transfers of Securities as herein provided.</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 Except in the case of Securities issued in the form of a Global Security, upon surrender for registration of transfer of any Security of any</w:t>
      </w:r>
    </w:p>
    <w:p>
      <w:pPr>
        <w:spacing w:after="0" w:line="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series at the office or agency of the Company in a Place of Payment for that series, the Company shall execute, and the Trustee shall authenticate and deliver, in the name of the designated transferee or transferees, one or more new Securities of the same series, of any authorized denominations and of a like aggregate principal amount.</w:t>
      </w:r>
    </w:p>
    <w:p>
      <w:pPr>
        <w:spacing w:after="0" w:line="181" w:lineRule="exact"/>
        <w:rPr>
          <w:sz w:val="20"/>
          <w:szCs w:val="20"/>
          <w:color w:val="auto"/>
        </w:rPr>
      </w:pPr>
    </w:p>
    <w:p>
      <w:pPr>
        <w:ind w:firstLine="1305"/>
        <w:spacing w:after="0" w:line="395" w:lineRule="auto"/>
        <w:tabs>
          <w:tab w:leader="none" w:pos="151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83" w:lineRule="exact"/>
        <w:rPr>
          <w:rFonts w:ascii="Arial" w:cs="Arial" w:eastAsia="Arial" w:hAnsi="Arial"/>
          <w:sz w:val="16"/>
          <w:szCs w:val="16"/>
          <w:color w:val="auto"/>
        </w:rPr>
      </w:pPr>
    </w:p>
    <w:p>
      <w:pPr>
        <w:ind w:right="120" w:firstLine="1305"/>
        <w:spacing w:after="0" w:line="357" w:lineRule="auto"/>
        <w:tabs>
          <w:tab w:leader="none" w:pos="15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Every Security presented or surrendered for registration of transfer or for exchange shall (if so required by the Company or the Trustee) be duly endorsed, or be accompanied by a written instrument of</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5" w:name="page56"/>
    <w:bookmarkEnd w:id="55"/>
    <w:p>
      <w:pPr>
        <w:ind w:right="400"/>
        <w:spacing w:after="0" w:line="277" w:lineRule="auto"/>
        <w:rPr>
          <w:sz w:val="20"/>
          <w:szCs w:val="20"/>
          <w:color w:val="auto"/>
        </w:rPr>
      </w:pPr>
      <w:r>
        <w:rPr>
          <w:rFonts w:ascii="Arial" w:cs="Arial" w:eastAsia="Arial" w:hAnsi="Arial"/>
          <w:sz w:val="18"/>
          <w:szCs w:val="18"/>
          <w:color w:val="auto"/>
        </w:rPr>
        <w:t>transfer in form satisfactory to the Company and the Security Registrar duly executed by the Holder thereof or such Holder’s attorney duly authorized in writing.</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(e) Unless otherwise provided in a Board Resolution or an Officer’s Certificate pursuant to a Board Resolution, or in an indenture</w:t>
      </w:r>
    </w:p>
    <w:p>
      <w:pPr>
        <w:spacing w:after="0" w:line="6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supplemental hereto, with respect to Securities of any series, no service charge shall be made to the Holder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304, 906, 1106 or 1204 not involving any transfer.</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(f) The Company shall not be required (i) to issue, register the transfer of or exchange Securities of any series during a period beginning at</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opening of business 15 days before the day of the mailing of a notice of redemption of Securities of that series selected for redemption under Section 1103 and ending at the close of business on the day of such mailing, or (ii) to register the transfer of or exchange any Security so selected for redemption in whole or in part, except the unredeemed portion of any Security being redeemed in part.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306. </w:t>
      </w:r>
      <w:r>
        <w:rPr>
          <w:rFonts w:ascii="Arial" w:cs="Arial" w:eastAsia="Arial" w:hAnsi="Arial"/>
          <w:sz w:val="16"/>
          <w:szCs w:val="16"/>
          <w:i w:val="1"/>
          <w:iCs w:val="1"/>
          <w:color w:val="auto"/>
        </w:rPr>
        <w:t>Mutilated, Destroyed, Lost and Stolen Securities</w:t>
      </w:r>
      <w:r>
        <w:rPr>
          <w:rFonts w:ascii="Arial" w:cs="Arial" w:eastAsia="Arial" w:hAnsi="Arial"/>
          <w:sz w:val="16"/>
          <w:szCs w:val="16"/>
          <w:color w:val="auto"/>
        </w:rPr>
        <w:t>. (a) If any mutilated Security is surrendered to the Trustee, the Company</w:t>
      </w:r>
    </w:p>
    <w:p>
      <w:pPr>
        <w:spacing w:after="0" w:line="7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shall execute and the Trustee shall authenticate and deliver in exchange therefor a replacement Security of the same series and of like tenor and principal amount and bearing a number not contemporaneously outstanding.</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(b) If there has been delivered to the Company and the Trustee (i) evidence to their satisfaction of the destruction, loss or theft of any</w:t>
      </w:r>
    </w:p>
    <w:p>
      <w:pPr>
        <w:spacing w:after="0" w:line="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Security and (ii) such bond, security or indemnity as may be required by them to save each of them and any agent of either of them harmless, then, in the absence of actual notice to the Company or the Trustee that such Security has been acquired by a bona fide purchaser, the Company shall execute and upon its request the Trustee shall authenticate and deliver, a replacement Security of the same series (and Tranche, if applicable) and of like tenor and principal amount and bearing a number not contemporaneously outstanding.</w:t>
      </w:r>
    </w:p>
    <w:p>
      <w:pPr>
        <w:spacing w:after="0" w:line="187" w:lineRule="exact"/>
        <w:rPr>
          <w:sz w:val="20"/>
          <w:szCs w:val="20"/>
          <w:color w:val="auto"/>
        </w:rPr>
      </w:pPr>
    </w:p>
    <w:p>
      <w:pPr>
        <w:ind w:right="360" w:firstLine="1305"/>
        <w:spacing w:after="0" w:line="357" w:lineRule="auto"/>
        <w:tabs>
          <w:tab w:leader="none" w:pos="151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 case any such mutilated, destroyed, lost or stolen Security has become or is about to become due and payable, the Company in its discretion may, instead of issuing a new Security, pay such Security.</w:t>
      </w:r>
    </w:p>
    <w:p>
      <w:pPr>
        <w:spacing w:after="0" w:line="107" w:lineRule="exact"/>
        <w:rPr>
          <w:rFonts w:ascii="Arial" w:cs="Arial" w:eastAsia="Arial" w:hAnsi="Arial"/>
          <w:sz w:val="17"/>
          <w:szCs w:val="17"/>
          <w:color w:val="auto"/>
        </w:rPr>
      </w:pPr>
    </w:p>
    <w:p>
      <w:pPr>
        <w:ind w:left="1520" w:hanging="215"/>
        <w:spacing w:after="0"/>
        <w:tabs>
          <w:tab w:leader="none" w:pos="15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Upon the issuance of any new Security under this Section, the Company may require the payment of a sum sufficient to cover any tax or</w:t>
      </w:r>
    </w:p>
    <w:p>
      <w:pPr>
        <w:spacing w:after="0" w:line="7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other governmental charge that may be imposed in relation thereto and any other expenses (including the fees and expenses of the Trustee) connected therewith.</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(e) Every new Security of any series issued pursuant to this Section in lieu of any destroyed, lost or stolen Security shall constitute an</w:t>
      </w:r>
    </w:p>
    <w:p>
      <w:pPr>
        <w:spacing w:after="0" w:line="6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original additional contractual obligation of the Company, whether or not the destroyed, lost or stolen Security is at any time enforceable by anyone, and shall be entitled to all the benefits of this Indenture equally and proportionately with any and all other Securities of that series duly issued hereunder.</w:t>
      </w:r>
    </w:p>
    <w:p>
      <w:pPr>
        <w:spacing w:after="0" w:line="124" w:lineRule="exact"/>
        <w:rPr>
          <w:sz w:val="20"/>
          <w:szCs w:val="20"/>
          <w:color w:val="auto"/>
        </w:rPr>
      </w:pPr>
    </w:p>
    <w:p>
      <w:pPr>
        <w:ind w:right="380" w:firstLine="1305"/>
        <w:spacing w:after="0" w:line="324" w:lineRule="auto"/>
        <w:tabs>
          <w:tab w:leader="none" w:pos="149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SECTION 307. </w:t>
      </w:r>
      <w:r>
        <w:rPr>
          <w:rFonts w:ascii="Arial" w:cs="Arial" w:eastAsia="Arial" w:hAnsi="Arial"/>
          <w:sz w:val="17"/>
          <w:szCs w:val="17"/>
          <w:i w:val="1"/>
          <w:iCs w:val="1"/>
          <w:color w:val="auto"/>
        </w:rPr>
        <w:t>Payment of Interest; Interest Rights Preserved</w:t>
      </w:r>
      <w:r>
        <w:rPr>
          <w:rFonts w:ascii="Arial" w:cs="Arial" w:eastAsia="Arial" w:hAnsi="Arial"/>
          <w:sz w:val="17"/>
          <w:szCs w:val="17"/>
          <w:color w:val="auto"/>
        </w:rPr>
        <w:t>. (a) Unless otherwise provided as contemplated by Section 301(b) with</w:t>
      </w:r>
    </w:p>
    <w:p>
      <w:pPr>
        <w:spacing w:after="0" w:line="6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 xml:space="preserve">respect to the Securities of any series, interest on any Security that is payable, and is punctually paid or duly provided for, on any Interest Payment Date shall be paid to the Person in whose name that Security (or one or more Predecessor Securities) is registered at the close of business on the Regular Record Date for such interest;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interest payable at Maturity will be paid to the Person to whom principal is payable.</w:t>
      </w:r>
    </w:p>
    <w:p>
      <w:pPr>
        <w:spacing w:after="0" w:line="166" w:lineRule="exact"/>
        <w:rPr>
          <w:sz w:val="20"/>
          <w:szCs w:val="20"/>
          <w:color w:val="auto"/>
        </w:rPr>
      </w:pPr>
    </w:p>
    <w:p>
      <w:pPr>
        <w:ind w:right="140" w:firstLine="1305"/>
        <w:spacing w:after="0" w:line="357" w:lineRule="auto"/>
        <w:tabs>
          <w:tab w:leader="none" w:pos="15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Any interest on any Security of any series that is payable, but is not punctually paid or duly provided for, on any Interest Payment Date (herein called “</w:t>
      </w:r>
      <w:r>
        <w:rPr>
          <w:rFonts w:ascii="Arial" w:cs="Arial" w:eastAsia="Arial" w:hAnsi="Arial"/>
          <w:sz w:val="17"/>
          <w:szCs w:val="17"/>
          <w:b w:val="1"/>
          <w:bCs w:val="1"/>
          <w:i w:val="1"/>
          <w:iCs w:val="1"/>
          <w:color w:val="auto"/>
        </w:rPr>
        <w:t>Defaulted Interest</w:t>
      </w:r>
      <w:r>
        <w:rPr>
          <w:rFonts w:ascii="Arial" w:cs="Arial" w:eastAsia="Arial" w:hAnsi="Arial"/>
          <w:sz w:val="17"/>
          <w:szCs w:val="17"/>
          <w:color w:val="auto"/>
        </w:rPr>
        <w:t>”) shall forthwith cease to be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6" w:name="page57"/>
    <w:bookmarkEnd w:id="56"/>
    <w:p>
      <w:pPr>
        <w:ind w:right="20"/>
        <w:spacing w:after="0" w:line="277" w:lineRule="auto"/>
        <w:rPr>
          <w:sz w:val="20"/>
          <w:szCs w:val="20"/>
          <w:color w:val="auto"/>
        </w:rPr>
      </w:pPr>
      <w:r>
        <w:rPr>
          <w:rFonts w:ascii="Arial" w:cs="Arial" w:eastAsia="Arial" w:hAnsi="Arial"/>
          <w:sz w:val="18"/>
          <w:szCs w:val="18"/>
          <w:color w:val="auto"/>
        </w:rPr>
        <w:t>payable to the Holder on the relevant Regular Record Date by virtue of having been such Holder, and such Defaulted Interest may be paid by the Company, at its election in each case, as provided in clause (i) or (ii) below:</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 The Company may elect to make payment of any Defaulted Interest to the Persons in whose names the Securities of such series (or their</w:t>
      </w:r>
    </w:p>
    <w:p>
      <w:pPr>
        <w:spacing w:after="0" w:line="73" w:lineRule="exact"/>
        <w:rPr>
          <w:sz w:val="20"/>
          <w:szCs w:val="20"/>
          <w:color w:val="auto"/>
        </w:rPr>
      </w:pPr>
    </w:p>
    <w:p>
      <w:pPr>
        <w:ind w:left="660"/>
        <w:spacing w:after="0" w:line="268" w:lineRule="auto"/>
        <w:rPr>
          <w:sz w:val="20"/>
          <w:szCs w:val="20"/>
          <w:color w:val="auto"/>
        </w:rPr>
      </w:pPr>
      <w:r>
        <w:rPr>
          <w:rFonts w:ascii="Arial" w:cs="Arial" w:eastAsia="Arial" w:hAnsi="Arial"/>
          <w:sz w:val="17"/>
          <w:szCs w:val="17"/>
          <w:color w:val="auto"/>
        </w:rPr>
        <w:t>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Company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Company shall promptly notify the Trustee of such Special Record Date and, in the name and at the expense of the Company, shall cause notice of the proposed payment of such Defaulted Interest and the Special Record Date therefor to be mailed, first-class postage prepaid, to each Holder of Securities of such series at the address of such Holder as it appears in the Security Register, not less than 10 days prior to such Special Record Date. Notice of the proposed payment of such Defaulted Interest and the Special Record Date therefor having been so mailed, such Defaulted Interest shall be paid to the Persons in whose names the Securities of such series (or their respective Predecessor Securities) are registered at the close of business on such Special Record Date and shall no longer be payable pursuant to the following clause (ii).</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(ii) The Company may make payment of any Defaulted Interest on the Securities of any series in any other lawful manner not inconsistent</w:t>
      </w:r>
    </w:p>
    <w:p>
      <w:pPr>
        <w:spacing w:after="0" w:line="73"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with the requirements of any securities exchange on which such Securities may be listed, and upon such notice as may be required by such exchange, if, after notice given by the Company to the Trustee of the proposed payment pursuant to this clause (ii), such manner of payment shall be deemed practicable by the Trustee.</w:t>
      </w:r>
    </w:p>
    <w:p>
      <w:pPr>
        <w:spacing w:after="0" w:line="181" w:lineRule="exact"/>
        <w:rPr>
          <w:sz w:val="20"/>
          <w:szCs w:val="20"/>
          <w:color w:val="auto"/>
        </w:rPr>
      </w:pPr>
    </w:p>
    <w:p>
      <w:pPr>
        <w:ind w:right="280" w:firstLine="1305"/>
        <w:spacing w:after="0" w:line="395" w:lineRule="auto"/>
        <w:tabs>
          <w:tab w:leader="none" w:pos="1510" w:val="left"/>
        </w:tabs>
        <w:numPr>
          <w:ilvl w:val="0"/>
          <w:numId w:val="55"/>
        </w:numPr>
        <w:rPr>
          <w:rFonts w:ascii="Arial" w:cs="Arial" w:eastAsia="Arial" w:hAnsi="Arial"/>
          <w:sz w:val="16"/>
          <w:szCs w:val="16"/>
          <w:color w:val="auto"/>
        </w:rPr>
      </w:pPr>
      <w:r>
        <w:rPr>
          <w:rFonts w:ascii="Arial" w:cs="Arial" w:eastAsia="Arial" w:hAnsi="Arial"/>
          <w:sz w:val="16"/>
          <w:szCs w:val="16"/>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8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308. </w:t>
      </w:r>
      <w:r>
        <w:rPr>
          <w:rFonts w:ascii="Arial" w:cs="Arial" w:eastAsia="Arial" w:hAnsi="Arial"/>
          <w:sz w:val="16"/>
          <w:szCs w:val="16"/>
          <w:i w:val="1"/>
          <w:iCs w:val="1"/>
          <w:color w:val="auto"/>
        </w:rPr>
        <w:t>Persons Deemed Owners</w:t>
      </w:r>
      <w:r>
        <w:rPr>
          <w:rFonts w:ascii="Arial" w:cs="Arial" w:eastAsia="Arial" w:hAnsi="Arial"/>
          <w:sz w:val="16"/>
          <w:szCs w:val="16"/>
          <w:color w:val="auto"/>
        </w:rPr>
        <w:t>. Prior to due presentment of a Security for registration of transfer, the Company, the Trustee and</w:t>
      </w:r>
    </w:p>
    <w:p>
      <w:pPr>
        <w:spacing w:after="0" w:line="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any agent of the Company or the Trustee may treat the Person in whose name such Security is registered as the owner of such Security for the purpose of receiving payment of principal of (and any premium) and (subject to Section 301 and Section 307) any interest on such Security and for all other purposes whatsoever, whether or not such Security be overdue, and neither the Company, the Trustee nor any agent of the Company or the Trustee shall be affected by notice to the contrary.</w:t>
      </w:r>
    </w:p>
    <w:p>
      <w:pPr>
        <w:spacing w:after="0" w:line="187"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Ownership of Securities of a series shall be proved by the computerized book-entry system of the Depositary in the case of Securities issued in the form of a Global Security.</w:t>
      </w:r>
    </w:p>
    <w:p>
      <w:pPr>
        <w:spacing w:after="0" w:line="170"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None of the Company, the Trustee, any Paying Agent or the Security Registrar shall have any responsibility or liability for any aspect of the records relating to or payments made on account of beneficial ownership interests of a Global Security or for maintaining, supervising or reviewing any records relating to such beneficial ownership interests.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309. </w:t>
      </w:r>
      <w:r>
        <w:rPr>
          <w:rFonts w:ascii="Arial" w:cs="Arial" w:eastAsia="Arial" w:hAnsi="Arial"/>
          <w:sz w:val="16"/>
          <w:szCs w:val="16"/>
          <w:i w:val="1"/>
          <w:iCs w:val="1"/>
          <w:color w:val="auto"/>
        </w:rPr>
        <w:t>Cancellation</w:t>
      </w:r>
      <w:r>
        <w:rPr>
          <w:rFonts w:ascii="Arial" w:cs="Arial" w:eastAsia="Arial" w:hAnsi="Arial"/>
          <w:sz w:val="16"/>
          <w:szCs w:val="16"/>
          <w:color w:val="auto"/>
        </w:rPr>
        <w:t>. Except as otherwise specified as contemplated by Section 301(b) for Securities of any series, all Securities</w:t>
      </w:r>
    </w:p>
    <w:p>
      <w:pPr>
        <w:spacing w:after="0" w:line="7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surrendered for payment, redemption, registration of transfer or exchange or for credit against any sinking fund payment shall, if surrendered to any Person other than the Trustee, be delivered to the Trustee and, if not theretofore cancelled, shall be promptly cancelled by it. Except as otherwise specified as contemplated by Section 301(b) for Securities of any series, the Company may at any time deliver to the Trustee for cancellation any Securities previously authenticated and delivered hereunder that the Company may have acquired in any manner whatsoever or that the Company has not issued and sold, and all Securities so delivered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7" w:name="page58"/>
    <w:bookmarkEnd w:id="57"/>
    <w:p>
      <w:pPr>
        <w:ind w:right="480"/>
        <w:spacing w:after="0" w:line="342" w:lineRule="auto"/>
        <w:rPr>
          <w:sz w:val="20"/>
          <w:szCs w:val="20"/>
          <w:color w:val="auto"/>
        </w:rPr>
      </w:pPr>
      <w:r>
        <w:rPr>
          <w:rFonts w:ascii="Arial" w:cs="Arial" w:eastAsia="Arial" w:hAnsi="Arial"/>
          <w:sz w:val="16"/>
          <w:szCs w:val="16"/>
          <w:color w:val="auto"/>
        </w:rPr>
        <w:t>shall be promptly cancelled by the Trustee. No Securities shall be authenticated in lieu of or in exchange for any Securities cancelled as provided in this Section, except as expressly permitted by this Indenture. Upon request of the Company, the Trustee shall provide it with a certificate of cancellation.</w:t>
      </w:r>
    </w:p>
    <w:p>
      <w:pPr>
        <w:spacing w:after="0" w:line="124" w:lineRule="exact"/>
        <w:rPr>
          <w:sz w:val="20"/>
          <w:szCs w:val="20"/>
          <w:color w:val="auto"/>
        </w:rPr>
      </w:pPr>
    </w:p>
    <w:p>
      <w:pPr>
        <w:ind w:right="500" w:firstLine="1297"/>
        <w:spacing w:after="0" w:line="324"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i w:val="1"/>
          <w:iCs w:val="1"/>
          <w:color w:val="auto"/>
        </w:rPr>
        <w:t>Computation of Interest</w:t>
      </w:r>
      <w:r>
        <w:rPr>
          <w:rFonts w:ascii="Arial" w:cs="Arial" w:eastAsia="Arial" w:hAnsi="Arial"/>
          <w:sz w:val="18"/>
          <w:szCs w:val="18"/>
          <w:color w:val="auto"/>
        </w:rPr>
        <w:t>. Except as otherwise specified as contemplated by Section 301(b) for Securities of any series, interest on the Securities of each series shall be computed on the basis of a 360-day year of twelve 30-day months.</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i w:val="1"/>
          <w:iCs w:val="1"/>
          <w:color w:val="auto"/>
        </w:rPr>
        <w:t>Global Securities; Exchanges; Registration and Registration of Transfer</w:t>
      </w:r>
      <w:r>
        <w:rPr>
          <w:rFonts w:ascii="Arial" w:cs="Arial" w:eastAsia="Arial" w:hAnsi="Arial"/>
          <w:sz w:val="16"/>
          <w:szCs w:val="16"/>
          <w:color w:val="auto"/>
        </w:rPr>
        <w:t>. If specified as contemplated by Section 301(b) for</w:t>
      </w:r>
    </w:p>
    <w:p>
      <w:pPr>
        <w:spacing w:after="0" w:line="73"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Securities of any series, the Securities of such series may be issued in the form of one or more Global Securities, which shall be deposited with the Depositary, and, unless otherwise specified in the form of Global Security adopted pursuant to Section 301, be registered in the name of the Depository’s nominee.</w:t>
      </w:r>
    </w:p>
    <w:p>
      <w:pPr>
        <w:spacing w:after="0" w:line="181" w:lineRule="exact"/>
        <w:rPr>
          <w:sz w:val="20"/>
          <w:szCs w:val="20"/>
          <w:color w:val="auto"/>
        </w:rPr>
      </w:pPr>
    </w:p>
    <w:p>
      <w:pPr>
        <w:ind w:right="100" w:firstLine="1297"/>
        <w:spacing w:after="0" w:line="287" w:lineRule="auto"/>
        <w:rPr>
          <w:sz w:val="20"/>
          <w:szCs w:val="20"/>
          <w:color w:val="auto"/>
        </w:rPr>
      </w:pPr>
      <w:r>
        <w:rPr>
          <w:rFonts w:ascii="Arial" w:cs="Arial" w:eastAsia="Arial" w:hAnsi="Arial"/>
          <w:sz w:val="16"/>
          <w:szCs w:val="16"/>
          <w:color w:val="auto"/>
        </w:rPr>
        <w:t xml:space="preserve">Except as otherwise specified as contemplated by Section 301(b) for Securities of any series, any permanent Global Security shall be exchangeable only as provided in this paragraph. If the beneficial owners of interests in a permanent Global Security are entitled to exchange such interests for Securities of such series of like tenor and principal amount of another authorized form, as specified as contemplated by Section 301(b), then without unnecessary delay but in any event not later than the earliest date on which such interests may be so exchanged, the Company shall deliver to the Trustee definitive Securities of that series in aggregate principal amount equal to the principal amount of such permanent Global Security, executed by the Company. On or after the earliest date on which such interests may be so exchanged, such permanent Global Security shall be surrendered from time to time in accordance with instructions given to the Trustee and the Depositary (which instructions shall be in writing but need not comply with Section 102 or be accompanied by an Opinion of Counsel) by the Depositary or such other depositary as shall be specified in the Company Order with respect thereto to the Trustee, as the Company’s agent for such purpose, to be exchanged, in whole or in part, for definitive Securities of the same series without charge and the Trustee shall authenticate and deliver, in exchange for each portion of such permanent Global Security, a like aggregate principal amount of definitive Securities of the same series of authorized denominations and of like tenor as the portion of such permanent Global Security to be exchanged, as shall be specified by the Depositary;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exchanges may occur during the periods specified by Section 305.</w:t>
      </w:r>
    </w:p>
    <w:p>
      <w:pPr>
        <w:spacing w:after="0" w:line="169" w:lineRule="exact"/>
        <w:rPr>
          <w:sz w:val="20"/>
          <w:szCs w:val="20"/>
          <w:color w:val="auto"/>
        </w:rPr>
      </w:pPr>
    </w:p>
    <w:p>
      <w:pPr>
        <w:ind w:right="60" w:firstLine="1297"/>
        <w:spacing w:after="0" w:line="290" w:lineRule="auto"/>
        <w:rPr>
          <w:sz w:val="20"/>
          <w:szCs w:val="20"/>
          <w:color w:val="auto"/>
        </w:rPr>
      </w:pPr>
      <w:r>
        <w:rPr>
          <w:rFonts w:ascii="Arial" w:cs="Arial" w:eastAsia="Arial" w:hAnsi="Arial"/>
          <w:sz w:val="16"/>
          <w:szCs w:val="16"/>
          <w:color w:val="auto"/>
        </w:rPr>
        <w:t>The Global Security may be transferred to another nominee of the Depositary, or to a successor Depositary selected by the Company, and upon surrender for registration of transfer of the Global Security to the Trustee, the Company shall execute, and the Trustee shall authenticate and deliver, in the name of the designated transferee, a new Global Security in the same aggregate principal amount. If at any time the Depositary notifies the Company that it is unwilling or unable to continue as Depositary and a successor Depositary satisfactory to the Company is not appointed within 90 days after the Company receives such notice, the Company will execute, and the Trustee will authenticate and deliver, Securities in definitive form to the Depositary in exchange for the Global Security. In addition, if at any time the Company determines that it is not in the best interest of the Company or the beneficial owners of Securities to continue to have a Global Security representing all of the Securities held by a Depositary, the Company may, at its option, execute, and the Trustee will authenticate and deliver, Securities in definitive form to the Depositary in exchange for all or a portion of the Global Security.</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i w:val="1"/>
          <w:iCs w:val="1"/>
          <w:color w:val="auto"/>
        </w:rPr>
        <w:t>Extension of Interest Payment</w:t>
      </w:r>
      <w:r>
        <w:rPr>
          <w:rFonts w:ascii="Arial" w:cs="Arial" w:eastAsia="Arial" w:hAnsi="Arial"/>
          <w:sz w:val="16"/>
          <w:szCs w:val="16"/>
          <w:color w:val="auto"/>
        </w:rPr>
        <w:t>. The Company shall have the right at any time, so long as the Company is not in default in the</w:t>
      </w:r>
    </w:p>
    <w:p>
      <w:pPr>
        <w:spacing w:after="0" w:line="73"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payment of interest on the Securities of any series hereunder, to extend interest payment periods on all Securities of one or more series, if so specified as contemplated by Section 301(b) with respect to such Securities and upon such terms as may be specified as contemplated by Section 301(b) with respect to such Securities. If the Company ever so extends any such interest payment period, the Company shall promptly notify the Trustee.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ARTICLE FOUR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i w:val="1"/>
          <w:iCs w:val="1"/>
          <w:color w:val="auto"/>
        </w:rPr>
        <w:t>Termination of Company’s Obligations</w:t>
      </w:r>
      <w:r>
        <w:rPr>
          <w:rFonts w:ascii="Arial" w:cs="Arial" w:eastAsia="Arial" w:hAnsi="Arial"/>
          <w:sz w:val="16"/>
          <w:szCs w:val="16"/>
          <w:color w:val="auto"/>
        </w:rPr>
        <w:t>. (a) This Indenture shall upon Company Request cease to be of further effect with</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respect to the Securities of any series (except as to any surviving rights of registration of transfer or exchange of Securities herein expressly provided for), and the Trustee, at the expense of the Company, shall execute instruments in form and substance satisfactory to the Trustee and the Company acknowledging termination of the Company’s obligations under the Securities of such series and this Indenture, when</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 either</w:t>
      </w:r>
    </w:p>
    <w:p>
      <w:pPr>
        <w:spacing w:after="0" w:line="266"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(A) all Securities of such series previously authenticated and delivered (other than (i) Securities of such series that have been</w:t>
      </w:r>
    </w:p>
    <w:p>
      <w:pPr>
        <w:spacing w:after="0" w:line="61"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destroyed, lost or stolen and that have been replaced or paid as provided in Section 306 and (ii) Securities of such series that are deemed paid and discharged pursuant to Section 402) have been delivered to the Trustee for cancellation; or</w:t>
      </w:r>
    </w:p>
    <w:p>
      <w:pPr>
        <w:spacing w:after="0" w:line="170" w:lineRule="exact"/>
        <w:rPr>
          <w:sz w:val="20"/>
          <w:szCs w:val="20"/>
          <w:color w:val="auto"/>
        </w:rPr>
      </w:pPr>
    </w:p>
    <w:p>
      <w:pPr>
        <w:ind w:left="2200" w:hanging="247"/>
        <w:spacing w:after="0"/>
        <w:tabs>
          <w:tab w:leader="none" w:pos="22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such Securities of such series not previously delivered to the Trustee for cancellation</w:t>
      </w:r>
    </w:p>
    <w:p>
      <w:pPr>
        <w:spacing w:after="0" w:line="265" w:lineRule="exact"/>
        <w:rPr>
          <w:rFonts w:ascii="Arial" w:cs="Arial" w:eastAsia="Arial" w:hAnsi="Arial"/>
          <w:sz w:val="18"/>
          <w:szCs w:val="18"/>
          <w:color w:val="auto"/>
        </w:rPr>
      </w:pPr>
    </w:p>
    <w:p>
      <w:pPr>
        <w:ind w:left="2540" w:hanging="182"/>
        <w:spacing w:after="0"/>
        <w:tabs>
          <w:tab w:leader="none" w:pos="2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have become due and payable (whether at Stated Maturity, early redemption or otherwise), or</w:t>
      </w:r>
    </w:p>
    <w:p>
      <w:pPr>
        <w:spacing w:after="0" w:line="265" w:lineRule="exact"/>
        <w:rPr>
          <w:rFonts w:ascii="Arial" w:cs="Arial" w:eastAsia="Arial" w:hAnsi="Arial"/>
          <w:sz w:val="18"/>
          <w:szCs w:val="18"/>
          <w:color w:val="auto"/>
        </w:rPr>
      </w:pPr>
    </w:p>
    <w:p>
      <w:pPr>
        <w:ind w:left="2600" w:hanging="242"/>
        <w:spacing w:after="0"/>
        <w:tabs>
          <w:tab w:leader="none" w:pos="26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265" w:lineRule="exact"/>
        <w:rPr>
          <w:rFonts w:ascii="Arial" w:cs="Arial" w:eastAsia="Arial" w:hAnsi="Arial"/>
          <w:sz w:val="18"/>
          <w:szCs w:val="18"/>
          <w:color w:val="auto"/>
        </w:rPr>
      </w:pPr>
    </w:p>
    <w:p>
      <w:pPr>
        <w:ind w:left="660" w:right="100" w:firstLine="1698"/>
        <w:spacing w:after="0" w:line="324" w:lineRule="auto"/>
        <w:tabs>
          <w:tab w:leader="none" w:pos="2645" w:val="left"/>
        </w:tabs>
        <w:numPr>
          <w:ilvl w:val="1"/>
          <w:numId w:val="56"/>
        </w:numPr>
        <w:rPr>
          <w:rFonts w:ascii="Arial" w:cs="Arial" w:eastAsia="Arial" w:hAnsi="Arial"/>
          <w:sz w:val="18"/>
          <w:szCs w:val="18"/>
          <w:color w:val="auto"/>
        </w:rPr>
      </w:pPr>
      <w:r>
        <w:rPr>
          <w:rFonts w:ascii="Arial" w:cs="Arial" w:eastAsia="Arial" w:hAnsi="Arial"/>
          <w:sz w:val="18"/>
          <w:szCs w:val="18"/>
          <w:color w:val="auto"/>
        </w:rPr>
        <w:t>are to be called for redemption within one year under arrangements satisfactory to the Trustee for the giving of notice of redemption by the Trustee in the name, and at the expense, of the Company,</w:t>
      </w:r>
    </w:p>
    <w:p>
      <w:pPr>
        <w:spacing w:after="0" w:line="130"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and the Company in the case of (i), (ii) or (iii) above has irrevocably deposited or caused to be deposited with the Trustee as funds in trust solely for the benefit of the Holders of the Securities of such series an amount in cash in Dollars (or such other currency or composite currency in which the Securities of such series are denominated), Eligible Obligations or any combination thereof, together (if necessary in the case of a series of Securities not bearing interest at a fixed rate) with any Hedging Obligation, so that such funds in each case are sufficient to pay principal of, and any premium and interest on, all Outstanding Securities of such series;</w:t>
      </w:r>
    </w:p>
    <w:p>
      <w:pPr>
        <w:spacing w:after="0" w:line="188" w:lineRule="exact"/>
        <w:rPr>
          <w:sz w:val="20"/>
          <w:szCs w:val="20"/>
          <w:color w:val="auto"/>
        </w:rPr>
      </w:pPr>
    </w:p>
    <w:p>
      <w:pPr>
        <w:ind w:left="1520" w:hanging="215"/>
        <w:spacing w:after="0"/>
        <w:tabs>
          <w:tab w:leader="none" w:pos="15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Company has paid or caused to be paid all other sums payable hereunder by the Company; and</w:t>
      </w:r>
    </w:p>
    <w:p>
      <w:pPr>
        <w:spacing w:after="0" w:line="277" w:lineRule="exact"/>
        <w:rPr>
          <w:rFonts w:ascii="Arial" w:cs="Arial" w:eastAsia="Arial" w:hAnsi="Arial"/>
          <w:sz w:val="17"/>
          <w:szCs w:val="17"/>
          <w:color w:val="auto"/>
        </w:rPr>
      </w:pPr>
    </w:p>
    <w:p>
      <w:pPr>
        <w:ind w:left="660" w:right="160" w:firstLine="645"/>
        <w:spacing w:after="0" w:line="324" w:lineRule="auto"/>
        <w:tabs>
          <w:tab w:leader="none" w:pos="1532"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 Notwithstanding the satisfaction and discharge of this Indenture, the obligations of the Company to the Trustee under Section 607, the</w:t>
      </w:r>
    </w:p>
    <w:p>
      <w:pPr>
        <w:spacing w:after="0" w:line="7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obligations of the Trustee to any Authenticating Agent under Section 614 and, if money has been deposited with the Trustee pursuant to subclause (B) of clause (1) of this Section, the obligations of the Trustee under Section 405 and Section 1003(e) shall survive.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 Upon satisfaction and discharge of this Indenture as provided in this Section 401, the Trustee shall assign, transfer and turn over to the</w:t>
      </w:r>
    </w:p>
    <w:p>
      <w:pPr>
        <w:spacing w:after="0" w:line="7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Company, subject to the claim provided by Section 607, any and all money, securities and other property then held by the Trustee for the benefit of the Holders of the Securities.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59" w:name="page60"/>
    <w:bookmarkEnd w:id="59"/>
    <w:p>
      <w:pPr>
        <w:jc w:val="both"/>
        <w:ind w:right="100" w:firstLine="1297"/>
        <w:spacing w:after="0" w:line="312" w:lineRule="auto"/>
        <w:rPr>
          <w:sz w:val="20"/>
          <w:szCs w:val="20"/>
          <w:color w:val="auto"/>
        </w:rPr>
      </w:pPr>
      <w:r>
        <w:rPr>
          <w:rFonts w:ascii="Arial" w:cs="Arial" w:eastAsia="Arial" w:hAnsi="Arial"/>
          <w:sz w:val="16"/>
          <w:szCs w:val="16"/>
          <w:color w:val="auto"/>
        </w:rPr>
        <w:t>The Company may elect, at its option at any time, to have Section 402 or Section 403 applied to the Outstanding Securities of any series in accordance with any applicable requirements provided pursuant to Section 301 and upon compliance with the conditions set forth below in this Article. Any such election shall be evidenced by a Board Resolution or in another manner specified as contemplated by Section 301(b) for such Securities.</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i w:val="1"/>
          <w:iCs w:val="1"/>
          <w:color w:val="auto"/>
        </w:rPr>
        <w:t>Defeasance and Discharge of Indenture</w:t>
      </w:r>
      <w:r>
        <w:rPr>
          <w:rFonts w:ascii="Arial" w:cs="Arial" w:eastAsia="Arial" w:hAnsi="Arial"/>
          <w:sz w:val="16"/>
          <w:szCs w:val="16"/>
          <w:color w:val="auto"/>
        </w:rPr>
        <w:t>. Upon the Company’s exercise of its option (if any) to have this Section applied to</w:t>
      </w:r>
    </w:p>
    <w:p>
      <w:pPr>
        <w:spacing w:after="0" w:line="7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all the Outstanding Securities of any series or Tranche, or any portion of the principal amount thereof, and subject to the conditions set forth in Section 404 being satisfied, the Company shall be deemed to have paid and discharged the entire indebtedness on such Outstanding Securities of such series or Tranche, and the provisions of this Indenture, as it relates to such Outstanding Securities of such series or Tranche, shall be satisfied and discharged and shall no longer be in effect (and the Trustee, at the expense of the Company, shall at Company Request execute proper instruments acknowledging the same), except as to:</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 the rights of Holders of Securities of such series to receive, solely from the trust funds described in Section 405, (x) payment of the</w:t>
      </w:r>
    </w:p>
    <w:p>
      <w:pPr>
        <w:spacing w:after="0" w:line="61" w:lineRule="exact"/>
        <w:rPr>
          <w:sz w:val="20"/>
          <w:szCs w:val="20"/>
          <w:color w:val="auto"/>
        </w:rPr>
      </w:pPr>
    </w:p>
    <w:p>
      <w:pPr>
        <w:ind w:left="660" w:right="20"/>
        <w:spacing w:after="0" w:line="257" w:lineRule="auto"/>
        <w:rPr>
          <w:sz w:val="20"/>
          <w:szCs w:val="20"/>
          <w:color w:val="auto"/>
        </w:rPr>
      </w:pPr>
      <w:r>
        <w:rPr>
          <w:rFonts w:ascii="Arial" w:cs="Arial" w:eastAsia="Arial" w:hAnsi="Arial"/>
          <w:sz w:val="18"/>
          <w:szCs w:val="18"/>
          <w:color w:val="auto"/>
        </w:rPr>
        <w:t>principal of (and premium, if any) and each installment of principal of (and premium, if any) or interest, if any, on the Outstanding Securities of such series, or portions thereof, on the Stated Maturity of such principal or installment of principal or interest to but excluding the Redemption Date designated by the Company pursuant to subparagraph (viii) of Section 404 and (y) the benefit of any mandatory sinking fund payments applicable to the Securities of such series or Tranche on the day on which such payments are due and payable in accordance with the terms of this Indenture and the Securities of such series or Tranche;</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 the obligations of the Company and the Trustee with respect to such Securities of such series or Tranche under Sections 304, 305, 306,</w:t>
      </w:r>
    </w:p>
    <w:p>
      <w:pPr>
        <w:spacing w:after="0" w:line="73"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614, 1002 and 1003 and, if the Company shall have designated a Redemption Date pursuant to subparagraph (x) of Section 404, Sections 1104 and 1106; and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 the Company’s obligations with respect to the Trustee under Section 607.</w:t>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i w:val="1"/>
          <w:iCs w:val="1"/>
          <w:color w:val="auto"/>
        </w:rPr>
        <w:t>Defeasance of Certain Obligations</w:t>
      </w:r>
      <w:r>
        <w:rPr>
          <w:rFonts w:ascii="Arial" w:cs="Arial" w:eastAsia="Arial" w:hAnsi="Arial"/>
          <w:sz w:val="16"/>
          <w:szCs w:val="16"/>
          <w:color w:val="auto"/>
        </w:rPr>
        <w:t>. The Company may omit to comply with its obligations under the covenants contained in</w:t>
      </w:r>
    </w:p>
    <w:p>
      <w:pPr>
        <w:spacing w:after="0" w:line="7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 xml:space="preserve">Sections 801, 1006 and 1007 with respect to any Security or Securities of any series (and in respect of any term, provision or condition set forth in the covenants or restrictions specified for such Securities pursuant to Section 301(b), in any supplemental indenture, Board Resolution or Officer’s Certificate establishing such Security), and the failure to comply with any such provisions shall not constitute a Default or Event of Default under Section 501(4),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conditions set forth in Section 404 have been satisfied.</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404. </w:t>
      </w:r>
      <w:r>
        <w:rPr>
          <w:rFonts w:ascii="Arial" w:cs="Arial" w:eastAsia="Arial" w:hAnsi="Arial"/>
          <w:sz w:val="16"/>
          <w:szCs w:val="16"/>
          <w:i w:val="1"/>
          <w:iCs w:val="1"/>
          <w:color w:val="auto"/>
        </w:rPr>
        <w:t>Conditions to Defeasance</w:t>
      </w:r>
      <w:r>
        <w:rPr>
          <w:rFonts w:ascii="Arial" w:cs="Arial" w:eastAsia="Arial" w:hAnsi="Arial"/>
          <w:sz w:val="16"/>
          <w:szCs w:val="16"/>
          <w:color w:val="auto"/>
        </w:rPr>
        <w:t>. The following conditions shall be the conditions to the application of Section 402 and Section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403:</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 the Company has deposited or caused to be deposited irrevocably with the Trustee as trust funds in trust, specifically pledged as security</w:t>
      </w:r>
    </w:p>
    <w:p>
      <w:pPr>
        <w:spacing w:after="0" w:line="73" w:lineRule="exact"/>
        <w:rPr>
          <w:sz w:val="20"/>
          <w:szCs w:val="20"/>
          <w:color w:val="auto"/>
        </w:rPr>
      </w:pPr>
    </w:p>
    <w:p>
      <w:pPr>
        <w:ind w:left="660"/>
        <w:spacing w:after="0" w:line="284" w:lineRule="auto"/>
        <w:rPr>
          <w:sz w:val="20"/>
          <w:szCs w:val="20"/>
          <w:color w:val="auto"/>
        </w:rPr>
      </w:pPr>
      <w:r>
        <w:rPr>
          <w:rFonts w:ascii="Arial" w:cs="Arial" w:eastAsia="Arial" w:hAnsi="Arial"/>
          <w:sz w:val="16"/>
          <w:szCs w:val="16"/>
          <w:color w:val="auto"/>
        </w:rPr>
        <w:t>for, and dedicated solely to, the benefit of the Holders of the Securities of such series, (x) cash in Dollars (or such other currency or composite currency in which such Securities are denominated) in an amount sufficient, or (y) Eligible Obligations which through the payment of interest and principal in respect thereof in accordance with their terms will provide on or before the due date of any payment referred to in clause (1) or (2) of this subparagraph (i) money in an amount sufficient or (z) a combination of such cash and Eligible Obligations, together (if necessary in the case of a series of Securities not bearing interest at a fixed rate) with any Hedging Obligation so that such funds are sufficient, in the opinion of a nationally recognized firm of independent certified public accountants expressed in a written certification thereof delivered to the Trustee, to pay and discharge</w:t>
      </w:r>
    </w:p>
    <w:p>
      <w:pPr>
        <w:spacing w:after="0" w:line="5" w:lineRule="exact"/>
        <w:rPr>
          <w:sz w:val="20"/>
          <w:szCs w:val="20"/>
          <w:color w:val="auto"/>
        </w:rPr>
      </w:pPr>
    </w:p>
    <w:p>
      <w:pPr>
        <w:jc w:val="both"/>
        <w:ind w:left="660" w:right="360" w:hanging="4"/>
        <w:spacing w:after="0" w:line="295" w:lineRule="auto"/>
        <w:tabs>
          <w:tab w:leader="none" w:pos="915"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principal of (and premium, if any) and each installment of principal (and premium, if any) and interest, if any, on such Securities on the Stated Maturity of such principal or installment of principal or interest or to but excluding the Redemption Date designated by the Company in accordance with Section 404(a)(1)(B)(iii) and (2) any mandatory sinking fund payments applicable to the Securities of such series on the day on which such payments are due and payable in accordance with the terms of this Indenture and of the Securities of such series;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60" w:name="page61"/>
    <w:bookmarkEnd w:id="60"/>
    <w:p>
      <w:pPr>
        <w:ind w:left="1300"/>
        <w:spacing w:after="0"/>
        <w:rPr>
          <w:sz w:val="20"/>
          <w:szCs w:val="20"/>
          <w:color w:val="auto"/>
        </w:rPr>
      </w:pPr>
      <w:r>
        <w:rPr>
          <w:rFonts w:ascii="Arial" w:cs="Arial" w:eastAsia="Arial" w:hAnsi="Arial"/>
          <w:sz w:val="16"/>
          <w:szCs w:val="16"/>
          <w:color w:val="auto"/>
        </w:rPr>
        <w:t>(ii) in the event of an election to have Section 402 apply, the Company has delivered to the Trustee an Officer’s Certificate and an Opinion</w:t>
      </w:r>
    </w:p>
    <w:p>
      <w:pPr>
        <w:spacing w:after="0" w:line="73" w:lineRule="exact"/>
        <w:rPr>
          <w:sz w:val="20"/>
          <w:szCs w:val="20"/>
          <w:color w:val="auto"/>
        </w:rPr>
      </w:pPr>
    </w:p>
    <w:p>
      <w:pPr>
        <w:ind w:left="660" w:right="160"/>
        <w:spacing w:after="0" w:line="257" w:lineRule="auto"/>
        <w:rPr>
          <w:sz w:val="20"/>
          <w:szCs w:val="20"/>
          <w:color w:val="auto"/>
        </w:rPr>
      </w:pPr>
      <w:r>
        <w:rPr>
          <w:rFonts w:ascii="Arial" w:cs="Arial" w:eastAsia="Arial" w:hAnsi="Arial"/>
          <w:sz w:val="18"/>
          <w:szCs w:val="18"/>
          <w:color w:val="auto"/>
        </w:rPr>
        <w:t>of Counsel to the effect that (x) the Company has received from, or there has been published by, the Internal Revenue Service a ruling or (y) there has been a change in law or regulation occurring after the date hereof, to the effect that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(iii) in the event of an election to have Section 403 apply, the Company has delivered to the Trustee an Officer’s Certificate and an Opinion</w:t>
      </w:r>
    </w:p>
    <w:p>
      <w:pPr>
        <w:spacing w:after="0" w:line="73"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of Counsel to the effect that Holders of the Securities of such series will not recognize income, gain or loss for federal income tax purposes as a result of such deposit and defeasance and will be subject to federal income tax on the same amount and in the same manner and at the same times, as would have been the case if such deposit and defeasance had not occurred;</w:t>
      </w:r>
    </w:p>
    <w:p>
      <w:pPr>
        <w:spacing w:after="0" w:line="181" w:lineRule="exact"/>
        <w:rPr>
          <w:sz w:val="20"/>
          <w:szCs w:val="20"/>
          <w:color w:val="auto"/>
        </w:rPr>
      </w:pPr>
    </w:p>
    <w:p>
      <w:pPr>
        <w:ind w:left="660" w:right="40" w:firstLine="645"/>
        <w:spacing w:after="0" w:line="324" w:lineRule="auto"/>
        <w:tabs>
          <w:tab w:leader="none" w:pos="1582"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29" w:lineRule="exact"/>
        <w:rPr>
          <w:rFonts w:ascii="Arial" w:cs="Arial" w:eastAsia="Arial" w:hAnsi="Arial"/>
          <w:sz w:val="18"/>
          <w:szCs w:val="18"/>
          <w:color w:val="auto"/>
        </w:rPr>
      </w:pPr>
    </w:p>
    <w:p>
      <w:pPr>
        <w:ind w:left="1520" w:hanging="215"/>
        <w:spacing w:after="0"/>
        <w:tabs>
          <w:tab w:leader="none" w:pos="15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such provision would not cause any Outstanding Securities of such series then listed on a securities exchange to be delisted as a result</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225" w:lineRule="exact"/>
        <w:rPr>
          <w:rFonts w:ascii="Arial" w:cs="Arial" w:eastAsia="Arial" w:hAnsi="Arial"/>
          <w:sz w:val="16"/>
          <w:szCs w:val="16"/>
          <w:color w:val="auto"/>
        </w:rPr>
      </w:pPr>
    </w:p>
    <w:p>
      <w:pPr>
        <w:ind w:left="660" w:right="160" w:firstLine="645"/>
        <w:spacing w:after="0" w:line="324" w:lineRule="auto"/>
        <w:tabs>
          <w:tab w:leader="none" w:pos="1582"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 Event of Default or event that with notice or lapse of time would become an Event of Default with respect to the Securities of such series has occurred and is continuing on the date of such deposit;</w:t>
      </w:r>
    </w:p>
    <w:p>
      <w:pPr>
        <w:spacing w:after="0" w:line="129" w:lineRule="exact"/>
        <w:rPr>
          <w:rFonts w:ascii="Arial" w:cs="Arial" w:eastAsia="Arial" w:hAnsi="Arial"/>
          <w:sz w:val="18"/>
          <w:szCs w:val="18"/>
          <w:color w:val="auto"/>
        </w:rPr>
      </w:pPr>
    </w:p>
    <w:p>
      <w:pPr>
        <w:ind w:left="1620" w:hanging="315"/>
        <w:spacing w:after="0"/>
        <w:tabs>
          <w:tab w:leader="none" w:pos="16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Company has delivered to the Trustee an Officer’s Certificate stating that the deposit was not made by the Company with the intent</w:t>
      </w:r>
    </w:p>
    <w:p>
      <w:pPr>
        <w:spacing w:after="0" w:line="73"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of preferring the holders of the Securities of such series over any other creditors of the Company or with the intent of defeating, hindering, delaying or defrauding any other creditors of the Company;</w:t>
      </w:r>
    </w:p>
    <w:p>
      <w:pPr>
        <w:spacing w:after="0" w:line="170" w:lineRule="exact"/>
        <w:rPr>
          <w:sz w:val="20"/>
          <w:szCs w:val="20"/>
          <w:color w:val="auto"/>
        </w:rPr>
      </w:pPr>
    </w:p>
    <w:p>
      <w:pPr>
        <w:ind w:left="660" w:right="180" w:firstLine="645"/>
        <w:spacing w:after="0" w:line="357" w:lineRule="auto"/>
        <w:tabs>
          <w:tab w:leader="none" w:pos="1682" w:val="left"/>
        </w:tabs>
        <w:numPr>
          <w:ilvl w:val="0"/>
          <w:numId w:val="60"/>
        </w:numPr>
        <w:rPr>
          <w:rFonts w:ascii="Arial" w:cs="Arial" w:eastAsia="Arial" w:hAnsi="Arial"/>
          <w:sz w:val="17"/>
          <w:szCs w:val="17"/>
          <w:color w:val="auto"/>
        </w:rPr>
      </w:pPr>
      <w:r>
        <w:rPr>
          <w:rFonts w:ascii="Arial" w:cs="Arial" w:eastAsia="Arial" w:hAnsi="Arial"/>
          <w:sz w:val="17"/>
          <w:szCs w:val="17"/>
          <w:color w:val="auto"/>
        </w:rPr>
        <w:t>such deposit shall not, as specified in an Opinion of Counsel, cause the Trustee with respect to the Securities of such series to have a conflicting interest as defined in Section 608 and for purposes of the Trust Indenture Act with respect to the Securities of such series;</w:t>
      </w:r>
    </w:p>
    <w:p>
      <w:pPr>
        <w:spacing w:after="0" w:line="107" w:lineRule="exact"/>
        <w:rPr>
          <w:rFonts w:ascii="Arial" w:cs="Arial" w:eastAsia="Arial" w:hAnsi="Arial"/>
          <w:sz w:val="17"/>
          <w:szCs w:val="17"/>
          <w:color w:val="auto"/>
        </w:rPr>
      </w:pPr>
    </w:p>
    <w:p>
      <w:pPr>
        <w:ind w:left="660" w:right="100" w:firstLine="645"/>
        <w:spacing w:after="0" w:line="324" w:lineRule="auto"/>
        <w:tabs>
          <w:tab w:leader="none" w:pos="1582"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provided for relating to the defeasance contemplated by this Section have been complied with; and</w:t>
      </w:r>
    </w:p>
    <w:p>
      <w:pPr>
        <w:spacing w:after="0" w:line="129" w:lineRule="exact"/>
        <w:rPr>
          <w:rFonts w:ascii="Arial" w:cs="Arial" w:eastAsia="Arial" w:hAnsi="Arial"/>
          <w:sz w:val="18"/>
          <w:szCs w:val="18"/>
          <w:color w:val="auto"/>
        </w:rPr>
      </w:pPr>
    </w:p>
    <w:p>
      <w:pPr>
        <w:ind w:left="1520" w:hanging="215"/>
        <w:spacing w:after="0"/>
        <w:tabs>
          <w:tab w:leader="none" w:pos="15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if the Company has deposited or caused to be deposited money or Eligible Obligations to pay or discharge the principal of (and</w:t>
      </w:r>
    </w:p>
    <w:p>
      <w:pPr>
        <w:spacing w:after="0" w:line="61" w:lineRule="exact"/>
        <w:rPr>
          <w:sz w:val="20"/>
          <w:szCs w:val="20"/>
          <w:color w:val="auto"/>
        </w:rPr>
      </w:pPr>
    </w:p>
    <w:p>
      <w:pPr>
        <w:ind w:left="660" w:right="40"/>
        <w:spacing w:after="0" w:line="257" w:lineRule="auto"/>
        <w:rPr>
          <w:sz w:val="20"/>
          <w:szCs w:val="20"/>
          <w:color w:val="auto"/>
        </w:rPr>
      </w:pPr>
      <w:r>
        <w:rPr>
          <w:rFonts w:ascii="Arial" w:cs="Arial" w:eastAsia="Arial" w:hAnsi="Arial"/>
          <w:sz w:val="18"/>
          <w:szCs w:val="18"/>
          <w:color w:val="auto"/>
        </w:rPr>
        <w:t>premium, if any) and interest on the Outstanding Securities of a series to but excluding a Redemption Date pursuant to clause (i) of this Section 404, such Redemption Date shall be irrevocably designated by a Board Resolution delivered to the Trustee on or prior to the date of deposit of such money or Eligible Obligations, and such Board Resolution shall be accompanied by an irrevocable Company Request that the Trustee give notice of such redemption in the name and at the expense of the Company not less than 30 nor more than 60 days prior to such Redemption Date in accordance with Section 1104.</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i w:val="1"/>
          <w:iCs w:val="1"/>
          <w:color w:val="auto"/>
        </w:rPr>
        <w:t>Application of Trust Money</w:t>
      </w:r>
      <w:r>
        <w:rPr>
          <w:rFonts w:ascii="Arial" w:cs="Arial" w:eastAsia="Arial" w:hAnsi="Arial"/>
          <w:sz w:val="17"/>
          <w:szCs w:val="17"/>
          <w:color w:val="auto"/>
        </w:rPr>
        <w:t>. (a) Neither the Eligible Obligations nor the funds deposited with the Trustee pursuant to</w:t>
      </w:r>
    </w:p>
    <w:p>
      <w:pPr>
        <w:spacing w:after="0" w:line="6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Sections 401, 402 or 403, nor the principal or interest payments on any such Eligible Obligations, shall be withdrawn or used for any purpose other than, and shall be held in trust for, the payment of the principal of and premium, if any, and interest, if any, on the Securities or portions of principal amount thereof in respect of which such deposit was made, all subject, however, to the provisions of Section 606; </w:t>
      </w:r>
      <w:r>
        <w:rPr>
          <w:rFonts w:ascii="Arial" w:cs="Arial" w:eastAsia="Arial" w:hAnsi="Arial"/>
          <w:sz w:val="18"/>
          <w:szCs w:val="18"/>
          <w:i w:val="1"/>
          <w:iCs w:val="1"/>
          <w:color w:val="auto"/>
        </w:rPr>
        <w:t>provided, however</w:t>
      </w:r>
      <w:r>
        <w:rPr>
          <w:rFonts w:ascii="Arial" w:cs="Arial" w:eastAsia="Arial" w:hAnsi="Arial"/>
          <w:sz w:val="18"/>
          <w:szCs w:val="18"/>
          <w:color w:val="auto"/>
        </w:rPr>
        <w:t>, that, so long as no Event of Default has occurred and is continuing, any cash received from such principal or interest payments on such Eligible Obligations deposited with the Trustee, if not then needed for such</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61" w:name="page62"/>
    <w:bookmarkEnd w:id="61"/>
    <w:p>
      <w:pPr>
        <w:ind w:right="20"/>
        <w:spacing w:after="0" w:line="272" w:lineRule="auto"/>
        <w:rPr>
          <w:sz w:val="20"/>
          <w:szCs w:val="20"/>
          <w:color w:val="auto"/>
        </w:rPr>
      </w:pPr>
      <w:r>
        <w:rPr>
          <w:rFonts w:ascii="Arial" w:cs="Arial" w:eastAsia="Arial" w:hAnsi="Arial"/>
          <w:sz w:val="17"/>
          <w:szCs w:val="17"/>
          <w:color w:val="auto"/>
        </w:rPr>
        <w:t xml:space="preserve">purpose, shall, to the extent practicable, be invested in Eligible Obligations of the type described in Sections 401 and 402(d)(2)(A) maturing at such times and in such amounts as shall be sufficient to pay when due the principal of and any premium and interest due and to become due on such Securities or portions thereof on and prior to the Maturity thereof, and interest earned from such reinvestment shall be paid over to the Company as received by the Trustee, free and clear of any trust, lien or pledge under this Indenture except the claim provided by Section 607; 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so long as there shall not have occurred and be continuing an Event of Default, any moneys held by the Trustee in accordance with this Section on the Maturity of all such Securities in excess of the amount required to pay the principal of and premium, if any, and interest, if any, then due on such Securities shall be paid over to the Company free and clear of any trust, lien or pledge under this Indenture except the claim provided by Section 607.</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 The Company shall pay and shall indemnify the Trustee against any tax, fee or other charge imposed on or assessed against Eligible</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Obligations deposited pursuant to Section 401, 402 or 403 or the principal and any premium and interest received in respect of such obligations other than any payable by or on behalf of Holders.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 The Trustee shall deliver or pay to the Company from time to time upon Company Request any Eligible Obligations or money held by it</w:t>
      </w:r>
    </w:p>
    <w:p>
      <w:pPr>
        <w:spacing w:after="0" w:line="7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provided in Section 401, 402 or 403 that, in the opinion of a nationally recognized firm of independent certified public accountants expressed in a written certification thereof delivered to the Trustee, are then in excess of the amount thereof that then would have been required to be deposited for the purpose for which such Eligible Obligations or money was deposited or received. This provision shall not authorize the sale by the Trustee of any Eligible Obligations held under this Indenture.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406. </w:t>
      </w:r>
      <w:r>
        <w:rPr>
          <w:rFonts w:ascii="Arial" w:cs="Arial" w:eastAsia="Arial" w:hAnsi="Arial"/>
          <w:sz w:val="16"/>
          <w:szCs w:val="16"/>
          <w:i w:val="1"/>
          <w:iCs w:val="1"/>
          <w:color w:val="auto"/>
        </w:rPr>
        <w:t>Reinstatement</w:t>
      </w:r>
      <w:r>
        <w:rPr>
          <w:rFonts w:ascii="Arial" w:cs="Arial" w:eastAsia="Arial" w:hAnsi="Arial"/>
          <w:sz w:val="16"/>
          <w:szCs w:val="16"/>
          <w:color w:val="auto"/>
        </w:rPr>
        <w:t>. If the Trustee or the Paying Agent is unable to apply any money in accordance with this Article with respect</w:t>
      </w:r>
    </w:p>
    <w:p>
      <w:pPr>
        <w:spacing w:after="0" w:line="7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to any Securities by reason of any order or judgment of any court or governmental authority enjoining, restraining or otherwise prohibiting such application, then the obligations under this Indenture and such Securities from which the Company has been discharged or released pursuant to Section 402 or Section 403 shall be revived and reinstated as though no deposit had occurred pursuant to this Article with respect to such Securities, until such time as the Trustee or Paying Agent is permitted to apply all money held in trust pursuant to Section 405 with respect to such Securities in accordance with this Article;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if the Company makes any payment of principal of or any premium or interest on any such Security following such reinstatement of its</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the Company shall be subrogated to the rights (if any) of the Holders of such Securities to receive such payment from the money so held in trust.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FIVE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REMEDIES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i w:val="1"/>
          <w:iCs w:val="1"/>
          <w:color w:val="auto"/>
        </w:rPr>
        <w:t>Events of Default</w:t>
      </w:r>
      <w:r>
        <w:rPr>
          <w:rFonts w:ascii="Arial" w:cs="Arial" w:eastAsia="Arial" w:hAnsi="Arial"/>
          <w:sz w:val="16"/>
          <w:szCs w:val="16"/>
          <w:color w:val="auto"/>
        </w:rPr>
        <w:t>. “</w:t>
      </w:r>
      <w:r>
        <w:rPr>
          <w:rFonts w:ascii="Arial" w:cs="Arial" w:eastAsia="Arial" w:hAnsi="Arial"/>
          <w:sz w:val="16"/>
          <w:szCs w:val="16"/>
          <w:b w:val="1"/>
          <w:bCs w:val="1"/>
          <w:i w:val="1"/>
          <w:iCs w:val="1"/>
          <w:color w:val="auto"/>
        </w:rPr>
        <w:t>Event of Default</w:t>
      </w:r>
      <w:r>
        <w:rPr>
          <w:rFonts w:ascii="Arial" w:cs="Arial" w:eastAsia="Arial" w:hAnsi="Arial"/>
          <w:sz w:val="16"/>
          <w:szCs w:val="16"/>
          <w:color w:val="auto"/>
        </w:rPr>
        <w:t>”, wherever used herein with respect to Securities of any series, means any one of the</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following events, unless such event is either inapplicable to a particular series or its is specifically deleted or modified in the applicable Board Resolution or supplemental indenture under which such series of Securities is issued, as the case may be, as contemplated by Section 301:</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 default in the payment of any interest upon any Security of that series when it becomes due and payable, and continuance of such default</w:t>
      </w:r>
    </w:p>
    <w:p>
      <w:pPr>
        <w:spacing w:after="0" w:line="73" w:lineRule="exact"/>
        <w:rPr>
          <w:sz w:val="20"/>
          <w:szCs w:val="20"/>
          <w:color w:val="auto"/>
        </w:rPr>
      </w:pPr>
    </w:p>
    <w:p>
      <w:pPr>
        <w:ind w:left="660" w:right="340"/>
        <w:spacing w:after="0" w:line="277" w:lineRule="auto"/>
        <w:rPr>
          <w:sz w:val="20"/>
          <w:szCs w:val="20"/>
          <w:color w:val="auto"/>
        </w:rPr>
      </w:pPr>
      <w:r>
        <w:rPr>
          <w:rFonts w:ascii="Arial" w:cs="Arial" w:eastAsia="Arial" w:hAnsi="Arial"/>
          <w:sz w:val="18"/>
          <w:szCs w:val="18"/>
          <w:color w:val="auto"/>
        </w:rPr>
        <w:t xml:space="preserve">for a period of 30 days; </w:t>
      </w:r>
      <w:r>
        <w:rPr>
          <w:rFonts w:ascii="Arial" w:cs="Arial" w:eastAsia="Arial" w:hAnsi="Arial"/>
          <w:sz w:val="18"/>
          <w:szCs w:val="18"/>
          <w:i w:val="1"/>
          <w:iCs w:val="1"/>
          <w:color w:val="auto"/>
        </w:rPr>
        <w:t>provided, however</w:t>
      </w:r>
      <w:r>
        <w:rPr>
          <w:rFonts w:ascii="Arial" w:cs="Arial" w:eastAsia="Arial" w:hAnsi="Arial"/>
          <w:sz w:val="18"/>
          <w:szCs w:val="18"/>
          <w:color w:val="auto"/>
        </w:rPr>
        <w:t>, that a valid extension of the interest payment period by the Company as contemplated in Section 312 shall not constitute a failure to pay interest for this purpose; or</w:t>
      </w:r>
    </w:p>
    <w:p>
      <w:pPr>
        <w:spacing w:after="0" w:line="170" w:lineRule="exact"/>
        <w:rPr>
          <w:sz w:val="20"/>
          <w:szCs w:val="20"/>
          <w:color w:val="auto"/>
        </w:rPr>
      </w:pPr>
    </w:p>
    <w:p>
      <w:pPr>
        <w:ind w:left="660" w:right="140" w:firstLine="645"/>
        <w:spacing w:after="0" w:line="324" w:lineRule="auto"/>
        <w:tabs>
          <w:tab w:leader="none" w:pos="1532"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any Security of that series at its Maturity and, in the case of technical or administrative difficulties, only if such default persists for a period of more than three Business Days; or</w:t>
      </w:r>
    </w:p>
    <w:p>
      <w:pPr>
        <w:spacing w:after="0" w:line="129" w:lineRule="exact"/>
        <w:rPr>
          <w:rFonts w:ascii="Arial" w:cs="Arial" w:eastAsia="Arial" w:hAnsi="Arial"/>
          <w:sz w:val="18"/>
          <w:szCs w:val="18"/>
          <w:color w:val="auto"/>
        </w:rPr>
      </w:pPr>
    </w:p>
    <w:p>
      <w:pPr>
        <w:ind w:left="660" w:right="320" w:firstLine="645"/>
        <w:spacing w:after="0" w:line="324" w:lineRule="auto"/>
        <w:tabs>
          <w:tab w:leader="none" w:pos="1532"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 Security of that series and continuance of such default for a period of 30 days; or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2" w:name="page63"/>
    <w:bookmarkEnd w:id="62"/>
    <w:p>
      <w:pPr>
        <w:ind w:left="1300"/>
        <w:spacing w:after="0"/>
        <w:rPr>
          <w:sz w:val="20"/>
          <w:szCs w:val="20"/>
          <w:color w:val="auto"/>
        </w:rPr>
      </w:pPr>
      <w:r>
        <w:rPr>
          <w:rFonts w:ascii="Arial" w:cs="Arial" w:eastAsia="Arial" w:hAnsi="Arial"/>
          <w:sz w:val="16"/>
          <w:szCs w:val="16"/>
          <w:color w:val="auto"/>
        </w:rPr>
        <w:t>(4) default in the performance, or breach, of any covenant or warranty of the Company in this Indenture (other than a covenant or warranty a</w:t>
      </w:r>
    </w:p>
    <w:p>
      <w:pPr>
        <w:spacing w:after="0" w:line="73" w:lineRule="exact"/>
        <w:rPr>
          <w:sz w:val="20"/>
          <w:szCs w:val="20"/>
          <w:color w:val="auto"/>
        </w:rPr>
      </w:pPr>
    </w:p>
    <w:p>
      <w:pPr>
        <w:ind w:left="660"/>
        <w:spacing w:after="0" w:line="276" w:lineRule="auto"/>
        <w:rPr>
          <w:sz w:val="20"/>
          <w:szCs w:val="20"/>
          <w:color w:val="auto"/>
        </w:rPr>
      </w:pPr>
      <w:r>
        <w:rPr>
          <w:rFonts w:ascii="Arial" w:cs="Arial" w:eastAsia="Arial" w:hAnsi="Arial"/>
          <w:sz w:val="17"/>
          <w:szCs w:val="17"/>
          <w:color w:val="auto"/>
        </w:rPr>
        <w:t>default in whose performance or whose breach is elsewhere in this Section specifically dealt with or which has expressly been included in this Indenture solely for the benefit of one or more series of Securities other than that series), and continuance of such default or breach for a period of 60 days after there has been given, by registered or certified mail, to the Company by the Trustee or to the Company and the Trustee by the Holders of at least 25% in aggregate principal amount of the Outstanding Securities of such series a written notice specifying such default or breach and requiring it to be remedied and stating that such notice is a “</w:t>
      </w:r>
      <w:r>
        <w:rPr>
          <w:rFonts w:ascii="Arial" w:cs="Arial" w:eastAsia="Arial" w:hAnsi="Arial"/>
          <w:sz w:val="17"/>
          <w:szCs w:val="17"/>
          <w:b w:val="1"/>
          <w:bCs w:val="1"/>
          <w:i w:val="1"/>
          <w:iCs w:val="1"/>
          <w:color w:val="auto"/>
        </w:rPr>
        <w:t>Notice of Default</w:t>
      </w:r>
      <w:r>
        <w:rPr>
          <w:rFonts w:ascii="Arial" w:cs="Arial" w:eastAsia="Arial" w:hAnsi="Arial"/>
          <w:sz w:val="17"/>
          <w:szCs w:val="17"/>
          <w:color w:val="auto"/>
        </w:rPr>
        <w:t>” hereunder; or</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(5) the entry by a court having jurisdiction in the premises of (A) a decree or order for relief in respect of the Company in an involuntary</w:t>
      </w:r>
    </w:p>
    <w:p>
      <w:pPr>
        <w:spacing w:after="0" w:line="73"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color w:val="auto"/>
        </w:rPr>
        <w:t>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(6) the commencement by the Company of a voluntary case or proceeding under any applicable federal or state bankruptcy, insolvency,</w:t>
      </w:r>
    </w:p>
    <w:p>
      <w:pPr>
        <w:spacing w:after="0" w:line="73" w:lineRule="exact"/>
        <w:rPr>
          <w:sz w:val="20"/>
          <w:szCs w:val="20"/>
          <w:color w:val="auto"/>
        </w:rPr>
      </w:pPr>
    </w:p>
    <w:p>
      <w:pPr>
        <w:ind w:left="660"/>
        <w:spacing w:after="0" w:line="291" w:lineRule="auto"/>
        <w:rPr>
          <w:sz w:val="20"/>
          <w:szCs w:val="20"/>
          <w:color w:val="auto"/>
        </w:rPr>
      </w:pPr>
      <w:r>
        <w:rPr>
          <w:rFonts w:ascii="Arial" w:cs="Arial" w:eastAsia="Arial" w:hAnsi="Arial"/>
          <w:sz w:val="16"/>
          <w:szCs w:val="16"/>
          <w:color w:val="auto"/>
        </w:rPr>
        <w:t>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(7) any other Event of Default provided with respect to Securities of such series pursuant to Section 301(b).</w:t>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i w:val="1"/>
          <w:iCs w:val="1"/>
          <w:color w:val="auto"/>
        </w:rPr>
        <w:t>Acceleration of Maturity; Rescission and Annulment</w:t>
      </w:r>
      <w:r>
        <w:rPr>
          <w:rFonts w:ascii="Arial" w:cs="Arial" w:eastAsia="Arial" w:hAnsi="Arial"/>
          <w:sz w:val="16"/>
          <w:szCs w:val="16"/>
          <w:color w:val="auto"/>
        </w:rPr>
        <w:t>. If an Event of Default with respect to Securities of any series at the</w:t>
      </w:r>
    </w:p>
    <w:p>
      <w:pPr>
        <w:spacing w:after="0" w:line="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time Outstanding occurs and is continuing, then in every such case the Trustee or the Holders of not less than 25% in aggregate principal amount of the Outstanding Securities of such series, by a notice in writing to the Company (and to the Trustee if given by such Holders), may declare the principal amount (or, if the Securities of such series are Original Issue Discount Securities or Indexed Securities, such portion of the principal amount of such Securities as may be specified in the terms thereof) to be due and payable immediately and upon any such declaration such principal amount (or specified amount) shall become immediately due and payable. If an Event of Default specified in Section 501(5) or (6) occurs, the principal of all the Securities then Outstanding (or if any such Securities are Original Issue Discount Securities or Indexed Securities, such portion of the principal amount of such Securities as may be specified in the terms thereof) shall automatically become and be immediately due and payable without any declaration or other act or notice on the part of the Trustee or any Holders of the Securities.</w:t>
      </w:r>
    </w:p>
    <w:p>
      <w:pPr>
        <w:spacing w:after="0" w:line="179"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At any time after such a declaration of acceleration with respect to Securities of one or more series has been made and before a judgment or decree for payment of the money due has been obtained by the Trustee as hereinafter in this Article provided, the Event or Events of Default giving rise to such declaration of acceleration shall, without further act, be deemed to have been waived, and such declaration and its consequences shall, without further act, be deemed to have been rescinded and annulled, if</w:t>
      </w:r>
    </w:p>
    <w:p>
      <w:pPr>
        <w:spacing w:after="0" w:line="187" w:lineRule="exact"/>
        <w:rPr>
          <w:sz w:val="20"/>
          <w:szCs w:val="20"/>
          <w:color w:val="auto"/>
        </w:rPr>
      </w:pPr>
    </w:p>
    <w:p>
      <w:pPr>
        <w:ind w:left="5620" w:right="3580" w:hanging="4315"/>
        <w:spacing w:after="0" w:line="623" w:lineRule="auto"/>
        <w:tabs>
          <w:tab w:leader="none" w:pos="1524"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Company has paid or deposited irrevocably with the Trustee a sum sufficient to pay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63" w:name="page64"/>
    <w:bookmarkEnd w:id="63"/>
    <w:p>
      <w:pPr>
        <w:ind w:left="2220" w:hanging="267"/>
        <w:spacing w:after="0"/>
        <w:tabs>
          <w:tab w:leader="none" w:pos="22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overdue interest on all Securities of any such series,</w:t>
      </w:r>
    </w:p>
    <w:p>
      <w:pPr>
        <w:spacing w:after="0" w:line="265" w:lineRule="exact"/>
        <w:rPr>
          <w:rFonts w:ascii="Arial" w:cs="Arial" w:eastAsia="Arial" w:hAnsi="Arial"/>
          <w:sz w:val="18"/>
          <w:szCs w:val="18"/>
          <w:color w:val="auto"/>
        </w:rPr>
      </w:pPr>
    </w:p>
    <w:p>
      <w:pPr>
        <w:ind w:left="660" w:right="840" w:firstLine="1293"/>
        <w:spacing w:after="0" w:line="324" w:lineRule="auto"/>
        <w:tabs>
          <w:tab w:leader="none" w:pos="221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principal of (and premium, if any, on) any Securities of such series that have become due otherwise than by such declaration of acceleration and interest thereon at the rate or rates prescribed therefor in such Securities,</w:t>
      </w:r>
    </w:p>
    <w:p>
      <w:pPr>
        <w:spacing w:after="0" w:line="129" w:lineRule="exact"/>
        <w:rPr>
          <w:rFonts w:ascii="Arial" w:cs="Arial" w:eastAsia="Arial" w:hAnsi="Arial"/>
          <w:sz w:val="18"/>
          <w:szCs w:val="18"/>
          <w:color w:val="auto"/>
        </w:rPr>
      </w:pPr>
    </w:p>
    <w:p>
      <w:pPr>
        <w:ind w:left="660" w:right="120" w:firstLine="1293"/>
        <w:spacing w:after="0" w:line="324" w:lineRule="auto"/>
        <w:tabs>
          <w:tab w:leader="none" w:pos="221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the extent that payment of such interest is lawful, interest upon overdue interest at the rate or rates borne by such Securities, unless another rate is provided in such Securities, and</w:t>
      </w:r>
    </w:p>
    <w:p>
      <w:pPr>
        <w:spacing w:after="0" w:line="129" w:lineRule="exact"/>
        <w:rPr>
          <w:rFonts w:ascii="Arial" w:cs="Arial" w:eastAsia="Arial" w:hAnsi="Arial"/>
          <w:sz w:val="18"/>
          <w:szCs w:val="18"/>
          <w:color w:val="auto"/>
        </w:rPr>
      </w:pPr>
    </w:p>
    <w:p>
      <w:pPr>
        <w:ind w:left="2220" w:hanging="267"/>
        <w:spacing w:after="0"/>
        <w:tabs>
          <w:tab w:leader="none" w:pos="22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amounts due to the Trustee under Section 607;</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660" w:right="120" w:firstLine="645"/>
        <w:spacing w:after="0" w:line="324" w:lineRule="auto"/>
        <w:tabs>
          <w:tab w:leader="none" w:pos="1532"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Events of Default with respect to Securities of that series, other than the non-payment of the principal of Securities of that series that have become due solely by such declaration of acceleration, have been cured or waived as provided in Section 513.</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such rescission shall affect any subsequent Event of Default or impair any right consequent thereon.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i w:val="1"/>
          <w:iCs w:val="1"/>
          <w:color w:val="auto"/>
        </w:rPr>
        <w:t>Collection of Indebtedness and Suits for Enforcement by Trustee</w:t>
      </w:r>
      <w:r>
        <w:rPr>
          <w:rFonts w:ascii="Arial" w:cs="Arial" w:eastAsia="Arial" w:hAnsi="Arial"/>
          <w:sz w:val="16"/>
          <w:szCs w:val="16"/>
          <w:color w:val="auto"/>
        </w:rPr>
        <w:t>. If an Event of Default described in clause (1) or (2) of</w:t>
      </w:r>
    </w:p>
    <w:p>
      <w:pPr>
        <w:spacing w:after="0" w:line="7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Section 501 has occurred and is continuing, the Company shall, upon demand of the Trustee, pay to the Trustee, for the benefit of the Holders of the Securities of the series with respect to which such Event of Default has occurred, the whole amount then due and payable on such Securities for principal and any premium or interest and, to the extent that payment of such interest shall be legally enforceable, interest on any overdue principal and premium and on any overdue interest, at the rate or rates borne by such Securities, unless another rate is provided in such Securities, and, in addition thereto, such further amount as shall be sufficient to cover any amounts due to the Trustee under Section 607.</w:t>
      </w:r>
    </w:p>
    <w:p>
      <w:pPr>
        <w:spacing w:after="0" w:line="173"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deems most effectual to protect and enforce any such rights, whether for the specific enforcement of any covenant or agreement in this Indenture or in aid of the exercise of any power granted herein, or to enforce any other proper remedy.</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i w:val="1"/>
          <w:iCs w:val="1"/>
          <w:color w:val="auto"/>
        </w:rPr>
        <w:t>Trustee May File Proofs of Claim</w:t>
      </w:r>
      <w:r>
        <w:rPr>
          <w:rFonts w:ascii="Arial" w:cs="Arial" w:eastAsia="Arial" w:hAnsi="Arial"/>
          <w:sz w:val="17"/>
          <w:szCs w:val="17"/>
          <w:color w:val="auto"/>
        </w:rPr>
        <w:t>. In case of the pendency of any receivership, insolvency, liquidation, bankruptcy,</w:t>
      </w:r>
    </w:p>
    <w:p>
      <w:pPr>
        <w:spacing w:after="0" w:line="6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 to file and prove a claim for the whole amount of principal and premium or interest owing and unpaid in respect of the Securities and to</w:t>
      </w:r>
    </w:p>
    <w:p>
      <w:pPr>
        <w:spacing w:after="0" w:line="73"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file such other papers or documents as may be necessary or advisable in order to have the claims of the Trustee (including any claim for amounts due to the Trustee under Section 607) and of the Holders allowed in such judicial proceeding, and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(ii) to collect and receive any moneys or other property payable or deliverable on any such claims and to distribute the same;</w:t>
      </w:r>
    </w:p>
    <w:p>
      <w:pPr>
        <w:spacing w:after="0" w:line="266"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judicial proceeding is hereby authorized by each Holder to make such payments to the Trustee and, if the Trustee consents to the making of such payments directly to the Holders, to pay to the Trustee any amount due it under Section 607.</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4" w:name="page65"/>
    <w:bookmarkEnd w:id="64"/>
    <w:p>
      <w:pPr>
        <w:jc w:val="both"/>
        <w:ind w:firstLine="1297"/>
        <w:spacing w:after="0" w:line="264"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505. </w:t>
      </w:r>
      <w:r>
        <w:rPr>
          <w:rFonts w:ascii="Arial" w:cs="Arial" w:eastAsia="Arial" w:hAnsi="Arial"/>
          <w:sz w:val="16"/>
          <w:szCs w:val="16"/>
          <w:i w:val="1"/>
          <w:iCs w:val="1"/>
          <w:color w:val="auto"/>
        </w:rPr>
        <w:t>Trustee May Enforce Claims Without Possession of Securities</w:t>
      </w:r>
      <w:r>
        <w:rPr>
          <w:rFonts w:ascii="Arial" w:cs="Arial" w:eastAsia="Arial" w:hAnsi="Arial"/>
          <w:sz w:val="16"/>
          <w:szCs w:val="16"/>
          <w:color w:val="auto"/>
        </w:rPr>
        <w:t>. All rights of action and claims under this Indenture or the</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amounts due to the Trustee under Section 607, be for the ratable benefit of the Holders of the Securities in respect of which such judgment has been recovered.</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i w:val="1"/>
          <w:iCs w:val="1"/>
          <w:color w:val="auto"/>
        </w:rPr>
        <w:t>Application of Money Collected</w:t>
      </w:r>
      <w:r>
        <w:rPr>
          <w:rFonts w:ascii="Arial" w:cs="Arial" w:eastAsia="Arial" w:hAnsi="Arial"/>
          <w:sz w:val="17"/>
          <w:szCs w:val="17"/>
          <w:color w:val="auto"/>
        </w:rPr>
        <w:t>. Any money collected by the Trustee pursuant to this Article shall be applied in the</w:t>
      </w:r>
    </w:p>
    <w:p>
      <w:pPr>
        <w:spacing w:after="0" w:line="6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following order, at the date or dates fixed by the Trustee, and, in case of the distribution of such money on account of principal and any premium and interest, upon presentation of the Securities in respect of which or for the benefit of which such money shall have been collected and the notation thereon of the payment if only partially paid and upon surrender thereof if fully paid:</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FIRST: To the payment of all amounts due the Trustee under Section 607;</w:t>
      </w:r>
    </w:p>
    <w:p>
      <w:pPr>
        <w:spacing w:after="0" w:line="225"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SECOND: To the payment of the amounts then due and unpaid for principal of and any premium and interest on the Securities in respect of which or for the benefit of which such money has been collected, ratably, without preference or priority of any kind, according to the amounts due and payable on such Securities for principal and any premium and interest, respectively; and</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THIRD: The balance, if any, to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Trustee may fix a record date and payment date for any such payment to Holders of Securities.</w:t>
      </w:r>
    </w:p>
    <w:p>
      <w:pPr>
        <w:spacing w:after="0" w:line="225" w:lineRule="exact"/>
        <w:rPr>
          <w:sz w:val="20"/>
          <w:szCs w:val="20"/>
          <w:color w:val="auto"/>
        </w:rPr>
      </w:pPr>
    </w:p>
    <w:p>
      <w:pPr>
        <w:ind w:right="360" w:firstLine="1297"/>
        <w:spacing w:after="0" w:line="395"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i w:val="1"/>
          <w:iCs w:val="1"/>
          <w:color w:val="auto"/>
        </w:rPr>
        <w:t>Limitation on Suits</w:t>
      </w:r>
      <w:r>
        <w:rPr>
          <w:rFonts w:ascii="Arial" w:cs="Arial" w:eastAsia="Arial" w:hAnsi="Arial"/>
          <w:sz w:val="16"/>
          <w:szCs w:val="16"/>
          <w:color w:val="auto"/>
        </w:rPr>
        <w:t>. No Holder of any Security of any series shall have any right to institute any proceeding, judicial or otherwise, with respect to this Indenture or such Security, or for the appointment of a receiver or trustee, or for any other remedy hereunder, unless</w:t>
      </w:r>
    </w:p>
    <w:p>
      <w:pPr>
        <w:spacing w:after="0" w:line="8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(1) such Holder has previously given written notice to the Trustee of a continuing Event of Default with respect to the Securities of that</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series;</w:t>
      </w:r>
    </w:p>
    <w:p>
      <w:pPr>
        <w:spacing w:after="0" w:line="225" w:lineRule="exact"/>
        <w:rPr>
          <w:sz w:val="20"/>
          <w:szCs w:val="20"/>
          <w:color w:val="auto"/>
        </w:rPr>
      </w:pPr>
    </w:p>
    <w:p>
      <w:pPr>
        <w:ind w:left="660" w:right="420" w:firstLine="645"/>
        <w:spacing w:after="0" w:line="357" w:lineRule="auto"/>
        <w:tabs>
          <w:tab w:leader="none" w:pos="1532"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Holders of not less than 25% in aggregate principal amount of the Outstanding Securities of that series shall have made written request to the Trustee to institute proceedings in respect of such Event of Default in its own name as Trustee hereunder;</w:t>
      </w:r>
    </w:p>
    <w:p>
      <w:pPr>
        <w:spacing w:after="0" w:line="107" w:lineRule="exact"/>
        <w:rPr>
          <w:rFonts w:ascii="Arial" w:cs="Arial" w:eastAsia="Arial" w:hAnsi="Arial"/>
          <w:sz w:val="17"/>
          <w:szCs w:val="17"/>
          <w:color w:val="auto"/>
        </w:rPr>
      </w:pPr>
    </w:p>
    <w:p>
      <w:pPr>
        <w:ind w:left="660" w:right="360" w:firstLine="645"/>
        <w:spacing w:after="0" w:line="324" w:lineRule="auto"/>
        <w:tabs>
          <w:tab w:leader="none" w:pos="1532"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against the reasonable costs, expenses and liabilities to be incurred in compliance with such request;</w:t>
      </w:r>
    </w:p>
    <w:p>
      <w:pPr>
        <w:spacing w:after="0" w:line="129" w:lineRule="exact"/>
        <w:rPr>
          <w:rFonts w:ascii="Arial" w:cs="Arial" w:eastAsia="Arial" w:hAnsi="Arial"/>
          <w:sz w:val="18"/>
          <w:szCs w:val="18"/>
          <w:color w:val="auto"/>
        </w:rPr>
      </w:pPr>
    </w:p>
    <w:p>
      <w:pPr>
        <w:ind w:left="1520" w:hanging="215"/>
        <w:spacing w:after="0"/>
        <w:tabs>
          <w:tab w:leader="none" w:pos="15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offer of indemnity has failed to institute any such proceeding; and</w:t>
      </w:r>
    </w:p>
    <w:p>
      <w:pPr>
        <w:spacing w:after="0" w:line="288" w:lineRule="exact"/>
        <w:rPr>
          <w:rFonts w:ascii="Arial" w:cs="Arial" w:eastAsia="Arial" w:hAnsi="Arial"/>
          <w:sz w:val="16"/>
          <w:szCs w:val="16"/>
          <w:color w:val="auto"/>
        </w:rPr>
      </w:pPr>
    </w:p>
    <w:p>
      <w:pPr>
        <w:ind w:left="660" w:right="40" w:firstLine="645"/>
        <w:spacing w:after="0" w:line="324" w:lineRule="auto"/>
        <w:tabs>
          <w:tab w:leader="none" w:pos="1532"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aggregate principal amount of the Outstanding Securities of that series;</w:t>
      </w:r>
    </w:p>
    <w:p>
      <w:pPr>
        <w:spacing w:after="0" w:line="13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right under this Indenture, except in the manner herein provided and for the equal and ratable benefit of all of such Holders.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SECTION 508. </w:t>
      </w:r>
      <w:r>
        <w:rPr>
          <w:rFonts w:ascii="Arial" w:cs="Arial" w:eastAsia="Arial" w:hAnsi="Arial"/>
          <w:sz w:val="17"/>
          <w:szCs w:val="17"/>
          <w:i w:val="1"/>
          <w:iCs w:val="1"/>
          <w:color w:val="auto"/>
        </w:rPr>
        <w:t>Unconditional Right of Holders to Receive Principal, Premium and Interest</w:t>
      </w:r>
      <w:r>
        <w:rPr>
          <w:rFonts w:ascii="Arial" w:cs="Arial" w:eastAsia="Arial" w:hAnsi="Arial"/>
          <w:sz w:val="17"/>
          <w:szCs w:val="17"/>
          <w:color w:val="auto"/>
        </w:rPr>
        <w:t>. Notwithstanding any other provision in this</w:t>
      </w:r>
    </w:p>
    <w:p>
      <w:pPr>
        <w:spacing w:after="0" w:line="61"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Indenture, the Holder of any Security shall have the right, which is absolute and unconditional, to receive payment of the principal of and premium and (subject to Section 307) interest on such Security on the Stated Maturity or Maturities expressed in such Security (or, in the case of redemption, on the Redemption Date, or, in the case of repayment at the option of the Holder, on the Repayment Date) and to institute suit for the enforcement of any such payment, and such rights shall not be impaired without the consent of such Holder.</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SECTION 509. </w:t>
      </w:r>
      <w:r>
        <w:rPr>
          <w:rFonts w:ascii="Arial" w:cs="Arial" w:eastAsia="Arial" w:hAnsi="Arial"/>
          <w:sz w:val="17"/>
          <w:szCs w:val="17"/>
          <w:i w:val="1"/>
          <w:iCs w:val="1"/>
          <w:color w:val="auto"/>
        </w:rPr>
        <w:t>Restoration of Rights and Remedies</w:t>
      </w:r>
      <w:r>
        <w:rPr>
          <w:rFonts w:ascii="Arial" w:cs="Arial" w:eastAsia="Arial" w:hAnsi="Arial"/>
          <w:sz w:val="17"/>
          <w:szCs w:val="17"/>
          <w:color w:val="auto"/>
        </w:rPr>
        <w:t>. If the Trustee or any Holder has instituted any proceeding to enforce any right or</w:t>
      </w:r>
    </w:p>
    <w:p>
      <w:pPr>
        <w:spacing w:after="0" w:line="6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remedy under this Indenture and such proceeding has been discontinued or abandoned for any reason, or has been determined adversely to the Trustee or to such Holder, then and in every such case, subject to any determination in such proceeding, the Company, the Trustee and such Holder shall be restored severally and respectively to their former positions hereunder and thereafter all rights and remedies of the Trustee and such Holder shall continue as though no such proceeding had been instituted.</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i w:val="1"/>
          <w:iCs w:val="1"/>
          <w:color w:val="auto"/>
        </w:rPr>
        <w:t>Rights and Remedies Cumulative</w:t>
      </w:r>
      <w:r>
        <w:rPr>
          <w:rFonts w:ascii="Arial" w:cs="Arial" w:eastAsia="Arial" w:hAnsi="Arial"/>
          <w:sz w:val="16"/>
          <w:szCs w:val="16"/>
          <w:color w:val="auto"/>
        </w:rPr>
        <w:t>. Except as otherwise provided with respect to the replacement or payment of mutilated,</w:t>
      </w:r>
    </w:p>
    <w:p>
      <w:pPr>
        <w:spacing w:after="0" w:line="7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destroyed, lost or stolen Securities in the last paragraph of Section 306,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511. </w:t>
      </w:r>
      <w:r>
        <w:rPr>
          <w:rFonts w:ascii="Arial" w:cs="Arial" w:eastAsia="Arial" w:hAnsi="Arial"/>
          <w:sz w:val="16"/>
          <w:szCs w:val="16"/>
          <w:i w:val="1"/>
          <w:iCs w:val="1"/>
          <w:color w:val="auto"/>
        </w:rPr>
        <w:t>Delay or Omission Not Waiver</w:t>
      </w:r>
      <w:r>
        <w:rPr>
          <w:rFonts w:ascii="Arial" w:cs="Arial" w:eastAsia="Arial" w:hAnsi="Arial"/>
          <w:sz w:val="16"/>
          <w:szCs w:val="16"/>
          <w:color w:val="auto"/>
        </w:rPr>
        <w:t>. No delay or omission of the Trustee or of any Holder of any Securities to exercise any right</w:t>
      </w:r>
    </w:p>
    <w:p>
      <w:pPr>
        <w:spacing w:after="0" w:line="73"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512. </w:t>
      </w:r>
      <w:r>
        <w:rPr>
          <w:rFonts w:ascii="Arial" w:cs="Arial" w:eastAsia="Arial" w:hAnsi="Arial"/>
          <w:sz w:val="16"/>
          <w:szCs w:val="16"/>
          <w:i w:val="1"/>
          <w:iCs w:val="1"/>
          <w:color w:val="auto"/>
        </w:rPr>
        <w:t>Control by Holders</w:t>
      </w:r>
      <w:r>
        <w:rPr>
          <w:rFonts w:ascii="Arial" w:cs="Arial" w:eastAsia="Arial" w:hAnsi="Arial"/>
          <w:sz w:val="16"/>
          <w:szCs w:val="16"/>
          <w:color w:val="auto"/>
        </w:rPr>
        <w:t>. If an Event of Default shall have occurred and be continuing in respect of a series of Securities, the</w:t>
      </w:r>
    </w:p>
    <w:p>
      <w:pPr>
        <w:spacing w:after="0" w:line="7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Holders of a majority in aggregate principal amount of the Outstanding Securities of that series shall have the right to direct the time, method and place of conducting any proceeding for any remedy available to the Trustee, or exercising any trust or power conferred on the Trustee, with respect to the Securities of such series or Tranche;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an Event of Default has occurred and is continuing with respect to more than one series of Securities of equal ranking, the Holders of a majority in aggregate principal amount of the Outstanding Securities of all such series of equal ranking, considered as one class, shall have the right to make such direction, and not the Holders of the Securities of any one of such series of equal ranking;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w:t>
      </w:r>
    </w:p>
    <w:p>
      <w:pPr>
        <w:spacing w:after="0" w:line="158" w:lineRule="exact"/>
        <w:rPr>
          <w:sz w:val="20"/>
          <w:szCs w:val="20"/>
          <w:color w:val="auto"/>
        </w:rPr>
      </w:pPr>
    </w:p>
    <w:p>
      <w:pPr>
        <w:ind w:left="1520" w:hanging="215"/>
        <w:spacing w:after="0"/>
        <w:tabs>
          <w:tab w:leader="none" w:pos="15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such direction shall not be in conflict with any rule of law or with this Indenture, and</w:t>
      </w:r>
    </w:p>
    <w:p>
      <w:pPr>
        <w:spacing w:after="0" w:line="277" w:lineRule="exact"/>
        <w:rPr>
          <w:rFonts w:ascii="Arial" w:cs="Arial" w:eastAsia="Arial" w:hAnsi="Arial"/>
          <w:sz w:val="17"/>
          <w:szCs w:val="17"/>
          <w:color w:val="auto"/>
        </w:rPr>
      </w:pPr>
    </w:p>
    <w:p>
      <w:pPr>
        <w:ind w:left="1520" w:hanging="215"/>
        <w:spacing w:after="0"/>
        <w:tabs>
          <w:tab w:leader="none" w:pos="15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Trustee may take any other action deemed proper by the Trustee which is not inconsistent with such direction.</w:t>
      </w:r>
    </w:p>
    <w:p>
      <w:pPr>
        <w:spacing w:after="0" w:line="27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513. </w:t>
      </w:r>
      <w:r>
        <w:rPr>
          <w:rFonts w:ascii="Arial" w:cs="Arial" w:eastAsia="Arial" w:hAnsi="Arial"/>
          <w:sz w:val="16"/>
          <w:szCs w:val="16"/>
          <w:i w:val="1"/>
          <w:iCs w:val="1"/>
          <w:color w:val="auto"/>
        </w:rPr>
        <w:t>Waiver of Past Defaults</w:t>
      </w:r>
      <w:r>
        <w:rPr>
          <w:rFonts w:ascii="Arial" w:cs="Arial" w:eastAsia="Arial" w:hAnsi="Arial"/>
          <w:sz w:val="16"/>
          <w:szCs w:val="16"/>
          <w:color w:val="auto"/>
        </w:rPr>
        <w:t>. The Holders of not less than a majority in aggregate principal amount of the Outstanding Securities</w:t>
      </w:r>
    </w:p>
    <w:p>
      <w:pPr>
        <w:spacing w:after="0" w:line="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of any series may on behalf of the Holders of all the Securities of such series waive any past default hereunder with respect to such series and its consequences;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any such past default has occurred with respect to more than one series of Securities of equal ranking, the Holders of a majority in aggregate principal amount of the Outstanding Securities of all such series of equal ranking, considered as one class, may make such waiver, and not the Holders of the Securities of any one of such series of equal ranking, in each case, except a default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66" w:name="page67"/>
    <w:bookmarkEnd w:id="66"/>
    <w:p>
      <w:pPr>
        <w:ind w:left="1520" w:hanging="215"/>
        <w:spacing w:after="0"/>
        <w:tabs>
          <w:tab w:leader="none" w:pos="15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 the payment of the principal of or premium or interest on any Security of such series, or</w:t>
      </w:r>
    </w:p>
    <w:p>
      <w:pPr>
        <w:spacing w:after="0" w:line="277" w:lineRule="exact"/>
        <w:rPr>
          <w:rFonts w:ascii="Arial" w:cs="Arial" w:eastAsia="Arial" w:hAnsi="Arial"/>
          <w:sz w:val="17"/>
          <w:szCs w:val="17"/>
          <w:color w:val="auto"/>
        </w:rPr>
      </w:pPr>
    </w:p>
    <w:p>
      <w:pPr>
        <w:ind w:left="660" w:right="80" w:firstLine="645"/>
        <w:spacing w:after="0" w:line="324" w:lineRule="auto"/>
        <w:tabs>
          <w:tab w:leader="none" w:pos="1532"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respect of a covenant or provision hereof that under Section 902 cannot be modified or amended without the consent of the Holder of each Outstanding Security of such series affected.</w:t>
      </w:r>
    </w:p>
    <w:p>
      <w:pPr>
        <w:spacing w:after="0" w:line="130"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i w:val="1"/>
          <w:iCs w:val="1"/>
          <w:color w:val="auto"/>
        </w:rPr>
        <w:t>Undertaking for Costs</w:t>
      </w:r>
      <w:r>
        <w:rPr>
          <w:rFonts w:ascii="Arial" w:cs="Arial" w:eastAsia="Arial" w:hAnsi="Arial"/>
          <w:sz w:val="16"/>
          <w:szCs w:val="16"/>
          <w:color w:val="auto"/>
        </w:rPr>
        <w:t>. All parties to this Indenture agree, and each Holder of any Security by such Holder’s acceptance</w:t>
      </w:r>
    </w:p>
    <w:p>
      <w:pPr>
        <w:spacing w:after="0" w:line="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aggregate principal amount of the Outstanding Securities of all series in respect of which such suit may be brought, considered as one class, or to any suit instituted by any Holder for the enforcement of the payment of the principal of or any premium or interest on any Security on or after the Stated Maturity or Maturities expressed in such Security (or, in the case of redemption, on or after the Redemption Date, or, in the case of repayment at the option of the Holder, on or after the Repayment Date).</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515. </w:t>
      </w:r>
      <w:r>
        <w:rPr>
          <w:rFonts w:ascii="Arial" w:cs="Arial" w:eastAsia="Arial" w:hAnsi="Arial"/>
          <w:sz w:val="16"/>
          <w:szCs w:val="16"/>
          <w:i w:val="1"/>
          <w:iCs w:val="1"/>
          <w:color w:val="auto"/>
        </w:rPr>
        <w:t>Waiver of Stay or Extension Laws</w:t>
      </w:r>
      <w:r>
        <w:rPr>
          <w:rFonts w:ascii="Arial" w:cs="Arial" w:eastAsia="Arial" w:hAnsi="Arial"/>
          <w:sz w:val="16"/>
          <w:szCs w:val="16"/>
          <w:color w:val="auto"/>
        </w:rPr>
        <w:t>. The Company covenants (to the extent that it may lawfully do so) that it will not at any</w:t>
      </w:r>
    </w:p>
    <w:p>
      <w:pPr>
        <w:spacing w:after="0" w:line="7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time insist upon, or plead, or in any manner whatsoever claim or take the benefit or advantage of, any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SIX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TRUSTEE</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i w:val="1"/>
          <w:iCs w:val="1"/>
          <w:color w:val="auto"/>
        </w:rPr>
        <w:t>Certain Duties and Responsibilities</w:t>
      </w:r>
      <w:r>
        <w:rPr>
          <w:rFonts w:ascii="Arial" w:cs="Arial" w:eastAsia="Arial" w:hAnsi="Arial"/>
          <w:sz w:val="16"/>
          <w:szCs w:val="16"/>
          <w:color w:val="auto"/>
        </w:rPr>
        <w:t>. (a) Except during the continuance of an Event of Default with respect to Securities of</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any series,</w:t>
      </w:r>
    </w:p>
    <w:p>
      <w:pPr>
        <w:spacing w:after="0" w:line="225" w:lineRule="exact"/>
        <w:rPr>
          <w:sz w:val="20"/>
          <w:szCs w:val="20"/>
          <w:color w:val="auto"/>
        </w:rPr>
      </w:pPr>
    </w:p>
    <w:p>
      <w:pPr>
        <w:ind w:left="660" w:right="100" w:firstLine="645"/>
        <w:spacing w:after="0" w:line="357" w:lineRule="auto"/>
        <w:tabs>
          <w:tab w:leader="none" w:pos="1532"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Trustee undertakes to perform, with respect to Securities of such series, such duties and only such duties as are specifically set forth in this Indenture, and no implied covenants or obligations shall be read into this Indenture against the Trustee; and</w:t>
      </w:r>
    </w:p>
    <w:p>
      <w:pPr>
        <w:spacing w:after="0" w:line="107" w:lineRule="exact"/>
        <w:rPr>
          <w:rFonts w:ascii="Arial" w:cs="Arial" w:eastAsia="Arial" w:hAnsi="Arial"/>
          <w:sz w:val="17"/>
          <w:szCs w:val="17"/>
          <w:color w:val="auto"/>
        </w:rPr>
      </w:pPr>
    </w:p>
    <w:p>
      <w:pPr>
        <w:ind w:left="1520" w:hanging="215"/>
        <w:spacing w:after="0"/>
        <w:tabs>
          <w:tab w:leader="none" w:pos="15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 the absence of bad faith on its part, the Trustee may, with respect to Securities of such series, conclusively rely, as to the truth of the</w:t>
      </w:r>
    </w:p>
    <w:p>
      <w:pPr>
        <w:spacing w:after="0" w:line="73" w:lineRule="exact"/>
        <w:rPr>
          <w:sz w:val="20"/>
          <w:szCs w:val="20"/>
          <w:color w:val="auto"/>
        </w:rPr>
      </w:pPr>
    </w:p>
    <w:p>
      <w:pPr>
        <w:ind w:left="660" w:right="80"/>
        <w:spacing w:after="0" w:line="259" w:lineRule="auto"/>
        <w:rPr>
          <w:sz w:val="20"/>
          <w:szCs w:val="20"/>
          <w:color w:val="auto"/>
        </w:rPr>
      </w:pPr>
      <w:r>
        <w:rPr>
          <w:rFonts w:ascii="Arial" w:cs="Arial" w:eastAsia="Arial" w:hAnsi="Arial"/>
          <w:sz w:val="18"/>
          <w:szCs w:val="18"/>
          <w:color w:val="auto"/>
        </w:rPr>
        <w:t>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 If an Event of Default with respect to Securities of any series has occurred and is continuing, the Trustee shall exercise, with respect to</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Securities of such series, such of the rights and powers vested in it by this Indenture, and use the same degree of care and skill in their exercise, as a prudent man would exercise or use under the circumstances in the conduct of his own affairs.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67" w:name="page68"/>
    <w:bookmarkEnd w:id="67"/>
    <w:p>
      <w:pPr>
        <w:ind w:right="400" w:firstLine="1305"/>
        <w:spacing w:after="0" w:line="357" w:lineRule="auto"/>
        <w:tabs>
          <w:tab w:leader="none" w:pos="1510"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No provision of this Indenture shall be construed to relieve the Trustee from liability for its own negligent action, its own negligent failure to act, or its own willful misconduct, </w:t>
      </w:r>
      <w:r>
        <w:rPr>
          <w:rFonts w:ascii="Arial" w:cs="Arial" w:eastAsia="Arial" w:hAnsi="Arial"/>
          <w:sz w:val="17"/>
          <w:szCs w:val="17"/>
          <w:i w:val="1"/>
          <w:iCs w:val="1"/>
          <w:color w:val="auto"/>
        </w:rPr>
        <w:t>except</w:t>
      </w:r>
      <w:r>
        <w:rPr>
          <w:rFonts w:ascii="Arial" w:cs="Arial" w:eastAsia="Arial" w:hAnsi="Arial"/>
          <w:sz w:val="17"/>
          <w:szCs w:val="17"/>
          <w:color w:val="auto"/>
        </w:rPr>
        <w:t xml:space="preserve"> that</w:t>
      </w:r>
    </w:p>
    <w:p>
      <w:pPr>
        <w:spacing w:after="0" w:line="107" w:lineRule="exact"/>
        <w:rPr>
          <w:rFonts w:ascii="Arial" w:cs="Arial" w:eastAsia="Arial" w:hAnsi="Arial"/>
          <w:sz w:val="17"/>
          <w:szCs w:val="17"/>
          <w:color w:val="auto"/>
        </w:rPr>
      </w:pPr>
    </w:p>
    <w:p>
      <w:pPr>
        <w:ind w:left="2180" w:hanging="227"/>
        <w:spacing w:after="0"/>
        <w:tabs>
          <w:tab w:leader="none" w:pos="21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this subsection shall not be construed to limit the effect of sub-section (a) of this Section;</w:t>
      </w:r>
    </w:p>
    <w:p>
      <w:pPr>
        <w:spacing w:after="0" w:line="265" w:lineRule="exact"/>
        <w:rPr>
          <w:rFonts w:ascii="Arial" w:cs="Arial" w:eastAsia="Arial" w:hAnsi="Arial"/>
          <w:sz w:val="18"/>
          <w:szCs w:val="18"/>
          <w:color w:val="auto"/>
        </w:rPr>
      </w:pPr>
    </w:p>
    <w:p>
      <w:pPr>
        <w:ind w:left="660" w:right="140" w:firstLine="1293"/>
        <w:spacing w:after="0" w:line="324" w:lineRule="auto"/>
        <w:tabs>
          <w:tab w:leader="none" w:pos="21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shall be proved that the Trustee was negligent in ascertaining the pertinent facts;</w:t>
      </w:r>
    </w:p>
    <w:p>
      <w:pPr>
        <w:spacing w:after="0" w:line="129" w:lineRule="exact"/>
        <w:rPr>
          <w:rFonts w:ascii="Arial" w:cs="Arial" w:eastAsia="Arial" w:hAnsi="Arial"/>
          <w:sz w:val="18"/>
          <w:szCs w:val="18"/>
          <w:color w:val="auto"/>
        </w:rPr>
      </w:pPr>
    </w:p>
    <w:p>
      <w:pPr>
        <w:ind w:left="2180" w:hanging="227"/>
        <w:spacing w:after="0"/>
        <w:tabs>
          <w:tab w:leader="none" w:pos="2180"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 Trustee shall not be liable with respect to any action taken or omitted to be taken by it in good faith in accordance with the</w:t>
      </w:r>
    </w:p>
    <w:p>
      <w:pPr>
        <w:spacing w:after="0" w:line="73" w:lineRule="exact"/>
        <w:rPr>
          <w:sz w:val="20"/>
          <w:szCs w:val="20"/>
          <w:color w:val="auto"/>
        </w:rPr>
      </w:pPr>
    </w:p>
    <w:p>
      <w:pPr>
        <w:ind w:left="660" w:right="340"/>
        <w:spacing w:after="0" w:line="264" w:lineRule="auto"/>
        <w:rPr>
          <w:sz w:val="20"/>
          <w:szCs w:val="20"/>
          <w:color w:val="auto"/>
        </w:rPr>
      </w:pPr>
      <w:r>
        <w:rPr>
          <w:rFonts w:ascii="Arial" w:cs="Arial" w:eastAsia="Arial" w:hAnsi="Arial"/>
          <w:sz w:val="18"/>
          <w:szCs w:val="18"/>
          <w:color w:val="auto"/>
        </w:rPr>
        <w:t>direction of the Holders of a majority in aggregate principal amount of the Outstanding Securities of any one or more series, as provided herein, relating to the time, method and place of conducting any proceeding for any remedy available to the Trustee, or exercising any trust or power conferred upon the Trustee, under this Indenture with respect to the Securities of such series; and</w:t>
      </w:r>
    </w:p>
    <w:p>
      <w:pPr>
        <w:spacing w:after="0" w:line="181"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(4) no provision of this Indenture shall require the Trustee to expend or risk its own funds or otherwise incur any financial liability</w:t>
      </w:r>
    </w:p>
    <w:p>
      <w:pPr>
        <w:spacing w:after="0" w:line="73" w:lineRule="exact"/>
        <w:rPr>
          <w:sz w:val="20"/>
          <w:szCs w:val="20"/>
          <w:color w:val="auto"/>
        </w:rPr>
      </w:pPr>
    </w:p>
    <w:p>
      <w:pPr>
        <w:ind w:left="660" w:right="400"/>
        <w:spacing w:after="0" w:line="277" w:lineRule="auto"/>
        <w:rPr>
          <w:sz w:val="20"/>
          <w:szCs w:val="20"/>
          <w:color w:val="auto"/>
        </w:rPr>
      </w:pPr>
      <w:r>
        <w:rPr>
          <w:rFonts w:ascii="Arial" w:cs="Arial" w:eastAsia="Arial" w:hAnsi="Arial"/>
          <w:sz w:val="18"/>
          <w:szCs w:val="18"/>
          <w:color w:val="auto"/>
        </w:rPr>
        <w:t>in the performance of any of its duties hereunder, or in the exercise of any of its rights or powers, if it has reasonable grounds for believing that repayment of such funds or adequate indemnity against such risk or liability is not reasonably assured to it.</w:t>
      </w:r>
    </w:p>
    <w:p>
      <w:pPr>
        <w:spacing w:after="0" w:line="170" w:lineRule="exact"/>
        <w:rPr>
          <w:sz w:val="20"/>
          <w:szCs w:val="20"/>
          <w:color w:val="auto"/>
        </w:rPr>
      </w:pPr>
    </w:p>
    <w:p>
      <w:pPr>
        <w:ind w:right="340" w:firstLine="1305"/>
        <w:spacing w:after="0" w:line="357" w:lineRule="auto"/>
        <w:tabs>
          <w:tab w:leader="none" w:pos="15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Whether or not therein expressly so provided, every provision of this Indenture relating to the conduct or affecting the liability of or affording protection to the Trustee shall be subject to the provisions of this Section.</w:t>
      </w:r>
    </w:p>
    <w:p>
      <w:pPr>
        <w:spacing w:after="0" w:line="10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i w:val="1"/>
          <w:iCs w:val="1"/>
          <w:color w:val="auto"/>
        </w:rPr>
        <w:t>Notice of Defaults</w:t>
      </w:r>
      <w:r>
        <w:rPr>
          <w:rFonts w:ascii="Arial" w:cs="Arial" w:eastAsia="Arial" w:hAnsi="Arial"/>
          <w:sz w:val="16"/>
          <w:szCs w:val="16"/>
          <w:color w:val="auto"/>
        </w:rPr>
        <w:t>. Within 90 days after the occurrence of any default hereunder with respect to the Securities of any series,</w:t>
      </w:r>
    </w:p>
    <w:p>
      <w:pPr>
        <w:spacing w:after="0" w:line="7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the Trustee shall transmit by mail to all Holders of Securities of such series entitled to receive reports pursuant to Section 704(3) notice of such default hereunder known to the Trustee, unless such default shall have been cured or waived;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except in the case of a default in the payment of the principal of or any premium or interest on any Security of such series or in the payment of any sinking fund installment with respect to Securities of such series, the Trustee shall be protected in withholding such notice if and so long as the board of directors, the executive committee or a trust committee of directors or Responsible Officers of the Trustee in good faith determine that the withholding of such notice is in the interest of the Holders of Securities of such series;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in the case of any default of the character specified in Section 501(4) with respect to Securities of such series, no such notice to Holders shall be given until at least 75 days after the occurrence thereof. For the purpose of this Section, the term “</w:t>
      </w:r>
      <w:r>
        <w:rPr>
          <w:rFonts w:ascii="Arial" w:cs="Arial" w:eastAsia="Arial" w:hAnsi="Arial"/>
          <w:sz w:val="16"/>
          <w:szCs w:val="16"/>
          <w:b w:val="1"/>
          <w:bCs w:val="1"/>
          <w:i w:val="1"/>
          <w:iCs w:val="1"/>
          <w:color w:val="auto"/>
        </w:rPr>
        <w:t>default</w:t>
      </w:r>
      <w:r>
        <w:rPr>
          <w:rFonts w:ascii="Arial" w:cs="Arial" w:eastAsia="Arial" w:hAnsi="Arial"/>
          <w:sz w:val="16"/>
          <w:szCs w:val="16"/>
          <w:color w:val="auto"/>
        </w:rPr>
        <w:t>” means any event that is, or after notice or lapse of time or both would become, an Event of Default with respect to Securities of such series.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i w:val="1"/>
          <w:iCs w:val="1"/>
          <w:color w:val="auto"/>
        </w:rPr>
        <w:t>Certain Rights of Trustee</w:t>
      </w:r>
      <w:r>
        <w:rPr>
          <w:rFonts w:ascii="Arial" w:cs="Arial" w:eastAsia="Arial" w:hAnsi="Arial"/>
          <w:sz w:val="16"/>
          <w:szCs w:val="16"/>
          <w:color w:val="auto"/>
        </w:rPr>
        <w:t>. Subject to the provisions of Section 601 and to the applicable provisions of the Trust Indenture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 the Trustee may rely and shall be protected in acting or refraining from acting upon any resolution, certificate, statement, instrument,</w:t>
      </w:r>
    </w:p>
    <w:p>
      <w:pPr>
        <w:spacing w:after="0" w:line="73" w:lineRule="exact"/>
        <w:rPr>
          <w:sz w:val="20"/>
          <w:szCs w:val="20"/>
          <w:color w:val="auto"/>
        </w:rPr>
      </w:pPr>
    </w:p>
    <w:p>
      <w:pPr>
        <w:ind w:left="660" w:right="700"/>
        <w:spacing w:after="0" w:line="308" w:lineRule="auto"/>
        <w:rPr>
          <w:sz w:val="20"/>
          <w:szCs w:val="20"/>
          <w:color w:val="auto"/>
        </w:rPr>
      </w:pPr>
      <w:r>
        <w:rPr>
          <w:rFonts w:ascii="Arial" w:cs="Arial" w:eastAsia="Arial" w:hAnsi="Arial"/>
          <w:sz w:val="17"/>
          <w:szCs w:val="17"/>
          <w:color w:val="auto"/>
        </w:rPr>
        <w:t>opinion, report, notice, request, direction, consent, order, bond, debenture, note, other evidence of indebtedness or other paper or document reasonably believed by it to be genuine and to have been signed or presented by the proper party or parties;</w:t>
      </w:r>
    </w:p>
    <w:p>
      <w:pPr>
        <w:spacing w:after="0" w:line="147" w:lineRule="exact"/>
        <w:rPr>
          <w:sz w:val="20"/>
          <w:szCs w:val="20"/>
          <w:color w:val="auto"/>
        </w:rPr>
      </w:pPr>
    </w:p>
    <w:p>
      <w:pPr>
        <w:ind w:left="660" w:right="40" w:firstLine="645"/>
        <w:spacing w:after="0" w:line="395" w:lineRule="auto"/>
        <w:tabs>
          <w:tab w:leader="none" w:pos="1532"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any request or direction of the Company mentioned herein shall be sufficiently evidenced by a Company Request or Company Order, or as otherwise expressly provided herein, and any resolution of the Board of Directors may be sufficiently evidenced by a Board Resolution;</w:t>
      </w:r>
    </w:p>
    <w:p>
      <w:pPr>
        <w:spacing w:after="0" w:line="83" w:lineRule="exact"/>
        <w:rPr>
          <w:rFonts w:ascii="Arial" w:cs="Arial" w:eastAsia="Arial" w:hAnsi="Arial"/>
          <w:sz w:val="16"/>
          <w:szCs w:val="16"/>
          <w:color w:val="auto"/>
        </w:rPr>
      </w:pPr>
    </w:p>
    <w:p>
      <w:pPr>
        <w:ind w:left="1520" w:hanging="215"/>
        <w:spacing w:after="0"/>
        <w:tabs>
          <w:tab w:leader="none" w:pos="15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whenever in the administration of this Indenture the Trustee shall deem it desirable that a matter be proved or established prior to taking,</w:t>
      </w:r>
    </w:p>
    <w:p>
      <w:pPr>
        <w:spacing w:after="0" w:line="73"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suffering or omitting any action hereunder, the Trustee (unless other evidence be herein specifically prescribed) may, in the absence of bad faith on its part, rely</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68" w:name="page69"/>
    <w:bookmarkEnd w:id="68"/>
    <w:p>
      <w:pPr>
        <w:ind w:left="660" w:right="140"/>
        <w:spacing w:after="0" w:line="308" w:lineRule="auto"/>
        <w:rPr>
          <w:sz w:val="20"/>
          <w:szCs w:val="20"/>
          <w:color w:val="auto"/>
        </w:rPr>
      </w:pPr>
      <w:r>
        <w:rPr>
          <w:rFonts w:ascii="Arial" w:cs="Arial" w:eastAsia="Arial" w:hAnsi="Arial"/>
          <w:sz w:val="17"/>
          <w:szCs w:val="17"/>
          <w:color w:val="auto"/>
        </w:rPr>
        <w:t>upon an Officer’s Certificate and such Officer’s Certificate, in the absence of negligence or bad faith on the part of the Trustee, shall be full warrant to the Trustee for any action taken, suffered or omitted by it under the provisions of this Indenture upon the faith thereof;</w:t>
      </w:r>
    </w:p>
    <w:p>
      <w:pPr>
        <w:spacing w:after="0" w:line="147" w:lineRule="exact"/>
        <w:rPr>
          <w:sz w:val="20"/>
          <w:szCs w:val="20"/>
          <w:color w:val="auto"/>
        </w:rPr>
      </w:pPr>
    </w:p>
    <w:p>
      <w:pPr>
        <w:ind w:left="660" w:right="540" w:firstLine="645"/>
        <w:spacing w:after="0" w:line="395" w:lineRule="auto"/>
        <w:tabs>
          <w:tab w:leader="none" w:pos="1532"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83" w:lineRule="exact"/>
        <w:rPr>
          <w:rFonts w:ascii="Arial" w:cs="Arial" w:eastAsia="Arial" w:hAnsi="Arial"/>
          <w:sz w:val="16"/>
          <w:szCs w:val="16"/>
          <w:color w:val="auto"/>
        </w:rPr>
      </w:pPr>
    </w:p>
    <w:p>
      <w:pPr>
        <w:ind w:left="1520" w:hanging="215"/>
        <w:spacing w:after="0"/>
        <w:tabs>
          <w:tab w:leader="none" w:pos="15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rights or powers vested in it by this Indenture at the request or direction of</w:t>
      </w:r>
    </w:p>
    <w:p>
      <w:pPr>
        <w:spacing w:after="0" w:line="73" w:lineRule="exact"/>
        <w:rPr>
          <w:sz w:val="20"/>
          <w:szCs w:val="20"/>
          <w:color w:val="auto"/>
        </w:rPr>
      </w:pPr>
    </w:p>
    <w:p>
      <w:pPr>
        <w:ind w:left="660" w:right="440"/>
        <w:spacing w:after="0" w:line="277" w:lineRule="auto"/>
        <w:rPr>
          <w:sz w:val="20"/>
          <w:szCs w:val="20"/>
          <w:color w:val="auto"/>
        </w:rPr>
      </w:pPr>
      <w:r>
        <w:rPr>
          <w:rFonts w:ascii="Arial" w:cs="Arial" w:eastAsia="Arial" w:hAnsi="Arial"/>
          <w:sz w:val="18"/>
          <w:szCs w:val="18"/>
          <w:color w:val="auto"/>
        </w:rPr>
        <w:t>any of the Holders pursuant to this Indenture, unless such Holders shall have offered to the Trustee reasonable security or indemnity against the costs, expenses and liabilities that might be incurred by it in compliance with such request or direction;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(f) the Trustee shall not be bound to make any investigation into the facts or matters stated in any resolution, certificate, statement,</w:t>
      </w:r>
    </w:p>
    <w:p>
      <w:pPr>
        <w:spacing w:after="0" w:line="61" w:lineRule="exact"/>
        <w:rPr>
          <w:sz w:val="20"/>
          <w:szCs w:val="20"/>
          <w:color w:val="auto"/>
        </w:rPr>
      </w:pPr>
    </w:p>
    <w:p>
      <w:pPr>
        <w:ind w:left="660" w:right="640"/>
        <w:spacing w:after="0" w:line="342" w:lineRule="auto"/>
        <w:rPr>
          <w:sz w:val="20"/>
          <w:szCs w:val="20"/>
          <w:color w:val="auto"/>
        </w:rPr>
      </w:pPr>
      <w:r>
        <w:rPr>
          <w:rFonts w:ascii="Arial" w:cs="Arial" w:eastAsia="Arial" w:hAnsi="Arial"/>
          <w:sz w:val="16"/>
          <w:szCs w:val="16"/>
          <w:color w:val="auto"/>
        </w:rPr>
        <w:t>instrument, opinion, report, notice, request, direction, consent, order, bond, debenture, note, other evidence of indebtedness or other paper or document, but the Trustee, in its discretion, may make such further inquiry or investigation into such facts or matters as it may see fit; and</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(g) the Trustee may execute any of the trusts or powers hereunder or perform any duties hereunder either directly or by or through agents or</w:t>
      </w:r>
    </w:p>
    <w:p>
      <w:pPr>
        <w:spacing w:after="0" w:line="73"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attorneys and the Trustee shall not be responsible for any misconduct or negligence on the part of any agent or attorney appointed with due care by it hereunder.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i w:val="1"/>
          <w:iCs w:val="1"/>
          <w:color w:val="auto"/>
        </w:rPr>
        <w:t>Not Responsible for Recitals or Issuance of Securities</w:t>
      </w:r>
      <w:r>
        <w:rPr>
          <w:rFonts w:ascii="Arial" w:cs="Arial" w:eastAsia="Arial" w:hAnsi="Arial"/>
          <w:sz w:val="17"/>
          <w:szCs w:val="17"/>
          <w:color w:val="auto"/>
        </w:rPr>
        <w:t>. The recitals contained herein and in the Securities, except the</w:t>
      </w:r>
    </w:p>
    <w:p>
      <w:pPr>
        <w:spacing w:after="0" w:line="6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Trustee’s certificate of authentication, shall be taken as the statements of the Company, and the Trustee or any Authenticating Agent assumes no responsibility for their correctness. The Trustee makes no representations as to the validity or sufficiency of this Indenture or of the Securities of any series. The Trustee or any Authenticating Agent shall not be accountable for the use or application by the Company of Securities or the proceeds thereof.</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i w:val="1"/>
          <w:iCs w:val="1"/>
          <w:color w:val="auto"/>
        </w:rPr>
        <w:t>May Hold Securities</w:t>
      </w:r>
      <w:r>
        <w:rPr>
          <w:rFonts w:ascii="Arial" w:cs="Arial" w:eastAsia="Arial" w:hAnsi="Arial"/>
          <w:sz w:val="16"/>
          <w:szCs w:val="16"/>
          <w:color w:val="auto"/>
        </w:rPr>
        <w:t>. The Trustee, any Authenticating Agent, any Paying Agent, any Security Registrar or any other agent</w:t>
      </w:r>
    </w:p>
    <w:p>
      <w:pPr>
        <w:spacing w:after="0" w:line="73"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of the Company or the Trustee, in its individual or any other capacity, may become the owner or pledgee of Securities and, subject to Sections 608 and 613, may otherwise deal with the Company with the same rights it would have if it were not Trustee, Authenticating Agent, Paying Agent, Security Registrar or such other agent.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606. </w:t>
      </w:r>
      <w:r>
        <w:rPr>
          <w:rFonts w:ascii="Arial" w:cs="Arial" w:eastAsia="Arial" w:hAnsi="Arial"/>
          <w:sz w:val="16"/>
          <w:szCs w:val="16"/>
          <w:i w:val="1"/>
          <w:iCs w:val="1"/>
          <w:color w:val="auto"/>
        </w:rPr>
        <w:t>Money Held in Trust</w:t>
      </w:r>
      <w:r>
        <w:rPr>
          <w:rFonts w:ascii="Arial" w:cs="Arial" w:eastAsia="Arial" w:hAnsi="Arial"/>
          <w:sz w:val="16"/>
          <w:szCs w:val="16"/>
          <w:color w:val="auto"/>
        </w:rPr>
        <w:t>. Money held by the Trustee or by any Paying Agent (other than the Company if the Company shall act</w:t>
      </w:r>
    </w:p>
    <w:p>
      <w:pPr>
        <w:spacing w:after="0" w:line="73"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color w:val="auto"/>
        </w:rPr>
        <w:t>as Paying Agent) in trust hereunder need not be segregated from other funds except to the extent required by law. Neither the Trustee nor any Paying Agent shall be liable for interest on any money received by it hereunder except as expressly provided herein or otherwise agreed with the Company.</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i w:val="1"/>
          <w:iCs w:val="1"/>
          <w:color w:val="auto"/>
        </w:rPr>
        <w:t>Compensation and Reimbursement</w:t>
      </w:r>
      <w:r>
        <w:rPr>
          <w:rFonts w:ascii="Arial" w:cs="Arial" w:eastAsia="Arial" w:hAnsi="Arial"/>
          <w:sz w:val="18"/>
          <w:szCs w:val="18"/>
          <w:color w:val="auto"/>
        </w:rPr>
        <w:t>. The Company agrees</w:t>
      </w:r>
    </w:p>
    <w:p>
      <w:pPr>
        <w:spacing w:after="0" w:line="266" w:lineRule="exact"/>
        <w:rPr>
          <w:sz w:val="20"/>
          <w:szCs w:val="20"/>
          <w:color w:val="auto"/>
        </w:rPr>
      </w:pPr>
    </w:p>
    <w:p>
      <w:pPr>
        <w:ind w:left="660" w:right="80" w:firstLine="645"/>
        <w:spacing w:after="0" w:line="324" w:lineRule="auto"/>
        <w:tabs>
          <w:tab w:leader="none" w:pos="1532"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pay to the Trustee from time to time reasonable compensation for all services rendered by it hereunder (which compensation shall not be limited by any provision of law in regard to the compensation of a trustee of an express trust);</w:t>
      </w:r>
    </w:p>
    <w:p>
      <w:pPr>
        <w:spacing w:after="0" w:line="129" w:lineRule="exact"/>
        <w:rPr>
          <w:rFonts w:ascii="Arial" w:cs="Arial" w:eastAsia="Arial" w:hAnsi="Arial"/>
          <w:sz w:val="18"/>
          <w:szCs w:val="18"/>
          <w:color w:val="auto"/>
        </w:rPr>
      </w:pPr>
    </w:p>
    <w:p>
      <w:pPr>
        <w:ind w:left="1520" w:hanging="215"/>
        <w:spacing w:after="0"/>
        <w:tabs>
          <w:tab w:leader="none" w:pos="15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except as otherwise expressly provided herein, to reimburse the Trustee upon its request for all reasonable expenses, disbursements and</w:t>
      </w:r>
    </w:p>
    <w:p>
      <w:pPr>
        <w:spacing w:after="0" w:line="73" w:lineRule="exact"/>
        <w:rPr>
          <w:sz w:val="20"/>
          <w:szCs w:val="20"/>
          <w:color w:val="auto"/>
        </w:rPr>
      </w:pPr>
    </w:p>
    <w:p>
      <w:pPr>
        <w:ind w:left="660" w:right="220"/>
        <w:spacing w:after="0" w:line="264" w:lineRule="auto"/>
        <w:rPr>
          <w:sz w:val="20"/>
          <w:szCs w:val="20"/>
          <w:color w:val="auto"/>
        </w:rPr>
      </w:pPr>
      <w:r>
        <w:rPr>
          <w:rFonts w:ascii="Arial" w:cs="Arial" w:eastAsia="Arial" w:hAnsi="Arial"/>
          <w:sz w:val="18"/>
          <w:szCs w:val="18"/>
          <w:color w:val="auto"/>
        </w:rPr>
        <w:t>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willful misconduct or bad faith; and</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(3) to indemnify the Trustee for, and to hold it harmless against, any loss, liability or expense reasonably incurred without negligence,</w:t>
      </w:r>
    </w:p>
    <w:p>
      <w:pPr>
        <w:spacing w:after="0" w:line="61" w:lineRule="exact"/>
        <w:rPr>
          <w:sz w:val="20"/>
          <w:szCs w:val="20"/>
          <w:color w:val="auto"/>
        </w:rPr>
      </w:pPr>
    </w:p>
    <w:p>
      <w:pPr>
        <w:ind w:left="660" w:right="340"/>
        <w:spacing w:after="0" w:line="258" w:lineRule="auto"/>
        <w:rPr>
          <w:sz w:val="20"/>
          <w:szCs w:val="20"/>
          <w:color w:val="auto"/>
        </w:rPr>
      </w:pPr>
      <w:r>
        <w:rPr>
          <w:rFonts w:ascii="Arial" w:cs="Arial" w:eastAsia="Arial" w:hAnsi="Arial"/>
          <w:sz w:val="18"/>
          <w:szCs w:val="18"/>
          <w:color w:val="auto"/>
        </w:rPr>
        <w:t>willful misconduct or bad faith on its part, arising out of or in connection with the acceptance or administration of the trust or trusts hereunder or performance of its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9" w:name="page70"/>
    <w:bookmarkEnd w:id="69"/>
    <w:p>
      <w:pPr>
        <w:ind w:left="660"/>
        <w:spacing w:after="0" w:line="277" w:lineRule="auto"/>
        <w:rPr>
          <w:sz w:val="20"/>
          <w:szCs w:val="20"/>
          <w:color w:val="auto"/>
        </w:rPr>
      </w:pPr>
      <w:r>
        <w:rPr>
          <w:rFonts w:ascii="Arial" w:cs="Arial" w:eastAsia="Arial" w:hAnsi="Arial"/>
          <w:sz w:val="18"/>
          <w:szCs w:val="18"/>
          <w:color w:val="auto"/>
        </w:rPr>
        <w:t>duties hereunder, including the costs and expenses of defending itself against any claim or liability in connection with the exercise or performance of any of its powers or duties hereunder.</w:t>
      </w:r>
    </w:p>
    <w:p>
      <w:pPr>
        <w:spacing w:after="0" w:line="170" w:lineRule="exact"/>
        <w:rPr>
          <w:sz w:val="20"/>
          <w:szCs w:val="20"/>
          <w:color w:val="auto"/>
        </w:rPr>
      </w:pPr>
    </w:p>
    <w:p>
      <w:pPr>
        <w:jc w:val="both"/>
        <w:ind w:right="60" w:firstLine="1297"/>
        <w:spacing w:after="0" w:line="264" w:lineRule="auto"/>
        <w:rPr>
          <w:sz w:val="20"/>
          <w:szCs w:val="20"/>
          <w:color w:val="auto"/>
        </w:rPr>
      </w:pPr>
      <w:r>
        <w:rPr>
          <w:rFonts w:ascii="Arial" w:cs="Arial" w:eastAsia="Arial" w:hAnsi="Arial"/>
          <w:sz w:val="18"/>
          <w:szCs w:val="18"/>
          <w:color w:val="auto"/>
        </w:rPr>
        <w:t>As security for the performance of the obligations of the Company under this Section, the Trustee shall have a claim prior to the Securities upon all property and funds held or collected by the Trustee as such, except property and funds held in trust for the payment of principal of and any premium and interest on particular Securities.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608. </w:t>
      </w:r>
      <w:r>
        <w:rPr>
          <w:rFonts w:ascii="Arial" w:cs="Arial" w:eastAsia="Arial" w:hAnsi="Arial"/>
          <w:sz w:val="16"/>
          <w:szCs w:val="16"/>
          <w:i w:val="1"/>
          <w:iCs w:val="1"/>
          <w:color w:val="auto"/>
        </w:rPr>
        <w:t>Disqualification; Conflicting Interests</w:t>
      </w:r>
      <w:r>
        <w:rPr>
          <w:rFonts w:ascii="Arial" w:cs="Arial" w:eastAsia="Arial" w:hAnsi="Arial"/>
          <w:sz w:val="16"/>
          <w:szCs w:val="16"/>
          <w:color w:val="auto"/>
        </w:rPr>
        <w:t>. If the Trustee has or acquires any conflicting interest within the meaning of the Trust</w:t>
      </w:r>
    </w:p>
    <w:p>
      <w:pPr>
        <w:spacing w:after="0" w:line="7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Indenture Act with respect to the Securities of any series, it shall either eliminate such conflicting interest or resign to the extent, in the manner and with the effect, and subject to the conditions, provided in the Trust Indenture Act and this Indenture. For purposes of Section 310(b)(1) of the Trust Indenture Act and to the extent permitted thereby, the Trustee, in its capacity as trustee in respect of the equally ranked and unsecured Securities of any series, shall not be deemed to have a conflicting interest arising from its capacity as trustee in respect of the equally ranked and unsecured Securities of any other series under this Indenture.</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609. </w:t>
      </w:r>
      <w:r>
        <w:rPr>
          <w:rFonts w:ascii="Arial" w:cs="Arial" w:eastAsia="Arial" w:hAnsi="Arial"/>
          <w:sz w:val="16"/>
          <w:szCs w:val="16"/>
          <w:i w:val="1"/>
          <w:iCs w:val="1"/>
          <w:color w:val="auto"/>
        </w:rPr>
        <w:t>Corporate Trustee Required; Eligibility</w:t>
      </w:r>
      <w:r>
        <w:rPr>
          <w:rFonts w:ascii="Arial" w:cs="Arial" w:eastAsia="Arial" w:hAnsi="Arial"/>
          <w:sz w:val="16"/>
          <w:szCs w:val="16"/>
          <w:color w:val="auto"/>
        </w:rPr>
        <w:t>. There shall at all times be a Trustee hereunder that shall be a Person that is eligible</w:t>
      </w:r>
    </w:p>
    <w:p>
      <w:pPr>
        <w:spacing w:after="0" w:line="7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pursuant to the Trust Indenture Act to act as such, having a combined capital and surplus of at least $50,000,000, subject to supervision or examination by federal or state authority and qualified and eligible under this Article,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neither the Company nor any Affiliate of the Company or any obligor on the Securities may serve as Trustee of any Securities. If such corporation publishes reports of condition at least annually, pursuant to law or to the requirements of said supervising or examining authority, then for the purposes of this Section, the combined capital and surplus of such corporation shall be deemed to be its combined capital and surplus as set forth in its most recent report of condition so published. If at any time the Trustee ceases to be eligible in accordance with the provisions of this Section, it shall resign immediately in the manner and with the effect hereinafter specified in this Article.</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i w:val="1"/>
          <w:iCs w:val="1"/>
          <w:color w:val="auto"/>
        </w:rPr>
        <w:t>Resignation and Removal; Appointment of Successor</w:t>
      </w:r>
      <w:r>
        <w:rPr>
          <w:rFonts w:ascii="Arial" w:cs="Arial" w:eastAsia="Arial" w:hAnsi="Arial"/>
          <w:sz w:val="16"/>
          <w:szCs w:val="16"/>
          <w:color w:val="auto"/>
        </w:rPr>
        <w:t>. (a) No resignation or removal of the Trustee and no appointment of a</w:t>
      </w:r>
    </w:p>
    <w:p>
      <w:pPr>
        <w:spacing w:after="0" w:line="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successor Trustee pursuant to this Article shall become effective until the acceptance of appointment by the successor Trustee in accordance with the applicable requirements of Section 611.</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 The Trustee may resign at any time with respect to the Securities of one or more series by giving written notice thereof to the Company.</w:t>
      </w:r>
    </w:p>
    <w:p>
      <w:pPr>
        <w:spacing w:after="0" w:line="73"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If the instrument of acceptance by a successor Trustee required by Section 611 has not been delivered to the Trustee within 30 days after the giving of such notice of resignation, the resigning Trustee may petition any court of competent jurisdiction for the appointment of a successor Trustee with respect to the Securities of such series.</w:t>
      </w:r>
    </w:p>
    <w:p>
      <w:pPr>
        <w:spacing w:after="0" w:line="181" w:lineRule="exact"/>
        <w:rPr>
          <w:sz w:val="20"/>
          <w:szCs w:val="20"/>
          <w:color w:val="auto"/>
        </w:rPr>
      </w:pPr>
    </w:p>
    <w:p>
      <w:pPr>
        <w:ind w:left="1520" w:hanging="215"/>
        <w:spacing w:after="0"/>
        <w:tabs>
          <w:tab w:leader="none" w:pos="15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 may at any time by a Board Resolution remove the Trustee with respect to the Securities of any or all series.</w:t>
      </w:r>
    </w:p>
    <w:p>
      <w:pPr>
        <w:spacing w:after="0" w:line="265" w:lineRule="exact"/>
        <w:rPr>
          <w:rFonts w:ascii="Arial" w:cs="Arial" w:eastAsia="Arial" w:hAnsi="Arial"/>
          <w:sz w:val="18"/>
          <w:szCs w:val="18"/>
          <w:color w:val="auto"/>
        </w:rPr>
      </w:pPr>
    </w:p>
    <w:p>
      <w:pPr>
        <w:ind w:right="320" w:firstLine="1305"/>
        <w:spacing w:after="0" w:line="357" w:lineRule="auto"/>
        <w:tabs>
          <w:tab w:leader="none" w:pos="15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Trustee may be removed at any time with respect to the Securities of any series by Act of the Holders of a majority in aggregate principal amount of the Outstanding Securities of such series, delivered to the Trustee and to the Company.</w:t>
      </w:r>
    </w:p>
    <w:p>
      <w:pPr>
        <w:spacing w:after="0" w:line="107" w:lineRule="exact"/>
        <w:rPr>
          <w:rFonts w:ascii="Arial" w:cs="Arial" w:eastAsia="Arial" w:hAnsi="Arial"/>
          <w:sz w:val="17"/>
          <w:szCs w:val="17"/>
          <w:color w:val="auto"/>
        </w:rPr>
      </w:pPr>
    </w:p>
    <w:p>
      <w:pPr>
        <w:ind w:left="1520" w:hanging="215"/>
        <w:spacing w:after="0"/>
        <w:tabs>
          <w:tab w:leader="none" w:pos="15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If at any time:</w:t>
      </w:r>
    </w:p>
    <w:p>
      <w:pPr>
        <w:spacing w:after="0" w:line="277" w:lineRule="exact"/>
        <w:rPr>
          <w:rFonts w:ascii="Arial" w:cs="Arial" w:eastAsia="Arial" w:hAnsi="Arial"/>
          <w:sz w:val="17"/>
          <w:szCs w:val="17"/>
          <w:color w:val="auto"/>
        </w:rPr>
      </w:pPr>
    </w:p>
    <w:p>
      <w:pPr>
        <w:ind w:left="660" w:right="300" w:firstLine="1293"/>
        <w:spacing w:after="0" w:line="324" w:lineRule="auto"/>
        <w:tabs>
          <w:tab w:leader="none" w:pos="21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Trustee fails to comply with Section 608 with respect to the Securities of any series, after written request therefor by the Company or by any Holder who has been a bona fide Holder of a Security of such series for at least six months, or</w:t>
      </w:r>
    </w:p>
    <w:p>
      <w:pPr>
        <w:spacing w:after="0" w:line="129" w:lineRule="exact"/>
        <w:rPr>
          <w:rFonts w:ascii="Arial" w:cs="Arial" w:eastAsia="Arial" w:hAnsi="Arial"/>
          <w:sz w:val="18"/>
          <w:szCs w:val="18"/>
          <w:color w:val="auto"/>
        </w:rPr>
      </w:pPr>
    </w:p>
    <w:p>
      <w:pPr>
        <w:ind w:left="2180" w:hanging="227"/>
        <w:spacing w:after="0"/>
        <w:tabs>
          <w:tab w:leader="none" w:pos="2180" w:val="left"/>
        </w:tabs>
        <w:numPr>
          <w:ilvl w:val="1"/>
          <w:numId w:val="74"/>
        </w:numPr>
        <w:rPr>
          <w:rFonts w:ascii="Arial" w:cs="Arial" w:eastAsia="Arial" w:hAnsi="Arial"/>
          <w:sz w:val="16"/>
          <w:szCs w:val="16"/>
          <w:color w:val="auto"/>
        </w:rPr>
      </w:pPr>
      <w:r>
        <w:rPr>
          <w:rFonts w:ascii="Arial" w:cs="Arial" w:eastAsia="Arial" w:hAnsi="Arial"/>
          <w:sz w:val="16"/>
          <w:szCs w:val="16"/>
          <w:color w:val="auto"/>
        </w:rPr>
        <w:t>the Trustee ceases to be eligible under Section 609 and fails to resign after written request therefor by the Company or by any</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such Holder, or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70" w:name="page71"/>
    <w:bookmarkEnd w:id="70"/>
    <w:p>
      <w:pPr>
        <w:ind w:left="1960"/>
        <w:spacing w:after="0"/>
        <w:rPr>
          <w:sz w:val="20"/>
          <w:szCs w:val="20"/>
          <w:color w:val="auto"/>
        </w:rPr>
      </w:pPr>
      <w:r>
        <w:rPr>
          <w:rFonts w:ascii="Arial" w:cs="Arial" w:eastAsia="Arial" w:hAnsi="Arial"/>
          <w:sz w:val="16"/>
          <w:szCs w:val="16"/>
          <w:color w:val="auto"/>
        </w:rPr>
        <w:t>(3) the Trustee becomes incapable of acting or becomes adjudged a bankrupt or insolvent or a receiver of the Trustee or of its</w:t>
      </w:r>
    </w:p>
    <w:p>
      <w:pPr>
        <w:spacing w:after="0" w:line="73" w:lineRule="exact"/>
        <w:rPr>
          <w:sz w:val="20"/>
          <w:szCs w:val="20"/>
          <w:color w:val="auto"/>
        </w:rPr>
      </w:pPr>
    </w:p>
    <w:p>
      <w:pPr>
        <w:ind w:left="660" w:right="640"/>
        <w:spacing w:after="0" w:line="277" w:lineRule="auto"/>
        <w:rPr>
          <w:sz w:val="20"/>
          <w:szCs w:val="20"/>
          <w:color w:val="auto"/>
        </w:rPr>
      </w:pPr>
      <w:r>
        <w:rPr>
          <w:rFonts w:ascii="Arial" w:cs="Arial" w:eastAsia="Arial" w:hAnsi="Arial"/>
          <w:sz w:val="18"/>
          <w:szCs w:val="18"/>
          <w:color w:val="auto"/>
        </w:rPr>
        <w:t>property is appointed or any public officer takes charge or control of the Trustee or of its property or affairs for the purpose of rehabilitation, conservation or liquidation,</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then, in any such case, subject to Section 514,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(f) If the Trustee resigns, is removed or becomes incapable of acting, or if a vacancy shall occur in the office of Trustee for any cause, with</w:t>
      </w:r>
    </w:p>
    <w:p>
      <w:pPr>
        <w:spacing w:after="0" w:line="7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is appointed by Act of the Holders of a majority in aggregate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has been so appointed by the Company or the Holders and accepted appointment in the manner required by Section 611, any Holder who has been a bona fide Holder of a Security of such series for at least six months may, subject to Section 514, on behalf of himself and all others similarly situated, petition any court of competent jurisdiction for the appointment of a successor Trustee with respect to the Securities of such series.</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(g) The Company shall give notice of each resignation and each removal of the Trustee with respect to the Securities of any series and each</w:t>
      </w:r>
    </w:p>
    <w:p>
      <w:pPr>
        <w:spacing w:after="0" w:line="7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appointment of a successor Trustee with respect to the Securities of any series by mailing written notice of such event by first-class mail, postage prepaid, to all Holders of Securities of such series entitled to receive reports pursuant to Section 704(3). Each notice shall include the name of the successor Trustee with respect to the Securities of such series and the address of its Corporate Trust Office.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(h) All provisions of this Section except subparagraph (d) and Section 611(b) (except for the last clause, after omitting the words “after</w:t>
      </w:r>
    </w:p>
    <w:p>
      <w:pPr>
        <w:spacing w:after="0" w:line="6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deducting all amounts owed to the retiring Trustee pursuant to Section 607,” which shall apply) shall apply also to any Paying Agent located outside the United States and its possessions.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611. </w:t>
      </w:r>
      <w:r>
        <w:rPr>
          <w:rFonts w:ascii="Arial" w:cs="Arial" w:eastAsia="Arial" w:hAnsi="Arial"/>
          <w:sz w:val="16"/>
          <w:szCs w:val="16"/>
          <w:i w:val="1"/>
          <w:iCs w:val="1"/>
          <w:color w:val="auto"/>
        </w:rPr>
        <w:t>Acceptance of Appointment by Successor</w:t>
      </w:r>
      <w:r>
        <w:rPr>
          <w:rFonts w:ascii="Arial" w:cs="Arial" w:eastAsia="Arial" w:hAnsi="Arial"/>
          <w:sz w:val="16"/>
          <w:szCs w:val="16"/>
          <w:color w:val="auto"/>
        </w:rPr>
        <w:t>. (a) In case of the appointment hereunder of a successor Trustee with respect to the</w:t>
      </w:r>
    </w:p>
    <w:p>
      <w:pPr>
        <w:spacing w:after="0" w:line="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Securities of all series,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(b) In case of the appointment hereunder of a successor Trustee with respect to the Securities of one or more (but not all) series, the</w:t>
      </w:r>
    </w:p>
    <w:p>
      <w:pPr>
        <w:spacing w:after="0" w:line="61"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1" w:name="page72"/>
    <w:bookmarkEnd w:id="71"/>
    <w:p>
      <w:pPr>
        <w:ind w:right="20"/>
        <w:spacing w:after="0" w:line="290" w:lineRule="auto"/>
        <w:rPr>
          <w:sz w:val="20"/>
          <w:szCs w:val="20"/>
          <w:color w:val="auto"/>
        </w:rPr>
      </w:pPr>
      <w:r>
        <w:rPr>
          <w:rFonts w:ascii="Arial" w:cs="Arial" w:eastAsia="Arial" w:hAnsi="Arial"/>
          <w:sz w:val="16"/>
          <w:szCs w:val="16"/>
          <w:color w:val="auto"/>
        </w:rPr>
        <w:t>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66" w:lineRule="exact"/>
        <w:rPr>
          <w:sz w:val="20"/>
          <w:szCs w:val="20"/>
          <w:color w:val="auto"/>
        </w:rPr>
      </w:pPr>
    </w:p>
    <w:p>
      <w:pPr>
        <w:ind w:right="200" w:firstLine="1305"/>
        <w:spacing w:after="0" w:line="395" w:lineRule="auto"/>
        <w:tabs>
          <w:tab w:leader="none" w:pos="1510" w:val="left"/>
        </w:tabs>
        <w:numPr>
          <w:ilvl w:val="0"/>
          <w:numId w:val="75"/>
        </w:numPr>
        <w:rPr>
          <w:rFonts w:ascii="Arial" w:cs="Arial" w:eastAsia="Arial" w:hAnsi="Arial"/>
          <w:sz w:val="16"/>
          <w:szCs w:val="16"/>
          <w:color w:val="auto"/>
        </w:rPr>
      </w:pPr>
      <w:r>
        <w:rPr>
          <w:rFonts w:ascii="Arial" w:cs="Arial" w:eastAsia="Arial" w:hAnsi="Arial"/>
          <w:sz w:val="16"/>
          <w:szCs w:val="16"/>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83" w:lineRule="exact"/>
        <w:rPr>
          <w:rFonts w:ascii="Arial" w:cs="Arial" w:eastAsia="Arial" w:hAnsi="Arial"/>
          <w:sz w:val="16"/>
          <w:szCs w:val="16"/>
          <w:color w:val="auto"/>
        </w:rPr>
      </w:pPr>
    </w:p>
    <w:p>
      <w:pPr>
        <w:ind w:right="300" w:firstLine="1305"/>
        <w:spacing w:after="0" w:line="357" w:lineRule="auto"/>
        <w:tabs>
          <w:tab w:leader="none" w:pos="15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No successor Trustee shall accept its appointment unless at the time of such acceptance such successor Trustee shall be qualified and eligible under this Article.</w:t>
      </w:r>
    </w:p>
    <w:p>
      <w:pPr>
        <w:spacing w:after="0" w:line="10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612. </w:t>
      </w:r>
      <w:r>
        <w:rPr>
          <w:rFonts w:ascii="Arial" w:cs="Arial" w:eastAsia="Arial" w:hAnsi="Arial"/>
          <w:sz w:val="16"/>
          <w:szCs w:val="16"/>
          <w:i w:val="1"/>
          <w:iCs w:val="1"/>
          <w:color w:val="auto"/>
        </w:rPr>
        <w:t>Merger, Conversion, Consolidation or Succession to Business</w:t>
      </w:r>
      <w:r>
        <w:rPr>
          <w:rFonts w:ascii="Arial" w:cs="Arial" w:eastAsia="Arial" w:hAnsi="Arial"/>
          <w:sz w:val="16"/>
          <w:szCs w:val="16"/>
          <w:color w:val="auto"/>
        </w:rPr>
        <w:t>. Any corporation into which the Trustee may be merged or</w:t>
      </w:r>
    </w:p>
    <w:p>
      <w:pPr>
        <w:spacing w:after="0" w:line="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such corporation shall be otherwise qualified and eligible under this Article, without the execution or filing of any paper or any further act on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In case any Securities shall not have been authenticated by such predecessor Trustee, any such successor Trustee may authenticate and deliver such Securities, in either its own name or that of its predecessor Trustee, with the full force and effect which this Indenture provides for the certificate of authentication of the Trustee.</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613. </w:t>
      </w:r>
      <w:r>
        <w:rPr>
          <w:rFonts w:ascii="Arial" w:cs="Arial" w:eastAsia="Arial" w:hAnsi="Arial"/>
          <w:sz w:val="16"/>
          <w:szCs w:val="16"/>
          <w:i w:val="1"/>
          <w:iCs w:val="1"/>
          <w:color w:val="auto"/>
        </w:rPr>
        <w:t>Preferential Collection of Claims Against Company</w:t>
      </w:r>
      <w:r>
        <w:rPr>
          <w:rFonts w:ascii="Arial" w:cs="Arial" w:eastAsia="Arial" w:hAnsi="Arial"/>
          <w:sz w:val="16"/>
          <w:szCs w:val="16"/>
          <w:color w:val="auto"/>
        </w:rPr>
        <w:t>. The Trustee shall comply with Trust Indenture Act § 311(a), excluding</w:t>
      </w:r>
    </w:p>
    <w:p>
      <w:pPr>
        <w:spacing w:after="0" w:line="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any creditor relationship listed in Trust Indenture Act § 311(b). A Trustee who has resigned or been removed shall be subject to Trust Indenture Act § 311(a) to the extent indicated therein.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SECTION 614. </w:t>
      </w:r>
      <w:r>
        <w:rPr>
          <w:rFonts w:ascii="Arial" w:cs="Arial" w:eastAsia="Arial" w:hAnsi="Arial"/>
          <w:sz w:val="17"/>
          <w:szCs w:val="17"/>
          <w:i w:val="1"/>
          <w:iCs w:val="1"/>
          <w:color w:val="auto"/>
        </w:rPr>
        <w:t>Appointment of Authenticating Agent</w:t>
      </w:r>
      <w:r>
        <w:rPr>
          <w:rFonts w:ascii="Arial" w:cs="Arial" w:eastAsia="Arial" w:hAnsi="Arial"/>
          <w:sz w:val="17"/>
          <w:szCs w:val="17"/>
          <w:color w:val="auto"/>
        </w:rPr>
        <w:t>. (a) At any time when any of the Securities remain Outstanding the Trustee may</w:t>
      </w:r>
    </w:p>
    <w:p>
      <w:pPr>
        <w:spacing w:after="0" w:line="6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appoint an Authenticating Agent or Agents (which may include any Person that owns, directly or indirectly, all of the capital stock of the Trustee or a corporation that is a wholly-owned subsidiary of the Trustee or of such other Person) with respect to one or more series of Securities, or any Tranche thereof, that shall be authorized to act on behalf of the Trustee to authenticate Securities of such series or Tranche issued upon original issuance, exchange, registration of transfer or partial redemption thereof or pursuant to Section 306,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any state thereof or the District of Columbia, authorized under such laws to act as Authenticating Agent, having a combined capital and surplus of not less than $50,000,000 and subject to supervision or examination by federal or state authority in the United States.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ceases to be eligible in accordance with the provisions of this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Section, such Authenticating Agent shall resign immediately in the manner and with the effect specified in this Section.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(b) Any corporation into which an Authenticating Agent may be merged or converted or with which it may be consolidated, or any</w:t>
      </w:r>
    </w:p>
    <w:p>
      <w:pPr>
        <w:spacing w:after="0" w:line="6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 xml:space="preserve">corporation resulting from any merger, conversion or consolidation to which such Authenticating Agent shall be a party, or any corporation succeeding to the corporate agency or corporate trust business of an Authenticating Agent, shall continue to be an Authenticating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corporation shall be otherwise eligible under this Section, without the execution or filing of any paper or any further act on the part of the Trustee or the Authenticating Agent.</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 An Authenticating Agent may resign with respect to one or more series of Securities at any time by giving written notice thereof to the</w:t>
      </w:r>
    </w:p>
    <w:p>
      <w:pPr>
        <w:spacing w:after="0" w:line="7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Trustee and to the Company. The Trustee may at any time terminate the agency of an Authenticating Agent with respect to one or more series of Securities by giving written notice thereof to such Authenticating Agent and to the Company. Upon receiving such a notice of resignation or upon such a termination, or in case at any time such Authenticating Agent ceases to be eligible in accordance with the provisions of this Section, the Trustee may appoint a successor Authenticating Agent that is acceptable to the Company and shall provide notice of such appointment to all Holders of Securities of the series or Tranche with respect to which such Authenticating Agent will serve, as provided in paragraph (a) of this Section.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An Authenticating Agent appointed pursuant to this Section shall be entitled to rely on Sections 111, 308, 604 and 605 hereunder.</w:t>
      </w:r>
    </w:p>
    <w:p>
      <w:pPr>
        <w:spacing w:after="0" w:line="166" w:lineRule="exact"/>
        <w:rPr>
          <w:sz w:val="20"/>
          <w:szCs w:val="20"/>
          <w:color w:val="auto"/>
        </w:rPr>
      </w:pPr>
    </w:p>
    <w:p>
      <w:pPr>
        <w:ind w:right="200" w:firstLine="1305"/>
        <w:spacing w:after="0" w:line="357" w:lineRule="auto"/>
        <w:tabs>
          <w:tab w:leader="none" w:pos="15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Trustee agrees to pay to each Authenticating Agent from time to time reasonable compensation for its services under this Section, and the Trustee shall be entitled to be reimbursed for such payments, subject to the provisions of Section 607.</w:t>
      </w:r>
    </w:p>
    <w:p>
      <w:pPr>
        <w:spacing w:after="0" w:line="107" w:lineRule="exact"/>
        <w:rPr>
          <w:rFonts w:ascii="Arial" w:cs="Arial" w:eastAsia="Arial" w:hAnsi="Arial"/>
          <w:sz w:val="17"/>
          <w:szCs w:val="17"/>
          <w:color w:val="auto"/>
        </w:rPr>
      </w:pPr>
    </w:p>
    <w:p>
      <w:pPr>
        <w:ind w:left="1520" w:hanging="215"/>
        <w:spacing w:after="0"/>
        <w:tabs>
          <w:tab w:leader="none" w:pos="15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If an appointment with respect to the Securities of one or more series, or any Tranche thereof, is made pursuant to this Section, the</w:t>
      </w:r>
    </w:p>
    <w:p>
      <w:pPr>
        <w:spacing w:after="0" w:line="61"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Securities of such series or Tranche may have endorsed thereon, in addition to the Trustee’s certificate of authentication, an alternate certificate of authentication in the following form:</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is one of the Securities of the series designated pursuant to and issued under the within-mentioned Indenture.</w:t>
      </w: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w:t>
      </w:r>
    </w:p>
    <w:p>
      <w:pPr>
        <w:spacing w:after="0" w:line="6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31750</wp:posOffset>
            </wp:positionV>
            <wp:extent cx="25558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4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As Authenticating Agent on behalf of the Trustee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31750</wp:posOffset>
            </wp:positionV>
            <wp:extent cx="25558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4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Authorized Officer of Authenticating Agent</w:t>
      </w:r>
    </w:p>
    <w:p>
      <w:pPr>
        <w:spacing w:after="0" w:line="333"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31750</wp:posOffset>
            </wp:positionV>
            <wp:extent cx="24352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3" w:name="page74"/>
    <w:bookmarkEnd w:id="73"/>
    <w:p>
      <w:pPr>
        <w:ind w:left="1300"/>
        <w:spacing w:after="0"/>
        <w:rPr>
          <w:sz w:val="20"/>
          <w:szCs w:val="20"/>
          <w:color w:val="auto"/>
        </w:rPr>
      </w:pPr>
      <w:r>
        <w:rPr>
          <w:rFonts w:ascii="Arial" w:cs="Arial" w:eastAsia="Arial" w:hAnsi="Arial"/>
          <w:sz w:val="17"/>
          <w:szCs w:val="17"/>
          <w:color w:val="auto"/>
        </w:rPr>
        <w:t>(f) If all of the Securities of a series may not be originally issued at one time, and if the Trustee does not have an office capable of</w:t>
      </w:r>
    </w:p>
    <w:p>
      <w:pPr>
        <w:spacing w:after="0" w:line="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authenticating Securities upon original issuance located in a Place of Payment where the Company wishes to have Securities of such series authenticated upon original issuance, the Trustee, if so requested by the Company in writing (which writing need not comply with Section 102 and need not be accompanied by an Opinion of Counsel), shall appoint, in accordance with this Section and in accordance with such procedures as shall be acceptable to the Trustee, an Authenticating Agent (which, if so requested by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4" w:name="page75"/>
    <w:bookmarkEnd w:id="74"/>
    <w:p>
      <w:pPr>
        <w:jc w:val="center"/>
        <w:ind w:right="140"/>
        <w:spacing w:after="0"/>
        <w:rPr>
          <w:sz w:val="20"/>
          <w:szCs w:val="20"/>
          <w:color w:val="auto"/>
        </w:rPr>
      </w:pPr>
      <w:r>
        <w:rPr>
          <w:rFonts w:ascii="Arial" w:cs="Arial" w:eastAsia="Arial" w:hAnsi="Arial"/>
          <w:sz w:val="16"/>
          <w:szCs w:val="16"/>
          <w:color w:val="auto"/>
        </w:rPr>
        <w:t>Company, may be an Affiliate of the Company) having an office in a Place of Payment designated by the Company with respect to such series of Securities.</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SEVEN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HOLDERS’ LISTS AND REPORTS BY TRUSTEE AND COMPANY</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i w:val="1"/>
          <w:iCs w:val="1"/>
          <w:color w:val="auto"/>
        </w:rPr>
        <w:t>Company to Furnish Trustee Names and Addresses of Holders</w:t>
      </w:r>
      <w:r>
        <w:rPr>
          <w:rFonts w:ascii="Arial" w:cs="Arial" w:eastAsia="Arial" w:hAnsi="Arial"/>
          <w:sz w:val="16"/>
          <w:szCs w:val="16"/>
          <w:color w:val="auto"/>
        </w:rPr>
        <w:t>. The Company will furnish or cause to be furnished to the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 semi-annually, not later than the 15th day after each Regular Record Date for each series of Securities at the time Outstanding or on June</w:t>
      </w:r>
    </w:p>
    <w:p>
      <w:pPr>
        <w:spacing w:after="0" w:line="73" w:lineRule="exact"/>
        <w:rPr>
          <w:sz w:val="20"/>
          <w:szCs w:val="20"/>
          <w:color w:val="auto"/>
        </w:rPr>
      </w:pPr>
    </w:p>
    <w:p>
      <w:pPr>
        <w:ind w:left="660" w:right="100"/>
        <w:spacing w:after="0" w:line="276" w:lineRule="auto"/>
        <w:rPr>
          <w:sz w:val="20"/>
          <w:szCs w:val="20"/>
          <w:color w:val="auto"/>
        </w:rPr>
      </w:pPr>
      <w:r>
        <w:rPr>
          <w:rFonts w:ascii="Arial" w:cs="Arial" w:eastAsia="Arial" w:hAnsi="Arial"/>
          <w:sz w:val="17"/>
          <w:szCs w:val="17"/>
          <w:color w:val="auto"/>
        </w:rPr>
        <w:t>30 and December 31 of each year with respect to each series of Securities for which there are no Regular Record Dates, a list, in such form as the Trustee may reasonably require, containing all the information in the possession or control of the Company, or any of its Paying Agents other than the Trustee, of the names and addresses of the Holders of Securities of such series, including Holders of interests in Global Securities, as of such preceding Regular Record Date or on June 15 or December 15, as the case may be, or, in the case of a series of non-interest bearing Securities, on a date to be determined as contemplated pursuant to Section 301(b), and</w:t>
      </w:r>
    </w:p>
    <w:p>
      <w:pPr>
        <w:spacing w:after="0" w:line="173" w:lineRule="exact"/>
        <w:rPr>
          <w:sz w:val="20"/>
          <w:szCs w:val="20"/>
          <w:color w:val="auto"/>
        </w:rPr>
      </w:pPr>
    </w:p>
    <w:p>
      <w:pPr>
        <w:ind w:left="660" w:right="160" w:firstLine="645"/>
        <w:spacing w:after="0" w:line="324" w:lineRule="auto"/>
        <w:tabs>
          <w:tab w:leader="none" w:pos="1532" w:val="left"/>
        </w:tabs>
        <w:numPr>
          <w:ilvl w:val="0"/>
          <w:numId w:val="77"/>
        </w:numPr>
        <w:rPr>
          <w:rFonts w:ascii="Arial" w:cs="Arial" w:eastAsia="Arial" w:hAnsi="Arial"/>
          <w:sz w:val="18"/>
          <w:szCs w:val="18"/>
          <w:color w:val="auto"/>
        </w:rPr>
      </w:pPr>
      <w:r>
        <w:rPr>
          <w:rFonts w:ascii="Arial" w:cs="Arial" w:eastAsia="Arial" w:hAnsi="Arial"/>
          <w:sz w:val="18"/>
          <w:szCs w:val="18"/>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excluding </w:t>
      </w:r>
      <w:r>
        <w:rPr>
          <w:rFonts w:ascii="Arial" w:cs="Arial" w:eastAsia="Arial" w:hAnsi="Arial"/>
          <w:sz w:val="16"/>
          <w:szCs w:val="16"/>
          <w:color w:val="auto"/>
        </w:rPr>
        <w:t>from any such list names and addresses received by the Trustee in its capacity as Security Registrar for Securities other than Global Securities.</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i w:val="1"/>
          <w:iCs w:val="1"/>
          <w:color w:val="auto"/>
        </w:rPr>
        <w:t>Preservation of Information; Communications to Holders</w:t>
      </w:r>
      <w:r>
        <w:rPr>
          <w:rFonts w:ascii="Arial" w:cs="Arial" w:eastAsia="Arial" w:hAnsi="Arial"/>
          <w:sz w:val="17"/>
          <w:szCs w:val="17"/>
          <w:color w:val="auto"/>
        </w:rPr>
        <w:t>. (a) The Trustee shall preserve, in as current a form as is</w:t>
      </w:r>
    </w:p>
    <w:p>
      <w:pPr>
        <w:spacing w:after="0" w:line="6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reasonably practicable, the names and addresses of Holders of Securities contained in the most recent list furnished to the Trustee as provided in Section 701 and the names and addresses of Holders of Securities received by the Trustee in its capacity as Security Registrar or Paying Agent. The Trustee may destroy any list furnished to it as provided in Section 701 upon receipt of a new list so furnished.</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 If three or more Holders (herein referred to as “applicants”) apply in writing to the Trustee, and furnish to the Trustee reasonable proof</w:t>
      </w:r>
    </w:p>
    <w:p>
      <w:pPr>
        <w:spacing w:after="0" w:line="7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that each such applicant has owned a Security for a period of at least six months preceding the date of such application, and such application states that the applicants desire to communicate with other Holders with respect to their rights under this Indenture or under the Securities and is accompanied by a copy of the form of proxy or other communication that such applicants propose to transmit, then the Trustee shall, within five business days after the receipt of such application, at its election, either</w:t>
      </w:r>
    </w:p>
    <w:p>
      <w:pPr>
        <w:spacing w:after="0" w:line="187"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(i) afford such applicants access to the information preserved at the time by the Trustee in accordance with Section 702(a),</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(ii) inform such applicants as to the approximate number of Holders whose names and addresses appear in the information</w:t>
      </w:r>
    </w:p>
    <w:p>
      <w:pPr>
        <w:spacing w:after="0" w:line="73"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preserved at the time by the Trustee in accordance with Section 702(a), and as to the approximate cost of mailing to such Holders the form of proxy or other communication, if any, specified in such application.</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If the Trustee elects not to afford such applicants access to such information, the Trustee shall, upon the written request of such applicants, mail to each Holder whose name and address appear in the information preserved at the time by the Trustee in accordance with Section 702(a) a copy of the form of proxy or other communication that is specified in such request, with reasonable promptness after a tender to the Trustee by the applicants of the material to be mailed and of payment, or provision for the payment, of the reasonable expenses of mailing, unless within five days after such tender the Trustee shall mail to such applicants and file with the Commission, together with a copy of the material to be mailed, a written statement to the effect that, in the opinion of the Trustee, such mailing would be contrary to the best interest of the Holders or would be in violation of applicable law. Such</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75" w:name="page76"/>
    <w:bookmarkEnd w:id="75"/>
    <w:p>
      <w:pPr>
        <w:ind w:right="220"/>
        <w:spacing w:after="0" w:line="297" w:lineRule="auto"/>
        <w:rPr>
          <w:sz w:val="20"/>
          <w:szCs w:val="20"/>
          <w:color w:val="auto"/>
        </w:rPr>
      </w:pPr>
      <w:r>
        <w:rPr>
          <w:rFonts w:ascii="Arial" w:cs="Arial" w:eastAsia="Arial" w:hAnsi="Arial"/>
          <w:sz w:val="16"/>
          <w:szCs w:val="16"/>
          <w:color w:val="auto"/>
        </w:rPr>
        <w:t>written statement shall specify the basis of such opinion. If the Commission, after opportunity for a hearing upon the objections specified in the written statement so filed, enters an order refusing to sustain any of such objections or if, after the entry of an order sustaining one or more of such objections, the Commission finds, after notice and opportunity for hearing, that all the objections so sustained have been met and enters an order so declaring, the Trustee shall mail copies of such material to all such Holders with reasonable promptness after the entry of such order and the renewal of such tender by such applicants; otherwise the Trustee shall be relieved of any obligation or duty to such applicants respecting their application.</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 Every Holder of Securities, by receiving and holding the same, agrees with the Company and the Trustee that neither the Company nor</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Trustee nor any agent of either of them shall be held accountable by reason of the disclosure of any such information as to the names and addresses of the Holders in accordance with Section 702(b), regardless of the source from which such information was derived, and that the Trustee shall not be held accountable by reason of mailing any material pursuant to a request made under Section 702(b).</w:t>
      </w:r>
    </w:p>
    <w:p>
      <w:pPr>
        <w:spacing w:after="0" w:line="181" w:lineRule="exact"/>
        <w:rPr>
          <w:sz w:val="20"/>
          <w:szCs w:val="20"/>
          <w:color w:val="auto"/>
        </w:rPr>
      </w:pPr>
    </w:p>
    <w:p>
      <w:pPr>
        <w:ind w:right="20" w:firstLine="1297"/>
        <w:spacing w:after="0" w:line="357" w:lineRule="auto"/>
        <w:rPr>
          <w:sz w:val="20"/>
          <w:szCs w:val="20"/>
          <w:color w:val="auto"/>
        </w:rPr>
      </w:pPr>
      <w:r>
        <w:rPr>
          <w:rFonts w:ascii="Arial" w:cs="Arial" w:eastAsia="Arial" w:hAnsi="Arial"/>
          <w:sz w:val="17"/>
          <w:szCs w:val="17"/>
          <w:color w:val="auto"/>
        </w:rPr>
        <w:t xml:space="preserve">SECTION 703. </w:t>
      </w:r>
      <w:r>
        <w:rPr>
          <w:rFonts w:ascii="Arial" w:cs="Arial" w:eastAsia="Arial" w:hAnsi="Arial"/>
          <w:sz w:val="17"/>
          <w:szCs w:val="17"/>
          <w:i w:val="1"/>
          <w:iCs w:val="1"/>
          <w:color w:val="auto"/>
        </w:rPr>
        <w:t>Reports by Trustee</w:t>
      </w:r>
      <w:r>
        <w:rPr>
          <w:rFonts w:ascii="Arial" w:cs="Arial" w:eastAsia="Arial" w:hAnsi="Arial"/>
          <w:sz w:val="17"/>
          <w:szCs w:val="17"/>
          <w:color w:val="auto"/>
        </w:rPr>
        <w:t>. (a) The Trustee shall transmit to Holders such reports concerning the Trustee the Trustee and its actions under this Indenture as may be required pursuant to the Trust Indenture Act at the times and in the manner provided pursuant thereto.</w:t>
      </w:r>
    </w:p>
    <w:p>
      <w:pPr>
        <w:spacing w:after="0" w:line="107" w:lineRule="exact"/>
        <w:rPr>
          <w:sz w:val="20"/>
          <w:szCs w:val="20"/>
          <w:color w:val="auto"/>
        </w:rPr>
      </w:pPr>
    </w:p>
    <w:p>
      <w:pPr>
        <w:ind w:right="360" w:firstLine="1305"/>
        <w:spacing w:after="0" w:line="357" w:lineRule="auto"/>
        <w:tabs>
          <w:tab w:leader="none" w:pos="15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Reports so required to be transmitted at stated intervals of not more than 12 months shall be transmitted no later than July 1 in each calendar year, commencing with the first July 1 after the first issuance of Securities pursuant to this Indenture.</w:t>
      </w:r>
    </w:p>
    <w:p>
      <w:pPr>
        <w:spacing w:after="0" w:line="107" w:lineRule="exact"/>
        <w:rPr>
          <w:rFonts w:ascii="Arial" w:cs="Arial" w:eastAsia="Arial" w:hAnsi="Arial"/>
          <w:sz w:val="17"/>
          <w:szCs w:val="17"/>
          <w:color w:val="auto"/>
        </w:rPr>
      </w:pPr>
    </w:p>
    <w:p>
      <w:pPr>
        <w:ind w:left="1520" w:hanging="215"/>
        <w:spacing w:after="0"/>
        <w:tabs>
          <w:tab w:leader="none" w:pos="15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 copy of each such report shall, at the time of such transmission to Holders, be filed by the Trustee with each securities exchange upon</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which any Securities are listed, with the Commission and with the Company. The Company will notify the Trustee in writing when any Securities are listed on any securities exchange.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i w:val="1"/>
          <w:iCs w:val="1"/>
          <w:color w:val="auto"/>
        </w:rPr>
        <w:t>Reports by Company</w:t>
      </w:r>
      <w:r>
        <w:rPr>
          <w:rFonts w:ascii="Arial" w:cs="Arial" w:eastAsia="Arial" w:hAnsi="Arial"/>
          <w:sz w:val="18"/>
          <w:szCs w:val="18"/>
          <w:color w:val="auto"/>
        </w:rPr>
        <w:t>. The Company shall:</w:t>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 file with the Trustee, within 15 days after the Company files the same with the Commission, copies of the annual reports and of the</w:t>
      </w:r>
    </w:p>
    <w:p>
      <w:pPr>
        <w:spacing w:after="0" w:line="73" w:lineRule="exact"/>
        <w:rPr>
          <w:sz w:val="20"/>
          <w:szCs w:val="20"/>
          <w:color w:val="auto"/>
        </w:rPr>
      </w:pPr>
    </w:p>
    <w:p>
      <w:pPr>
        <w:ind w:left="660" w:right="20"/>
        <w:spacing w:after="0" w:line="270" w:lineRule="auto"/>
        <w:rPr>
          <w:sz w:val="20"/>
          <w:szCs w:val="20"/>
          <w:color w:val="auto"/>
        </w:rPr>
      </w:pPr>
      <w:r>
        <w:rPr>
          <w:rFonts w:ascii="Arial" w:cs="Arial" w:eastAsia="Arial" w:hAnsi="Arial"/>
          <w:sz w:val="17"/>
          <w:szCs w:val="17"/>
          <w:color w:val="auto"/>
        </w:rPr>
        <w:t>information, documents and other reports (or copies of such portions of any of the foregoing as the Commission may from time to time by rules and regulations prescribe) that the Company may be required to file with the Commission pursuant to Section 13 or Section 15(d) of the U.S. Securities Exchange Act of 1934; or, if the Company is not required to file information, documents or reports pursuant to either of said Sections, then it shall file with the Trustee and the Commission, in accordance with rules and regulations prescribed from time to time by the Commission, such of the supplementary and periodic information, documents and reports that may be required pursuant to Section 13 of the U.S. Securities Exchange Act of 1934 in respect of a security listed and registered on a national securities exchange as may be prescribed from time to time in such rules and regulations; and provided, however, that so long as such filings by the Company are available on the Commission’s Electronic Data Gathering, Analysis and Retrieval System (EDGAR) or any successor system, such filings shall be deemed to have been filed with the Trustee for purposes hereof without any further action required by the Company;</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(2) file with the Trustee and the Commission, in accordance with rules and regulations prescribed by the Commission, such additional</w:t>
      </w:r>
    </w:p>
    <w:p>
      <w:pPr>
        <w:spacing w:after="0" w:line="61" w:lineRule="exact"/>
        <w:rPr>
          <w:sz w:val="20"/>
          <w:szCs w:val="20"/>
          <w:color w:val="auto"/>
        </w:rPr>
      </w:pPr>
    </w:p>
    <w:p>
      <w:pPr>
        <w:ind w:left="660" w:right="400"/>
        <w:spacing w:after="0" w:line="277" w:lineRule="auto"/>
        <w:rPr>
          <w:sz w:val="20"/>
          <w:szCs w:val="20"/>
          <w:color w:val="auto"/>
        </w:rPr>
      </w:pPr>
      <w:r>
        <w:rPr>
          <w:rFonts w:ascii="Arial" w:cs="Arial" w:eastAsia="Arial" w:hAnsi="Arial"/>
          <w:sz w:val="18"/>
          <w:szCs w:val="18"/>
          <w:color w:val="auto"/>
        </w:rPr>
        <w:t>information, documents and reports with respect to compliance by the Company with the conditions and covenants of this Indenture as may be required from time to time by such rules and regulations; and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(3) transmit by mail to all Holders of Securities, as their names and addresses appear in the Security Register, and to each Holder whose</w:t>
      </w:r>
    </w:p>
    <w:p>
      <w:pPr>
        <w:spacing w:after="0" w:line="73" w:lineRule="exact"/>
        <w:rPr>
          <w:sz w:val="20"/>
          <w:szCs w:val="20"/>
          <w:color w:val="auto"/>
        </w:rPr>
      </w:pPr>
    </w:p>
    <w:p>
      <w:pPr>
        <w:jc w:val="both"/>
        <w:ind w:left="660" w:right="140"/>
        <w:spacing w:after="0" w:line="286" w:lineRule="auto"/>
        <w:rPr>
          <w:sz w:val="20"/>
          <w:szCs w:val="20"/>
          <w:color w:val="auto"/>
        </w:rPr>
      </w:pPr>
      <w:r>
        <w:rPr>
          <w:rFonts w:ascii="Arial" w:cs="Arial" w:eastAsia="Arial" w:hAnsi="Arial"/>
          <w:sz w:val="17"/>
          <w:szCs w:val="17"/>
          <w:color w:val="auto"/>
        </w:rPr>
        <w:t>name and address is then preserved on the Trustee’s list pursuant to the first sentence of Section 702(a), within 30 days after the filing thereof with the Trustee, such summaries of any information, documents and reports required to be filed by the Company pursuant to paragraphs (1) and (2) of this Section as may be required by rules and regulations prescribed from time to time by the Commission.</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76" w:name="page77"/>
    <w:bookmarkEnd w:id="76"/>
    <w:p>
      <w:pPr>
        <w:jc w:val="center"/>
        <w:ind w:right="-59"/>
        <w:spacing w:after="0"/>
        <w:rPr>
          <w:sz w:val="20"/>
          <w:szCs w:val="20"/>
          <w:color w:val="auto"/>
        </w:rPr>
      </w:pPr>
      <w:r>
        <w:rPr>
          <w:rFonts w:ascii="Arial" w:cs="Arial" w:eastAsia="Arial" w:hAnsi="Arial"/>
          <w:sz w:val="18"/>
          <w:szCs w:val="18"/>
          <w:b w:val="1"/>
          <w:bCs w:val="1"/>
          <w:color w:val="auto"/>
        </w:rPr>
        <w:t>ARTICLE EIGHT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CONSOLIDATION, MERGER, CONVEYANCE OR TRANSFER</w:t>
      </w:r>
    </w:p>
    <w:p>
      <w:pPr>
        <w:spacing w:after="0" w:line="229" w:lineRule="exact"/>
        <w:rPr>
          <w:sz w:val="20"/>
          <w:szCs w:val="20"/>
          <w:color w:val="auto"/>
        </w:rPr>
      </w:pPr>
    </w:p>
    <w:p>
      <w:pPr>
        <w:ind w:right="60" w:firstLine="1297"/>
        <w:spacing w:after="0" w:line="324"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Company May Consolidate, Etc. Only on Certain Terms</w:t>
      </w:r>
      <w:r>
        <w:rPr>
          <w:rFonts w:ascii="Arial" w:cs="Arial" w:eastAsia="Arial" w:hAnsi="Arial"/>
          <w:sz w:val="18"/>
          <w:szCs w:val="18"/>
          <w:color w:val="auto"/>
        </w:rPr>
        <w:t>. The Company shall not consolidate with or merge with or into, or convey, transfer or lease all or substantially all of its properties and assets to any Person, unless:</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 either (x) the Company shall be the continuing corporation or the successor corporation or (y) the Person formed by such consolidation</w:t>
      </w:r>
    </w:p>
    <w:p>
      <w:pPr>
        <w:spacing w:after="0" w:line="73" w:lineRule="exact"/>
        <w:rPr>
          <w:sz w:val="20"/>
          <w:szCs w:val="20"/>
          <w:color w:val="auto"/>
        </w:rPr>
      </w:pPr>
    </w:p>
    <w:p>
      <w:pPr>
        <w:ind w:left="660" w:right="20"/>
        <w:spacing w:after="0" w:line="276" w:lineRule="auto"/>
        <w:rPr>
          <w:sz w:val="20"/>
          <w:szCs w:val="20"/>
          <w:color w:val="auto"/>
        </w:rPr>
      </w:pPr>
      <w:r>
        <w:rPr>
          <w:rFonts w:ascii="Arial" w:cs="Arial" w:eastAsia="Arial" w:hAnsi="Arial"/>
          <w:sz w:val="17"/>
          <w:szCs w:val="17"/>
          <w:color w:val="auto"/>
        </w:rPr>
        <w:t>or into which the Company is merged or the Person that acquires by conveyance, transfer or lease the properties and assets of the Company substantially as an entirety shall be a corporation organized and existing under the laws of the United States of America, any State thereof or the District of Columbia and shall expressly assume, by an indenture supplemental hereto, executed and delivered to the Trustee, in form satisfactory to the Trustee, the due and punctual payment of the principal of and any premium and interest on all the Outstanding Securities and the performance of every covenant of this Indenture on the part of the Company to be performed or observed;</w:t>
      </w:r>
    </w:p>
    <w:p>
      <w:pPr>
        <w:spacing w:after="0" w:line="173" w:lineRule="exact"/>
        <w:rPr>
          <w:sz w:val="20"/>
          <w:szCs w:val="20"/>
          <w:color w:val="auto"/>
        </w:rPr>
      </w:pPr>
    </w:p>
    <w:p>
      <w:pPr>
        <w:ind w:left="660" w:right="240" w:firstLine="645"/>
        <w:spacing w:after="0" w:line="324" w:lineRule="auto"/>
        <w:tabs>
          <w:tab w:leader="none" w:pos="1532" w:val="left"/>
        </w:tabs>
        <w:numPr>
          <w:ilvl w:val="0"/>
          <w:numId w:val="79"/>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and no event that, after notice or lapse of time or both, would become an Event of Default, shall have occurred and be continuing; and</w:t>
      </w:r>
    </w:p>
    <w:p>
      <w:pPr>
        <w:spacing w:after="0" w:line="129" w:lineRule="exact"/>
        <w:rPr>
          <w:rFonts w:ascii="Arial" w:cs="Arial" w:eastAsia="Arial" w:hAnsi="Arial"/>
          <w:sz w:val="18"/>
          <w:szCs w:val="18"/>
          <w:color w:val="auto"/>
        </w:rPr>
      </w:pPr>
    </w:p>
    <w:p>
      <w:pPr>
        <w:ind w:left="1520" w:hanging="215"/>
        <w:spacing w:after="0"/>
        <w:tabs>
          <w:tab w:leader="none" w:pos="15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Company has delivered to the Trustee an Officer’s Certificate and an Opinion of Counsel, each stating that such consolidation,</w:t>
      </w:r>
    </w:p>
    <w:p>
      <w:pPr>
        <w:spacing w:after="0" w:line="6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merger, conveyance, transfer or lease and such supplemental indenture comply with this Article and that all conditions precedent herein provided for relating to such transaction have been met.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i w:val="1"/>
          <w:iCs w:val="1"/>
          <w:color w:val="auto"/>
        </w:rPr>
        <w:t>Successor Substituted for the Company</w:t>
      </w:r>
      <w:r>
        <w:rPr>
          <w:rFonts w:ascii="Arial" w:cs="Arial" w:eastAsia="Arial" w:hAnsi="Arial"/>
          <w:sz w:val="16"/>
          <w:szCs w:val="16"/>
          <w:color w:val="auto"/>
        </w:rPr>
        <w:t>. Upon any consolidation or merger or any conveyance, transfer or lease of all or</w:t>
      </w:r>
    </w:p>
    <w:p>
      <w:pPr>
        <w:spacing w:after="0" w:line="73"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substantially all the properties and assets of the Company in accordance with Section 801,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in the case of a conveyance, transfer or lease of properties and assets of the Company substantially as an entirety, such conveyance, transfer or lease shall have the effect of releasing the Person named as the “Company” in the first paragraph of this instrument or any successor Person that shall theretofore have become such in the manner prescribed in this Article from its liability as obligor and maker on any of the Securities.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NINE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SUPPLEMENTAL INDENTURES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i w:val="1"/>
          <w:iCs w:val="1"/>
          <w:color w:val="auto"/>
        </w:rPr>
        <w:t>Supplemental Indentures Without Consent of Holders</w:t>
      </w:r>
      <w:r>
        <w:rPr>
          <w:rFonts w:ascii="Arial" w:cs="Arial" w:eastAsia="Arial" w:hAnsi="Arial"/>
          <w:sz w:val="16"/>
          <w:szCs w:val="16"/>
          <w:color w:val="auto"/>
        </w:rPr>
        <w:t>. Without the consent of any Holders, the Company and the Trustee, at</w:t>
      </w:r>
    </w:p>
    <w:p>
      <w:pPr>
        <w:spacing w:after="0" w:line="7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any time and from time to time, may enter into one or more indentures supplemental hereto, in form satisfactory to the Trustee, for any of the following purposes:</w:t>
      </w:r>
    </w:p>
    <w:p>
      <w:pPr>
        <w:spacing w:after="0" w:line="170" w:lineRule="exact"/>
        <w:rPr>
          <w:sz w:val="20"/>
          <w:szCs w:val="20"/>
          <w:color w:val="auto"/>
        </w:rPr>
      </w:pPr>
    </w:p>
    <w:p>
      <w:pPr>
        <w:ind w:left="660" w:right="660" w:firstLine="645"/>
        <w:spacing w:after="0" w:line="324" w:lineRule="auto"/>
        <w:tabs>
          <w:tab w:leader="none" w:pos="1532"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Company and the assumption by any such successor of the covenants of the Company herein and in the Securities; or</w:t>
      </w:r>
    </w:p>
    <w:p>
      <w:pPr>
        <w:spacing w:after="0" w:line="129" w:lineRule="exact"/>
        <w:rPr>
          <w:rFonts w:ascii="Arial" w:cs="Arial" w:eastAsia="Arial" w:hAnsi="Arial"/>
          <w:sz w:val="18"/>
          <w:szCs w:val="18"/>
          <w:color w:val="auto"/>
        </w:rPr>
      </w:pPr>
    </w:p>
    <w:p>
      <w:pPr>
        <w:ind w:left="1520" w:hanging="215"/>
        <w:spacing w:after="0"/>
        <w:tabs>
          <w:tab w:leader="none" w:pos="15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to add to the covenants of the Company for the benefit of the Holders of all or any series of Securities (and if such covenants are to be</w:t>
      </w:r>
    </w:p>
    <w:p>
      <w:pPr>
        <w:spacing w:after="0" w:line="73"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for the benefit of less than all series of Securities, stating that such covenants are expressly being included solely for the benefit of such series), or to surrender any right or power herein conferred upon the Company; or</w:t>
      </w:r>
    </w:p>
    <w:p>
      <w:pPr>
        <w:spacing w:after="0" w:line="170" w:lineRule="exact"/>
        <w:rPr>
          <w:sz w:val="20"/>
          <w:szCs w:val="20"/>
          <w:color w:val="auto"/>
        </w:rPr>
      </w:pPr>
    </w:p>
    <w:p>
      <w:pPr>
        <w:jc w:val="center"/>
        <w:ind w:left="5620" w:right="1840" w:hanging="4315"/>
        <w:spacing w:after="0" w:line="623" w:lineRule="auto"/>
        <w:tabs>
          <w:tab w:leader="none" w:pos="1524" w:val="left"/>
        </w:tabs>
        <w:numPr>
          <w:ilvl w:val="0"/>
          <w:numId w:val="81"/>
        </w:numPr>
        <w:rPr>
          <w:rFonts w:ascii="Arial" w:cs="Arial" w:eastAsia="Arial" w:hAnsi="Arial"/>
          <w:sz w:val="17"/>
          <w:szCs w:val="17"/>
          <w:color w:val="auto"/>
        </w:rPr>
      </w:pPr>
      <w:r>
        <w:rPr>
          <w:rFonts w:ascii="Arial" w:cs="Arial" w:eastAsia="Arial" w:hAnsi="Arial"/>
          <w:sz w:val="17"/>
          <w:szCs w:val="17"/>
          <w:color w:val="auto"/>
        </w:rPr>
        <w:t>to add any additional Events of Default with respect to all or any series of Securities Outstanding hereunder; or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77" w:name="page78"/>
    <w:bookmarkEnd w:id="77"/>
    <w:p>
      <w:pPr>
        <w:ind w:left="1300"/>
        <w:spacing w:after="0"/>
        <w:rPr>
          <w:sz w:val="20"/>
          <w:szCs w:val="20"/>
          <w:color w:val="auto"/>
        </w:rPr>
      </w:pPr>
      <w:r>
        <w:rPr>
          <w:rFonts w:ascii="Arial" w:cs="Arial" w:eastAsia="Arial" w:hAnsi="Arial"/>
          <w:sz w:val="16"/>
          <w:szCs w:val="16"/>
          <w:color w:val="auto"/>
        </w:rPr>
        <w:t>(4) to change or eliminate any of the provisions of this Indenture, or to add any new provision to this Indenture, in respect of one or more</w:t>
      </w:r>
    </w:p>
    <w:p>
      <w:pPr>
        <w:spacing w:after="0" w:line="73" w:lineRule="exact"/>
        <w:rPr>
          <w:sz w:val="20"/>
          <w:szCs w:val="20"/>
          <w:color w:val="auto"/>
        </w:rPr>
      </w:pPr>
    </w:p>
    <w:p>
      <w:pPr>
        <w:ind w:left="660" w:right="180"/>
        <w:spacing w:after="0" w:line="259" w:lineRule="auto"/>
        <w:rPr>
          <w:sz w:val="20"/>
          <w:szCs w:val="20"/>
          <w:color w:val="auto"/>
        </w:rPr>
      </w:pPr>
      <w:r>
        <w:rPr>
          <w:rFonts w:ascii="Arial" w:cs="Arial" w:eastAsia="Arial" w:hAnsi="Arial"/>
          <w:sz w:val="18"/>
          <w:szCs w:val="18"/>
          <w:color w:val="auto"/>
        </w:rPr>
        <w:t xml:space="preserve">series of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such change, elimination or addition (A) shall neither (i) apply to any Security Outstanding on the date of such indenture supplemental hereto nor (ii) modify the rights of the Holder of any such Security Outstanding with respect to such provision in effect prior to the date of such indenture supplemental hereto or (B) shall become effective only when no Security of such series remains Outstanding; or</w:t>
      </w:r>
    </w:p>
    <w:p>
      <w:pPr>
        <w:spacing w:after="0" w:line="187" w:lineRule="exact"/>
        <w:rPr>
          <w:sz w:val="20"/>
          <w:szCs w:val="20"/>
          <w:color w:val="auto"/>
        </w:rPr>
      </w:pPr>
    </w:p>
    <w:p>
      <w:pPr>
        <w:ind w:left="1520" w:hanging="215"/>
        <w:spacing w:after="0"/>
        <w:tabs>
          <w:tab w:leader="none" w:pos="15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to add guarantees or collateral security with respect to the Securities of any series; or</w:t>
      </w:r>
    </w:p>
    <w:p>
      <w:pPr>
        <w:spacing w:after="0" w:line="277" w:lineRule="exact"/>
        <w:rPr>
          <w:rFonts w:ascii="Arial" w:cs="Arial" w:eastAsia="Arial" w:hAnsi="Arial"/>
          <w:sz w:val="17"/>
          <w:szCs w:val="17"/>
          <w:color w:val="auto"/>
        </w:rPr>
      </w:pPr>
    </w:p>
    <w:p>
      <w:pPr>
        <w:ind w:left="1520" w:hanging="215"/>
        <w:spacing w:after="0"/>
        <w:tabs>
          <w:tab w:leader="none" w:pos="15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to establish for the issuance of and establish the form or terms and conditions of Securities of any series or Tranche thereof as permitted</w:t>
      </w:r>
    </w:p>
    <w:p>
      <w:pPr>
        <w:spacing w:after="0" w:line="73" w:lineRule="exact"/>
        <w:rPr>
          <w:sz w:val="20"/>
          <w:szCs w:val="20"/>
          <w:color w:val="auto"/>
        </w:rPr>
      </w:pPr>
    </w:p>
    <w:p>
      <w:pPr>
        <w:ind w:left="660" w:right="560"/>
        <w:spacing w:after="0" w:line="277" w:lineRule="auto"/>
        <w:rPr>
          <w:sz w:val="20"/>
          <w:szCs w:val="20"/>
          <w:color w:val="auto"/>
        </w:rPr>
      </w:pPr>
      <w:r>
        <w:rPr>
          <w:rFonts w:ascii="Arial" w:cs="Arial" w:eastAsia="Arial" w:hAnsi="Arial"/>
          <w:sz w:val="18"/>
          <w:szCs w:val="18"/>
          <w:color w:val="auto"/>
        </w:rPr>
        <w:t>by Section 301(b), and to establish the form of any certificates required to be furnished pursuant to the terms of this Indenture or any series of Securities; or</w:t>
      </w:r>
    </w:p>
    <w:p>
      <w:pPr>
        <w:spacing w:after="0" w:line="170" w:lineRule="exact"/>
        <w:rPr>
          <w:sz w:val="20"/>
          <w:szCs w:val="20"/>
          <w:color w:val="auto"/>
        </w:rPr>
      </w:pPr>
    </w:p>
    <w:p>
      <w:pPr>
        <w:ind w:left="1520" w:hanging="215"/>
        <w:spacing w:after="0"/>
        <w:tabs>
          <w:tab w:leader="none" w:pos="15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to provide for uncertificated Securities in addition to or in place of all, or any series or Tranche of, certificated Securities; or</w:t>
      </w:r>
    </w:p>
    <w:p>
      <w:pPr>
        <w:spacing w:after="0" w:line="277" w:lineRule="exact"/>
        <w:rPr>
          <w:rFonts w:ascii="Arial" w:cs="Arial" w:eastAsia="Arial" w:hAnsi="Arial"/>
          <w:sz w:val="17"/>
          <w:szCs w:val="17"/>
          <w:color w:val="auto"/>
        </w:rPr>
      </w:pPr>
    </w:p>
    <w:p>
      <w:pPr>
        <w:ind w:left="1520" w:hanging="215"/>
        <w:spacing w:after="0"/>
        <w:tabs>
          <w:tab w:leader="none" w:pos="15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to evidence and provide for the acceptance of appointment hereunder by a separate or successor Trustee or co-trustee with respect to the</w:t>
      </w:r>
    </w:p>
    <w:p>
      <w:pPr>
        <w:spacing w:after="0" w:line="73"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Securities of one or more series and to add to or change any of the provisions of this Indenture as shall be necessary to provide for or facilitate the administration of the trusts hereunder by more than one Trustee, pursuant to the requirements of Section 611(b); or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(9) to change any place or places where (a) the principal of or premium, if any, or interest, if any, on all or any series of Securities, or any</w:t>
      </w:r>
    </w:p>
    <w:p>
      <w:pPr>
        <w:spacing w:after="0" w:line="73" w:lineRule="exact"/>
        <w:rPr>
          <w:sz w:val="20"/>
          <w:szCs w:val="20"/>
          <w:color w:val="auto"/>
        </w:rPr>
      </w:pPr>
    </w:p>
    <w:p>
      <w:pPr>
        <w:jc w:val="both"/>
        <w:ind w:left="660" w:right="40"/>
        <w:spacing w:after="0" w:line="264" w:lineRule="auto"/>
        <w:rPr>
          <w:sz w:val="20"/>
          <w:szCs w:val="20"/>
          <w:color w:val="auto"/>
        </w:rPr>
      </w:pPr>
      <w:r>
        <w:rPr>
          <w:rFonts w:ascii="Arial" w:cs="Arial" w:eastAsia="Arial" w:hAnsi="Arial"/>
          <w:sz w:val="18"/>
          <w:szCs w:val="18"/>
          <w:color w:val="auto"/>
        </w:rPr>
        <w:t>Tranche thereof, shall be payable, (b) all or any series of Securities, or any Tranche thereof, may be surrendered for registration or transfer, (c) all or any series of Securities, or any Tranche thereof, may be surrendered for exchange and (d) notices and demands to or upon the Company in respect of all or any series of Securities, or any Tranche thereof, and this Indenture may be served;</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(10) to supplement any of the provisions of this Indenture to such extent as shall be necessary to permit or facilitate the defeasance and</w:t>
      </w:r>
    </w:p>
    <w:p>
      <w:pPr>
        <w:spacing w:after="0" w:line="73" w:lineRule="exact"/>
        <w:rPr>
          <w:sz w:val="20"/>
          <w:szCs w:val="20"/>
          <w:color w:val="auto"/>
        </w:rPr>
      </w:pPr>
    </w:p>
    <w:p>
      <w:pPr>
        <w:ind w:left="660" w:right="300"/>
        <w:spacing w:after="0" w:line="308" w:lineRule="auto"/>
        <w:rPr>
          <w:sz w:val="20"/>
          <w:szCs w:val="20"/>
          <w:color w:val="auto"/>
        </w:rPr>
      </w:pPr>
      <w:r>
        <w:rPr>
          <w:rFonts w:ascii="Arial" w:cs="Arial" w:eastAsia="Arial" w:hAnsi="Arial"/>
          <w:sz w:val="17"/>
          <w:szCs w:val="17"/>
          <w:color w:val="auto"/>
        </w:rPr>
        <w:t>discharge of any series of Securities, or any Tranche thereof, pursuant to Article Four, provided that any such action shall not adversely affect the interests of the Holders of Securities of such series or Tranche or any other series of Securities in any material respect;</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(11) (i) to cure any ambiguity or to correct or supplement any provision contained herein or in any supplemental indenture that may be</w:t>
      </w:r>
    </w:p>
    <w:p>
      <w:pPr>
        <w:spacing w:after="0" w:line="61" w:lineRule="exact"/>
        <w:rPr>
          <w:sz w:val="20"/>
          <w:szCs w:val="20"/>
          <w:color w:val="auto"/>
        </w:rPr>
      </w:pPr>
    </w:p>
    <w:p>
      <w:pPr>
        <w:ind w:left="660" w:right="240"/>
        <w:spacing w:after="0" w:line="264" w:lineRule="auto"/>
        <w:rPr>
          <w:sz w:val="20"/>
          <w:szCs w:val="20"/>
          <w:color w:val="auto"/>
        </w:rPr>
      </w:pPr>
      <w:r>
        <w:rPr>
          <w:rFonts w:ascii="Arial" w:cs="Arial" w:eastAsia="Arial" w:hAnsi="Arial"/>
          <w:sz w:val="18"/>
          <w:szCs w:val="18"/>
          <w:color w:val="auto"/>
        </w:rPr>
        <w:t>defective or inconsistent with any other provision contained herein or in any supplemental indenture or (ii) to conform the terms of any series of Securities, or Tranche thereof, to the description thereof in the prospectus and prospectus supplement (or similar offering document) offering such series of Securities, or Tranche thereof; or</w:t>
      </w:r>
    </w:p>
    <w:p>
      <w:pPr>
        <w:spacing w:after="0" w:line="181" w:lineRule="exact"/>
        <w:rPr>
          <w:sz w:val="20"/>
          <w:szCs w:val="20"/>
          <w:color w:val="auto"/>
        </w:rPr>
      </w:pPr>
    </w:p>
    <w:p>
      <w:pPr>
        <w:ind w:left="660" w:right="100" w:firstLine="645"/>
        <w:spacing w:after="0" w:line="395" w:lineRule="auto"/>
        <w:tabs>
          <w:tab w:leader="none" w:pos="1622"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to make any other provisions with respect to matters or questions arising under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action shall not adversely affect the interests of the Holders of any Securities of any series or Tranche Outstanding on the date of such indenture supplemental hereto.</w:t>
      </w:r>
    </w:p>
    <w:p>
      <w:pPr>
        <w:spacing w:after="0" w:line="83" w:lineRule="exact"/>
        <w:rPr>
          <w:sz w:val="20"/>
          <w:szCs w:val="20"/>
          <w:color w:val="auto"/>
        </w:rPr>
      </w:pPr>
    </w:p>
    <w:p>
      <w:pPr>
        <w:ind w:right="500" w:firstLine="1297"/>
        <w:spacing w:after="0" w:line="277" w:lineRule="auto"/>
        <w:rPr>
          <w:sz w:val="20"/>
          <w:szCs w:val="20"/>
          <w:color w:val="auto"/>
        </w:rPr>
      </w:pPr>
      <w:r>
        <w:rPr>
          <w:rFonts w:ascii="Arial" w:cs="Arial" w:eastAsia="Arial" w:hAnsi="Arial"/>
          <w:sz w:val="18"/>
          <w:szCs w:val="18"/>
          <w:color w:val="auto"/>
        </w:rPr>
        <w:t>Without limiting the generality of the foregoing, if the Trust Indenture Act as in effect at the date of the execution and delivery of this Indenture or at any time thereafter becomes amended and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(x) if any such amendment requires one or more changes to any provisions hereof or the inclusion herein of any additional provisions, or by</w:t>
      </w:r>
    </w:p>
    <w:p>
      <w:pPr>
        <w:spacing w:after="0" w:line="7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operation of law is deemed to effect such changes or incorporate such provisions by reference or otherwise, this Indenture shall be deemed to have been amended so as to conform to such amendment to the Trust Indenture Act, and the Company and the Trustee may, without the consent of any Holders, enter into an indenture supplemental hereto to effect or evidence such changes or additional provisions; or</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(y) if any such amendment permits one or more changes to, or the elimination of, any provisions hereof that, at the date hereof or at any time</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thereafter, are required by the Trust Indenture Act to be contained herein (or if it is no longer required by the Trust Indenture Act for the Indenture to contain one or more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8" w:name="page79"/>
    <w:bookmarkEnd w:id="78"/>
    <w:p>
      <w:pPr>
        <w:ind w:right="220"/>
        <w:spacing w:after="0" w:line="277" w:lineRule="auto"/>
        <w:rPr>
          <w:sz w:val="20"/>
          <w:szCs w:val="20"/>
          <w:color w:val="auto"/>
        </w:rPr>
      </w:pPr>
      <w:r>
        <w:rPr>
          <w:rFonts w:ascii="Arial" w:cs="Arial" w:eastAsia="Arial" w:hAnsi="Arial"/>
          <w:sz w:val="18"/>
          <w:szCs w:val="18"/>
          <w:color w:val="auto"/>
        </w:rPr>
        <w:t>provisions), this Indenture shall be deemed to have been amended to effect such changes or elimination, and the Company and the Trustee may, without the consent of any Holders, enter into an indenture supplemental hereto to evidence such amendment hereof; or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(z) if, by reason of any such amendment, it shall be no longer necessary for this Indenture to contain one or more provisions that, at the date</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of the execution and delivery hereof, are required by the Trust Indenture Act to be contained herein, the Company and the Trustee may, without the consent of any Holders, enter into an indenture supplemental hereto to effect the elimination of such provisions.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902. </w:t>
      </w:r>
      <w:r>
        <w:rPr>
          <w:rFonts w:ascii="Arial" w:cs="Arial" w:eastAsia="Arial" w:hAnsi="Arial"/>
          <w:sz w:val="16"/>
          <w:szCs w:val="16"/>
          <w:i w:val="1"/>
          <w:iCs w:val="1"/>
          <w:color w:val="auto"/>
        </w:rPr>
        <w:t>Supplemental Indentures With Consent of Holders</w:t>
      </w:r>
      <w:r>
        <w:rPr>
          <w:rFonts w:ascii="Arial" w:cs="Arial" w:eastAsia="Arial" w:hAnsi="Arial"/>
          <w:sz w:val="16"/>
          <w:szCs w:val="16"/>
          <w:color w:val="auto"/>
        </w:rPr>
        <w:t>. (a) Except as set forth in paragraph (b) below, with the consent of the</w:t>
      </w:r>
    </w:p>
    <w:p>
      <w:pPr>
        <w:spacing w:after="0" w:line="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Holders of not less than a majority in aggregate principal amount of the Outstanding Securities of each series affected (voting as one class) by such supplemental indenture, by Act of said Holders delivered to the Company and the Trustee, the Company, when authorized by a resolution of its Board of Directors (which resolution may provide general terms or parameters for such action and may provide that the specific terms of such action may be determined in accordance with or pursuant to a Company Order),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Securities of each such series or of modifying in any manner the rights of the Holders of Securities of such series under this Indenture;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there are Securities of more than one series of equal ranking Outstanding hereunder and if a proposed supplemental indenture shall directly affect the rights of the Holders of Securities of one or more, but less than all, of such series, then the consent only of the Holders of not less than a majority in aggregate principal amount of the Outstanding Securities of all series so directly affected, considered as one class, shall be required.</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 No such supplemental indenture shall, without the consent of the Holder of each Outstanding Security affected thereby,</w:t>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(1) change the Stated Maturity of the principal of, or any installment of principal of or interest on, any Security, or reduce the principal</w:t>
      </w:r>
    </w:p>
    <w:p>
      <w:pPr>
        <w:spacing w:after="0" w:line="61" w:lineRule="exact"/>
        <w:rPr>
          <w:sz w:val="20"/>
          <w:szCs w:val="20"/>
          <w:color w:val="auto"/>
        </w:rPr>
      </w:pPr>
    </w:p>
    <w:p>
      <w:pPr>
        <w:ind w:left="660" w:right="40"/>
        <w:spacing w:after="0" w:line="254" w:lineRule="auto"/>
        <w:rPr>
          <w:sz w:val="20"/>
          <w:szCs w:val="20"/>
          <w:color w:val="auto"/>
        </w:rPr>
      </w:pPr>
      <w:r>
        <w:rPr>
          <w:rFonts w:ascii="Arial" w:cs="Arial" w:eastAsia="Arial" w:hAnsi="Arial"/>
          <w:sz w:val="18"/>
          <w:szCs w:val="18"/>
          <w:color w:val="auto"/>
        </w:rPr>
        <w:t>amount or premium, if any, thereof or the rate of interest thereon (or the amount of any installment of interest thereon) or any premium payable upon the redemption thereof, or change the method of calculating the rate of interest thereon, or reduce the amount of the principal of an Original Issue Discount Security that would be due and payable upon a declaration of acceleration of the Maturity thereof pursuant to Section 502, or change the coin or currency (or other property) in which, any Security or any premium or the interest thereon is payable, or impair the right to institute suit for the enforcement of any such payment on or after the Stated Maturity thereof (or, in the case of redemption, on or after the Redemption Date, or, in the case of repayment at the option of the Holders, on or after the Repayment Date), or modify any provisions of this Indenture with respect to the conversion or exchange of the Securities into Securities of another series or into any other debt or equity securities in a manner adverse to the Holders, or</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(2) reduce the percentage in principal amount of the Outstanding Securities of any series, the consent of whose Holders is required for any</w:t>
      </w:r>
    </w:p>
    <w:p>
      <w:pPr>
        <w:spacing w:after="0" w:line="73"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such supplemental indenture, or the consent of whose Holders is required for any waiver of compliance with certain provisions of this Indenture or certain defaults hereunder and their consequences provided for in this Indenture, or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(3) modify any of the provisions of this Section, Section 513 or Section 1008, except to increase any such percentage or to provide that</w:t>
      </w:r>
    </w:p>
    <w:p>
      <w:pPr>
        <w:spacing w:after="0" w:line="73"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color w:val="auto"/>
        </w:rPr>
        <w:t xml:space="preserve">certain other provisions of this Indenture cannot be modified or waived without the consent of the Holder of each Outstanding Security affected thereby,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clause shall not be deemed to require the consent of any Holder with respect to changes in the references to “the Trustee” and concomitant changes in this Section and Section 1008, or the deletion of this proviso, in accordance with the requirements of Sections 611(b) and 901(8).</w:t>
      </w:r>
    </w:p>
    <w:p>
      <w:pPr>
        <w:spacing w:after="0" w:line="187" w:lineRule="exact"/>
        <w:rPr>
          <w:sz w:val="20"/>
          <w:szCs w:val="20"/>
          <w:color w:val="auto"/>
        </w:rPr>
      </w:pPr>
    </w:p>
    <w:p>
      <w:pPr>
        <w:ind w:right="200" w:firstLine="1297"/>
        <w:spacing w:after="0" w:line="312" w:lineRule="auto"/>
        <w:rPr>
          <w:sz w:val="20"/>
          <w:szCs w:val="20"/>
          <w:color w:val="auto"/>
        </w:rPr>
      </w:pPr>
      <w:r>
        <w:rPr>
          <w:rFonts w:ascii="Arial" w:cs="Arial" w:eastAsia="Arial" w:hAnsi="Arial"/>
          <w:sz w:val="16"/>
          <w:szCs w:val="16"/>
          <w:color w:val="auto"/>
        </w:rPr>
        <w:t>A supplemental indenture that changes or eliminates any covenant or other provision of this Indenture that has expressly been included solely for the benefit of one or more particular series of Securities, or that modifies the rights of the Holders of Securities of such series with respect to such covenant or other provision, shall be deemed not to affect the rights under this Indenture of the Holders of Securities of any other series.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9" w:name="page80"/>
    <w:bookmarkEnd w:id="79"/>
    <w:p>
      <w:pPr>
        <w:jc w:val="both"/>
        <w:ind w:right="160" w:firstLine="1297"/>
        <w:spacing w:after="0" w:line="264" w:lineRule="auto"/>
        <w:rPr>
          <w:sz w:val="20"/>
          <w:szCs w:val="20"/>
          <w:color w:val="auto"/>
        </w:rPr>
      </w:pPr>
      <w:r>
        <w:rPr>
          <w:rFonts w:ascii="Arial" w:cs="Arial" w:eastAsia="Arial" w:hAnsi="Arial"/>
          <w:sz w:val="18"/>
          <w:szCs w:val="18"/>
          <w:color w:val="auto"/>
        </w:rPr>
        <w:t>It shall not be necessary for any Act of Holders under this Section to approve the particular form of any proposed supplemental indenture, but it shall be sufficient if such Act shall approve the substance thereof. A waiver by a Holder of such Holder’s rights to consent under this Section shall be deemed to be a consent of such Holder.</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SECTION 903. </w:t>
      </w:r>
      <w:r>
        <w:rPr>
          <w:rFonts w:ascii="Arial" w:cs="Arial" w:eastAsia="Arial" w:hAnsi="Arial"/>
          <w:sz w:val="17"/>
          <w:szCs w:val="17"/>
          <w:i w:val="1"/>
          <w:iCs w:val="1"/>
          <w:color w:val="auto"/>
        </w:rPr>
        <w:t>Execution of Supplemental Indentures</w:t>
      </w:r>
      <w:r>
        <w:rPr>
          <w:rFonts w:ascii="Arial" w:cs="Arial" w:eastAsia="Arial" w:hAnsi="Arial"/>
          <w:sz w:val="17"/>
          <w:szCs w:val="17"/>
          <w:color w:val="auto"/>
        </w:rPr>
        <w:t>. In executing, or accepting the additional trusts created by, any supplemental</w:t>
      </w:r>
    </w:p>
    <w:p>
      <w:pPr>
        <w:spacing w:after="0" w:line="6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indenture permitted by this Article or the modifications thereby of the trusts created by this Indenture, the Trustee shall be entitled to receive, and (subject to Section 601) shall be fully protected in relying upon, an Opinion of Counsel stating that the execution of such supplemental indenture is authorized or permitted by this Indenture. The Trustee may, but shall not be obligated to, enter into any such supplemental indenture that affects the Trustee’s own rights, duties or immunities under this Indenture or otherwise.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904. </w:t>
      </w:r>
      <w:r>
        <w:rPr>
          <w:rFonts w:ascii="Arial" w:cs="Arial" w:eastAsia="Arial" w:hAnsi="Arial"/>
          <w:sz w:val="16"/>
          <w:szCs w:val="16"/>
          <w:i w:val="1"/>
          <w:iCs w:val="1"/>
          <w:color w:val="auto"/>
        </w:rPr>
        <w:t>Effect of Supplemental Indentures</w:t>
      </w:r>
      <w:r>
        <w:rPr>
          <w:rFonts w:ascii="Arial" w:cs="Arial" w:eastAsia="Arial" w:hAnsi="Arial"/>
          <w:sz w:val="16"/>
          <w:szCs w:val="16"/>
          <w:color w:val="auto"/>
        </w:rPr>
        <w:t>. Upon the execution of any supplemental indenture under this Article, this Indenture shall</w:t>
      </w:r>
    </w:p>
    <w:p>
      <w:pPr>
        <w:spacing w:after="0" w:line="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be modified in accordance therewith, and such supplemental indenture shall form a part of this Indenture for all purposes; and every Holder of Securities theretofore or thereafter authenticated and delivered hereunder shall be bound thereby. Any supplemental indenture permitted by this Article may restate this Indenture in its entirety, and, upon the execution and delivery thereof, any such restatement shall supersede this Indenture as theretofore in effect for all purposes.</w:t>
      </w:r>
    </w:p>
    <w:p>
      <w:pPr>
        <w:spacing w:after="0" w:line="187" w:lineRule="exact"/>
        <w:rPr>
          <w:sz w:val="20"/>
          <w:szCs w:val="20"/>
          <w:color w:val="auto"/>
        </w:rPr>
      </w:pPr>
    </w:p>
    <w:p>
      <w:pPr>
        <w:ind w:right="200" w:firstLine="1297"/>
        <w:spacing w:after="0" w:line="324"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i w:val="1"/>
          <w:iCs w:val="1"/>
          <w:color w:val="auto"/>
        </w:rPr>
        <w:t>Conformity With Trust Indenture Act</w:t>
      </w:r>
      <w:r>
        <w:rPr>
          <w:rFonts w:ascii="Arial" w:cs="Arial" w:eastAsia="Arial" w:hAnsi="Arial"/>
          <w:sz w:val="18"/>
          <w:szCs w:val="18"/>
          <w:color w:val="auto"/>
        </w:rPr>
        <w:t>. Every supplemental indenture executed pursuant to this Article shall conform to the requirements of the Trust Indenture Act as then in effect.</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906. </w:t>
      </w:r>
      <w:r>
        <w:rPr>
          <w:rFonts w:ascii="Arial" w:cs="Arial" w:eastAsia="Arial" w:hAnsi="Arial"/>
          <w:sz w:val="16"/>
          <w:szCs w:val="16"/>
          <w:i w:val="1"/>
          <w:iCs w:val="1"/>
          <w:color w:val="auto"/>
        </w:rPr>
        <w:t>Reference in Securities to Supplemental Indentures</w:t>
      </w:r>
      <w:r>
        <w:rPr>
          <w:rFonts w:ascii="Arial" w:cs="Arial" w:eastAsia="Arial" w:hAnsi="Arial"/>
          <w:sz w:val="16"/>
          <w:szCs w:val="16"/>
          <w:color w:val="auto"/>
        </w:rPr>
        <w:t>. Securities of any series, or any Tranche thereof, authenticated and</w:t>
      </w:r>
    </w:p>
    <w:p>
      <w:pPr>
        <w:spacing w:after="0" w:line="7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delivered after the execution of any supplemental indenture pursuant to this Article may, and shall if required by the Trustee, bear a notation in form approved by the Trustee as to any matter provided for in such supplemental indenture. If the Company so determines, new Securities of any series, or any Tranche thereof, so modified as to conform, in the opinion of the Trustee and the Company, to any such supplemental indenture may be prepared and executed by the Company and authenticated and delivered by the Trustee in exchange for Outstanding Securities of such series or Tranche.</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SECTION 907. </w:t>
      </w:r>
      <w:r>
        <w:rPr>
          <w:rFonts w:ascii="Arial" w:cs="Arial" w:eastAsia="Arial" w:hAnsi="Arial"/>
          <w:sz w:val="17"/>
          <w:szCs w:val="17"/>
          <w:i w:val="1"/>
          <w:iCs w:val="1"/>
          <w:color w:val="auto"/>
        </w:rPr>
        <w:t>Revocation and Effect of Consents</w:t>
      </w:r>
      <w:r>
        <w:rPr>
          <w:rFonts w:ascii="Arial" w:cs="Arial" w:eastAsia="Arial" w:hAnsi="Arial"/>
          <w:sz w:val="17"/>
          <w:szCs w:val="17"/>
          <w:color w:val="auto"/>
        </w:rPr>
        <w:t>. Until an amendment or waiver becomes effective, a consent to it by a Holder of a</w:t>
      </w:r>
    </w:p>
    <w:p>
      <w:pPr>
        <w:spacing w:after="0" w:line="61"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on which the Trustee receives an Officer’s Certificate certifying that the Holders of the requisite principal amount of Securities have consented to the amendment or waiver. After an amendment or waiver becomes effective, it shall bind every Holder of each series of Securities affected by such amendment or waiver.</w:t>
      </w:r>
    </w:p>
    <w:p>
      <w:pPr>
        <w:spacing w:after="0" w:line="158" w:lineRule="exact"/>
        <w:rPr>
          <w:sz w:val="20"/>
          <w:szCs w:val="20"/>
          <w:color w:val="auto"/>
        </w:rPr>
      </w:pPr>
    </w:p>
    <w:p>
      <w:pPr>
        <w:ind w:right="60" w:firstLine="1297"/>
        <w:spacing w:after="0" w:line="279" w:lineRule="auto"/>
        <w:rPr>
          <w:sz w:val="20"/>
          <w:szCs w:val="20"/>
          <w:color w:val="auto"/>
        </w:rPr>
      </w:pPr>
      <w:r>
        <w:rPr>
          <w:rFonts w:ascii="Arial" w:cs="Arial" w:eastAsia="Arial" w:hAnsi="Arial"/>
          <w:sz w:val="17"/>
          <w:szCs w:val="17"/>
          <w:color w:val="auto"/>
        </w:rPr>
        <w:t>The Company may, but shall not be obligated to, fix a record date for the purpose of determining the Holders entitled to consent to any amendment or waiver. If a record date is fixed, then notwithstanding the provisions of the immediately preceding paragraph, those persons who were Holders at such record date (or their duly designated proxies), and only those persons, shall be entitled to consent to such amendment or waiver or to revoke any consent previously given, whether or not such persons continue to be Holders after such record date.</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After an amendment or waiver becomes effective it shall bind every Holder, unless it is of the type described in any of clauses (1) through</w:t>
      </w:r>
    </w:p>
    <w:p>
      <w:pPr>
        <w:spacing w:after="0" w:line="46" w:lineRule="exact"/>
        <w:rPr>
          <w:sz w:val="20"/>
          <w:szCs w:val="20"/>
          <w:color w:val="auto"/>
        </w:rPr>
      </w:pPr>
    </w:p>
    <w:p>
      <w:pPr>
        <w:ind w:right="160" w:firstLine="8"/>
        <w:spacing w:after="0" w:line="261" w:lineRule="auto"/>
        <w:tabs>
          <w:tab w:leader="none" w:pos="2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of Section 902(c). In such case, the amendment or waiver shall bind each Holder of a Security who has consented to it and every subsequent Holder of a Security that evidences the same debt as the consenting Holder’s Security.</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908. </w:t>
      </w:r>
      <w:r>
        <w:rPr>
          <w:rFonts w:ascii="Arial" w:cs="Arial" w:eastAsia="Arial" w:hAnsi="Arial"/>
          <w:sz w:val="16"/>
          <w:szCs w:val="16"/>
          <w:i w:val="1"/>
          <w:iCs w:val="1"/>
          <w:color w:val="auto"/>
        </w:rPr>
        <w:t>Modification Without Supplemental Indenture</w:t>
      </w:r>
      <w:r>
        <w:rPr>
          <w:rFonts w:ascii="Arial" w:cs="Arial" w:eastAsia="Arial" w:hAnsi="Arial"/>
          <w:sz w:val="16"/>
          <w:szCs w:val="16"/>
          <w:color w:val="auto"/>
        </w:rPr>
        <w:t>. If the terms of any particular series of Securities have been established in a</w:t>
      </w:r>
    </w:p>
    <w:p>
      <w:pPr>
        <w:spacing w:after="0" w:line="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Board Resolution or an Officer’s Certificate as contemplated by Section 301, and not in an indenture supplemental hereto, additions to, changes in or the elimination of any of such terms may be effected by means of a supplemental Board Resolution or Officer’s Certificate, as the case may be, delivered to, and accepted by, the Trustee;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supplemental Board Resolution or Officer’s Certificate shall not be accepted by the Trustee or otherwise be effective unless all conditions set forth in this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80" w:name="page81"/>
    <w:bookmarkEnd w:id="80"/>
    <w:p>
      <w:pPr>
        <w:ind w:right="140"/>
        <w:spacing w:after="0" w:line="264" w:lineRule="auto"/>
        <w:rPr>
          <w:sz w:val="20"/>
          <w:szCs w:val="20"/>
          <w:color w:val="auto"/>
        </w:rPr>
      </w:pPr>
      <w:r>
        <w:rPr>
          <w:rFonts w:ascii="Arial" w:cs="Arial" w:eastAsia="Arial" w:hAnsi="Arial"/>
          <w:sz w:val="18"/>
          <w:szCs w:val="18"/>
          <w:color w:val="auto"/>
        </w:rPr>
        <w:t>Indenture that would be required to be satisfied if such additions, changes or elimination were contained in a supplemental indenture shall have been appropriately satisfied. Upon the acceptance thereof by the Trustee, any such supplemental Board Resolution or Officer’s Certificate shall be deemed to be a “supplemental indenture” for purposes of Sections 904 and 906.</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TEN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1001. </w:t>
      </w:r>
      <w:r>
        <w:rPr>
          <w:rFonts w:ascii="Arial" w:cs="Arial" w:eastAsia="Arial" w:hAnsi="Arial"/>
          <w:sz w:val="16"/>
          <w:szCs w:val="16"/>
          <w:i w:val="1"/>
          <w:iCs w:val="1"/>
          <w:color w:val="auto"/>
        </w:rPr>
        <w:t>Payment of Principal, Premium and Interest</w:t>
      </w:r>
      <w:r>
        <w:rPr>
          <w:rFonts w:ascii="Arial" w:cs="Arial" w:eastAsia="Arial" w:hAnsi="Arial"/>
          <w:sz w:val="16"/>
          <w:szCs w:val="16"/>
          <w:color w:val="auto"/>
        </w:rPr>
        <w:t>. (a) Subject to the following provisions, the Company will pay to the Trustee</w:t>
      </w:r>
    </w:p>
    <w:p>
      <w:pPr>
        <w:spacing w:after="0" w:line="7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amounts, in such coin or currency as is at the time legal tender for the payment of public or private debt, in the manner, at the times and for the purposes set forth herein and in the text of the Securities for each series, and the Company hereby authorizes and directs the Trustee from funds so paid to it to make or cause to be made payment of the principal of and any premium and interest on the Securities of each series as set forth herein and in the text of such Securities. Unless otherwise provided in the Securities of a series, the Trustee will arrange directly with any Paying Agents for the payment, or the Trustee will make payment, from funds furnished by the Company, of the principal of and any premium and interest, on the Securities of each series by check or draft.</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 Unless otherwise provided in the Securities of a series, interest, if any, on Securities of a series shall be paid by check or draft on each</w:t>
      </w:r>
    </w:p>
    <w:p>
      <w:pPr>
        <w:spacing w:after="0" w:line="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Interest Payment Date for such series to the Holder thereof at the close of business on the Regular Record Date specified in the Securities of such series;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interest payable at Maturity will be paid to the Person to whom principal is payable. The Company may pay such interest by check or</w:t>
      </w:r>
      <w:r>
        <w:rPr>
          <w:rFonts w:ascii="Arial" w:cs="Arial" w:eastAsia="Arial" w:hAnsi="Arial"/>
          <w:sz w:val="18"/>
          <w:szCs w:val="18"/>
          <w:i w:val="1"/>
          <w:iCs w:val="1"/>
          <w:color w:val="auto"/>
        </w:rPr>
        <w:t xml:space="preserve"> </w:t>
      </w:r>
      <w:r>
        <w:rPr>
          <w:rFonts w:ascii="Arial" w:cs="Arial" w:eastAsia="Arial" w:hAnsi="Arial"/>
          <w:sz w:val="18"/>
          <w:szCs w:val="18"/>
          <w:color w:val="auto"/>
        </w:rPr>
        <w:t>draft mailed to such Holder’s address as it appears on the register for Securities of such series. Unless otherwise provided in the Securities of a series, principal of Securities shall be payable by check or draft and only against presentation and surrender of such Securities at the office of the Paying Agent, unless the Company shall have otherwise instructed the Trustee in writing.</w:t>
      </w:r>
    </w:p>
    <w:p>
      <w:pPr>
        <w:spacing w:after="0" w:line="188" w:lineRule="exact"/>
        <w:rPr>
          <w:sz w:val="20"/>
          <w:szCs w:val="20"/>
          <w:color w:val="auto"/>
        </w:rPr>
      </w:pPr>
    </w:p>
    <w:p>
      <w:pPr>
        <w:ind w:right="40" w:firstLine="1305"/>
        <w:spacing w:after="0" w:line="357" w:lineRule="auto"/>
        <w:tabs>
          <w:tab w:leader="none" w:pos="151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At the election of the Company, any payments by the Company provided for in this Indenture or in any of the Securities may be made by electronic funds transfer.</w:t>
      </w:r>
    </w:p>
    <w:p>
      <w:pPr>
        <w:spacing w:after="0" w:line="10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1002. </w:t>
      </w:r>
      <w:r>
        <w:rPr>
          <w:rFonts w:ascii="Arial" w:cs="Arial" w:eastAsia="Arial" w:hAnsi="Arial"/>
          <w:sz w:val="16"/>
          <w:szCs w:val="16"/>
          <w:i w:val="1"/>
          <w:iCs w:val="1"/>
          <w:color w:val="auto"/>
        </w:rPr>
        <w:t>Maintenance of Office or Agency</w:t>
      </w:r>
      <w:r>
        <w:rPr>
          <w:rFonts w:ascii="Arial" w:cs="Arial" w:eastAsia="Arial" w:hAnsi="Arial"/>
          <w:sz w:val="16"/>
          <w:szCs w:val="16"/>
          <w:color w:val="auto"/>
        </w:rPr>
        <w:t>. (a) The Company will maintain in each Place of Payment for any series of Securities, or</w:t>
      </w:r>
    </w:p>
    <w:p>
      <w:pPr>
        <w:spacing w:after="0" w:line="7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any Tranche thereof, an office or agency where Securities, or any Tranche thereof, of that series may be surrendered for registration of transfer or exchange and a Place of Payment where (subject to Sections 305 and 307) Securities may be presented for payment or exchange and where notices and demands to or upon the Company in respect of the Securities of that series and this Indenture may be served. Unless otherwise specified pursuant to Section 301(b) with respect to any such series, the Company shall maintain such offices or agencies in connection with each series in the Borough of Manhattan, The City of New York, State of New York. The Security Registrar shall keep a register with respect to each series of Securities and to their transfer and exchange. The Company may appoint one or more co-Security Registrars acceptable to the Trustee and one or more additional Paying Agents for each series of Securities, and the Company may terminate the appointment of any co-Security Registrar or Paying Agent at any time upon written notice. The term “Security Registrar” includes any co-Security Registrar. The term “Paying Agent” includes any additional Paying Agent. The Company shall notify the Trustee of the name and address of any Agent not a party to this Indenture. Subject to Section 305, if the Company fails to maintain a Security Registrar or Paying Agent, the Trustee shall act as such. The Company will give prompt written notice to the Trustee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 The Company may also from time to time designate one or more other offices or agencies where the Securities of one or more series</w:t>
      </w:r>
    </w:p>
    <w:p>
      <w:pPr>
        <w:spacing w:after="0" w:line="73"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color w:val="auto"/>
        </w:rPr>
        <w:t xml:space="preserve">may be presented or surrendered for any or all such purposes and may from time to time rescind such designations;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designation or rescission shall in any manner relieve the Company of its obligation to maintain an office or agency in each Place of Payment for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1" w:name="page82"/>
    <w:bookmarkEnd w:id="81"/>
    <w:p>
      <w:pPr>
        <w:ind w:right="500"/>
        <w:spacing w:after="0" w:line="277" w:lineRule="auto"/>
        <w:rPr>
          <w:sz w:val="20"/>
          <w:szCs w:val="20"/>
          <w:color w:val="auto"/>
        </w:rPr>
      </w:pPr>
      <w:r>
        <w:rPr>
          <w:rFonts w:ascii="Arial" w:cs="Arial" w:eastAsia="Arial" w:hAnsi="Arial"/>
          <w:sz w:val="18"/>
          <w:szCs w:val="18"/>
          <w:color w:val="auto"/>
        </w:rPr>
        <w:t>Securities of any series for such purposes. The Company will give prompt written notice to the Trustee of any such designation or rescission and of any change in the location of any such other office or agency.</w:t>
      </w:r>
    </w:p>
    <w:p>
      <w:pPr>
        <w:spacing w:after="0" w:line="170" w:lineRule="exact"/>
        <w:rPr>
          <w:sz w:val="20"/>
          <w:szCs w:val="20"/>
          <w:color w:val="auto"/>
        </w:rPr>
      </w:pPr>
    </w:p>
    <w:p>
      <w:pPr>
        <w:ind w:right="300" w:firstLine="1305"/>
        <w:spacing w:after="0" w:line="357" w:lineRule="auto"/>
        <w:tabs>
          <w:tab w:leader="none" w:pos="151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Anything herein to the contrary notwithstanding, any office or agency required by this Section may be maintained at any office of the Company in which event the Company shall perform all functions to be performed at such office or agency.</w:t>
      </w:r>
    </w:p>
    <w:p>
      <w:pPr>
        <w:spacing w:after="0" w:line="10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SECTION 1003. </w:t>
      </w:r>
      <w:r>
        <w:rPr>
          <w:rFonts w:ascii="Arial" w:cs="Arial" w:eastAsia="Arial" w:hAnsi="Arial"/>
          <w:sz w:val="17"/>
          <w:szCs w:val="17"/>
          <w:i w:val="1"/>
          <w:iCs w:val="1"/>
          <w:color w:val="auto"/>
        </w:rPr>
        <w:t>Money for Securities Payments to Be Held in Trust</w:t>
      </w:r>
      <w:r>
        <w:rPr>
          <w:rFonts w:ascii="Arial" w:cs="Arial" w:eastAsia="Arial" w:hAnsi="Arial"/>
          <w:sz w:val="17"/>
          <w:szCs w:val="17"/>
          <w:color w:val="auto"/>
        </w:rPr>
        <w:t>. (a) If the Company at any time acts as its own Paying Agent with</w:t>
      </w:r>
    </w:p>
    <w:p>
      <w:pPr>
        <w:spacing w:after="0" w:line="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respect to any series of Securities, or any Tranche thereof, it will, on or before each due date of the principal of or any premium or interest on any of such Securities, segregate and hold in trust for the benefit of the Persons entitled thereto a sum sufficient to pay the principal (and premium, if any) or interest so becoming due until such sums are paid to such Persons or otherwise disposed of as herein provided and will promptly notify the Trustee of its action or failure so to act.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 Whenever the Company has one or more Paying Agents for any series of Securities, it will, on or prior to (and if on, then before 11:00</w:t>
      </w:r>
    </w:p>
    <w:p>
      <w:pPr>
        <w:spacing w:after="0" w:line="73"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a.m. (New York City time)) each due date of the principal of and any premium or interest on such Securities, deposit with a Paying Agent a sum sufficient (in immediately available funds, if payment is made on the due date) to pay the principal and any premium and interest so becoming due, such sum to be held in trust for the benefit of the Persons entitled to such principal, premium or interest as provided in the Trust Indenture Act and (unless such Paying Agent is the Trustee) the Company will promptly notify the Trustee of its action or failure so to act.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 The Company will cause each Paying Agent for any series of Securities, or any Tranche thereof, other than the Trustee, to execute and</w:t>
      </w:r>
    </w:p>
    <w:p>
      <w:pPr>
        <w:spacing w:after="0" w:line="73"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deliver to the Trustee an instrument in which such Paying Agent shall agree with the Trustee, subject to the provisions of this Section, that such Paying Agent will:</w:t>
      </w:r>
    </w:p>
    <w:p>
      <w:pPr>
        <w:spacing w:after="0" w:line="170" w:lineRule="exact"/>
        <w:rPr>
          <w:sz w:val="20"/>
          <w:szCs w:val="20"/>
          <w:color w:val="auto"/>
        </w:rPr>
      </w:pPr>
    </w:p>
    <w:p>
      <w:pPr>
        <w:ind w:left="1480" w:hanging="175"/>
        <w:spacing w:after="0"/>
        <w:tabs>
          <w:tab w:leader="none" w:pos="14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comply with the provisions of the Trust Indenture Act applicable to it as a Paying Agent and</w:t>
      </w:r>
    </w:p>
    <w:p>
      <w:pPr>
        <w:spacing w:after="0" w:line="265" w:lineRule="exact"/>
        <w:rPr>
          <w:rFonts w:ascii="Arial" w:cs="Arial" w:eastAsia="Arial" w:hAnsi="Arial"/>
          <w:sz w:val="18"/>
          <w:szCs w:val="18"/>
          <w:color w:val="auto"/>
        </w:rPr>
      </w:pPr>
    </w:p>
    <w:p>
      <w:pPr>
        <w:ind w:left="1540" w:hanging="235"/>
        <w:spacing w:after="0"/>
        <w:tabs>
          <w:tab w:leader="none" w:pos="15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during the continuance of any default by the Company (or any other obligor upon the Securities of that series) in the making of any</w:t>
      </w:r>
    </w:p>
    <w:p>
      <w:pPr>
        <w:spacing w:after="0" w:line="61"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payment in respect of the Securities of that series, upon the written request of the Trustee, forthwith pay to the Trustee all sums held in trust by such Paying Agent for payment in respect of the Securities of that series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 The Company may at any time, for the purpose of obtaining the satisfaction and discharge of this Indenture or for any other purpose, pay,</w:t>
      </w:r>
    </w:p>
    <w:p>
      <w:pPr>
        <w:spacing w:after="0" w:line="5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(e) Any money deposited with the Trustee or any Paying Agent, or received by the Trustee in respect of Eligible Obligations deposited with</w:t>
      </w:r>
    </w:p>
    <w:p>
      <w:pPr>
        <w:spacing w:after="0" w:line="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Trustee pursuant to Section 401 or 404, or then held by the Company, in trust for the payment of the principal of and any premium or interest on any Security of any series and remaining unclaimed for two years (or such shorter period for the return of such funds to the Company under applicable abandoned property laws) after such principal,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1004. </w:t>
      </w:r>
      <w:r>
        <w:rPr>
          <w:rFonts w:ascii="Arial" w:cs="Arial" w:eastAsia="Arial" w:hAnsi="Arial"/>
          <w:sz w:val="16"/>
          <w:szCs w:val="16"/>
          <w:i w:val="1"/>
          <w:iCs w:val="1"/>
          <w:color w:val="auto"/>
        </w:rPr>
        <w:t>Statement as to Compliance</w:t>
      </w:r>
      <w:r>
        <w:rPr>
          <w:rFonts w:ascii="Arial" w:cs="Arial" w:eastAsia="Arial" w:hAnsi="Arial"/>
          <w:sz w:val="16"/>
          <w:szCs w:val="16"/>
          <w:color w:val="auto"/>
        </w:rPr>
        <w:t>. The Company will deliver to the Trustee, within 120 days after the end of each fiscal year of</w:t>
      </w:r>
    </w:p>
    <w:p>
      <w:pPr>
        <w:spacing w:after="0" w:line="73"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the Company ending after the date hereof, a written statement, which need not comply with Section 102, signed by the principal executive officer, the principal financial officer or the principal accounting officer of the Company stating, as to each signer thereof stating whether or not to the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2" w:name="page83"/>
    <w:bookmarkEnd w:id="82"/>
    <w:p>
      <w:pPr>
        <w:ind w:right="40"/>
        <w:spacing w:after="0" w:line="264" w:lineRule="auto"/>
        <w:rPr>
          <w:sz w:val="20"/>
          <w:szCs w:val="20"/>
          <w:color w:val="auto"/>
        </w:rPr>
      </w:pPr>
      <w:r>
        <w:rPr>
          <w:rFonts w:ascii="Arial" w:cs="Arial" w:eastAsia="Arial" w:hAnsi="Arial"/>
          <w:sz w:val="18"/>
          <w:szCs w:val="18"/>
          <w:color w:val="auto"/>
        </w:rPr>
        <w:t>knowledge of the signers thereof it is in default in the performance and observance of any of the terms, provisions, and conditions of this Indenture (without regard to any period of grace or requirement of notice provided hereunder) and, if it is in default, specifying all such defaults and the nature and status thereof of which they may have knowledge.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1005. </w:t>
      </w:r>
      <w:r>
        <w:rPr>
          <w:rFonts w:ascii="Arial" w:cs="Arial" w:eastAsia="Arial" w:hAnsi="Arial"/>
          <w:sz w:val="16"/>
          <w:szCs w:val="16"/>
          <w:i w:val="1"/>
          <w:iCs w:val="1"/>
          <w:color w:val="auto"/>
        </w:rPr>
        <w:t>Corporate Existence</w:t>
      </w:r>
      <w:r>
        <w:rPr>
          <w:rFonts w:ascii="Arial" w:cs="Arial" w:eastAsia="Arial" w:hAnsi="Arial"/>
          <w:sz w:val="16"/>
          <w:szCs w:val="16"/>
          <w:color w:val="auto"/>
        </w:rPr>
        <w:t>. Subject to Article Eight, the Company will do or cause to be done all things necessary to preserve</w:t>
      </w:r>
    </w:p>
    <w:p>
      <w:pPr>
        <w:spacing w:after="0" w:line="73"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 xml:space="preserve">and keep in full force and effect its corporate existence, rights (charter and statutory) and franchises;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Company shall not be required to preserve any such right or franchise if, in the judgment of the Company, the preservation thereof is no longer desirable in the conduct of the business of the Company.</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1006. </w:t>
      </w:r>
      <w:r>
        <w:rPr>
          <w:rFonts w:ascii="Arial" w:cs="Arial" w:eastAsia="Arial" w:hAnsi="Arial"/>
          <w:sz w:val="16"/>
          <w:szCs w:val="16"/>
          <w:i w:val="1"/>
          <w:iCs w:val="1"/>
          <w:color w:val="auto"/>
        </w:rPr>
        <w:t>Waiver of Certain Covenants</w:t>
      </w:r>
      <w:r>
        <w:rPr>
          <w:rFonts w:ascii="Arial" w:cs="Arial" w:eastAsia="Arial" w:hAnsi="Arial"/>
          <w:sz w:val="16"/>
          <w:szCs w:val="16"/>
          <w:color w:val="auto"/>
        </w:rPr>
        <w:t>. Except as otherwise specified as contemplated by Section 301 for Securities of such series,</w:t>
      </w:r>
    </w:p>
    <w:p>
      <w:pPr>
        <w:spacing w:after="0" w:line="7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Company may, with respect to the Securities of any series, omit in any particular instance to comply with any term, provision or condition set forth in (i) any additional covenants or restrictions specified with respect to the Securities of any series as contemplated by Section 301 if before the time for such compliance the Holders of not less than a majority in aggregate principal amount (or such larger proportion as may be required in respect of waiving a past default of any such additional covenant or restriction) of the Outstanding Securities of all series of equal ranking with respect to which such covenant or restriction was so specified, considered as one class, by Act of such Holders, either waive such compliance in such instance or generally waive compliance with such term, provision or condition and (ii) Sections 1002 and 1004 and Article Eight if before the time for such compliance the Holders of at least a majority in principal amount of Securities of all series of equal ranking Outstanding under this Indenture by Act of such Holders, either waive such compliance in such instance or generally waive compliance with such term, provision or condition; but, in the case of clause (i) or (ii) of this Section, no such waiver shall extend to or affect such term, provision or condition except to the extent so expressly waived, and, until such waiver becomes effective, the obligations of the Company and the duties of the Trustee in respect of any such term, provision or condition shall remain in full force and effect.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ELEVEN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REDEMPTION OF SECURITIES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1101. </w:t>
      </w:r>
      <w:r>
        <w:rPr>
          <w:rFonts w:ascii="Arial" w:cs="Arial" w:eastAsia="Arial" w:hAnsi="Arial"/>
          <w:sz w:val="16"/>
          <w:szCs w:val="16"/>
          <w:i w:val="1"/>
          <w:iCs w:val="1"/>
          <w:color w:val="auto"/>
        </w:rPr>
        <w:t>Applicability of Article</w:t>
      </w:r>
      <w:r>
        <w:rPr>
          <w:rFonts w:ascii="Arial" w:cs="Arial" w:eastAsia="Arial" w:hAnsi="Arial"/>
          <w:sz w:val="16"/>
          <w:szCs w:val="16"/>
          <w:color w:val="auto"/>
        </w:rPr>
        <w:t>. Securities of any series that are redeemable before their Stated Maturity (or, if the principal of the</w:t>
      </w:r>
    </w:p>
    <w:p>
      <w:pPr>
        <w:spacing w:after="0" w:line="73"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Securities of any series is payable in installments, the Stated Maturity of the final installment of the principal thereof) shall be redeemable in accordance with their terms and (except as otherwise specified as contemplated by Section 301(b) for Securities of any series) in accordance with this Article.</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1102. </w:t>
      </w:r>
      <w:r>
        <w:rPr>
          <w:rFonts w:ascii="Arial" w:cs="Arial" w:eastAsia="Arial" w:hAnsi="Arial"/>
          <w:sz w:val="16"/>
          <w:szCs w:val="16"/>
          <w:i w:val="1"/>
          <w:iCs w:val="1"/>
          <w:color w:val="auto"/>
        </w:rPr>
        <w:t>Election to Redeem; Notice to Trustee</w:t>
      </w:r>
      <w:r>
        <w:rPr>
          <w:rFonts w:ascii="Arial" w:cs="Arial" w:eastAsia="Arial" w:hAnsi="Arial"/>
          <w:sz w:val="16"/>
          <w:szCs w:val="16"/>
          <w:color w:val="auto"/>
        </w:rPr>
        <w:t>. The election of the Company to redeem any Securities shall be evidenced by a</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Board Resolution or an Officer’s Certificate. In case of any redemption at the election of the Company of less than all the Securities of any series, the Company shall, at least 45 days prior to the Redemption Date fixed by the Company (unless a shorter notice is satisfactory to the Trustee in its sole discretion), notify the Trustee of such Redemption Date and of the principal amount of Securities of such series to be redeemed. In the case of any redemption of Securities (a) prior to the expiration of any restriction on such redemption provided in the terms of such Securities or elsewhere in this Indenture, or (b) pursuant to an election of the Company that is subject to a condition specified in the terms of such Securities the Company shall furnish the Trustee with an Officer’s Certificate evidencing compliance with such restriction.</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 xml:space="preserve">SECTION 1103. </w:t>
      </w:r>
      <w:r>
        <w:rPr>
          <w:rFonts w:ascii="Arial" w:cs="Arial" w:eastAsia="Arial" w:hAnsi="Arial"/>
          <w:sz w:val="15"/>
          <w:szCs w:val="15"/>
          <w:i w:val="1"/>
          <w:iCs w:val="1"/>
          <w:color w:val="auto"/>
        </w:rPr>
        <w:t>Selection by Trustee of Securities to Be Redeemed</w:t>
      </w:r>
      <w:r>
        <w:rPr>
          <w:rFonts w:ascii="Arial" w:cs="Arial" w:eastAsia="Arial" w:hAnsi="Arial"/>
          <w:sz w:val="15"/>
          <w:szCs w:val="15"/>
          <w:color w:val="auto"/>
        </w:rPr>
        <w:t>. If less than all the Securities of any series are to be redeemed, unless the</w:t>
      </w:r>
    </w:p>
    <w:p>
      <w:pPr>
        <w:spacing w:after="0" w:line="8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procedures of the Depositary provide otherwise, the particular Securities to be redeemed shall be selected by the Trustee, from the Outstanding Securities of such series not previously called for redemption, by such method as is provided for any particular series, or, in the absence of any such provision, pro rata, by lot, or by such method as the Trustee deems fair and appropriate and which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83" w:name="page84"/>
    <w:bookmarkEnd w:id="83"/>
    <w:p>
      <w:pPr>
        <w:ind w:right="220" w:firstLine="1297"/>
        <w:spacing w:after="0" w:line="264" w:lineRule="auto"/>
        <w:rPr>
          <w:sz w:val="20"/>
          <w:szCs w:val="20"/>
          <w:color w:val="auto"/>
        </w:rPr>
      </w:pPr>
      <w:r>
        <w:rPr>
          <w:rFonts w:ascii="Arial" w:cs="Arial" w:eastAsia="Arial" w:hAnsi="Arial"/>
          <w:sz w:val="18"/>
          <w:szCs w:val="18"/>
          <w:color w:val="auto"/>
        </w:rPr>
        <w:t>The Trustee shall promptly notify the Company and the Security Registrar in writing of the Securities selected for redemption and, in the case of any Securities selected for partial redemption, the principal amount thereof to be redeemed and the method it has chosen for the selection of such Securities.</w:t>
      </w:r>
    </w:p>
    <w:p>
      <w:pPr>
        <w:spacing w:after="0" w:line="181" w:lineRule="exact"/>
        <w:rPr>
          <w:sz w:val="20"/>
          <w:szCs w:val="20"/>
          <w:color w:val="auto"/>
        </w:rPr>
      </w:pPr>
    </w:p>
    <w:p>
      <w:pPr>
        <w:ind w:right="140" w:firstLine="1297"/>
        <w:spacing w:after="0" w:line="264" w:lineRule="auto"/>
        <w:rPr>
          <w:sz w:val="20"/>
          <w:szCs w:val="20"/>
          <w:color w:val="auto"/>
        </w:rPr>
      </w:pPr>
      <w:r>
        <w:rPr>
          <w:rFonts w:ascii="Arial" w:cs="Arial" w:eastAsia="Arial" w:hAnsi="Arial"/>
          <w:sz w:val="18"/>
          <w:szCs w:val="18"/>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that has been or is to be redeemed.</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1104. </w:t>
      </w:r>
      <w:r>
        <w:rPr>
          <w:rFonts w:ascii="Arial" w:cs="Arial" w:eastAsia="Arial" w:hAnsi="Arial"/>
          <w:sz w:val="16"/>
          <w:szCs w:val="16"/>
          <w:i w:val="1"/>
          <w:iCs w:val="1"/>
          <w:color w:val="auto"/>
        </w:rPr>
        <w:t>Notice of Redemption</w:t>
      </w:r>
      <w:r>
        <w:rPr>
          <w:rFonts w:ascii="Arial" w:cs="Arial" w:eastAsia="Arial" w:hAnsi="Arial"/>
          <w:sz w:val="16"/>
          <w:szCs w:val="16"/>
          <w:color w:val="auto"/>
        </w:rPr>
        <w:t>. Unless otherwise specified as contemplated by Section 301 with respect to any series of Securities,</w:t>
      </w:r>
    </w:p>
    <w:p>
      <w:pPr>
        <w:spacing w:after="0" w:line="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notice of redemption shall be given by electronic transmission or first-class mail, postage prepaid, mailed not less than 30 nor more than 60 days prior to the Redemption Date, to each Holder of Securities to be redeemed, at such Holder’s address appearing in the Security Register.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All notices of redemption shall state:</w:t>
      </w:r>
    </w:p>
    <w:p>
      <w:pPr>
        <w:spacing w:after="0" w:line="225" w:lineRule="exact"/>
        <w:rPr>
          <w:sz w:val="20"/>
          <w:szCs w:val="20"/>
          <w:color w:val="auto"/>
        </w:rPr>
      </w:pPr>
    </w:p>
    <w:p>
      <w:pPr>
        <w:ind w:left="1520" w:hanging="215"/>
        <w:spacing w:after="0"/>
        <w:tabs>
          <w:tab w:leader="none" w:pos="15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Redemption Date,</w:t>
      </w:r>
    </w:p>
    <w:p>
      <w:pPr>
        <w:spacing w:after="0" w:line="277" w:lineRule="exact"/>
        <w:rPr>
          <w:rFonts w:ascii="Arial" w:cs="Arial" w:eastAsia="Arial" w:hAnsi="Arial"/>
          <w:sz w:val="17"/>
          <w:szCs w:val="17"/>
          <w:color w:val="auto"/>
        </w:rPr>
      </w:pPr>
    </w:p>
    <w:p>
      <w:pPr>
        <w:ind w:left="660" w:right="320" w:firstLine="645"/>
        <w:spacing w:after="0" w:line="324" w:lineRule="auto"/>
        <w:tabs>
          <w:tab w:leader="none" w:pos="1532"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Redemption Price, or the formula pursuant to which the Redemption Price is to be determined if the Redemption Price cannot be determined at the time notice is given,</w:t>
      </w:r>
    </w:p>
    <w:p>
      <w:pPr>
        <w:spacing w:after="0" w:line="129" w:lineRule="exact"/>
        <w:rPr>
          <w:rFonts w:ascii="Arial" w:cs="Arial" w:eastAsia="Arial" w:hAnsi="Arial"/>
          <w:sz w:val="18"/>
          <w:szCs w:val="18"/>
          <w:color w:val="auto"/>
        </w:rPr>
      </w:pPr>
    </w:p>
    <w:p>
      <w:pPr>
        <w:ind w:left="1520" w:hanging="215"/>
        <w:spacing w:after="0"/>
        <w:tabs>
          <w:tab w:leader="none" w:pos="15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if less than all the Outstanding Securities of any series are to be redeemed, the identification (and, in the case of partial redemption, the</w:t>
      </w:r>
    </w:p>
    <w:p>
      <w:pPr>
        <w:spacing w:after="0" w:line="73"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principal amounts) of the particular Securities to be redeemed, and the portion of the principal amount of any Security to be redeemed in part and, in the case of any such Security of such series to be redeemed in part, that, on and after the Redemption Date, upon surrender of such Security, a new Security or Securities of such series in principal amount equal to the remaining unpaid principal amount thereof will be issued as provided in Section 1106,</w:t>
      </w:r>
    </w:p>
    <w:p>
      <w:pPr>
        <w:spacing w:after="0" w:line="187" w:lineRule="exact"/>
        <w:rPr>
          <w:sz w:val="20"/>
          <w:szCs w:val="20"/>
          <w:color w:val="auto"/>
        </w:rPr>
      </w:pPr>
    </w:p>
    <w:p>
      <w:pPr>
        <w:ind w:left="660" w:right="580" w:firstLine="645"/>
        <w:spacing w:after="0" w:line="324" w:lineRule="auto"/>
        <w:tabs>
          <w:tab w:leader="none" w:pos="1532"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that on the Redemption Date the Redemption Price will become due and payable upon each such Security to be redeemed and, if applicable, that interest thereon will cease to accrue on and after said date,</w:t>
      </w:r>
    </w:p>
    <w:p>
      <w:pPr>
        <w:spacing w:after="0" w:line="129" w:lineRule="exact"/>
        <w:rPr>
          <w:rFonts w:ascii="Arial" w:cs="Arial" w:eastAsia="Arial" w:hAnsi="Arial"/>
          <w:sz w:val="18"/>
          <w:szCs w:val="18"/>
          <w:color w:val="auto"/>
        </w:rPr>
      </w:pPr>
    </w:p>
    <w:p>
      <w:pPr>
        <w:ind w:left="1520" w:hanging="215"/>
        <w:spacing w:after="0"/>
        <w:tabs>
          <w:tab w:leader="none" w:pos="15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place or places where such Securities are to be surrendered for payment of the Redemption Price and accrued interest, if any,</w:t>
      </w:r>
    </w:p>
    <w:p>
      <w:pPr>
        <w:spacing w:after="0" w:line="277" w:lineRule="exact"/>
        <w:rPr>
          <w:rFonts w:ascii="Arial" w:cs="Arial" w:eastAsia="Arial" w:hAnsi="Arial"/>
          <w:sz w:val="17"/>
          <w:szCs w:val="17"/>
          <w:color w:val="auto"/>
        </w:rPr>
      </w:pPr>
    </w:p>
    <w:p>
      <w:pPr>
        <w:ind w:left="1520" w:hanging="215"/>
        <w:spacing w:after="0"/>
        <w:tabs>
          <w:tab w:leader="none" w:pos="15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that the redemption is for a sinking fund, if such is the case,</w:t>
      </w:r>
    </w:p>
    <w:p>
      <w:pPr>
        <w:spacing w:after="0" w:line="277" w:lineRule="exact"/>
        <w:rPr>
          <w:rFonts w:ascii="Arial" w:cs="Arial" w:eastAsia="Arial" w:hAnsi="Arial"/>
          <w:sz w:val="17"/>
          <w:szCs w:val="17"/>
          <w:color w:val="auto"/>
        </w:rPr>
      </w:pPr>
    </w:p>
    <w:p>
      <w:pPr>
        <w:ind w:left="1520" w:hanging="215"/>
        <w:spacing w:after="0"/>
        <w:tabs>
          <w:tab w:leader="none" w:pos="15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the CUSIP, “ISIN” or similar number(s), if any, assigned to such Securities; </w:t>
      </w:r>
      <w:r>
        <w:rPr>
          <w:rFonts w:ascii="Arial" w:cs="Arial" w:eastAsia="Arial" w:hAnsi="Arial"/>
          <w:sz w:val="17"/>
          <w:szCs w:val="17"/>
          <w:i w:val="1"/>
          <w:iCs w:val="1"/>
          <w:color w:val="auto"/>
        </w:rPr>
        <w:t>provided however</w:t>
      </w:r>
      <w:r>
        <w:rPr>
          <w:rFonts w:ascii="Arial" w:cs="Arial" w:eastAsia="Arial" w:hAnsi="Arial"/>
          <w:sz w:val="17"/>
          <w:szCs w:val="17"/>
          <w:color w:val="auto"/>
        </w:rPr>
        <w:t>, that such notice may state that no</w:t>
      </w:r>
    </w:p>
    <w:p>
      <w:pPr>
        <w:spacing w:after="0" w:line="61"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representation is made as to the correctness of CUSIP, “ISIN” or similar number(s), and the redemption of such Securities shall not be affected by any defect in or omission of such number(s), and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 such other matters as the Company shall deem desirable or appropriate.</w:t>
      </w:r>
    </w:p>
    <w:p>
      <w:pPr>
        <w:spacing w:after="0" w:line="266" w:lineRule="exact"/>
        <w:rPr>
          <w:sz w:val="20"/>
          <w:szCs w:val="20"/>
          <w:color w:val="auto"/>
        </w:rPr>
      </w:pPr>
    </w:p>
    <w:p>
      <w:pPr>
        <w:ind w:right="40" w:firstLine="1297"/>
        <w:spacing w:after="0" w:line="270" w:lineRule="auto"/>
        <w:rPr>
          <w:sz w:val="20"/>
          <w:szCs w:val="20"/>
          <w:color w:val="auto"/>
        </w:rPr>
      </w:pPr>
      <w:r>
        <w:rPr>
          <w:rFonts w:ascii="Arial" w:cs="Arial" w:eastAsia="Arial" w:hAnsi="Arial"/>
          <w:sz w:val="17"/>
          <w:szCs w:val="17"/>
          <w:color w:val="auto"/>
        </w:rPr>
        <w:t>Unless otherwise specified with respect to any Securities in accordance with Section 301, with respect to any notice of redemption of Securities at the election of the Company, unless, upon the giving of such notice, such Securities are deemed to have been paid in accordance with Section 401, such notice may state that such redemption shall be conditional upon the receipt by the Paying Agent or Agents for such Securities, on or prior to the date fixed for such redemption, of money sufficient to pay the principal of and premium, if any, and interest, if any, on such Securities and that if such money has not been so received such notice shall be of no force or effect and the Company shall not be required to redeem such Securities. In the event that such notice of redemption contains such a condition and such money is not so received, the redemption shall not be made and within a reasonable time thereafter notice shall be given, in the manner in which the notice of redemption was given, that such money was not so received and such redemption was not required to be made, and the Paying Agent or Agents for the Securities otherwise to have been redeemed shall promptly return to the Holders thereof any of such Securities that had been surrendered for payment upon such redemption.</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84" w:name="page85"/>
    <w:bookmarkEnd w:id="84"/>
    <w:p>
      <w:pPr>
        <w:ind w:right="360" w:firstLine="1297"/>
        <w:spacing w:after="0" w:line="312" w:lineRule="auto"/>
        <w:rPr>
          <w:sz w:val="20"/>
          <w:szCs w:val="20"/>
          <w:color w:val="auto"/>
        </w:rPr>
      </w:pPr>
      <w:r>
        <w:rPr>
          <w:rFonts w:ascii="Arial" w:cs="Arial" w:eastAsia="Arial" w:hAnsi="Arial"/>
          <w:sz w:val="16"/>
          <w:szCs w:val="16"/>
          <w:color w:val="auto"/>
        </w:rPr>
        <w:t>Notice of redemption of Securities to be redeemed at the election of the Company, and any notice of non-satisfaction of a condition for redemption as aforesaid, shall be given by the Company or, at the Company’s request, by the Security Registrar in the name and at the expense of the Company. Notice of mandatory redemption of Securities shall be given by the Security Registrar in the name and at the expense of the Company.</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1105. </w:t>
      </w:r>
      <w:r>
        <w:rPr>
          <w:rFonts w:ascii="Arial" w:cs="Arial" w:eastAsia="Arial" w:hAnsi="Arial"/>
          <w:sz w:val="16"/>
          <w:szCs w:val="16"/>
          <w:i w:val="1"/>
          <w:iCs w:val="1"/>
          <w:color w:val="auto"/>
        </w:rPr>
        <w:t>Securities Payable on Redemption Date</w:t>
      </w:r>
      <w:r>
        <w:rPr>
          <w:rFonts w:ascii="Arial" w:cs="Arial" w:eastAsia="Arial" w:hAnsi="Arial"/>
          <w:sz w:val="16"/>
          <w:szCs w:val="16"/>
          <w:color w:val="auto"/>
        </w:rPr>
        <w:t>. (a) Notice of redemption having been given as aforesaid, and the conditions, if</w:t>
      </w:r>
    </w:p>
    <w:p>
      <w:pPr>
        <w:spacing w:after="0" w:line="7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any, set forth in such notice having been satisfied, the Securities or portions thereof so to be redeemed shall, on the Redemption Date, become due and payable at the Redemption Price therein specified, and from and after such date (unless the Company defaults in the payment of the Redemption Price and accrued interest, if any) such Securities, or portions thereof, if interest-bearing, shall cease to bear interest. Upon surrender of any such Security for redemption in accordance with said notice, such Security or portion thereof, if any, shall be paid by the Company at the Redemption Price, together with accrued interest, if any, to the Redemption Date; </w:t>
      </w:r>
      <w:r>
        <w:rPr>
          <w:rFonts w:ascii="Arial" w:cs="Arial" w:eastAsia="Arial" w:hAnsi="Arial"/>
          <w:sz w:val="17"/>
          <w:szCs w:val="17"/>
          <w:i w:val="1"/>
          <w:iCs w:val="1"/>
          <w:color w:val="auto"/>
        </w:rPr>
        <w:t>provided, however</w:t>
      </w:r>
      <w:r>
        <w:rPr>
          <w:rFonts w:ascii="Arial" w:cs="Arial" w:eastAsia="Arial" w:hAnsi="Arial"/>
          <w:sz w:val="17"/>
          <w:szCs w:val="17"/>
          <w:color w:val="auto"/>
        </w:rPr>
        <w:t>, that installments of interest whose Stated Maturity is on or prior to the Redemption Date shall be payable to the Holders of such Securities, or one or more Predecessor Securities, registered as such at the close of business on the relevant Regular Record Dates according to their terms and the provisions of Section 307.</w:t>
      </w:r>
    </w:p>
    <w:p>
      <w:pPr>
        <w:spacing w:after="0" w:line="178" w:lineRule="exact"/>
        <w:rPr>
          <w:sz w:val="20"/>
          <w:szCs w:val="20"/>
          <w:color w:val="auto"/>
        </w:rPr>
      </w:pPr>
    </w:p>
    <w:p>
      <w:pPr>
        <w:ind w:right="220" w:firstLine="1305"/>
        <w:spacing w:after="0" w:line="357" w:lineRule="auto"/>
        <w:tabs>
          <w:tab w:leader="none" w:pos="15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10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1106. </w:t>
      </w:r>
      <w:r>
        <w:rPr>
          <w:rFonts w:ascii="Arial" w:cs="Arial" w:eastAsia="Arial" w:hAnsi="Arial"/>
          <w:sz w:val="16"/>
          <w:szCs w:val="16"/>
          <w:i w:val="1"/>
          <w:iCs w:val="1"/>
          <w:color w:val="auto"/>
        </w:rPr>
        <w:t>Securities Redeemed in Part</w:t>
      </w:r>
      <w:r>
        <w:rPr>
          <w:rFonts w:ascii="Arial" w:cs="Arial" w:eastAsia="Arial" w:hAnsi="Arial"/>
          <w:sz w:val="16"/>
          <w:szCs w:val="16"/>
          <w:color w:val="auto"/>
        </w:rPr>
        <w:t>. Any physical Security that is to be redeemed only in part shall be surrendered at a Place of</w:t>
      </w:r>
    </w:p>
    <w:p>
      <w:pPr>
        <w:spacing w:after="0" w:line="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Payment therefor (with, if the Company or the Trustee so requires, due endorsement by, or a written instrument of transfer in form satisfactory to the Company and the Trustee duly executed by, the Holder thereof or his or her attorney duly authorized in writing), and the Company shall execute, and the Trustee shall authenticate and deliver to the Holder of such Security without service charge, a new Security or Securities of the same series, of any authorized denomination as requested by such Holder, and of like tenor and in aggregate principal amount equal to and in exchange for the unredeemed portion of the principal of the Security so surrendered.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TWELVE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REPAYMENT OF SECURITIES AT OPTION OF HOLDERS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1201. </w:t>
      </w:r>
      <w:r>
        <w:rPr>
          <w:rFonts w:ascii="Arial" w:cs="Arial" w:eastAsia="Arial" w:hAnsi="Arial"/>
          <w:sz w:val="16"/>
          <w:szCs w:val="16"/>
          <w:i w:val="1"/>
          <w:iCs w:val="1"/>
          <w:color w:val="auto"/>
        </w:rPr>
        <w:t>Applicability of Article</w:t>
      </w:r>
      <w:r>
        <w:rPr>
          <w:rFonts w:ascii="Arial" w:cs="Arial" w:eastAsia="Arial" w:hAnsi="Arial"/>
          <w:sz w:val="16"/>
          <w:szCs w:val="16"/>
          <w:color w:val="auto"/>
        </w:rPr>
        <w:t>. Securities of any series that are repayable before their Stated Maturity at the option of the Holders</w:t>
      </w:r>
    </w:p>
    <w:p>
      <w:pPr>
        <w:spacing w:after="0" w:line="73"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shall be repayable in accordance with their terms and (except as otherwise specified as contemplated by Section 301 for Securities of any series) in accordance with this Article.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1202. </w:t>
      </w:r>
      <w:r>
        <w:rPr>
          <w:rFonts w:ascii="Arial" w:cs="Arial" w:eastAsia="Arial" w:hAnsi="Arial"/>
          <w:sz w:val="16"/>
          <w:szCs w:val="16"/>
          <w:i w:val="1"/>
          <w:iCs w:val="1"/>
          <w:color w:val="auto"/>
        </w:rPr>
        <w:t>Notice of Repayment Date</w:t>
      </w:r>
      <w:r>
        <w:rPr>
          <w:rFonts w:ascii="Arial" w:cs="Arial" w:eastAsia="Arial" w:hAnsi="Arial"/>
          <w:sz w:val="16"/>
          <w:szCs w:val="16"/>
          <w:color w:val="auto"/>
        </w:rPr>
        <w:t>. Notice of any Repayment Date with respect to Securities of any series shall be given by the</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Company not less than 30 nor more than 45 days prior to such Repayment Date (or at such other times as may be specified for such repayment or repurchase pursuant to Section 301) to each Holder of Securities of such series in accordance with Section 106 (except as otherwise specified as contemplated by Section 301 for Securities of any series).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notice as to the Repayment Date shall state (unless otherwise specified for such repayment or repurchase pursuant to Section 301):</w:t>
      </w:r>
    </w:p>
    <w:p>
      <w:pPr>
        <w:spacing w:after="0" w:line="237" w:lineRule="exact"/>
        <w:rPr>
          <w:sz w:val="20"/>
          <w:szCs w:val="20"/>
          <w:color w:val="auto"/>
        </w:rPr>
      </w:pPr>
    </w:p>
    <w:p>
      <w:pPr>
        <w:ind w:left="1520" w:hanging="215"/>
        <w:spacing w:after="0"/>
        <w:tabs>
          <w:tab w:leader="none" w:pos="15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Repayment Date;</w:t>
      </w:r>
    </w:p>
    <w:p>
      <w:pPr>
        <w:spacing w:after="0" w:line="277" w:lineRule="exact"/>
        <w:rPr>
          <w:rFonts w:ascii="Arial" w:cs="Arial" w:eastAsia="Arial" w:hAnsi="Arial"/>
          <w:sz w:val="17"/>
          <w:szCs w:val="17"/>
          <w:color w:val="auto"/>
        </w:rPr>
      </w:pPr>
    </w:p>
    <w:p>
      <w:pPr>
        <w:ind w:left="660" w:right="180" w:firstLine="645"/>
        <w:spacing w:after="0" w:line="357" w:lineRule="auto"/>
        <w:tabs>
          <w:tab w:leader="none" w:pos="1532"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principal amount of the Securities required to be repaid or repurchased and the Repayment Price (or the formula pursuant to which the Repayment Price is to be determined if the Repayment Price cannot be determined at the time the notice is given);</w:t>
      </w:r>
    </w:p>
    <w:p>
      <w:pPr>
        <w:spacing w:after="0" w:line="107" w:lineRule="exact"/>
        <w:rPr>
          <w:rFonts w:ascii="Arial" w:cs="Arial" w:eastAsia="Arial" w:hAnsi="Arial"/>
          <w:sz w:val="17"/>
          <w:szCs w:val="17"/>
          <w:color w:val="auto"/>
        </w:rPr>
      </w:pPr>
    </w:p>
    <w:p>
      <w:pPr>
        <w:ind w:left="1520" w:hanging="215"/>
        <w:spacing w:after="0"/>
        <w:tabs>
          <w:tab w:leader="none" w:pos="15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place or places where such Securities are to be surrendered for payment of the Repayment Price, and accrued interest, if any, and the</w:t>
      </w:r>
    </w:p>
    <w:p>
      <w:pPr>
        <w:spacing w:after="0" w:line="73" w:lineRule="exact"/>
        <w:rPr>
          <w:sz w:val="20"/>
          <w:szCs w:val="20"/>
          <w:color w:val="auto"/>
        </w:rPr>
      </w:pPr>
    </w:p>
    <w:p>
      <w:pPr>
        <w:ind w:left="5640" w:right="4580" w:hanging="4989"/>
        <w:spacing w:after="0" w:line="342" w:lineRule="auto"/>
        <w:rPr>
          <w:sz w:val="20"/>
          <w:szCs w:val="20"/>
          <w:color w:val="auto"/>
        </w:rPr>
      </w:pPr>
      <w:r>
        <w:rPr>
          <w:rFonts w:ascii="Arial" w:cs="Arial" w:eastAsia="Arial" w:hAnsi="Arial"/>
          <w:sz w:val="16"/>
          <w:szCs w:val="16"/>
          <w:color w:val="auto"/>
        </w:rPr>
        <w:t>date by which Securities must be so surrendered in order to be repaid or repurchased;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152400</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85" w:name="page86"/>
    <w:bookmarkEnd w:id="85"/>
    <w:p>
      <w:pPr>
        <w:ind w:left="1520" w:hanging="215"/>
        <w:spacing w:after="0"/>
        <w:tabs>
          <w:tab w:leader="none" w:pos="15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that any Security not tendered or accepted for payment shall continue to accrue interest;</w:t>
      </w:r>
    </w:p>
    <w:p>
      <w:pPr>
        <w:spacing w:after="0" w:line="277" w:lineRule="exact"/>
        <w:rPr>
          <w:rFonts w:ascii="Arial" w:cs="Arial" w:eastAsia="Arial" w:hAnsi="Arial"/>
          <w:sz w:val="17"/>
          <w:szCs w:val="17"/>
          <w:color w:val="auto"/>
        </w:rPr>
      </w:pPr>
    </w:p>
    <w:p>
      <w:pPr>
        <w:ind w:left="1520" w:hanging="215"/>
        <w:spacing w:after="0"/>
        <w:tabs>
          <w:tab w:leader="none" w:pos="15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that, unless the Company defaults in making such payment or the Paying Agent is prohibited from paying such money to the Holders on</w:t>
      </w:r>
    </w:p>
    <w:p>
      <w:pPr>
        <w:spacing w:after="0" w:line="73"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that date pursuant to the terms of this Indenture, Securities accepted for payment pursuant to any such offer of repayment or repurchase shall cease to accrue interest after the Repayment Date;</w:t>
      </w:r>
    </w:p>
    <w:p>
      <w:pPr>
        <w:spacing w:after="0" w:line="170" w:lineRule="exact"/>
        <w:rPr>
          <w:sz w:val="20"/>
          <w:szCs w:val="20"/>
          <w:color w:val="auto"/>
        </w:rPr>
      </w:pPr>
    </w:p>
    <w:p>
      <w:pPr>
        <w:ind w:left="1520" w:hanging="215"/>
        <w:spacing w:after="0"/>
        <w:tabs>
          <w:tab w:leader="none" w:pos="15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that Holders electing to have a Security repaid or purchased pursuant to such offer may elect to have all or any portion of such Security</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purchased;</w:t>
      </w:r>
    </w:p>
    <w:p>
      <w:pPr>
        <w:spacing w:after="0" w:line="225" w:lineRule="exact"/>
        <w:rPr>
          <w:rFonts w:ascii="Arial" w:cs="Arial" w:eastAsia="Arial" w:hAnsi="Arial"/>
          <w:sz w:val="16"/>
          <w:szCs w:val="16"/>
          <w:color w:val="auto"/>
        </w:rPr>
      </w:pPr>
    </w:p>
    <w:p>
      <w:pPr>
        <w:ind w:left="1520" w:hanging="215"/>
        <w:spacing w:after="0"/>
        <w:tabs>
          <w:tab w:leader="none" w:pos="15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that Holders electing to have a Security repaid or repurchased pursuant to any such offer shall be required to surrender the Security, with</w:t>
      </w:r>
    </w:p>
    <w:p>
      <w:pPr>
        <w:spacing w:after="0" w:line="73" w:lineRule="exact"/>
        <w:rPr>
          <w:sz w:val="20"/>
          <w:szCs w:val="20"/>
          <w:color w:val="auto"/>
        </w:rPr>
      </w:pPr>
    </w:p>
    <w:p>
      <w:pPr>
        <w:ind w:left="660" w:right="100"/>
        <w:spacing w:after="0" w:line="308" w:lineRule="auto"/>
        <w:rPr>
          <w:sz w:val="20"/>
          <w:szCs w:val="20"/>
          <w:color w:val="auto"/>
        </w:rPr>
      </w:pPr>
      <w:r>
        <w:rPr>
          <w:rFonts w:ascii="Arial" w:cs="Arial" w:eastAsia="Arial" w:hAnsi="Arial"/>
          <w:sz w:val="17"/>
          <w:szCs w:val="17"/>
          <w:color w:val="auto"/>
        </w:rPr>
        <w:t>such customary documents of surrender and transfer as the Company may reasonably request, duly completed, or transfer by book-entry transfer, to the Company or the Paying Agent at the address specified in the notice at least two Business Days prior to the Repayment Date;</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(8) that Holders shall be entitled to withdraw their election if the Company or the Paying Agent, as the case may be, receives, not later than</w:t>
      </w:r>
    </w:p>
    <w:p>
      <w:pPr>
        <w:spacing w:after="0" w:line="73" w:lineRule="exact"/>
        <w:rPr>
          <w:sz w:val="20"/>
          <w:szCs w:val="20"/>
          <w:color w:val="auto"/>
        </w:rPr>
      </w:pPr>
    </w:p>
    <w:p>
      <w:pPr>
        <w:ind w:left="660" w:right="480"/>
        <w:spacing w:after="0" w:line="264" w:lineRule="auto"/>
        <w:rPr>
          <w:sz w:val="20"/>
          <w:szCs w:val="20"/>
          <w:color w:val="auto"/>
        </w:rPr>
      </w:pPr>
      <w:r>
        <w:rPr>
          <w:rFonts w:ascii="Arial" w:cs="Arial" w:eastAsia="Arial" w:hAnsi="Arial"/>
          <w:sz w:val="18"/>
          <w:szCs w:val="18"/>
          <w:color w:val="auto"/>
        </w:rPr>
        <w:t>the expiration of the offer to repay or repurchase, a telegram, facsimile transmission or letter setting forth the name of the Holder, the principal amount of the Security the Holder delivered for purchase and a statement that such Holder is withdrawing its election to have such Security purchased;</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(9) that, in the case of a repayment or repurchase of less than all Outstanding Securities of a series, the method of selection of Securities to</w:t>
      </w:r>
    </w:p>
    <w:p>
      <w:pPr>
        <w:spacing w:after="0" w:line="73" w:lineRule="exact"/>
        <w:rPr>
          <w:sz w:val="20"/>
          <w:szCs w:val="20"/>
          <w:color w:val="auto"/>
        </w:rPr>
      </w:pPr>
    </w:p>
    <w:p>
      <w:pPr>
        <w:ind w:left="660" w:right="360"/>
        <w:spacing w:after="0" w:line="277" w:lineRule="auto"/>
        <w:rPr>
          <w:sz w:val="20"/>
          <w:szCs w:val="20"/>
          <w:color w:val="auto"/>
        </w:rPr>
      </w:pPr>
      <w:r>
        <w:rPr>
          <w:rFonts w:ascii="Arial" w:cs="Arial" w:eastAsia="Arial" w:hAnsi="Arial"/>
          <w:sz w:val="18"/>
          <w:szCs w:val="18"/>
          <w:color w:val="auto"/>
        </w:rPr>
        <w:t>be repaid or repurchased to be applied by the Trustee if the principal amount of properly tendered Securities exceeds the principal amount of the Securities to be repaid or repurchased;</w:t>
      </w:r>
    </w:p>
    <w:p>
      <w:pPr>
        <w:spacing w:after="0" w:line="170" w:lineRule="exact"/>
        <w:rPr>
          <w:sz w:val="20"/>
          <w:szCs w:val="20"/>
          <w:color w:val="auto"/>
        </w:rPr>
      </w:pPr>
    </w:p>
    <w:p>
      <w:pPr>
        <w:ind w:left="660" w:right="120" w:firstLine="645"/>
        <w:spacing w:after="0" w:line="357" w:lineRule="auto"/>
        <w:tabs>
          <w:tab w:leader="none" w:pos="1622"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that Holders whose Securities are purchased only in part shall be issued new Securities of the same series equal in principal amount to the unpurchased portion of the Securities surrendered (or transferred by book-entry transfer); and</w:t>
      </w:r>
    </w:p>
    <w:p>
      <w:pPr>
        <w:spacing w:after="0" w:line="107" w:lineRule="exact"/>
        <w:rPr>
          <w:rFonts w:ascii="Arial" w:cs="Arial" w:eastAsia="Arial" w:hAnsi="Arial"/>
          <w:sz w:val="17"/>
          <w:szCs w:val="17"/>
          <w:color w:val="auto"/>
        </w:rPr>
      </w:pPr>
    </w:p>
    <w:p>
      <w:pPr>
        <w:ind w:left="660" w:right="220" w:firstLine="645"/>
        <w:spacing w:after="0" w:line="357" w:lineRule="auto"/>
        <w:tabs>
          <w:tab w:leader="none" w:pos="1615"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CUSIP or other identification number, if any, printed on the Securities being repurchased and that no representation is made as to the correctness or accuracy of the CUSIP or other identification number, if any, listed in such notice or printed on the Securities.</w:t>
      </w:r>
    </w:p>
    <w:p>
      <w:pPr>
        <w:spacing w:after="0" w:line="10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1203. </w:t>
      </w:r>
      <w:r>
        <w:rPr>
          <w:rFonts w:ascii="Arial" w:cs="Arial" w:eastAsia="Arial" w:hAnsi="Arial"/>
          <w:sz w:val="16"/>
          <w:szCs w:val="16"/>
          <w:i w:val="1"/>
          <w:iCs w:val="1"/>
          <w:color w:val="auto"/>
        </w:rPr>
        <w:t>Securities Payable on Repayment Date</w:t>
      </w:r>
      <w:r>
        <w:rPr>
          <w:rFonts w:ascii="Arial" w:cs="Arial" w:eastAsia="Arial" w:hAnsi="Arial"/>
          <w:sz w:val="16"/>
          <w:szCs w:val="16"/>
          <w:color w:val="auto"/>
        </w:rPr>
        <w:t>. The form of option to elect repurchase or repayment having been delivered as</w:t>
      </w:r>
    </w:p>
    <w:p>
      <w:pPr>
        <w:spacing w:after="0" w:line="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specified in the form of Security for such series, the Securities of such series so to be repaid (after application of the method of selection described pursuant to clause (9) of Section 1202, if the principal amount of properly tendered Securities exceeds the principal amount of the Securities to be repaid or repurchased) shall, on the Repayment Date, become due and payable at the Repayment Price applicable thereto and from and after such date (unless the Company defaults in the payment of the Repayment Price and accrued interest) such Securities shall cease to bear interest. Upon surrender of any such Security for repayment in accordance with said notice, such Security shall be paid by the Company at the Repayment Price together with accrued interest, if any, to but excluding the Repayment Date;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a Security is repaid or repurchased on or after a Regular Record Date but on or prior to the Stated Maturity of any installments of interest, then any accrued and unpaid interest due on such Stated Maturity shall be payable to the Holders of such Securities, or one or more Predecessor Securities, registered as such at the close of business on the relevant Regular Record Dates according to their terms and the provisions of Section 307.</w:t>
      </w:r>
    </w:p>
    <w:p>
      <w:pPr>
        <w:spacing w:after="0" w:line="182"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If any Security is not paid upon surrender thereof for repayment, the principal (and premium, if any) shall, until paid, bear interest from the Repayment Date at the rate prescribed therefor in such Security.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1204. </w:t>
      </w:r>
      <w:r>
        <w:rPr>
          <w:rFonts w:ascii="Arial" w:cs="Arial" w:eastAsia="Arial" w:hAnsi="Arial"/>
          <w:sz w:val="16"/>
          <w:szCs w:val="16"/>
          <w:i w:val="1"/>
          <w:iCs w:val="1"/>
          <w:color w:val="auto"/>
        </w:rPr>
        <w:t>Securities Repaid in Part</w:t>
      </w:r>
      <w:r>
        <w:rPr>
          <w:rFonts w:ascii="Arial" w:cs="Arial" w:eastAsia="Arial" w:hAnsi="Arial"/>
          <w:sz w:val="16"/>
          <w:szCs w:val="16"/>
          <w:color w:val="auto"/>
        </w:rPr>
        <w:t>. Any Security that by its terms may be repaid in part at the option of the Holder and that is to be</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repaid only in part shall be surrendered at any office or agency of the Company designated for that purpose pursuant to Section 1002 (with, if the Company or the Trustee so requires, due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86" w:name="page87"/>
    <w:bookmarkEnd w:id="86"/>
    <w:p>
      <w:pPr>
        <w:spacing w:after="0" w:line="302" w:lineRule="auto"/>
        <w:rPr>
          <w:sz w:val="20"/>
          <w:szCs w:val="20"/>
          <w:color w:val="auto"/>
        </w:rPr>
      </w:pPr>
      <w:r>
        <w:rPr>
          <w:rFonts w:ascii="Arial" w:cs="Arial" w:eastAsia="Arial" w:hAnsi="Arial"/>
          <w:sz w:val="16"/>
          <w:szCs w:val="16"/>
          <w:color w:val="auto"/>
        </w:rPr>
        <w:t>endorsement by, or a written instrument of transfer in form satisfactory to the Company and the Trustee duly executed by, the Holder thereof or his or her attorney duly authorized in writing), and the Company shall execute, and the Trustee shall authenticate and deliver to the Holder of such Security without service charge, a new Security or Securities of the same series, as provided in Section 305</w:t>
      </w:r>
      <w:r>
        <w:rPr>
          <w:rFonts w:ascii="Arial" w:cs="Arial" w:eastAsia="Arial" w:hAnsi="Arial"/>
          <w:sz w:val="16"/>
          <w:szCs w:val="16"/>
          <w:b w:val="1"/>
          <w:bCs w:val="1"/>
          <w:color w:val="auto"/>
        </w:rPr>
        <w:t>,</w:t>
      </w:r>
      <w:r>
        <w:rPr>
          <w:rFonts w:ascii="Arial" w:cs="Arial" w:eastAsia="Arial" w:hAnsi="Arial"/>
          <w:sz w:val="16"/>
          <w:szCs w:val="16"/>
          <w:color w:val="auto"/>
        </w:rPr>
        <w:t xml:space="preserve"> of any authorized denomination as requested by such Holder, in aggregate principal amount equal to and in exchange for the unrepaid portion of the principal of the Security so surrendered.</w:t>
      </w:r>
    </w:p>
    <w:p>
      <w:pPr>
        <w:spacing w:after="0" w:line="15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60"/>
          </w:cols>
          <w:pgMar w:left="240" w:top="584" w:right="499" w:bottom="1440" w:gutter="0" w:footer="0" w:header="0"/>
        </w:sectPr>
      </w:pPr>
    </w:p>
    <w:bookmarkStart w:id="87" w:name="page88"/>
    <w:bookmarkEnd w:id="87"/>
    <w:p>
      <w:pPr>
        <w:ind w:firstLine="1297"/>
        <w:spacing w:after="0" w:line="277" w:lineRule="auto"/>
        <w:rPr>
          <w:sz w:val="20"/>
          <w:szCs w:val="20"/>
          <w:color w:val="auto"/>
        </w:rPr>
      </w:pPr>
      <w:r>
        <w:rPr>
          <w:rFonts w:ascii="Arial" w:cs="Arial" w:eastAsia="Arial" w:hAnsi="Arial"/>
          <w:sz w:val="18"/>
          <w:szCs w:val="18"/>
          <w:color w:val="auto"/>
        </w:rPr>
        <w:t>This instrument may be executed in any number of counterparts, each of which so executed shall be deemed to be an original, but all such counterparts shall together constitute but one and the same instrument.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IN WITNESS WHEREOF, the parties hereto have caused this Indenture to be duly executed as of the date first above written.</w:t>
      </w:r>
    </w:p>
    <w:p>
      <w:pPr>
        <w:spacing w:after="0" w:line="39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VERACYTE,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48895</wp:posOffset>
            </wp:positionV>
            <wp:extent cx="33020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7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w:t>
      </w:r>
    </w:p>
    <w:p>
      <w:pPr>
        <w:spacing w:after="0" w:line="9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[TRUSTEE]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48895</wp:posOffset>
            </wp:positionV>
            <wp:extent cx="33020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7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w:t>
      </w:r>
    </w:p>
    <w:p>
      <w:pPr>
        <w:spacing w:after="0" w:line="9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40"/>
          </w:cols>
          <w:pgMar w:left="240" w:top="584" w:right="419" w:bottom="1440" w:gutter="0" w:footer="0" w:header="0"/>
        </w:sectPr>
      </w:pPr>
    </w:p>
    <w:bookmarkStart w:id="88" w:name="page89"/>
    <w:bookmarkEnd w:id="88"/>
    <w:p>
      <w:pPr>
        <w:jc w:val="right"/>
        <w:spacing w:after="0"/>
        <w:rPr>
          <w:sz w:val="20"/>
          <w:szCs w:val="20"/>
          <w:color w:val="auto"/>
        </w:rPr>
      </w:pPr>
      <w:r>
        <w:rPr>
          <w:rFonts w:ascii="Arial" w:cs="Arial" w:eastAsia="Arial" w:hAnsi="Arial"/>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200025</wp:posOffset>
            </wp:positionV>
            <wp:extent cx="4064635" cy="9436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4064635"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2,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6000 Shoreline Court,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At your request, we have examined the Registration Statement on Form S-3 filed by Veracyte,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on May 1, 2019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in connection with the registration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of the offering and sale from time to time of (i) shares of the Company’s common stock, $0.001 par value per share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(ii) shares of the Company’s preferred stock, $0.001 par value per share (the “</w:t>
      </w: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 (iii) one or more series of debt securities (the “</w:t>
      </w:r>
      <w:r>
        <w:rPr>
          <w:rFonts w:ascii="Arial" w:cs="Arial" w:eastAsia="Arial" w:hAnsi="Arial"/>
          <w:sz w:val="16"/>
          <w:szCs w:val="16"/>
          <w:b w:val="1"/>
          <w:bCs w:val="1"/>
          <w:i w:val="1"/>
          <w:iCs w:val="1"/>
          <w:color w:val="auto"/>
        </w:rPr>
        <w:t>Debt Securities</w:t>
      </w:r>
      <w:r>
        <w:rPr>
          <w:rFonts w:ascii="Arial" w:cs="Arial" w:eastAsia="Arial" w:hAnsi="Arial"/>
          <w:sz w:val="16"/>
          <w:szCs w:val="16"/>
          <w:color w:val="auto"/>
        </w:rPr>
        <w:t>”) issuable pursuant to an indenture (the “</w:t>
      </w:r>
      <w:r>
        <w:rPr>
          <w:rFonts w:ascii="Arial" w:cs="Arial" w:eastAsia="Arial" w:hAnsi="Arial"/>
          <w:sz w:val="16"/>
          <w:szCs w:val="16"/>
          <w:b w:val="1"/>
          <w:bCs w:val="1"/>
          <w:i w:val="1"/>
          <w:iCs w:val="1"/>
          <w:color w:val="auto"/>
        </w:rPr>
        <w:t>Indenture</w:t>
      </w:r>
      <w:r>
        <w:rPr>
          <w:rFonts w:ascii="Arial" w:cs="Arial" w:eastAsia="Arial" w:hAnsi="Arial"/>
          <w:sz w:val="16"/>
          <w:szCs w:val="16"/>
          <w:color w:val="auto"/>
        </w:rPr>
        <w:t>”) by and between the Company and a financial institution to be identified therein as trustee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(iv) warrants to purchase shares of Common Stock, shares of Preferred Stock or Debt Securities (the “</w:t>
      </w:r>
      <w:r>
        <w:rPr>
          <w:rFonts w:ascii="Arial" w:cs="Arial" w:eastAsia="Arial" w:hAnsi="Arial"/>
          <w:sz w:val="16"/>
          <w:szCs w:val="16"/>
          <w:b w:val="1"/>
          <w:bCs w:val="1"/>
          <w:i w:val="1"/>
          <w:iCs w:val="1"/>
          <w:color w:val="auto"/>
        </w:rPr>
        <w:t>Warrants</w:t>
      </w:r>
      <w:r>
        <w:rPr>
          <w:rFonts w:ascii="Arial" w:cs="Arial" w:eastAsia="Arial" w:hAnsi="Arial"/>
          <w:sz w:val="16"/>
          <w:szCs w:val="16"/>
          <w:color w:val="auto"/>
        </w:rPr>
        <w:t>”),</w:t>
      </w:r>
    </w:p>
    <w:p>
      <w:pPr>
        <w:spacing w:after="0" w:line="5" w:lineRule="exact"/>
        <w:rPr>
          <w:sz w:val="20"/>
          <w:szCs w:val="20"/>
          <w:color w:val="auto"/>
        </w:rPr>
      </w:pPr>
    </w:p>
    <w:p>
      <w:pPr>
        <w:jc w:val="both"/>
        <w:ind w:firstLine="8"/>
        <w:spacing w:after="0" w:line="271" w:lineRule="auto"/>
        <w:tabs>
          <w:tab w:leader="none" w:pos="282" w:val="left"/>
        </w:tabs>
        <w:numPr>
          <w:ilvl w:val="0"/>
          <w:numId w:val="96"/>
        </w:numPr>
        <w:rPr>
          <w:rFonts w:ascii="Arial" w:cs="Arial" w:eastAsia="Arial" w:hAnsi="Arial"/>
          <w:sz w:val="17"/>
          <w:szCs w:val="17"/>
          <w:color w:val="auto"/>
        </w:rPr>
      </w:pPr>
      <w:r>
        <w:rPr>
          <w:rFonts w:ascii="Arial" w:cs="Arial" w:eastAsia="Arial" w:hAnsi="Arial"/>
          <w:sz w:val="17"/>
          <w:szCs w:val="17"/>
          <w:color w:val="auto"/>
        </w:rPr>
        <w:t>subscription rights to purchase shares of Common Stock, shares of Preferred Stock or Debt Securities (the “</w:t>
      </w:r>
      <w:r>
        <w:rPr>
          <w:rFonts w:ascii="Arial" w:cs="Arial" w:eastAsia="Arial" w:hAnsi="Arial"/>
          <w:sz w:val="17"/>
          <w:szCs w:val="17"/>
          <w:b w:val="1"/>
          <w:bCs w:val="1"/>
          <w:i w:val="1"/>
          <w:iCs w:val="1"/>
          <w:color w:val="auto"/>
        </w:rPr>
        <w:t>Subscription Rights</w:t>
      </w:r>
      <w:r>
        <w:rPr>
          <w:rFonts w:ascii="Arial" w:cs="Arial" w:eastAsia="Arial" w:hAnsi="Arial"/>
          <w:sz w:val="17"/>
          <w:szCs w:val="17"/>
          <w:color w:val="auto"/>
        </w:rPr>
        <w:t>”) and/or (vi) units consisting of any combination of such foregoing securities described in clauses (i) through (v) above (the “</w:t>
      </w:r>
      <w:r>
        <w:rPr>
          <w:rFonts w:ascii="Arial" w:cs="Arial" w:eastAsia="Arial" w:hAnsi="Arial"/>
          <w:sz w:val="17"/>
          <w:szCs w:val="17"/>
          <w:b w:val="1"/>
          <w:bCs w:val="1"/>
          <w:i w:val="1"/>
          <w:iCs w:val="1"/>
          <w:color w:val="auto"/>
        </w:rPr>
        <w:t>Units</w:t>
      </w:r>
      <w:r>
        <w:rPr>
          <w:rFonts w:ascii="Arial" w:cs="Arial" w:eastAsia="Arial" w:hAnsi="Arial"/>
          <w:sz w:val="17"/>
          <w:szCs w:val="17"/>
          <w:color w:val="auto"/>
        </w:rPr>
        <w:t>”), at indeterminate prices in reliance on Rule 456(b) and Rule 457(r) under the Securities Act. The Debt Securities, the Common Stock, the Preferred Stock, the Warrants, the Subscription Rights and the Units are collectively referred to herein as the “</w:t>
      </w:r>
      <w:r>
        <w:rPr>
          <w:rFonts w:ascii="Arial" w:cs="Arial" w:eastAsia="Arial" w:hAnsi="Arial"/>
          <w:sz w:val="17"/>
          <w:szCs w:val="17"/>
          <w:b w:val="1"/>
          <w:bCs w:val="1"/>
          <w:i w:val="1"/>
          <w:iCs w:val="1"/>
          <w:color w:val="auto"/>
        </w:rPr>
        <w:t>Securities</w:t>
      </w:r>
      <w:r>
        <w:rPr>
          <w:rFonts w:ascii="Arial" w:cs="Arial" w:eastAsia="Arial" w:hAnsi="Arial"/>
          <w:sz w:val="17"/>
          <w:szCs w:val="17"/>
          <w:color w:val="auto"/>
        </w:rPr>
        <w:t>.” The Securities may be sold from time to time by the Company as set forth in the Registration Statement, the prospectus contained within the Registration Statement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and supplements to the Prospectus.</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our opinion expressed below we have examined originals or copies of the Company’s Restated Certificate of Incorporation (the “</w:t>
      </w:r>
      <w:r>
        <w:rPr>
          <w:rFonts w:ascii="Arial" w:cs="Arial" w:eastAsia="Arial" w:hAnsi="Arial"/>
          <w:sz w:val="18"/>
          <w:szCs w:val="18"/>
          <w:b w:val="1"/>
          <w:bCs w:val="1"/>
          <w:i w:val="1"/>
          <w:iCs w:val="1"/>
          <w:color w:val="auto"/>
        </w:rPr>
        <w:t>Restated Certificate</w:t>
      </w:r>
      <w:r>
        <w:rPr>
          <w:rFonts w:ascii="Arial" w:cs="Arial" w:eastAsia="Arial" w:hAnsi="Arial"/>
          <w:sz w:val="18"/>
          <w:szCs w:val="18"/>
          <w:color w:val="auto"/>
        </w:rPr>
        <w:t>”) and Amended and Restated Bylaws (the “</w:t>
      </w:r>
      <w:r>
        <w:rPr>
          <w:rFonts w:ascii="Arial" w:cs="Arial" w:eastAsia="Arial" w:hAnsi="Arial"/>
          <w:sz w:val="18"/>
          <w:szCs w:val="18"/>
          <w:b w:val="1"/>
          <w:bCs w:val="1"/>
          <w:i w:val="1"/>
          <w:iCs w:val="1"/>
          <w:color w:val="auto"/>
        </w:rPr>
        <w:t>Restated Bylaws</w:t>
      </w:r>
      <w:r>
        <w:rPr>
          <w:rFonts w:ascii="Arial" w:cs="Arial" w:eastAsia="Arial" w:hAnsi="Arial"/>
          <w:sz w:val="18"/>
          <w:szCs w:val="18"/>
          <w:color w:val="auto"/>
        </w:rPr>
        <w:t>” and, together with the Restated Certificate, as each may be amended, modified or restated, the “</w:t>
      </w:r>
      <w:r>
        <w:rPr>
          <w:rFonts w:ascii="Arial" w:cs="Arial" w:eastAsia="Arial" w:hAnsi="Arial"/>
          <w:sz w:val="18"/>
          <w:szCs w:val="18"/>
          <w:b w:val="1"/>
          <w:bCs w:val="1"/>
          <w:i w:val="1"/>
          <w:iCs w:val="1"/>
          <w:color w:val="auto"/>
        </w:rPr>
        <w:t>Charter Documents</w:t>
      </w:r>
      <w:r>
        <w:rPr>
          <w:rFonts w:ascii="Arial" w:cs="Arial" w:eastAsia="Arial" w:hAnsi="Arial"/>
          <w:sz w:val="18"/>
          <w:szCs w:val="18"/>
          <w:color w:val="auto"/>
        </w:rPr>
        <w:t>”), certain corporate proceedings of the Company’s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and stockholders relating to the Registration Statement, the Company’s Restated Certificate and Restated Bylaws, and such other agreements, documents, certificates and statements of the Company, its transfer agent and public or government officials, as we have deemed advisable, and have examined such questions of law as we have considered necessary</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assumed, and express no opinion as to, the genuineness of all signatures on documents submitted to us, the authenticity and completeness of all documents submitted to us as originals, the conformity to originals and completeness of all documents submitted to us as copies, the legal capacity of all persons or entities (except for the Company) executing the same, the absence of any undisclosed termination, modification, waiver or amendment to any document reviewed by us, the absence of any other extrinsic agreements or documents that might change or affect the interpretation or terms of documents we have reviewed, and the due authorization, execution and delivery of all such</w:t>
      </w:r>
    </w:p>
    <w:p>
      <w:pPr>
        <w:sectPr>
          <w:pgSz w:w="11900" w:h="16838" w:orient="portrait"/>
          <w:cols w:equalWidth="0" w:num="1">
            <w:col w:w="11420"/>
          </w:cols>
          <w:pgMar w:left="240" w:top="895" w:right="239" w:bottom="1440" w:gutter="0" w:footer="0" w:header="0"/>
        </w:sectPr>
      </w:pPr>
    </w:p>
    <w:bookmarkStart w:id="89" w:name="page90"/>
    <w:bookmarkEnd w:id="89"/>
    <w:p>
      <w:pPr>
        <w:jc w:val="both"/>
        <w:spacing w:after="0" w:line="286" w:lineRule="auto"/>
        <w:rPr>
          <w:sz w:val="20"/>
          <w:szCs w:val="20"/>
          <w:color w:val="auto"/>
        </w:rPr>
      </w:pPr>
      <w:r>
        <w:rPr>
          <w:rFonts w:ascii="Arial" w:cs="Arial" w:eastAsia="Arial" w:hAnsi="Arial"/>
          <w:sz w:val="17"/>
          <w:szCs w:val="17"/>
          <w:color w:val="auto"/>
        </w:rPr>
        <w:t>documents where due authorization, execution and delivery are prerequisites to the effectiveness thereof. In giving our opinion, we have also relied upon a good standing certificate regarding the Company issued by the Delaware Secretary of State dated May 1, 2019, and a management certificate addressed to us and dated of even date herewith executed by the Company containing certain factual representations (the “</w:t>
      </w:r>
      <w:r>
        <w:rPr>
          <w:rFonts w:ascii="Arial" w:cs="Arial" w:eastAsia="Arial" w:hAnsi="Arial"/>
          <w:sz w:val="17"/>
          <w:szCs w:val="17"/>
          <w:b w:val="1"/>
          <w:bCs w:val="1"/>
          <w:i w:val="1"/>
          <w:iCs w:val="1"/>
          <w:color w:val="auto"/>
        </w:rPr>
        <w:t>Management Certificate</w:t>
      </w:r>
      <w:r>
        <w:rPr>
          <w:rFonts w:ascii="Arial" w:cs="Arial" w:eastAsia="Arial" w:hAnsi="Arial"/>
          <w:sz w:val="17"/>
          <w:szCs w:val="17"/>
          <w:color w:val="auto"/>
        </w:rPr>
        <w:t>”).</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also have assumed that any certificates or instruments representing the Securities will be, when issued, properly signed by authorized officers of the Company, and, in the case of Debt Securities, properly authenticated in accordance with the terms of the Indenture and delivered to the intended recipients with the intent that the Company be bound thereby. Furthermore, with respect to the Company’s uncertificated capital stock, we assume that issued Common Stock will not be reissued by the Company in uncertificated form until any previously issued stock certificate representing such issued Common Stock has been surrendered to the Company in accordance with Section 158 of the Delaware General Corporation Law, and that the Company will properly register the transfer of the Common Stock to the purchasers of such Common Stock on the Company’s record of uncertificated securities. We also have assumed that the Indenture at the time of execution, authentication, issuance and delivery of the Debt Securities will be a valid and legally binding obligation of the Trustee.</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to matters of fact relevant to this opinion, we have relied solely upon our examination of the documents referred to above and the Management Certificate and have assumed the current accuracy and completeness of the information obtained from the documents referred to above and the representations and warranties made by representatives of the Company to us, including but not limited to those set forth in the Management Certificate. We have made no independent investigation or other attempt to verify the accuracy of any of such information or to determine the existence or non-existence of any other factual matters.</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are admitted to practice law in the State of California, and we render this opinion only with respect to, and express no opinion herein concerning the application or effect of the laws of any jurisdiction other than (i) the existing laws of the State of California, (ii) the Delaware General Corporation Law, and (iii) solely with respect to whether or not the Debt Securities are the valid and binding obligations of the Company, the existing laws of the state of New York (clauses (i) through (iii) collectively, the “</w:t>
      </w:r>
      <w:r>
        <w:rPr>
          <w:rFonts w:ascii="Arial" w:cs="Arial" w:eastAsia="Arial" w:hAnsi="Arial"/>
          <w:sz w:val="16"/>
          <w:szCs w:val="16"/>
          <w:b w:val="1"/>
          <w:bCs w:val="1"/>
          <w:i w:val="1"/>
          <w:iCs w:val="1"/>
          <w:color w:val="auto"/>
        </w:rPr>
        <w:t>Applicable Laws</w:t>
      </w:r>
      <w:r>
        <w:rPr>
          <w:rFonts w:ascii="Arial" w:cs="Arial" w:eastAsia="Arial" w:hAnsi="Arial"/>
          <w:sz w:val="16"/>
          <w:szCs w:val="16"/>
          <w:color w:val="auto"/>
        </w:rPr>
        <w:t>”). To the extent that any Warrant Agreement, Subscription Rights Agreement or Unit Agreement (each as defined below) is governed by the laws of any jurisdiction other than the State of California, our opinion expressed below assumes that Internal California Law (as defined below) will exclusively apply to and govern such Warrant Agreement, Subscription Rights Agreement or Unit Agreement, without regard to any interpretation or construction that might be indicated by the laws stated as governing any such Warrant Agreement, Subscription Rights Agreement or Unit Agreement. As used herein “</w:t>
      </w:r>
      <w:r>
        <w:rPr>
          <w:rFonts w:ascii="Arial" w:cs="Arial" w:eastAsia="Arial" w:hAnsi="Arial"/>
          <w:sz w:val="16"/>
          <w:szCs w:val="16"/>
          <w:b w:val="1"/>
          <w:bCs w:val="1"/>
          <w:i w:val="1"/>
          <w:iCs w:val="1"/>
          <w:color w:val="auto"/>
        </w:rPr>
        <w:t>Internal California Law</w:t>
      </w:r>
      <w:r>
        <w:rPr>
          <w:rFonts w:ascii="Arial" w:cs="Arial" w:eastAsia="Arial" w:hAnsi="Arial"/>
          <w:sz w:val="16"/>
          <w:szCs w:val="16"/>
          <w:b w:val="1"/>
          <w:bCs w:val="1"/>
          <w:color w:val="auto"/>
        </w:rPr>
        <w:t>”</w:t>
      </w:r>
      <w:r>
        <w:rPr>
          <w:rFonts w:ascii="Arial" w:cs="Arial" w:eastAsia="Arial" w:hAnsi="Arial"/>
          <w:sz w:val="16"/>
          <w:szCs w:val="16"/>
          <w:color w:val="auto"/>
        </w:rPr>
        <w:t xml:space="preserve"> means the internal laws of the State of California applicable to a contract made by California residents in the State of California that selects California law as the governing law of such contract, without regard to any laws or equitable principles regarding choice of law, conflict of laws or public policies that might make any other law(s) applicable. Without limitation, we express no opinion with respect to the federal laws of the United States of America or the securities or “blue sky” laws of any state or any local or regional laws.</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connection with our opinions expressed below, we have assumed that, (i) at or prior to the time of the delivery of any of the Securities, there will not have occurred any change in the law or the facts affecting the validity of the Securities, (ii) if any Debt Securities are issued, such Debt Securities will only be issued pursuant to the Indenture in the form filed with the Registration Statement as an exhibit and that there will not have occurred any change in law affecting the enforceability of the Debt Securities or the Indenture, (iii) all applicable covenants binding on or applicable to the Company restricting the issuance of Debt Securities will have been validly waived, (iv) the Registration Statement and any amendments (including any necessary post-effective amendments) will have been declared effective under the Securities Act, (v) at the time of the offer, issuance and sale of any Securities, no stop order suspending the Registration Statement’s effectiveness will have been issued and remain in effect, (vi) no future amendments will be made to the Charter Documents that would be in conflict with or inconsistent with the Company’s right and ability to issue the Securities, (vii) at the time of each offer, issuance and sale of any Securities, the Company will have a sufficient number of authorized and unissued and unreserved shares of the applicable class or series of its capital stock included in (or purchasable upon exercise or conversion of) the Securities so issued and sold (after taking into account all other outstanding securities of the Company which may require the Company to issue shares of such applicable class or series) to be able to issue all such shares, and (viii) all purchasers of Securities will timely pay in full to the Company</w:t>
      </w:r>
    </w:p>
    <w:p>
      <w:pPr>
        <w:spacing w:after="0" w:line="231"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368" w:right="239" w:bottom="1440" w:gutter="0" w:footer="0" w:header="0"/>
        </w:sectPr>
      </w:pPr>
    </w:p>
    <w:bookmarkStart w:id="90" w:name="page91"/>
    <w:bookmarkEnd w:id="90"/>
    <w:p>
      <w:pPr>
        <w:jc w:val="both"/>
        <w:spacing w:after="0" w:line="273" w:lineRule="auto"/>
        <w:rPr>
          <w:sz w:val="20"/>
          <w:szCs w:val="20"/>
          <w:color w:val="auto"/>
        </w:rPr>
      </w:pPr>
      <w:r>
        <w:rPr>
          <w:rFonts w:ascii="Arial" w:cs="Arial" w:eastAsia="Arial" w:hAnsi="Arial"/>
          <w:sz w:val="17"/>
          <w:szCs w:val="17"/>
          <w:color w:val="auto"/>
        </w:rPr>
        <w:t>all amounts they have agreed to pay to purchase such Securities, as approved by the Board or a duly authorized committee thereof, and that the purchase price of any Securities that are shares of capital stock will not be less than the par value thereof. We also have assumed that the terms of any Debt Securities to be established subsequent to the date hereof, the issuance and delivery of Securities subsequent to the date hereof and the compliance by the Company with the terms of such Securities will not violate any applicable law (including, without limitation, any law relating to usury or similar laws) or result in a violation of any provision of any of the Charter Documents or of any instrument or agreement then binding upon the Company or any restriction imposed by any court or governmental body having jurisdiction over the Company.</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opinion is qualified by, and is subject to, and we render no opinion with respect to, the following limitations and exceptions to the enforceability of the Debt Securities:</w:t>
      </w:r>
    </w:p>
    <w:p>
      <w:pPr>
        <w:spacing w:after="0" w:line="170" w:lineRule="exact"/>
        <w:rPr>
          <w:sz w:val="20"/>
          <w:szCs w:val="20"/>
          <w:color w:val="auto"/>
        </w:rPr>
      </w:pPr>
    </w:p>
    <w:p>
      <w:pPr>
        <w:jc w:val="both"/>
        <w:ind w:left="1300" w:hanging="644"/>
        <w:spacing w:after="0" w:line="279" w:lineRule="auto"/>
        <w:tabs>
          <w:tab w:leader="none" w:pos="1523"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effect of the laws of bankruptcy, insolvency, reorganization, arrangement, moratorium, fraudulent conveyance, assignment for the benefit of creditors, and other similar laws now or hereinafter in effect relating to or affecting the rights and remedies of creditors, including the effect of statutory or other laws regarding fraudulent transfers or preferential transfers.</w:t>
      </w:r>
    </w:p>
    <w:p>
      <w:pPr>
        <w:spacing w:after="0" w:line="169" w:lineRule="exact"/>
        <w:rPr>
          <w:rFonts w:ascii="Arial" w:cs="Arial" w:eastAsia="Arial" w:hAnsi="Arial"/>
          <w:sz w:val="18"/>
          <w:szCs w:val="18"/>
          <w:color w:val="auto"/>
        </w:rPr>
      </w:pPr>
    </w:p>
    <w:p>
      <w:pPr>
        <w:jc w:val="both"/>
        <w:ind w:left="1300" w:hanging="644"/>
        <w:spacing w:after="0" w:line="303" w:lineRule="auto"/>
        <w:tabs>
          <w:tab w:leader="none" w:pos="1338"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effect of general principles of equity and similar principles, including, without limitation, concepts of materiality, reasonableness, good faith and fair dealing, public policy and unconscionability, and the possible unavailability of specific performance, injunctive relief, or other equitable remedies, regardless of whether considered in a proceeding in equity or at law.</w:t>
      </w:r>
    </w:p>
    <w:p>
      <w:pPr>
        <w:spacing w:after="0" w:line="150" w:lineRule="exact"/>
        <w:rPr>
          <w:rFonts w:ascii="Arial" w:cs="Arial" w:eastAsia="Arial" w:hAnsi="Arial"/>
          <w:sz w:val="17"/>
          <w:szCs w:val="17"/>
          <w:color w:val="auto"/>
        </w:rPr>
      </w:pPr>
    </w:p>
    <w:p>
      <w:pPr>
        <w:ind w:left="1320" w:hanging="664"/>
        <w:spacing w:after="0"/>
        <w:tabs>
          <w:tab w:leader="none" w:pos="1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effect of laws relating to usury or permissible rates of interest for loans, forbearances or the use of money.</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express no opinion regarding the effectiveness of any waiver or stay, extension, or of unknown future rights. Further, we express no opinion regarding the effect of provisions relating to indemnification, exculpation or contribution to the extent such provisions may be held unenforceable as contrary to federal or state securities laws or public policy.</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has informed us that the Company intends to issue the Securities from time to time on a delayed or continuous basis. This opinion is limited to the Applicable Laws, including the rules and regulations thereunder, as in effect on the date hereof. We are basing this opinion on our understanding that, prior to issuing any Securities in connection with the Registration Statement, the Company will advise us in writing of the terms thereof and other information material thereto, will afford us an opportunity to review the operative documents pursuant to which such Securities are to be issued (including the Registration Statement, the Prospectus and the applicable supplement to the Prospectus, as then in effect) and will file such supplement or amendment to this opinion (if any) as we may reasonably consider necessary or appropriate with respect to such Securities. However, we undertake no responsibility to monitor the Company’s future compliance with applicable laws, rules or regulations of the Commission or other governmental body. In particular, we assume that the Company will obtain the requisite approval of the Board and the requisite approval of its stockholders if required by the laws of the State of Delaware and the Charter Documents, or if necessary because the Company does not have a sufficient number of authorized but unissued and unreserved shares of its capital stock at the time of issuance to comply with any Securities. We also assume the Company will timely file any and all supplements to the Registration Statement and Prospectus as are necessary to comply with applicable laws in effect from time to time and duly amend its Restated Certificate to increase the authorized number of shares of its capital stock as necessary if the number of such shares to be sold pursuant to the Registration Statement would cause the Company to issue more such shares than it has authorized and unissued and unreserved.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Based upon the foregoing, we are of the following opinion:</w:t>
      </w:r>
    </w:p>
    <w:p>
      <w:pPr>
        <w:spacing w:after="0" w:line="200" w:lineRule="exact"/>
        <w:rPr>
          <w:sz w:val="20"/>
          <w:szCs w:val="20"/>
          <w:color w:val="auto"/>
        </w:rPr>
      </w:pPr>
    </w:p>
    <w:p>
      <w:pPr>
        <w:spacing w:after="0" w:line="241" w:lineRule="exact"/>
        <w:rPr>
          <w:sz w:val="20"/>
          <w:szCs w:val="20"/>
          <w:color w:val="auto"/>
        </w:rPr>
      </w:pPr>
    </w:p>
    <w:p>
      <w:pPr>
        <w:jc w:val="both"/>
        <w:ind w:left="1140" w:hanging="484"/>
        <w:spacing w:after="0" w:line="264" w:lineRule="auto"/>
        <w:tabs>
          <w:tab w:leader="none" w:pos="11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With respect to any Debt Securities registered pursuant to the Registration Statement, when (i) the issuance of such Debt Securities has been duly authorized by all required corporate action of the Board or a duly authorized committee thereof, and, if required, of the stockholders of the Company in</w:t>
      </w:r>
    </w:p>
    <w:p>
      <w:pPr>
        <w:spacing w:after="0" w:line="23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368" w:right="239" w:bottom="1440" w:gutter="0" w:footer="0" w:header="0"/>
        </w:sectPr>
      </w:pPr>
    </w:p>
    <w:bookmarkStart w:id="91" w:name="page92"/>
    <w:bookmarkEnd w:id="91"/>
    <w:p>
      <w:pPr>
        <w:jc w:val="both"/>
        <w:ind w:left="484"/>
        <w:spacing w:after="0" w:line="340" w:lineRule="auto"/>
        <w:rPr>
          <w:sz w:val="20"/>
          <w:szCs w:val="20"/>
          <w:color w:val="auto"/>
        </w:rPr>
      </w:pPr>
      <w:r>
        <w:rPr>
          <w:rFonts w:ascii="Arial" w:cs="Arial" w:eastAsia="Arial" w:hAnsi="Arial"/>
          <w:sz w:val="16"/>
          <w:szCs w:val="16"/>
          <w:color w:val="auto"/>
        </w:rPr>
        <w:t>accordance with the Charter Documents and Applicable Laws, (ii) an Indenture relating to such Debt Securities in the form filed with the Registration Statement as an exhibit has been duly authorized and validly executed and delivered by each of the Company (by duly authorized officers of the Company) and the Trustee, (iii) the form and terms of the Debt Securities have been duly established in accordance with the Indenture pursuant to resolutions duly adopted by the Board or a duly authorized committee thereof and as set forth in an officer’s certificate or supplemental indenture duly authorized by the Board or a duly authorized committee thereof in accordance with the Charter Documents and Applicable Laws and duly executed by an authorized officer of the Company, and (iv) instruments representing such Debt Securities have been duly executed and authenticated in accordance with the terms of the Indenture and any supplement thereto, and issued, sold and delivered in the manner and for the consideration approved by the Board or a duly authorized committee thereof and stated in the Registration Statement, the Prospectus and any prospectus supplement relating thereto (as amended as of the date of such issuance, sale and delivery) and any applicable definitive purchase, underwriting or similar agreement and upon the exercise of Warrants to purchase Debt Securities, upon payment of the consideration provided for therein and approved by the Board or a duly authorized committee thereof, then the Debt Securities will be validly issued and will constitute valid and binding obligations of the Company.</w:t>
      </w:r>
    </w:p>
    <w:p>
      <w:pPr>
        <w:spacing w:after="0" w:line="141" w:lineRule="exact"/>
        <w:rPr>
          <w:sz w:val="20"/>
          <w:szCs w:val="20"/>
          <w:color w:val="auto"/>
        </w:rPr>
      </w:pPr>
    </w:p>
    <w:p>
      <w:pPr>
        <w:jc w:val="both"/>
        <w:ind w:left="484" w:hanging="484"/>
        <w:spacing w:after="0" w:line="287" w:lineRule="auto"/>
        <w:tabs>
          <w:tab w:leader="none" w:pos="484" w:val="left"/>
        </w:tabs>
        <w:numPr>
          <w:ilvl w:val="0"/>
          <w:numId w:val="99"/>
        </w:numPr>
        <w:rPr>
          <w:rFonts w:ascii="Arial" w:cs="Arial" w:eastAsia="Arial" w:hAnsi="Arial"/>
          <w:sz w:val="16"/>
          <w:szCs w:val="16"/>
          <w:color w:val="auto"/>
        </w:rPr>
      </w:pPr>
      <w:r>
        <w:rPr>
          <w:rFonts w:ascii="Arial" w:cs="Arial" w:eastAsia="Arial" w:hAnsi="Arial"/>
          <w:sz w:val="16"/>
          <w:szCs w:val="16"/>
          <w:color w:val="auto"/>
        </w:rPr>
        <w:t>With respect to the shares of Common Stock registered pursuant to the Registration Statement, when (i) the issuance of and the terms of the offering of such shares of Common Stock and related matters have been duly authorized by all required corporate action of the Board or a duly authorized committee thereof, and, if required, of the stockholders of the Company in accordance with the Charter Documents and the Applicable Laws and (ii) if required, certificates representing the shares of Common Stock have been duly executed, countersigned, registered and delivered either (a) in accordance with the applicable definitive purchase, underwriting or similar agreement approved by the Board or a duly authorized committee thereof, or upon the exercise of Warrants to purchase Common Stock, upon payment of the consideration therefor (in an amount not less than the par value per share of the Common Stock) provided for therein and approved by the Board or a duly authorized committee thereof, or (b) upon conversion or exercise of any other security of the Company, in accordance with the terms of such security or the instrument governing such security providing for such conversion or exercise as approved by the Board or a duly authorized committee thereof, for the consideration approved by the Board or a duly authorized committee thereof (in an amount not less than the par value per share of the Common Stock), then such shares of Common Stock will be validly issued, fully paid and nonassessable.</w:t>
      </w:r>
    </w:p>
    <w:p>
      <w:pPr>
        <w:spacing w:after="0" w:line="172" w:lineRule="exact"/>
        <w:rPr>
          <w:rFonts w:ascii="Arial" w:cs="Arial" w:eastAsia="Arial" w:hAnsi="Arial"/>
          <w:sz w:val="16"/>
          <w:szCs w:val="16"/>
          <w:color w:val="auto"/>
        </w:rPr>
      </w:pPr>
    </w:p>
    <w:p>
      <w:pPr>
        <w:ind w:left="484" w:right="40" w:hanging="484"/>
        <w:spacing w:after="0" w:line="286" w:lineRule="auto"/>
        <w:tabs>
          <w:tab w:leader="none" w:pos="484" w:val="left"/>
        </w:tabs>
        <w:numPr>
          <w:ilvl w:val="0"/>
          <w:numId w:val="99"/>
        </w:numPr>
        <w:rPr>
          <w:rFonts w:ascii="Arial" w:cs="Arial" w:eastAsia="Arial" w:hAnsi="Arial"/>
          <w:sz w:val="16"/>
          <w:szCs w:val="16"/>
          <w:color w:val="auto"/>
        </w:rPr>
      </w:pPr>
      <w:r>
        <w:rPr>
          <w:rFonts w:ascii="Arial" w:cs="Arial" w:eastAsia="Arial" w:hAnsi="Arial"/>
          <w:sz w:val="16"/>
          <w:szCs w:val="16"/>
          <w:color w:val="auto"/>
        </w:rPr>
        <w:t>With respect to any particular series of shares of Preferred Stock registered pursuant to the Registration Statement, when (i) the issuance and terms of such shares of Preferred Stock, the terms of the offering thereof and related matters, including the adoption of a certificate of designation relating to such Preferred Stock conforming to the Company’s Restated Certificate and Bylaws and the Delaware General Corporation Law (a “</w:t>
      </w:r>
      <w:r>
        <w:rPr>
          <w:rFonts w:ascii="Arial" w:cs="Arial" w:eastAsia="Arial" w:hAnsi="Arial"/>
          <w:sz w:val="16"/>
          <w:szCs w:val="16"/>
          <w:b w:val="1"/>
          <w:bCs w:val="1"/>
          <w:i w:val="1"/>
          <w:iCs w:val="1"/>
          <w:color w:val="auto"/>
        </w:rPr>
        <w:t>Certificate</w:t>
      </w:r>
      <w:r>
        <w:rPr>
          <w:rFonts w:ascii="Arial" w:cs="Arial" w:eastAsia="Arial" w:hAnsi="Arial"/>
          <w:sz w:val="16"/>
          <w:szCs w:val="16"/>
          <w:color w:val="auto"/>
        </w:rPr>
        <w:t>”) and the filing of such Certificate with the Secretary of State of the State of Delaware (or the filing of an amendment to the Company’s Certificate of Incorporation to similar effect), have been duly authorized by all required corporate action of the Board or a duly authorized committee thereof and, if required, of the stockholders of the Company in accordance with the Charter Documents and Applicable Laws and (ii) if required, certificates representing the shares of Preferred Stock have been duly executed, countersigned, registered and delivered either (a) in accordance with the applicable definitive purchase, underwriting or similar agreement approved by the Board or a duly authorized committee thereof, or upon the exercise of Warrants to purchase Preferred Stock, upon payment of the consideration therefor (in an amount not less than the par value per share of such Preferred Stock) provided for therein and approved by the Board or a duly authorized committee thereof or (b) upon conversion or exercise of any other security of the Company, in accordance with the terms of such security or the instrument governing such security providing for such conversion or exercise as approved by the Board or a duly authorized committee thereof, for the consideration approved by the Board or a duly authorized committee thereof (in an amount not less than the par value per share of the Preferred Stock), then such shares of Preferred Stock will be validly issued, fully paid and nonassessable.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564"/>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764"/>
          </w:cols>
          <w:pgMar w:left="896" w:top="395" w:right="239" w:bottom="1440" w:gutter="0" w:footer="0" w:header="0"/>
        </w:sectPr>
      </w:pPr>
    </w:p>
    <w:bookmarkStart w:id="92" w:name="page93"/>
    <w:bookmarkEnd w:id="92"/>
    <w:p>
      <w:pPr>
        <w:jc w:val="both"/>
        <w:ind w:left="1140" w:hanging="484"/>
        <w:spacing w:after="0" w:line="289" w:lineRule="auto"/>
        <w:tabs>
          <w:tab w:leader="none" w:pos="114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With respect to any Warrants registered pursuant to the Registration Statement, when (i) the issuance and terms of such Warrants, the terms, execution and delivery of the warrant agreement relating to the Warrants (“</w:t>
      </w:r>
      <w:r>
        <w:rPr>
          <w:rFonts w:ascii="Arial" w:cs="Arial" w:eastAsia="Arial" w:hAnsi="Arial"/>
          <w:sz w:val="16"/>
          <w:szCs w:val="16"/>
          <w:b w:val="1"/>
          <w:bCs w:val="1"/>
          <w:i w:val="1"/>
          <w:iCs w:val="1"/>
          <w:color w:val="auto"/>
        </w:rPr>
        <w:t>Warrant Agreement</w:t>
      </w:r>
      <w:r>
        <w:rPr>
          <w:rFonts w:ascii="Arial" w:cs="Arial" w:eastAsia="Arial" w:hAnsi="Arial"/>
          <w:sz w:val="16"/>
          <w:szCs w:val="16"/>
          <w:color w:val="auto"/>
        </w:rPr>
        <w:t>”), the terms of the offering thereof and related matters have been duly authorized by all required corporate action of the Board or a duly authorized committee thereof and, if required, of the stockholders of the Company in accordance with the Charter Documents and Applicable Laws, (ii) the Warrant Agreement has been duly authorized and validly executed and delivered by the Company by duly authorized officers of the Company, and (iii) such Warrants have been duly executed, issued and delivered by the Company by duly authorized officers of the Company in accordance with the provisions of the applicable Warrant Agreement and the applicable definitive purchase, underwriting or similar agreement approved by the Board or a duly authorized committee thereof, upon payment of the consideration therefor provided for therein and approved by the Board or a duly authorized committee thereof, such Warrants will constitute valid and binding obligations of the Company.</w:t>
      </w:r>
    </w:p>
    <w:p>
      <w:pPr>
        <w:spacing w:after="0" w:line="342" w:lineRule="exact"/>
        <w:rPr>
          <w:rFonts w:ascii="Arial" w:cs="Arial" w:eastAsia="Arial" w:hAnsi="Arial"/>
          <w:sz w:val="16"/>
          <w:szCs w:val="16"/>
          <w:color w:val="auto"/>
        </w:rPr>
      </w:pPr>
    </w:p>
    <w:p>
      <w:pPr>
        <w:jc w:val="both"/>
        <w:ind w:left="1140" w:hanging="484"/>
        <w:spacing w:after="0" w:line="270" w:lineRule="auto"/>
        <w:tabs>
          <w:tab w:leader="none" w:pos="114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With respect to any Subscription Rights registered pursuant to the Registration Statement, when (i) the issuance and terms of such Subscription Rights, the terms, execution and delivery of the subscription rights agreement relating to the Subscription Rights (“</w:t>
      </w:r>
      <w:r>
        <w:rPr>
          <w:rFonts w:ascii="Arial" w:cs="Arial" w:eastAsia="Arial" w:hAnsi="Arial"/>
          <w:sz w:val="17"/>
          <w:szCs w:val="17"/>
          <w:b w:val="1"/>
          <w:bCs w:val="1"/>
          <w:i w:val="1"/>
          <w:iCs w:val="1"/>
          <w:color w:val="auto"/>
        </w:rPr>
        <w:t>Subscription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Rights Agreement</w:t>
      </w:r>
      <w:r>
        <w:rPr>
          <w:rFonts w:ascii="Arial" w:cs="Arial" w:eastAsia="Arial" w:hAnsi="Arial"/>
          <w:sz w:val="17"/>
          <w:szCs w:val="17"/>
          <w:color w:val="auto"/>
        </w:rPr>
        <w:t>”), the terms of the offering thereof and related matters have been duly authorized by all required corporate action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or a duly authorized committee thereof and, if required, of the stockholders of the Company in accordance with the Charter Documents and Applicable Laws, (ii) the Subscription Rights Agreement has been duly authorized and validly executed and delivered by duly authorized officers of the Company, and (iii) such Subscription Rights have been duly executed, issued and delivered by the Company by duly authorized officers of the Company in accordance with the provisions of the applicable Subscription Rights Agreement and the applicable definitive purchase, underwriting or similar agreement approved by the Board or a duly authorized committee thereof, upon payment of the consideration therefor provided for therein and approved by the Board or a duly authorized committee thereof, such Subscription Rights will constitute valid and binding obligations of the Company.</w:t>
      </w:r>
    </w:p>
    <w:p>
      <w:pPr>
        <w:spacing w:after="0" w:line="177" w:lineRule="exact"/>
        <w:rPr>
          <w:rFonts w:ascii="Arial" w:cs="Arial" w:eastAsia="Arial" w:hAnsi="Arial"/>
          <w:sz w:val="17"/>
          <w:szCs w:val="17"/>
          <w:color w:val="auto"/>
        </w:rPr>
      </w:pPr>
    </w:p>
    <w:p>
      <w:pPr>
        <w:jc w:val="both"/>
        <w:ind w:left="1160" w:hanging="531"/>
        <w:spacing w:after="0" w:line="253" w:lineRule="auto"/>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With respect to any Units registered pursuant to the Registration Statement, when (i) the conditions outlined in the immediately preceding paragraphs (1) through (5) that apply to the Securities that make up such Units are all met, (ii) the issuance and terms of such Units, the terms, execution and delivery of the unit agreement relating to the Units (“</w:t>
      </w:r>
      <w:r>
        <w:rPr>
          <w:rFonts w:ascii="Arial" w:cs="Arial" w:eastAsia="Arial" w:hAnsi="Arial"/>
          <w:sz w:val="18"/>
          <w:szCs w:val="18"/>
          <w:b w:val="1"/>
          <w:bCs w:val="1"/>
          <w:i w:val="1"/>
          <w:iCs w:val="1"/>
          <w:color w:val="auto"/>
        </w:rPr>
        <w:t>Unit Agreement</w:t>
      </w:r>
      <w:r>
        <w:rPr>
          <w:rFonts w:ascii="Arial" w:cs="Arial" w:eastAsia="Arial" w:hAnsi="Arial"/>
          <w:sz w:val="18"/>
          <w:szCs w:val="18"/>
          <w:color w:val="auto"/>
        </w:rPr>
        <w:t>”), the terms of the offering thereof and related matters have been duly authorized by appropriate corporate action of the Board or a duly authorized committee thereof and, if required, the stockholders of the Company, (iii) the Unit Agreement has been duly authorized and validly executed and delivered, and (iv) such Units have been duly executed, issued and delivered by duly authorized officers of the Company in accordance with the provisions of the applicable Unit Agreement and the applicable definitive purchase, underwriting or similar agreement approved by the Board or a duly authorized committee thereof, upon payment of the consideration therefor provided for therein, such Units will constitute valid and binding obligations of the Company.</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consent to the use of this opinion as an exhibit to the Registration Statement and further consent to all references to us, if any, in the Registration Statement, the Prospectus constituting parts thereof and any amendments thereto. In giving this consent we do not thereby admit that we come within the category of persons whose consent is required by the Securities Act or by the rules and regulations promulgated thereunder.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[Concluding Paragraph Follows on Next Page]</w:t>
      </w:r>
    </w:p>
    <w:p>
      <w:pPr>
        <w:spacing w:after="0" w:line="200" w:lineRule="exact"/>
        <w:rPr>
          <w:sz w:val="20"/>
          <w:szCs w:val="20"/>
          <w:color w:val="auto"/>
        </w:rPr>
      </w:pPr>
    </w:p>
    <w:p>
      <w:pPr>
        <w:spacing w:after="0" w:line="29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368" w:right="239" w:bottom="1440" w:gutter="0" w:footer="0" w:header="0"/>
        </w:sectPr>
      </w:pPr>
    </w:p>
    <w:bookmarkStart w:id="93" w:name="page94"/>
    <w:bookmarkEnd w:id="93"/>
    <w:p>
      <w:pPr>
        <w:jc w:val="both"/>
        <w:ind w:firstLine="648"/>
        <w:spacing w:after="0" w:line="293" w:lineRule="auto"/>
        <w:rPr>
          <w:sz w:val="20"/>
          <w:szCs w:val="20"/>
          <w:color w:val="auto"/>
        </w:rPr>
      </w:pPr>
      <w:r>
        <w:rPr>
          <w:rFonts w:ascii="Arial" w:cs="Arial" w:eastAsia="Arial" w:hAnsi="Arial"/>
          <w:sz w:val="16"/>
          <w:szCs w:val="16"/>
          <w:color w:val="auto"/>
        </w:rPr>
        <w:t>This opinion is intended solely for use in connection with the issuance and sale of the Securities subject to the Registration Statement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is based solely on our understanding of facts in existence as of such date after the aforementioned examination and does not address any potential changes in facts, circumstance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Very truly yours,</w:t>
      </w:r>
    </w:p>
    <w:p>
      <w:pPr>
        <w:spacing w:after="0" w:line="318" w:lineRule="exact"/>
        <w:rPr>
          <w:sz w:val="20"/>
          <w:szCs w:val="20"/>
          <w:color w:val="auto"/>
        </w:rPr>
      </w:pPr>
    </w:p>
    <w:p>
      <w:pPr>
        <w:ind w:left="5800"/>
        <w:spacing w:after="0"/>
        <w:rPr>
          <w:sz w:val="20"/>
          <w:szCs w:val="20"/>
          <w:color w:val="auto"/>
        </w:rPr>
      </w:pPr>
      <w:r>
        <w:rPr>
          <w:rFonts w:ascii="Arial" w:cs="Arial" w:eastAsia="Arial" w:hAnsi="Arial"/>
          <w:sz w:val="20"/>
          <w:szCs w:val="20"/>
          <w:b w:val="1"/>
          <w:bCs w:val="1"/>
          <w:color w:val="auto"/>
        </w:rPr>
        <w:t>/s/ Fenwick &amp; West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31115</wp:posOffset>
            </wp:positionV>
            <wp:extent cx="20840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47" w:lineRule="exact"/>
        <w:rPr>
          <w:sz w:val="20"/>
          <w:szCs w:val="20"/>
          <w:color w:val="auto"/>
        </w:rPr>
      </w:pPr>
    </w:p>
    <w:p>
      <w:pPr>
        <w:ind w:left="5800"/>
        <w:spacing w:after="0"/>
        <w:rPr>
          <w:sz w:val="20"/>
          <w:szCs w:val="20"/>
          <w:color w:val="auto"/>
        </w:rPr>
      </w:pPr>
      <w:r>
        <w:rPr>
          <w:rFonts w:ascii="Arial" w:cs="Arial" w:eastAsia="Arial" w:hAnsi="Arial"/>
          <w:sz w:val="20"/>
          <w:szCs w:val="20"/>
          <w:b w:val="1"/>
          <w:bCs w:val="1"/>
          <w:color w:val="auto"/>
        </w:rPr>
        <w:t>FENWICK &amp; WEST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760"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23.3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consent to the reference to our firm under the caption "Experts" in the Registration Statement (Form S-3) and related Prospectus of Veracyte, Inc. for the registration of common stock, preferred stock, debt securities, warrants, subscription rights, and units, and to the incorporation by reference therein of our reports dated February 25, 2019, with respect to the financial statements of Veracyte, Inc., and the effectiveness of internal control over financial reporting of Veracyte, Inc., included in its Annual Report (Form 10-K) for the year ended December 31, 2018, filed with the Securities and Exchange Commission.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 2019</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1)"/>
      <w:numFmt w:val="decimal"/>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
      <w:numFmt w:val="bullet"/>
      <w:start w:val="1"/>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
      <w:numFmt w:val="bullet"/>
      <w:start w:val="1"/>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1)"/>
      <w:numFmt w:val="decimal"/>
      <w:start w:val="1"/>
    </w:lvl>
    <w:lvl w:ilvl="1">
      <w:lvlJc w:val="left"/>
      <w:lvlText w:val="(%2)"/>
      <w:numFmt w:val="lowerRoman"/>
      <w:start w:val="1"/>
    </w:lvl>
  </w:abstractNum>
  <w:abstractNum w:abstractNumId="29">
    <w:nsid w:val="25A70BF7"/>
    <w:multiLevelType w:val="hybridMultilevel"/>
    <w:lvl w:ilvl="0">
      <w:lvlJc w:val="left"/>
      <w:lvlText w:val="(%1)"/>
      <w:numFmt w:val="decimal"/>
      <w:start w:val="2"/>
    </w:lvl>
  </w:abstractNum>
  <w:abstractNum w:abstractNumId="30">
    <w:nsid w:val="1DBABF00"/>
    <w:multiLevelType w:val="hybridMultilevel"/>
    <w:lvl w:ilvl="0">
      <w:lvlJc w:val="left"/>
      <w:lvlText w:val="(%1)"/>
      <w:numFmt w:val="decimal"/>
      <w:start w:val="3"/>
    </w:lvl>
    <w:lvl w:ilvl="1">
      <w:lvlJc w:val="left"/>
      <w:lvlText w:val="(%2)"/>
      <w:numFmt w:val="lowerRoman"/>
      <w:start w:val="1"/>
    </w:lvl>
  </w:abstractNum>
  <w:abstractNum w:abstractNumId="31">
    <w:nsid w:val="4AD084E9"/>
    <w:multiLevelType w:val="hybridMultilevel"/>
    <w:lvl w:ilvl="0">
      <w:lvlJc w:val="left"/>
      <w:lvlText w:val="(%1)"/>
      <w:numFmt w:val="decimal"/>
      <w:start w:val="1"/>
    </w:lvl>
  </w:abstractNum>
  <w:abstractNum w:abstractNumId="32">
    <w:nsid w:val="1F48EAA1"/>
    <w:multiLevelType w:val="hybridMultilevel"/>
    <w:lvl w:ilvl="0">
      <w:lvlJc w:val="left"/>
      <w:lvlText w:val="(%1)"/>
      <w:numFmt w:val="decimal"/>
      <w:start w:val="4"/>
    </w:lvl>
  </w:abstractNum>
  <w:abstractNum w:abstractNumId="33">
    <w:nsid w:val="1381823A"/>
    <w:multiLevelType w:val="hybridMultilevel"/>
    <w:lvl w:ilvl="0">
      <w:lvlJc w:val="left"/>
      <w:lvlText w:val="(%1)"/>
      <w:numFmt w:val="lowerLetter"/>
      <w:start w:val="1"/>
    </w:lvl>
  </w:abstractNum>
  <w:abstractNum w:abstractNumId="34">
    <w:nsid w:val="5DB70AE5"/>
    <w:multiLevelType w:val="hybridMultilevel"/>
    <w:lvl w:ilvl="0">
      <w:lvlJc w:val="left"/>
      <w:lvlText w:val="(%1)"/>
      <w:numFmt w:val="lowerLetter"/>
      <w:start w:val="1"/>
    </w:lvl>
  </w:abstractNum>
  <w:abstractNum w:abstractNumId="35">
    <w:nsid w:val="100F8FCA"/>
    <w:multiLevelType w:val="hybridMultilevel"/>
    <w:lvl w:ilvl="0">
      <w:lvlJc w:val="left"/>
      <w:lvlText w:val="(%1)"/>
      <w:numFmt w:val="lowerLetter"/>
      <w:start w:val="3"/>
    </w:lvl>
  </w:abstractNum>
  <w:abstractNum w:abstractNumId="36">
    <w:nsid w:val="6590700B"/>
    <w:multiLevelType w:val="hybridMultilevel"/>
    <w:lvl w:ilvl="0">
      <w:lvlJc w:val="left"/>
      <w:lvlText w:val="(%1)"/>
      <w:numFmt w:val="lowerLetter"/>
      <w:start w:val="2"/>
    </w:lvl>
  </w:abstractNum>
  <w:abstractNum w:abstractNumId="37">
    <w:nsid w:val="15014ACB"/>
    <w:multiLevelType w:val="hybridMultilevel"/>
    <w:lvl w:ilvl="0">
      <w:lvlJc w:val="left"/>
      <w:lvlText w:val="(%1)"/>
      <w:numFmt w:val="decimal"/>
      <w:start w:val="2"/>
    </w:lvl>
  </w:abstractNum>
  <w:abstractNum w:abstractNumId="38">
    <w:nsid w:val="5F5E7FD0"/>
    <w:multiLevelType w:val="hybridMultilevel"/>
    <w:lvl w:ilvl="0">
      <w:lvlJc w:val="left"/>
      <w:lvlText w:val="(%1)"/>
      <w:numFmt w:val="lowerLetter"/>
      <w:start w:val="3"/>
    </w:lvl>
  </w:abstractNum>
  <w:abstractNum w:abstractNumId="39">
    <w:nsid w:val="98A3148"/>
    <w:multiLevelType w:val="hybridMultilevel"/>
    <w:lvl w:ilvl="0">
      <w:lvlJc w:val="left"/>
      <w:lvlText w:val="(%1)"/>
      <w:numFmt w:val="lowerLetter"/>
      <w:start w:val="3"/>
    </w:lvl>
  </w:abstractNum>
  <w:abstractNum w:abstractNumId="40">
    <w:nsid w:val="799D0247"/>
    <w:multiLevelType w:val="hybridMultilevel"/>
    <w:lvl w:ilvl="0">
      <w:lvlJc w:val="left"/>
      <w:lvlText w:val="(%1)"/>
      <w:numFmt w:val="lowerLetter"/>
      <w:start w:val="1"/>
    </w:lvl>
  </w:abstractNum>
  <w:abstractNum w:abstractNumId="41">
    <w:nsid w:val="6B94764"/>
    <w:multiLevelType w:val="hybridMultilevel"/>
    <w:lvl w:ilvl="0">
      <w:lvlJc w:val="left"/>
      <w:lvlText w:val="(%1)"/>
      <w:numFmt w:val="lowerLetter"/>
      <w:start w:val="2"/>
    </w:lvl>
  </w:abstractNum>
  <w:abstractNum w:abstractNumId="42">
    <w:nsid w:val="42C296BD"/>
    <w:multiLevelType w:val="hybridMultilevel"/>
    <w:lvl w:ilvl="0">
      <w:lvlJc w:val="left"/>
      <w:lvlText w:val="(%1)"/>
      <w:numFmt w:val="lowerLetter"/>
      <w:start w:val="2"/>
    </w:lvl>
  </w:abstractNum>
  <w:abstractNum w:abstractNumId="43">
    <w:nsid w:val="168E121F"/>
    <w:multiLevelType w:val="hybridMultilevel"/>
    <w:lvl w:ilvl="0">
      <w:lvlJc w:val="left"/>
      <w:lvlText w:val="(%1)"/>
      <w:numFmt w:val="lowerLetter"/>
      <w:start w:val="2"/>
    </w:lvl>
  </w:abstractNum>
  <w:abstractNum w:abstractNumId="44">
    <w:nsid w:val="1EBA5D23"/>
    <w:multiLevelType w:val="hybridMultilevel"/>
    <w:lvl w:ilvl="0">
      <w:lvlJc w:val="left"/>
      <w:lvlText w:val="(%1)"/>
      <w:numFmt w:val="decimal"/>
      <w:start w:val="1"/>
    </w:lvl>
  </w:abstractNum>
  <w:abstractNum w:abstractNumId="45">
    <w:nsid w:val="661E3F1E"/>
    <w:multiLevelType w:val="hybridMultilevel"/>
    <w:lvl w:ilvl="0">
      <w:lvlJc w:val="left"/>
      <w:lvlText w:val="(%1)"/>
      <w:numFmt w:val="decimal"/>
      <w:start w:val="8"/>
    </w:lvl>
  </w:abstractNum>
  <w:abstractNum w:abstractNumId="46">
    <w:nsid w:val="5DC79EA8"/>
    <w:multiLevelType w:val="hybridMultilevel"/>
    <w:lvl w:ilvl="0">
      <w:lvlJc w:val="left"/>
      <w:lvlText w:val="(%1)"/>
      <w:numFmt w:val="decimal"/>
      <w:start w:val="14"/>
    </w:lvl>
  </w:abstractNum>
  <w:abstractNum w:abstractNumId="47">
    <w:nsid w:val="540A471C"/>
    <w:multiLevelType w:val="hybridMultilevel"/>
    <w:lvl w:ilvl="0">
      <w:lvlJc w:val="left"/>
      <w:lvlText w:val="(%1)"/>
      <w:numFmt w:val="decimal"/>
      <w:start w:val="21"/>
    </w:lvl>
  </w:abstractNum>
  <w:abstractNum w:abstractNumId="48">
    <w:nsid w:val="7BD3EE7B"/>
    <w:multiLevelType w:val="hybridMultilevel"/>
    <w:lvl w:ilvl="0">
      <w:lvlJc w:val="left"/>
      <w:lvlText w:val="(%1)"/>
      <w:numFmt w:val="lowerLetter"/>
      <w:start w:val="4"/>
    </w:lvl>
  </w:abstractNum>
  <w:abstractNum w:abstractNumId="49">
    <w:nsid w:val="51D9C564"/>
    <w:multiLevelType w:val="hybridMultilevel"/>
    <w:lvl w:ilvl="0">
      <w:lvlJc w:val="left"/>
      <w:lvlText w:val="(%1)"/>
      <w:numFmt w:val="lowerRoman"/>
      <w:start w:val="1"/>
    </w:lvl>
  </w:abstractNum>
  <w:abstractNum w:abstractNumId="50">
    <w:nsid w:val="613EFDC5"/>
    <w:multiLevelType w:val="hybridMultilevel"/>
    <w:lvl w:ilvl="0">
      <w:lvlJc w:val="left"/>
      <w:lvlText w:val="(%1)"/>
      <w:numFmt w:val="lowerLetter"/>
      <w:start w:val="3"/>
    </w:lvl>
  </w:abstractNum>
  <w:abstractNum w:abstractNumId="51">
    <w:nsid w:val="BF72B14"/>
    <w:multiLevelType w:val="hybridMultilevel"/>
    <w:lvl w:ilvl="0">
      <w:lvlJc w:val="left"/>
      <w:lvlText w:val="(%1)"/>
      <w:numFmt w:val="lowerLetter"/>
      <w:start w:val="3"/>
    </w:lvl>
  </w:abstractNum>
  <w:abstractNum w:abstractNumId="52">
    <w:nsid w:val="11447B73"/>
    <w:multiLevelType w:val="hybridMultilevel"/>
    <w:lvl w:ilvl="0">
      <w:lvlJc w:val="left"/>
      <w:lvlText w:val="(%1)"/>
      <w:numFmt w:val="lowerLetter"/>
      <w:start w:val="6"/>
    </w:lvl>
  </w:abstractNum>
  <w:abstractNum w:abstractNumId="53">
    <w:nsid w:val="42963E5A"/>
    <w:multiLevelType w:val="hybridMultilevel"/>
    <w:lvl w:ilvl="0">
      <w:lvlJc w:val="left"/>
      <w:lvlText w:val="(%1)"/>
      <w:numFmt w:val="lowerLetter"/>
      <w:start w:val="2"/>
    </w:lvl>
  </w:abstractNum>
  <w:abstractNum w:abstractNumId="54">
    <w:nsid w:val="A0382C5"/>
    <w:multiLevelType w:val="hybridMultilevel"/>
    <w:lvl w:ilvl="0">
      <w:lvlJc w:val="left"/>
      <w:lvlText w:val="(%1)"/>
      <w:numFmt w:val="lowerLetter"/>
      <w:start w:val="3"/>
    </w:lvl>
  </w:abstractNum>
  <w:abstractNum w:abstractNumId="55">
    <w:nsid w:val="8F2B15E"/>
    <w:multiLevelType w:val="hybridMultilevel"/>
    <w:lvl w:ilvl="0">
      <w:lvlJc w:val="left"/>
      <w:lvlText w:val="(%1)"/>
      <w:numFmt w:val="upperLetter"/>
      <w:start w:val="2"/>
    </w:lvl>
    <w:lvl w:ilvl="1">
      <w:lvlJc w:val="left"/>
      <w:lvlText w:val="(%2)"/>
      <w:numFmt w:val="lowerRoman"/>
      <w:start w:val="1"/>
    </w:lvl>
  </w:abstractNum>
  <w:abstractNum w:abstractNumId="56">
    <w:nsid w:val="1A32234B"/>
    <w:multiLevelType w:val="hybridMultilevel"/>
    <w:lvl w:ilvl="0">
      <w:lvlJc w:val="left"/>
      <w:lvlText w:val="(%1)"/>
      <w:numFmt w:val="decimal"/>
      <w:start w:val="2"/>
    </w:lvl>
  </w:abstractNum>
  <w:abstractNum w:abstractNumId="57">
    <w:nsid w:val="3B0FD379"/>
    <w:multiLevelType w:val="hybridMultilevel"/>
    <w:lvl w:ilvl="0">
      <w:lvlJc w:val="left"/>
      <w:lvlText w:val="(%1)"/>
      <w:numFmt w:val="decimal"/>
      <w:start w:val="1"/>
    </w:lvl>
  </w:abstractNum>
  <w:abstractNum w:abstractNumId="58">
    <w:nsid w:val="68EB2F63"/>
    <w:multiLevelType w:val="hybridMultilevel"/>
    <w:lvl w:ilvl="0">
      <w:lvlJc w:val="left"/>
      <w:lvlText w:val="(%1)"/>
      <w:numFmt w:val="lowerRoman"/>
      <w:start w:val="4"/>
    </w:lvl>
  </w:abstractNum>
  <w:abstractNum w:abstractNumId="59">
    <w:nsid w:val="4962813B"/>
    <w:multiLevelType w:val="hybridMultilevel"/>
    <w:lvl w:ilvl="0">
      <w:lvlJc w:val="left"/>
      <w:lvlText w:val="(%1)"/>
      <w:numFmt w:val="lowerRoman"/>
      <w:start w:val="8"/>
    </w:lvl>
  </w:abstractNum>
  <w:abstractNum w:abstractNumId="60">
    <w:nsid w:val="60B6DF70"/>
    <w:multiLevelType w:val="hybridMultilevel"/>
    <w:lvl w:ilvl="0">
      <w:lvlJc w:val="left"/>
      <w:lvlText w:val="(%1)"/>
      <w:numFmt w:val="decimal"/>
      <w:start w:val="2"/>
    </w:lvl>
  </w:abstractNum>
  <w:abstractNum w:abstractNumId="61">
    <w:nsid w:val="6A5EE64"/>
    <w:multiLevelType w:val="hybridMultilevel"/>
    <w:lvl w:ilvl="0">
      <w:lvlJc w:val="left"/>
      <w:lvlText w:val="(%1)"/>
      <w:numFmt w:val="decimal"/>
      <w:start w:val="1"/>
    </w:lvl>
  </w:abstractNum>
  <w:abstractNum w:abstractNumId="62">
    <w:nsid w:val="14330624"/>
    <w:multiLevelType w:val="hybridMultilevel"/>
    <w:lvl w:ilvl="0">
      <w:lvlJc w:val="left"/>
      <w:lvlText w:val="(%1)"/>
      <w:numFmt w:val="upperLetter"/>
      <w:start w:val="1"/>
    </w:lvl>
  </w:abstractNum>
  <w:abstractNum w:abstractNumId="63">
    <w:nsid w:val="7FFFCA11"/>
    <w:multiLevelType w:val="hybridMultilevel"/>
    <w:lvl w:ilvl="0">
      <w:lvlJc w:val="left"/>
      <w:lvlText w:val="(%1)"/>
      <w:numFmt w:val="decimal"/>
      <w:start w:val="2"/>
    </w:lvl>
  </w:abstractNum>
  <w:abstractNum w:abstractNumId="64">
    <w:nsid w:val="1A27709E"/>
    <w:multiLevelType w:val="hybridMultilevel"/>
    <w:lvl w:ilvl="0">
      <w:lvlJc w:val="left"/>
      <w:lvlText w:val="(%1)"/>
      <w:numFmt w:val="decimal"/>
      <w:start w:val="2"/>
    </w:lvl>
  </w:abstractNum>
  <w:abstractNum w:abstractNumId="65">
    <w:nsid w:val="71EA1109"/>
    <w:multiLevelType w:val="hybridMultilevel"/>
    <w:lvl w:ilvl="0">
      <w:lvlJc w:val="left"/>
      <w:lvlText w:val="(%1)"/>
      <w:numFmt w:val="decimal"/>
      <w:start w:val="1"/>
    </w:lvl>
  </w:abstractNum>
  <w:abstractNum w:abstractNumId="66">
    <w:nsid w:val="100F59DC"/>
    <w:multiLevelType w:val="hybridMultilevel"/>
    <w:lvl w:ilvl="0">
      <w:lvlJc w:val="left"/>
      <w:lvlText w:val="(%1)"/>
      <w:numFmt w:val="decimal"/>
      <w:start w:val="1"/>
    </w:lvl>
  </w:abstractNum>
  <w:abstractNum w:abstractNumId="67">
    <w:nsid w:val="7FB7E0AA"/>
    <w:multiLevelType w:val="hybridMultilevel"/>
    <w:lvl w:ilvl="0">
      <w:lvlJc w:val="left"/>
      <w:lvlText w:val="(%1)"/>
      <w:numFmt w:val="decimal"/>
      <w:start w:val="1"/>
    </w:lvl>
  </w:abstractNum>
  <w:abstractNum w:abstractNumId="68">
    <w:nsid w:val="6EB5BD4"/>
    <w:multiLevelType w:val="hybridMultilevel"/>
    <w:lvl w:ilvl="0">
      <w:lvlJc w:val="left"/>
      <w:lvlText w:val="(%1)"/>
      <w:numFmt w:val="lowerLetter"/>
      <w:start w:val="3"/>
    </w:lvl>
    <w:lvl w:ilvl="1">
      <w:lvlJc w:val="left"/>
      <w:lvlText w:val="(%2)"/>
      <w:numFmt w:val="decimal"/>
      <w:start w:val="1"/>
    </w:lvl>
  </w:abstractNum>
  <w:abstractNum w:abstractNumId="69">
    <w:nsid w:val="6F6DD9AC"/>
    <w:multiLevelType w:val="hybridMultilevel"/>
    <w:lvl w:ilvl="0">
      <w:lvlJc w:val="left"/>
      <w:lvlText w:val="(%1)"/>
      <w:numFmt w:val="lowerLetter"/>
      <w:start w:val="4"/>
    </w:lvl>
  </w:abstractNum>
  <w:abstractNum w:abstractNumId="70">
    <w:nsid w:val="94211F2"/>
    <w:multiLevelType w:val="hybridMultilevel"/>
    <w:lvl w:ilvl="0">
      <w:lvlJc w:val="left"/>
      <w:lvlText w:val="(%1)"/>
      <w:numFmt w:val="lowerLetter"/>
      <w:start w:val="2"/>
    </w:lvl>
  </w:abstractNum>
  <w:abstractNum w:abstractNumId="71">
    <w:nsid w:val="885E1B"/>
    <w:multiLevelType w:val="hybridMultilevel"/>
    <w:lvl w:ilvl="0">
      <w:lvlJc w:val="left"/>
      <w:lvlText w:val="(%1)"/>
      <w:numFmt w:val="lowerLetter"/>
      <w:start w:val="4"/>
    </w:lvl>
  </w:abstractNum>
  <w:abstractNum w:abstractNumId="72">
    <w:nsid w:val="76272110"/>
    <w:multiLevelType w:val="hybridMultilevel"/>
    <w:lvl w:ilvl="0">
      <w:lvlJc w:val="left"/>
      <w:lvlText w:val="(%1)"/>
      <w:numFmt w:val="decimal"/>
      <w:start w:val="1"/>
    </w:lvl>
  </w:abstractNum>
  <w:abstractNum w:abstractNumId="73">
    <w:nsid w:val="4C04A8AF"/>
    <w:multiLevelType w:val="hybridMultilevel"/>
    <w:lvl w:ilvl="0">
      <w:lvlJc w:val="left"/>
      <w:lvlText w:val="(%1)"/>
      <w:numFmt w:val="lowerLetter"/>
      <w:start w:val="3"/>
    </w:lvl>
    <w:lvl w:ilvl="1">
      <w:lvlJc w:val="left"/>
      <w:lvlText w:val="(%2)"/>
      <w:numFmt w:val="decimal"/>
      <w:start w:val="1"/>
    </w:lvl>
  </w:abstractNum>
  <w:abstractNum w:abstractNumId="74">
    <w:nsid w:val="1716703B"/>
    <w:multiLevelType w:val="hybridMultilevel"/>
    <w:lvl w:ilvl="0">
      <w:lvlJc w:val="left"/>
      <w:lvlText w:val="(%1)"/>
      <w:numFmt w:val="lowerLetter"/>
      <w:start w:val="3"/>
    </w:lvl>
  </w:abstractNum>
  <w:abstractNum w:abstractNumId="75">
    <w:nsid w:val="14E17E33"/>
    <w:multiLevelType w:val="hybridMultilevel"/>
    <w:lvl w:ilvl="0">
      <w:lvlJc w:val="left"/>
      <w:lvlText w:val="(%1)"/>
      <w:numFmt w:val="lowerLetter"/>
      <w:start w:val="4"/>
    </w:lvl>
  </w:abstractNum>
  <w:abstractNum w:abstractNumId="76">
    <w:nsid w:val="3222E7CD"/>
    <w:multiLevelType w:val="hybridMultilevel"/>
    <w:lvl w:ilvl="0">
      <w:lvlJc w:val="left"/>
      <w:lvlText w:val="(%1)"/>
      <w:numFmt w:val="lowerLetter"/>
      <w:start w:val="2"/>
    </w:lvl>
  </w:abstractNum>
  <w:abstractNum w:abstractNumId="77">
    <w:nsid w:val="74DE0EE3"/>
    <w:multiLevelType w:val="hybridMultilevel"/>
    <w:lvl w:ilvl="0">
      <w:lvlJc w:val="left"/>
      <w:lvlText w:val="(%1)"/>
      <w:numFmt w:val="lowerLetter"/>
      <w:start w:val="2"/>
    </w:lvl>
  </w:abstractNum>
  <w:abstractNum w:abstractNumId="78">
    <w:nsid w:val="68EBC550"/>
    <w:multiLevelType w:val="hybridMultilevel"/>
    <w:lvl w:ilvl="0">
      <w:lvlJc w:val="left"/>
      <w:lvlText w:val="(%1)"/>
      <w:numFmt w:val="decimal"/>
      <w:start w:val="2"/>
    </w:lvl>
  </w:abstractNum>
  <w:abstractNum w:abstractNumId="79">
    <w:nsid w:val="2DF6D648"/>
    <w:multiLevelType w:val="hybridMultilevel"/>
    <w:lvl w:ilvl="0">
      <w:lvlJc w:val="left"/>
      <w:lvlText w:val="(%1)"/>
      <w:numFmt w:val="decimal"/>
      <w:start w:val="1"/>
    </w:lvl>
  </w:abstractNum>
  <w:abstractNum w:abstractNumId="80">
    <w:nsid w:val="46B7D447"/>
    <w:multiLevelType w:val="hybridMultilevel"/>
    <w:lvl w:ilvl="0">
      <w:lvlJc w:val="left"/>
      <w:lvlText w:val="(%1)"/>
      <w:numFmt w:val="decimal"/>
      <w:start w:val="3"/>
    </w:lvl>
  </w:abstractNum>
  <w:abstractNum w:abstractNumId="81">
    <w:nsid w:val="4A2AC315"/>
    <w:multiLevelType w:val="hybridMultilevel"/>
    <w:lvl w:ilvl="0">
      <w:lvlJc w:val="left"/>
      <w:lvlText w:val="(%1)"/>
      <w:numFmt w:val="decimal"/>
      <w:start w:val="5"/>
    </w:lvl>
  </w:abstractNum>
  <w:abstractNum w:abstractNumId="82">
    <w:nsid w:val="39EE015C"/>
    <w:multiLevelType w:val="hybridMultilevel"/>
    <w:lvl w:ilvl="0">
      <w:lvlJc w:val="left"/>
      <w:lvlText w:val="(%1)"/>
      <w:numFmt w:val="decimal"/>
      <w:start w:val="7"/>
    </w:lvl>
  </w:abstractNum>
  <w:abstractNum w:abstractNumId="83">
    <w:nsid w:val="57FC4FBB"/>
    <w:multiLevelType w:val="hybridMultilevel"/>
    <w:lvl w:ilvl="0">
      <w:lvlJc w:val="left"/>
      <w:lvlText w:val="(%1)"/>
      <w:numFmt w:val="decimal"/>
      <w:start w:val="12"/>
    </w:lvl>
  </w:abstractNum>
  <w:abstractNum w:abstractNumId="84">
    <w:nsid w:val="CC1016F"/>
    <w:multiLevelType w:val="hybridMultilevel"/>
    <w:lvl w:ilvl="0">
      <w:lvlJc w:val="left"/>
      <w:lvlText w:val="(%1)"/>
      <w:numFmt w:val="decimal"/>
      <w:start w:val="3"/>
    </w:lvl>
  </w:abstractNum>
  <w:abstractNum w:abstractNumId="85">
    <w:nsid w:val="43F18422"/>
    <w:multiLevelType w:val="hybridMultilevel"/>
    <w:lvl w:ilvl="0">
      <w:lvlJc w:val="left"/>
      <w:lvlText w:val="(%1)"/>
      <w:numFmt w:val="lowerLetter"/>
      <w:start w:val="3"/>
    </w:lvl>
  </w:abstractNum>
  <w:abstractNum w:abstractNumId="86">
    <w:nsid w:val="60EF0119"/>
    <w:multiLevelType w:val="hybridMultilevel"/>
    <w:lvl w:ilvl="0">
      <w:lvlJc w:val="left"/>
      <w:lvlText w:val="(%1)"/>
      <w:numFmt w:val="lowerLetter"/>
      <w:start w:val="3"/>
    </w:lvl>
  </w:abstractNum>
  <w:abstractNum w:abstractNumId="87">
    <w:nsid w:val="26F324BA"/>
    <w:multiLevelType w:val="hybridMultilevel"/>
    <w:lvl w:ilvl="0">
      <w:lvlJc w:val="left"/>
      <w:lvlText w:val="(%1)"/>
      <w:numFmt w:val="lowerRoman"/>
      <w:start w:val="1"/>
    </w:lvl>
  </w:abstractNum>
  <w:abstractNum w:abstractNumId="88">
    <w:nsid w:val="7F01579B"/>
    <w:multiLevelType w:val="hybridMultilevel"/>
    <w:lvl w:ilvl="0">
      <w:lvlJc w:val="left"/>
      <w:lvlText w:val="(%1)"/>
      <w:numFmt w:val="decimal"/>
      <w:start w:val="1"/>
    </w:lvl>
  </w:abstractNum>
  <w:abstractNum w:abstractNumId="89">
    <w:nsid w:val="49DA307D"/>
    <w:multiLevelType w:val="hybridMultilevel"/>
    <w:lvl w:ilvl="0">
      <w:lvlJc w:val="left"/>
      <w:lvlText w:val="(%1)"/>
      <w:numFmt w:val="decimal"/>
      <w:start w:val="4"/>
    </w:lvl>
  </w:abstractNum>
  <w:abstractNum w:abstractNumId="90">
    <w:nsid w:val="7055A5F5"/>
    <w:multiLevelType w:val="hybridMultilevel"/>
    <w:lvl w:ilvl="0">
      <w:lvlJc w:val="left"/>
      <w:lvlText w:val="(%1)"/>
      <w:numFmt w:val="lowerLetter"/>
      <w:start w:val="2"/>
    </w:lvl>
  </w:abstractNum>
  <w:abstractNum w:abstractNumId="91">
    <w:nsid w:val="5FB8370B"/>
    <w:multiLevelType w:val="hybridMultilevel"/>
    <w:lvl w:ilvl="0">
      <w:lvlJc w:val="left"/>
      <w:lvlText w:val="(%1)"/>
      <w:numFmt w:val="decimal"/>
      <w:start w:val="1"/>
    </w:lvl>
  </w:abstractNum>
  <w:abstractNum w:abstractNumId="92">
    <w:nsid w:val="50801EE1"/>
    <w:multiLevelType w:val="hybridMultilevel"/>
    <w:lvl w:ilvl="0">
      <w:lvlJc w:val="left"/>
      <w:lvlText w:val="(%1)"/>
      <w:numFmt w:val="decimal"/>
      <w:start w:val="4"/>
    </w:lvl>
  </w:abstractNum>
  <w:abstractNum w:abstractNumId="93">
    <w:nsid w:val="488AC1A"/>
    <w:multiLevelType w:val="hybridMultilevel"/>
    <w:lvl w:ilvl="0">
      <w:lvlJc w:val="left"/>
      <w:lvlText w:val="(%1)"/>
      <w:numFmt w:val="decimal"/>
      <w:start w:val="6"/>
    </w:lvl>
  </w:abstractNum>
  <w:abstractNum w:abstractNumId="94">
    <w:nsid w:val="5FB8011C"/>
    <w:multiLevelType w:val="hybridMultilevel"/>
    <w:lvl w:ilvl="0">
      <w:lvlJc w:val="left"/>
      <w:lvlText w:val="(%1)"/>
      <w:numFmt w:val="decimal"/>
      <w:start w:val="10"/>
    </w:lvl>
  </w:abstractNum>
  <w:abstractNum w:abstractNumId="95">
    <w:nsid w:val="6AA78F7F"/>
    <w:multiLevelType w:val="hybridMultilevel"/>
    <w:lvl w:ilvl="0">
      <w:lvlJc w:val="left"/>
      <w:lvlText w:val="(%1)"/>
      <w:numFmt w:val="lowerRoman"/>
      <w:start w:val="5"/>
    </w:lvl>
  </w:abstractNum>
  <w:abstractNum w:abstractNumId="96">
    <w:nsid w:val="7672BD23"/>
    <w:multiLevelType w:val="hybridMultilevel"/>
    <w:lvl w:ilvl="0">
      <w:lvlJc w:val="left"/>
      <w:lvlText w:val="(%1)"/>
      <w:numFmt w:val="decimal"/>
      <w:start w:val="1"/>
    </w:lvl>
  </w:abstractNum>
  <w:abstractNum w:abstractNumId="97">
    <w:nsid w:val="6FC75AF8"/>
    <w:multiLevelType w:val="hybridMultilevel"/>
    <w:lvl w:ilvl="0">
      <w:lvlJc w:val="left"/>
      <w:lvlText w:val="%1."/>
      <w:numFmt w:val="decimal"/>
      <w:start w:val="1"/>
    </w:lvl>
  </w:abstractNum>
  <w:abstractNum w:abstractNumId="98">
    <w:nsid w:val="6A5F7029"/>
    <w:multiLevelType w:val="hybridMultilevel"/>
    <w:lvl w:ilvl="0">
      <w:lvlJc w:val="left"/>
      <w:lvlText w:val="%1."/>
      <w:numFmt w:val="decimal"/>
      <w:start w:val="2"/>
    </w:lvl>
  </w:abstractNum>
  <w:abstractNum w:abstractNumId="99">
    <w:nsid w:val="7D5E18F8"/>
    <w:multiLevelType w:val="hybridMultilevel"/>
    <w:lvl w:ilvl="0">
      <w:lvlJc w:val="left"/>
      <w:lvlText w:val="%1"/>
      <w:numFmt w:val="decimal"/>
      <w:start w:val="1"/>
    </w:lvl>
    <w:lvl w:ilvl="1">
      <w:lvlJc w:val="left"/>
      <w:lvlText w:val="%2."/>
      <w:numFmt w:val="decimal"/>
      <w:start w:val="4"/>
    </w:lvl>
  </w:abstractNum>
  <w:abstractNum w:abstractNumId="100">
    <w:nsid w:val="5F3534A4"/>
    <w:multiLevelType w:val="hybridMultilevel"/>
    <w:lvl w:ilvl="0">
      <w:lvlJc w:val="left"/>
      <w:lvlText w:val="%1."/>
      <w:numFmt w:val="decimal"/>
      <w:start w:val="6"/>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22"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jpeg"/><Relationship Id="rId88" Type="http://schemas.openxmlformats.org/officeDocument/2006/relationships/image" Target="media/image71.png"/><Relationship Id="rId12" Type="http://schemas.openxmlformats.org/officeDocument/2006/relationships/hyperlink" Target="http://www.sec.gov/Archives/edgar/data/1384101/000138410119000010/vcyt-12312018x10k.htm" TargetMode="External"/><Relationship Id="rId13" Type="http://schemas.openxmlformats.org/officeDocument/2006/relationships/hyperlink" Target="http://www.sec.gov/Archives/edgar/data/1384101/000138410119000038/vcyt-proxy2019xdef14a.htm" TargetMode="External"/><Relationship Id="rId14" Type="http://schemas.openxmlformats.org/officeDocument/2006/relationships/hyperlink" Target="http://www.sec.gov/Archives/edgar/data/1384101/000138410119000046/vcyt-03312019x10q.htm" TargetMode="External"/><Relationship Id="rId15" Type="http://schemas.openxmlformats.org/officeDocument/2006/relationships/hyperlink" Target="http://www.sec.gov/Archives/edgar/data/1384101/000138410119000002/materialagreement8-k.htm" TargetMode="External"/><Relationship Id="rId16" Type="http://schemas.openxmlformats.org/officeDocument/2006/relationships/hyperlink" Target="http://www.sec.gov/Archives/edgar/data/1384101/000138410119000014/form8-k2x25x19compensation.htm" TargetMode="External"/><Relationship Id="rId17" Type="http://schemas.openxmlformats.org/officeDocument/2006/relationships/hyperlink" Target="http://www.sec.gov/Archives/edgar/data/1384101/000138410119000042/vcyt-0422198xkitem502.htm" TargetMode="External"/><Relationship Id="rId18" Type="http://schemas.openxmlformats.org/officeDocument/2006/relationships/hyperlink" Target="http://www.sec.gov/Archives/edgar/data/1384101/000110465913078343/a13-16266_158a12b.htm" TargetMode="External"/><Relationship Id="rId19" Type="http://schemas.openxmlformats.org/officeDocument/2006/relationships/hyperlink" Target="http://www.sec.gov/Archives/edgar/data/1384101/000110465913082910/a13-23874_1ex3d1.htm" TargetMode="External"/><Relationship Id="rId20" Type="http://schemas.openxmlformats.org/officeDocument/2006/relationships/hyperlink" Target="http://www.sec.gov/Archives/edgar/data/1384101/000110465913082910/a13-23874_1ex3d2.htm" TargetMode="External"/><Relationship Id="rId21" Type="http://schemas.openxmlformats.org/officeDocument/2006/relationships/hyperlink" Target="http://www.sec.gov/Archives/edgar/data/1384101/000104746913009631/a2216954z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2019-12-21T03:30:17Z</dcterms:created>
  <dcterms:modified xsi:type="dcterms:W3CDTF">2019-12-21T03:30:17Z</dcterms:modified>
</cp:coreProperties>
</file>