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96,937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23.73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42,956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42,956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March 6, 2023 vest 25% on March 2, 2024 and 1/16 per quarter thereafter subject to continuing employment of the Reporting Person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March 2, 2024,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356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2023-03-09T18:12:57Z</dcterms:created>
  <dcterms:modified xsi:type="dcterms:W3CDTF">2023-03-09T18:12:57Z</dcterms:modified>
</cp:coreProperties>
</file>