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22,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22, 2024, Veracyte, Inc. (the “Company”) issued a press release announcing its financial results for the quarter and year ended December 31, 2023.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February 22, 2024.</w:t>
            </w:r>
          </w:p>
        </w:tc>
        <w:tc>
          <w:tcPr>
            <w:tcW w:w="500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22,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Fourth Quarter and Full-Year 2023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Revenue to $98.2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Increased 2023 Total Revenue 22% to $361.1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SOUTH SAN FRANCISCO, Calif., February 22, 2024 --- Veracyte, Inc. (Nasdaq: VCYT) today announced financial results for the fourth quarter and full year ended December 31, 2023.</w:t>
      </w:r>
    </w:p>
    <w:p>
      <w:pPr>
        <w:spacing w:after="0" w:line="15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closed 2023 with another quarter of excellent results, driven by our Afirma and Decipher businesses,” said Marc Stapley, Veracyte’s chief executive officer. “Looking to 2024 and beyond, we will leverage our Veracyte Diagnostics Platform to continue to drive near- and long-term revenue. With multiple growth catalysts over the coming years and with our strong financial discipline, we expect to achieve positive cash flow for the third consecutive year and going forward.”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90" w:lineRule="exact"/>
        <w:rPr>
          <w:sz w:val="20"/>
          <w:szCs w:val="20"/>
          <w:color w:val="auto"/>
        </w:rPr>
      </w:pPr>
    </w:p>
    <w:p>
      <w:pPr>
        <w:ind w:left="660" w:right="14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total test volume to 33,836 in the fourth quarter and 126,977 for the full year 2023, an increase of 21% and 24%, respectively, compared to the prior year periods.</w:t>
      </w:r>
    </w:p>
    <w:p>
      <w:pPr>
        <w:ind w:left="660" w:right="2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Enhanced our Endocrinology offering in 2023 with the launch of </w:t>
      </w:r>
      <w:r>
        <w:rPr>
          <w:rFonts w:ascii="Arial" w:cs="Arial" w:eastAsia="Arial" w:hAnsi="Arial"/>
          <w:sz w:val="18"/>
          <w:szCs w:val="18"/>
          <w:i w:val="1"/>
          <w:iCs w:val="1"/>
          <w:color w:val="auto"/>
        </w:rPr>
        <w:t>TERT</w:t>
      </w:r>
      <w:r>
        <w:rPr>
          <w:rFonts w:ascii="Arial" w:cs="Arial" w:eastAsia="Arial" w:hAnsi="Arial"/>
          <w:sz w:val="18"/>
          <w:szCs w:val="18"/>
          <w:color w:val="auto"/>
        </w:rPr>
        <w:t xml:space="preserve"> promoter mutation testing for Afirma, the introduction of our Afirma GRID research tool, and enhancements to our online physician ordering portal.</w:t>
      </w:r>
    </w:p>
    <w:p>
      <w:pPr>
        <w:spacing w:after="0" w:line="1" w:lineRule="exact"/>
        <w:rPr>
          <w:rFonts w:ascii="Arial" w:cs="Arial" w:eastAsia="Arial" w:hAnsi="Arial"/>
          <w:sz w:val="18"/>
          <w:szCs w:val="18"/>
          <w:color w:val="auto"/>
        </w:rPr>
      </w:pPr>
    </w:p>
    <w:p>
      <w:pPr>
        <w:ind w:left="660" w:right="24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to strengthen the body of evidence for Decipher Prostate in 2023, adding 8 publications and 16 abstracts to the clinical-evidence library, reinforcing Decipher's status as the only molecular test to receive Level 1 evidence designation in the National Comprehensive Cancer Network’s (NCCN) prostate cancer guidelines.</w:t>
      </w:r>
    </w:p>
    <w:p>
      <w:pPr>
        <w:spacing w:after="0" w:line="2" w:lineRule="exact"/>
        <w:rPr>
          <w:rFonts w:ascii="Arial" w:cs="Arial" w:eastAsia="Arial" w:hAnsi="Arial"/>
          <w:sz w:val="18"/>
          <w:szCs w:val="18"/>
          <w:color w:val="auto"/>
        </w:rPr>
      </w:pPr>
    </w:p>
    <w:p>
      <w:pPr>
        <w:ind w:left="660" w:right="22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C2i Genomics Inc., adding whole-genome minimal residual disease (MRD) capabilities to our novel Veracyte Diagnostics Platform and expanding our ability to serve patients across the cancer care continuum.</w:t>
      </w:r>
    </w:p>
    <w:p>
      <w:pPr>
        <w:spacing w:after="0" w:line="1" w:lineRule="exact"/>
        <w:rPr>
          <w:rFonts w:ascii="Arial" w:cs="Arial" w:eastAsia="Arial" w:hAnsi="Arial"/>
          <w:sz w:val="18"/>
          <w:szCs w:val="18"/>
          <w:color w:val="auto"/>
        </w:rPr>
      </w:pPr>
    </w:p>
    <w:p>
      <w:pPr>
        <w:jc w:val="both"/>
        <w:ind w:left="660" w:right="180" w:hanging="328"/>
        <w:spacing w:after="0" w:line="248"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Signed an agreement with Illumina to develop some of our tests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(IVDs) for use on their NextSeq 550Dx next-generation sequencing (NGS) instrument, as part of our multi-platform strategy to accelerate global expansion of our tests as IVDs.</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Published the clinical validation study for our Percepta Nasal Swab test in </w:t>
      </w:r>
      <w:r>
        <w:rPr>
          <w:rFonts w:ascii="Arial" w:cs="Arial" w:eastAsia="Arial" w:hAnsi="Arial"/>
          <w:sz w:val="18"/>
          <w:szCs w:val="18"/>
          <w:i w:val="1"/>
          <w:iCs w:val="1"/>
          <w:color w:val="auto"/>
        </w:rPr>
        <w:t>CHEST</w:t>
      </w:r>
      <w:r>
        <w:rPr>
          <w:rFonts w:ascii="Arial" w:cs="Arial" w:eastAsia="Arial" w:hAnsi="Arial"/>
          <w:sz w:val="18"/>
          <w:szCs w:val="18"/>
          <w:color w:val="auto"/>
        </w:rPr>
        <w: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full year, generated $44 million of cash from operations and ended the year with $216 million of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2023 Financial Results</w:t>
      </w:r>
    </w:p>
    <w:p>
      <w:pPr>
        <w:spacing w:after="0" w:line="50" w:lineRule="exact"/>
        <w:rPr>
          <w:sz w:val="20"/>
          <w:szCs w:val="20"/>
          <w:color w:val="auto"/>
        </w:rPr>
      </w:pPr>
    </w:p>
    <w:p>
      <w:pPr>
        <w:jc w:val="both"/>
        <w:ind w:right="80"/>
        <w:spacing w:after="0" w:line="241" w:lineRule="auto"/>
        <w:rPr>
          <w:sz w:val="20"/>
          <w:szCs w:val="20"/>
          <w:color w:val="auto"/>
        </w:rPr>
      </w:pPr>
      <w:r>
        <w:rPr>
          <w:rFonts w:ascii="Arial" w:cs="Arial" w:eastAsia="Arial" w:hAnsi="Arial"/>
          <w:sz w:val="18"/>
          <w:szCs w:val="18"/>
          <w:color w:val="auto"/>
        </w:rPr>
        <w:t>Total revenue for the fourth quarter of 2023 was $98.2 million, an increase of 22% compared to $80.3 million reported in the fourth quarter of 2022. Testing revenue was $90.4 million, an increase of 29% compared to $70.3 million in the fourth quarter of 2022, driven primarily by the strong performance of our Decipher Prostate and Afirma tests. Product revenue was $3.7 million, an increase of 13% compared to</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$3.2 million in the fourth quarter of 2022. Biopharmaceutical and other revenue was $4.1 million, a decrease of 39% compared to $6.8 million in the fourth quarter of 2022.</w:t>
      </w:r>
    </w:p>
    <w:p>
      <w:pPr>
        <w:spacing w:after="0" w:line="2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Total gross margin for the fourth quarter of 2023, including the amortization of acquired intangible assets, was 66%, compared to 61% in the fourth quarter of 2022. Non-GAAP gross margin, excluding the amortization of acquired intangible assets and other acquisition related expenses was 70%, compared to 67% in the fourth quarter of 2022.</w:t>
      </w:r>
    </w:p>
    <w:p>
      <w:pPr>
        <w:spacing w:after="0" w:line="25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Operating expenses, excluding cost of revenue, were $100.3 million, which included an impairment charge of $32.0 million associated with the impairment of HalioDx developed biopharmaceutical services technology,</w:t>
      </w:r>
    </w:p>
    <w:p>
      <w:pPr>
        <w:sectPr>
          <w:pgSz w:w="11900" w:h="16838" w:orient="portrait"/>
          <w:cols w:equalWidth="0" w:num="1">
            <w:col w:w="11240"/>
          </w:cols>
          <w:pgMar w:left="320" w:top="890" w:right="339" w:bottom="1440" w:gutter="0" w:footer="0" w:header="0"/>
        </w:sectPr>
      </w:pPr>
    </w:p>
    <w:bookmarkStart w:id="4" w:name="page5"/>
    <w:bookmarkEnd w:id="4"/>
    <w:p>
      <w:pPr>
        <w:spacing w:after="0" w:line="247" w:lineRule="auto"/>
        <w:rPr>
          <w:sz w:val="20"/>
          <w:szCs w:val="20"/>
          <w:color w:val="auto"/>
        </w:rPr>
      </w:pPr>
      <w:r>
        <w:rPr>
          <w:rFonts w:ascii="Arial" w:cs="Arial" w:eastAsia="Arial" w:hAnsi="Arial"/>
          <w:sz w:val="18"/>
          <w:szCs w:val="18"/>
          <w:color w:val="auto"/>
        </w:rPr>
        <w:t>customer relationships and customer backlog finite-lived intangible assets, compared to $54.1 million in the fourth quarter of 2022. Non-GAAP operating expenses, which excludes cost of revenue, amortization of acquired intangible assets, impairment charges, other acquisition related expenses and other restructuring costs, grew 28% to $65.6 million, including a technology access fee of $3.5 million to develop our IVD kitted tests on an NGS platform, compared to $51.1 million in the fourth quarter of 2022.</w:t>
      </w:r>
    </w:p>
    <w:p>
      <w:pPr>
        <w:spacing w:after="0" w:line="2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loss for the fourth quarter of 2023 was $28.3 million, and basic and diluted net loss per common share was $0.39, which includes the aforementioned $32.0 million impairment charge. Net cash provided by operating activities in the fourth quarter of 2023 was $15.6 million, an improvement of $5.8 million compared to the same period in 2022.</w:t>
      </w:r>
    </w:p>
    <w:p>
      <w:pPr>
        <w:spacing w:after="0" w:line="18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 Financial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2023 was $361.1 million, an increase of 22% compared to $296.5 million in 2022. Testing revenue was $326.5 million, an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increase of 30% compared to $250.5 million in 2022 driven primarily by the strong performance of our Decipher and Afirma tests. Product revenue was $15.6 million, an increase of 23% compared to $12.6 million in 2022. Biopharmaceutical and other revenue was $18.9 million, a</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decrease of 43% compared to $33.4 million in 2022, driven by the reduction of customer projects given overall spending constraints across the industry.</w:t>
      </w:r>
    </w:p>
    <w:p>
      <w:pPr>
        <w:spacing w:after="0" w:line="25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Total gross margin for the full year 2023, including the amortization of acquired intangible assets, was 64%, compared to 59% in 2022. Non-GAAP gross margin, excluding the amortization of acquired intangible assets and other acquisition related expenses was 69%, compared to 66% in 2022.</w:t>
      </w:r>
    </w:p>
    <w:p>
      <w:pPr>
        <w:spacing w:after="0" w:line="25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Operating expenses, excluding cost of revenue, were $315.5 million, an increase of 46% compared to $216.8 million in 2022. Non-GAAP operating expenses, which excludes cost of revenue, amortization of acquired intangible assets, impairment charges, other acquisition related expenses and other restructuring costs, grew 20% to $240.7 million compared to $200.3 million in 2022.</w:t>
      </w:r>
    </w:p>
    <w:p>
      <w:pPr>
        <w:spacing w:after="0" w:line="250"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Net loss for the full year 2023 was $ 74.4 million,and basic and diluted net loss per common share was $ 1.02,which includes impairment charges of $68.3 million in the year. Net cash provided by operating activities in 2023 was $44.2 million, an increase of $36.7 million compared to 2022.</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Financial Outlook</w:t>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222222"/>
        </w:rPr>
        <w:t>The company is maintaining full-year 2024 total revenue guidance of $394 million to $402 million and consistent with prior guidance, expects cash, cash equivalents and short-term investments at the end of the year to be $230 million to $234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0000FF"/>
        </w:rPr>
        <w:t>https://edge.media-server.com/mmc/p/tkiac6t9</w:t>
      </w:r>
      <w:r>
        <w:rPr>
          <w:rFonts w:ascii="Arial" w:cs="Arial" w:eastAsia="Arial" w:hAnsi="Arial"/>
          <w:sz w:val="18"/>
          <w:szCs w:val="18"/>
          <w:color w:val="000000"/>
        </w:rPr>
        <w:t>. The webcast should be accessed 10 minutes prior to the conference call start time. A replay</w:t>
      </w:r>
      <w:r>
        <w:rPr>
          <w:rFonts w:ascii="Arial" w:cs="Arial" w:eastAsia="Arial" w:hAnsi="Arial"/>
          <w:sz w:val="18"/>
          <w:szCs w:val="18"/>
          <w:color w:val="0000FF"/>
        </w:rPr>
        <w:t xml:space="preserve"> </w:t>
      </w:r>
      <w:r>
        <w:rPr>
          <w:rFonts w:ascii="Arial" w:cs="Arial" w:eastAsia="Arial" w:hAnsi="Arial"/>
          <w:sz w:val="18"/>
          <w:szCs w:val="18"/>
          <w:color w:val="000000"/>
        </w:rPr>
        <w:t xml:space="preserve">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r>
        <w:rPr>
          <w:rFonts w:ascii="Arial" w:cs="Arial" w:eastAsia="Arial" w:hAnsi="Arial"/>
          <w:sz w:val="18"/>
          <w:szCs w:val="18"/>
          <w:color w:val="0000FF"/>
        </w:rPr>
        <w:t>:</w:t>
      </w:r>
    </w:p>
    <w:p>
      <w:pPr>
        <w:spacing w:after="0"/>
        <w:rPr>
          <w:sz w:val="20"/>
          <w:szCs w:val="20"/>
          <w:color w:val="auto"/>
        </w:rPr>
      </w:pPr>
      <w:r>
        <w:rPr>
          <w:rFonts w:ascii="Arial" w:cs="Arial" w:eastAsia="Arial" w:hAnsi="Arial"/>
          <w:sz w:val="18"/>
          <w:szCs w:val="18"/>
          <w:color w:val="0000FF"/>
        </w:rPr>
        <w:t>https://register.vevent.com/register/BI38de228ea0a04e0ab786cfe56be5ca1b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w:t>
      </w:r>
    </w:p>
    <w:p>
      <w:pPr>
        <w:sectPr>
          <w:pgSz w:w="11900" w:h="16838" w:orient="portrait"/>
          <w:cols w:equalWidth="0" w:num="1">
            <w:col w:w="11220"/>
          </w:cols>
          <w:pgMar w:left="320" w:top="877" w:right="359" w:bottom="1440" w:gutter="0" w:footer="0" w:header="0"/>
        </w:sectPr>
      </w:pPr>
    </w:p>
    <w:bookmarkStart w:id="5" w:name="page6"/>
    <w:bookmarkEnd w:id="5"/>
    <w:p>
      <w:pPr>
        <w:ind w:right="180"/>
        <w:spacing w:after="0" w:line="261" w:lineRule="auto"/>
        <w:rPr>
          <w:sz w:val="20"/>
          <w:szCs w:val="20"/>
          <w:color w:val="auto"/>
        </w:rPr>
      </w:pPr>
      <w:r>
        <w:rPr>
          <w:rFonts w:ascii="Arial" w:cs="Arial" w:eastAsia="Arial" w:hAnsi="Arial"/>
          <w:sz w:val="18"/>
          <w:szCs w:val="18"/>
          <w:color w:val="222222"/>
        </w:rPr>
        <w:t>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For more information, please visit www.veracyte.com or follow us on LinkedIn or X (Twitter).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2024 financial and operating results; statements regarding the expected benefits of the acquisition of C2i Genomics; and our intentions with respect to our tests and products, for use in diagnosing and treating diseases, in and outside of the United States. Forward-looking statements can be identified by words such as: “appears,” “anticipate,” “intend,” “plan,” “expect,” “believe,” “should,” “may,” “will,” “enable,” “positioned,” “offers,” “designed” and similar references to future periods. Actual results may differ materially from those projected or suggested in any forward-looking statements. These statements involve risks and</w:t>
      </w:r>
    </w:p>
    <w:p>
      <w:pPr>
        <w:spacing w:after="0" w:line="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uncertainties, which could cause actual results to differ materially from our predictions, and include, but are not limited to: our ability to launch, commercialize and receive reimbursement for our products; our ability to execute on our business strategies relating to the C2i</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Genomics acquisition, integration the business and realize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and energy supply, as well as our facilities in France; the impact of foreign currency fluctuations, increasing interest rates, inflation, potential government shutdowns and turmoil in the global banking and finance system; and the performance and utility of our tests in the clinical environment. Additional factors that may impact these forward-looking statements can be found under the caption “Risk Factors” in our Annual Report on Form 10-K filed on March 1, 2023, and our Quarterly Report on Form 10-Q filed for the three months ended September 30, 2023, filed on November 8, 2023, </w:t>
      </w:r>
      <w:r>
        <w:rPr>
          <w:rFonts w:ascii="Arial" w:cs="Arial" w:eastAsia="Arial" w:hAnsi="Arial"/>
          <w:sz w:val="18"/>
          <w:szCs w:val="18"/>
          <w:color w:val="041B2E"/>
        </w:rPr>
        <w:t>as well as in other documents that we may file from time to time with the Securities and</w:t>
      </w:r>
      <w:r>
        <w:rPr>
          <w:rFonts w:ascii="Arial" w:cs="Arial" w:eastAsia="Arial" w:hAnsi="Arial"/>
          <w:sz w:val="18"/>
          <w:szCs w:val="18"/>
          <w:color w:val="auto"/>
        </w:rPr>
        <w:t xml:space="preserve"> </w:t>
      </w:r>
      <w:r>
        <w:rPr>
          <w:rFonts w:ascii="Arial" w:cs="Arial" w:eastAsia="Arial" w:hAnsi="Arial"/>
          <w:sz w:val="18"/>
          <w:szCs w:val="18"/>
          <w:color w:val="041B2E"/>
        </w:rPr>
        <w:t>Exchange Commission</w:t>
      </w:r>
      <w:r>
        <w:rPr>
          <w:rFonts w:ascii="Arial" w:cs="Arial" w:eastAsia="Arial" w:hAnsi="Arial"/>
          <w:sz w:val="18"/>
          <w:szCs w:val="18"/>
          <w:color w:val="000000"/>
        </w:rPr>
        <w:t>. Copies of these documents, when available, may be found in the Investors section of our website at</w:t>
      </w:r>
      <w:r>
        <w:rPr>
          <w:rFonts w:ascii="Arial" w:cs="Arial" w:eastAsia="Arial" w:hAnsi="Arial"/>
          <w:sz w:val="18"/>
          <w:szCs w:val="18"/>
          <w:color w:val="041B2E"/>
        </w:rPr>
        <w:t xml:space="preserve"> </w:t>
      </w:r>
      <w:r>
        <w:rPr>
          <w:rFonts w:ascii="Arial" w:cs="Arial" w:eastAsia="Arial" w:hAnsi="Arial"/>
          <w:sz w:val="18"/>
          <w:szCs w:val="18"/>
          <w:color w:val="000000"/>
        </w:rPr>
        <w:t>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Veracyte, the Veracyte logo, Decipher, C2i Genomics, and Afirma are registered trademarks of Veracyte, Inc., and its subsidiaries 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selected countries.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spacing w:after="0" w:line="210"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08"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HalioDx and C2i Genomics, impairment charges associated with the nCounter license and other biopharmaceutical services related HalioDx intangible assets and certain costs related to restructuring from certain of our non-GAAP measures. Management has excluded the effects of</w:t>
      </w:r>
    </w:p>
    <w:p>
      <w:pPr>
        <w:spacing w:after="0" w:line="1" w:lineRule="exact"/>
        <w:rPr>
          <w:sz w:val="20"/>
          <w:szCs w:val="20"/>
          <w:color w:val="auto"/>
        </w:rPr>
      </w:pPr>
    </w:p>
    <w:p>
      <w:pPr>
        <w:ind w:right="20"/>
        <w:spacing w:after="0" w:line="214" w:lineRule="exact"/>
        <w:rPr>
          <w:sz w:val="20"/>
          <w:szCs w:val="20"/>
          <w:color w:val="auto"/>
        </w:rPr>
      </w:pPr>
      <w:r>
        <w:rPr>
          <w:rFonts w:ascii="Arial" w:cs="Arial" w:eastAsia="Arial" w:hAnsi="Arial"/>
          <w:sz w:val="18"/>
          <w:szCs w:val="18"/>
          <w:color w:val="auto"/>
        </w:rPr>
        <w:t>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ectPr>
          <w:pgSz w:w="11900" w:h="16838" w:orient="portrait"/>
          <w:cols w:equalWidth="0" w:num="1">
            <w:col w:w="11220"/>
          </w:cols>
          <w:pgMar w:left="320" w:top="890" w:right="359" w:bottom="1440" w:gutter="0" w:footer="0" w:header="0"/>
        </w:sectPr>
      </w:pPr>
    </w:p>
    <w:bookmarkStart w:id="6" w:name="page7"/>
    <w:bookmarkEnd w:id="6"/>
    <w:p>
      <w:pPr>
        <w:spacing w:after="0" w:line="196" w:lineRule="exact"/>
        <w:rPr>
          <w:sz w:val="20"/>
          <w:szCs w:val="20"/>
          <w:color w:val="auto"/>
        </w:rPr>
      </w:pPr>
      <w:r>
        <w:rPr>
          <w:rFonts w:ascii="Arial" w:cs="Arial" w:eastAsia="Arial" w:hAnsi="Arial"/>
          <w:sz w:val="17"/>
          <w:szCs w:val="17"/>
          <w:color w:val="auto"/>
        </w:rPr>
        <w:t>Reconciliations between our GAAP results and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are presented in the tables of this release.</w:t>
      </w:r>
    </w:p>
    <w:p>
      <w:pPr>
        <w:sectPr>
          <w:pgSz w:w="11900" w:h="16838" w:orient="portrait"/>
          <w:cols w:equalWidth="0" w:num="1">
            <w:col w:w="10139"/>
          </w:cols>
          <w:pgMar w:left="320" w:top="837" w:right="1440" w:bottom="1440" w:gutter="0" w:footer="0" w:header="0"/>
        </w:sectPr>
      </w:pPr>
    </w:p>
    <w:bookmarkStart w:id="7" w:name="page8"/>
    <w:bookmarkEnd w:id="7"/>
    <w:p>
      <w:pPr>
        <w:spacing w:after="0" w:line="7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100"/>
              <w:spacing w:after="0"/>
              <w:rPr>
                <w:sz w:val="20"/>
                <w:szCs w:val="20"/>
                <w:color w:val="auto"/>
              </w:rPr>
            </w:pPr>
            <w:r>
              <w:rPr>
                <w:rFonts w:ascii="Arial" w:cs="Arial" w:eastAsia="Arial" w:hAnsi="Arial"/>
                <w:sz w:val="18"/>
                <w:szCs w:val="18"/>
                <w:color w:val="auto"/>
              </w:rPr>
              <w:t>Three Months Ended December</w:t>
            </w:r>
          </w:p>
        </w:tc>
        <w:tc>
          <w:tcPr>
            <w:tcW w:w="278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250,544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296,536</w:t>
            </w:r>
          </w:p>
        </w:tc>
        <w:tc>
          <w:tcPr>
            <w:tcW w:w="0" w:type="dxa"/>
            <w:vAlign w:val="bottom"/>
          </w:tcPr>
          <w:p>
            <w:pPr>
              <w:spacing w:after="0"/>
              <w:rPr>
                <w:sz w:val="1"/>
                <w:szCs w:val="1"/>
                <w:color w:val="auto"/>
              </w:rPr>
            </w:pPr>
          </w:p>
        </w:tc>
      </w:tr>
      <w:tr>
        <w:trPr>
          <w:trHeight w:val="461"/>
        </w:trPr>
        <w:tc>
          <w:tcPr>
            <w:tcW w:w="5200" w:type="dxa"/>
            <w:vAlign w:val="bottom"/>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75,317</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18,445</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40,603</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97,560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73,200</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21,354</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446,846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337,617</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(41,081)</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(36,427)</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line="182" w:lineRule="exact"/>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73,107,059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71,825,754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72,644,487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71,549,204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8" w:right="160" w:firstLine="8"/>
        <w:spacing w:after="0" w:line="287"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02" w:lineRule="exact"/>
        <w:rPr>
          <w:sz w:val="20"/>
          <w:szCs w:val="20"/>
          <w:color w:val="auto"/>
        </w:rPr>
      </w:pPr>
    </w:p>
    <w:tbl>
      <w:tblPr>
        <w:tblLayout w:type="fixed"/>
        <w:tblInd w:w="252"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2860" w:type="dxa"/>
            <w:vAlign w:val="bottom"/>
            <w:gridSpan w:val="7"/>
          </w:tcPr>
          <w:p>
            <w:pPr>
              <w:ind w:left="100"/>
              <w:spacing w:after="0"/>
              <w:rPr>
                <w:sz w:val="20"/>
                <w:szCs w:val="20"/>
                <w:color w:val="auto"/>
              </w:rPr>
            </w:pPr>
            <w:r>
              <w:rPr>
                <w:rFonts w:ascii="Arial" w:cs="Arial" w:eastAsia="Arial" w:hAnsi="Arial"/>
                <w:sz w:val="18"/>
                <w:szCs w:val="18"/>
                <w:color w:val="auto"/>
              </w:rPr>
              <w:t>Three Months Ended December</w:t>
            </w: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42"/>
        </w:trPr>
        <w:tc>
          <w:tcPr>
            <w:tcW w:w="5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31</w:t>
            </w:r>
          </w:p>
        </w:tc>
        <w:tc>
          <w:tcPr>
            <w:tcW w:w="1040" w:type="dxa"/>
            <w:vAlign w:val="bottom"/>
            <w:tcBorders>
              <w:bottom w:val="single" w:sz="8" w:color="auto"/>
            </w:tcBorders>
          </w:tcPr>
          <w:p>
            <w:pPr>
              <w:spacing w:after="0"/>
              <w:rPr>
                <w:sz w:val="21"/>
                <w:szCs w:val="21"/>
                <w:color w:val="auto"/>
              </w:rPr>
            </w:pPr>
          </w:p>
        </w:tc>
      </w:tr>
      <w:tr>
        <w:trPr>
          <w:trHeight w:val="236"/>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1,355</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6,132</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w:t>
            </w: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27,456</w:t>
            </w:r>
          </w:p>
        </w:tc>
      </w:tr>
      <w:tr>
        <w:trPr>
          <w:trHeight w:val="21"/>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12"/>
          </w:cols>
          <w:pgMar w:left="328" w:top="1440"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00" w:type="dxa"/>
            <w:vAlign w:val="bottom"/>
            <w:gridSpan w:val="6"/>
            <w:vMerge w:val="restart"/>
          </w:tcPr>
          <w:p>
            <w:pPr>
              <w:ind w:left="40"/>
              <w:spacing w:after="0"/>
              <w:rPr>
                <w:sz w:val="20"/>
                <w:szCs w:val="20"/>
                <w:color w:val="auto"/>
              </w:rPr>
            </w:pPr>
            <w:r>
              <w:rPr>
                <w:rFonts w:ascii="Arial" w:cs="Arial" w:eastAsia="Arial" w:hAnsi="Arial"/>
                <w:sz w:val="18"/>
                <w:szCs w:val="18"/>
                <w:color w:val="auto"/>
              </w:rPr>
              <w:t>Three Months Ended December 31</w:t>
            </w:r>
          </w:p>
        </w:tc>
        <w:tc>
          <w:tcPr>
            <w:tcW w:w="120" w:type="dxa"/>
            <w:vAlign w:val="bottom"/>
          </w:tcPr>
          <w:p>
            <w:pPr>
              <w:spacing w:after="0"/>
              <w:rPr>
                <w:sz w:val="17"/>
                <w:szCs w:val="17"/>
                <w:color w:val="auto"/>
              </w:rPr>
            </w:pPr>
          </w:p>
        </w:tc>
        <w:tc>
          <w:tcPr>
            <w:tcW w:w="278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Twelve Months Ended December</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3000" w:type="dxa"/>
            <w:vAlign w:val="bottom"/>
            <w:gridSpan w:val="6"/>
            <w:vMerge w:val="continue"/>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8"/>
                <w:szCs w:val="18"/>
                <w:color w:val="auto"/>
              </w:rPr>
              <w:t>31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(74,404)</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(36,560)</w:t>
            </w:r>
          </w:p>
        </w:tc>
        <w:tc>
          <w:tcPr>
            <w:tcW w:w="0" w:type="dxa"/>
            <w:vAlign w:val="bottom"/>
          </w:tcPr>
          <w:p>
            <w:pPr>
              <w:spacing w:after="0"/>
              <w:rPr>
                <w:sz w:val="1"/>
                <w:szCs w:val="1"/>
                <w:color w:val="auto"/>
              </w:rPr>
            </w:pP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(16,263)</w:t>
            </w: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(52,823)</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1800" w:type="dxa"/>
            <w:vAlign w:val="bottom"/>
          </w:tcPr>
          <w:p>
            <w:pPr>
              <w:jc w:val="center"/>
              <w:ind w:right="25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216,454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154,247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24,605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44,021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285,621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248,636</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13,160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88,593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174,866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702,984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695,891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11,911</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37,774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62,614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81,222</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1,044,102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1,075,200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2022 has been derived from the audited financial statements at that date included in the Company's Form 10-K filed with the Securities and Exchange Commission dated March 1, 2023.</w:t>
      </w:r>
    </w:p>
    <w:p>
      <w:pPr>
        <w:sectPr>
          <w:pgSz w:w="11900" w:h="16838" w:orient="portrait"/>
          <w:cols w:equalWidth="0" w:num="1">
            <w:col w:w="10940"/>
          </w:cols>
          <w:pgMar w:left="480" w:top="1025"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8"/>
              </w:rPr>
              <w:t>Twelve Months Ended December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(74,404)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(36,560)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26,734</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(33,519)</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12,681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(18,358)</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216,454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154,247</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r>
      <w:tr>
        <w:trPr>
          <w:trHeight w:val="21"/>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U.S. GAAP to Non-GAAP Financial Measures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Identified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GAAP</w:t>
            </w:r>
          </w:p>
        </w:tc>
        <w:tc>
          <w:tcPr>
            <w:tcW w:w="1480" w:type="dxa"/>
            <w:vAlign w:val="bottom"/>
            <w:gridSpan w:val="2"/>
          </w:tcPr>
          <w:p>
            <w:pPr>
              <w:jc w:val="right"/>
              <w:ind w:right="8"/>
              <w:spacing w:after="0" w:line="147" w:lineRule="exact"/>
              <w:rPr>
                <w:sz w:val="20"/>
                <w:szCs w:val="20"/>
                <w:color w:val="auto"/>
              </w:rPr>
            </w:pPr>
            <w:r>
              <w:rPr>
                <w:rFonts w:ascii="Arial" w:cs="Arial" w:eastAsia="Arial" w:hAnsi="Arial"/>
                <w:sz w:val="14"/>
                <w:szCs w:val="14"/>
                <w:b w:val="1"/>
                <w:bCs w:val="1"/>
                <w:color w:val="auto"/>
              </w:rPr>
              <w:t>Acquisition Related</w:t>
            </w:r>
          </w:p>
        </w:tc>
        <w:tc>
          <w:tcPr>
            <w:tcW w:w="220" w:type="dxa"/>
            <w:vAlign w:val="bottom"/>
          </w:tcPr>
          <w:p>
            <w:pPr>
              <w:spacing w:after="0"/>
              <w:rPr>
                <w:sz w:val="12"/>
                <w:szCs w:val="12"/>
                <w:color w:val="auto"/>
              </w:rPr>
            </w:pPr>
          </w:p>
        </w:tc>
        <w:tc>
          <w:tcPr>
            <w:tcW w:w="146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Intangible Assets</w:t>
            </w:r>
          </w:p>
        </w:tc>
        <w:tc>
          <w:tcPr>
            <w:tcW w:w="18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 (4)</w:t>
            </w:r>
          </w:p>
        </w:tc>
        <w:tc>
          <w:tcPr>
            <w:tcW w:w="220" w:type="dxa"/>
            <w:vAlign w:val="bottom"/>
          </w:tcPr>
          <w:p>
            <w:pPr>
              <w:spacing w:after="0"/>
              <w:rPr>
                <w:sz w:val="12"/>
                <w:szCs w:val="12"/>
                <w:color w:val="auto"/>
              </w:rPr>
            </w:pPr>
          </w:p>
        </w:tc>
        <w:tc>
          <w:tcPr>
            <w:tcW w:w="1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Non-GAAP Measure</w:t>
            </w:r>
          </w:p>
        </w:tc>
        <w:tc>
          <w:tcPr>
            <w:tcW w:w="0" w:type="dxa"/>
            <w:vAlign w:val="bottom"/>
          </w:tcPr>
          <w:p>
            <w:pPr>
              <w:spacing w:after="0"/>
              <w:rPr>
                <w:sz w:val="1"/>
                <w:szCs w:val="1"/>
                <w:color w:val="auto"/>
              </w:rPr>
            </w:pPr>
          </w:p>
        </w:tc>
      </w:tr>
      <w:tr>
        <w:trPr>
          <w:trHeight w:val="185"/>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December 31, 2023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Expenses (1)</w:t>
            </w: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 Expense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98,199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98,199</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24,105</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24,105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1,753</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3,518</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4,035</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64,788</w:t>
            </w:r>
          </w:p>
        </w:tc>
        <w:tc>
          <w:tcPr>
            <w:tcW w:w="18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4,035</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68,823</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66 %</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18,673</w:t>
            </w:r>
          </w:p>
        </w:tc>
        <w:tc>
          <w:tcPr>
            <w:tcW w:w="18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18,673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25,260</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24,966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23,795</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1,867</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21,928</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32,039</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32,039</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528</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100,295</w:t>
            </w:r>
          </w:p>
        </w:tc>
        <w:tc>
          <w:tcPr>
            <w:tcW w:w="18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2,161</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528</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32,039</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65,567</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(35,507)</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December 31, 2022</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80,297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80,297</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19,394</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19,344</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2,618</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4,819</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4,755</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4,747</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4,747</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48,719</w:t>
            </w:r>
          </w:p>
        </w:tc>
        <w:tc>
          <w:tcPr>
            <w:tcW w:w="18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4,747</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53,580</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61 %</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11,287</w:t>
            </w:r>
          </w:p>
        </w:tc>
        <w:tc>
          <w:tcPr>
            <w:tcW w:w="18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2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11,055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24,127</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917</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23,210</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18,208</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1,368</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16,840</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517</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54,139</w:t>
            </w:r>
          </w:p>
        </w:tc>
        <w:tc>
          <w:tcPr>
            <w:tcW w:w="18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2,517</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51,105</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(5,420)</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right="180" w:hanging="240"/>
        <w:spacing w:after="0" w:line="231"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transaction related expenses as well as post-combination compensation expenses. For each of the three months ended December 31, 2022, and December 31, 2023, adjustments consist primarily of remeasurement of contingent consideration related to our adoption of a multi-platform IVD strategy and post-combination compensation expenses associated with the acquisition of HalioDx. For the three months ended December 31, 2023 adjustments include the transaction related expenses associated with the acquisition of C2i Genomics.</w:t>
      </w:r>
    </w:p>
    <w:p>
      <w:pPr>
        <w:spacing w:after="0" w:line="14" w:lineRule="exact"/>
        <w:rPr>
          <w:rFonts w:ascii="Arial" w:cs="Arial" w:eastAsia="Arial" w:hAnsi="Arial"/>
          <w:sz w:val="14"/>
          <w:szCs w:val="14"/>
          <w:color w:val="auto"/>
        </w:rPr>
      </w:pPr>
    </w:p>
    <w:p>
      <w:pPr>
        <w:ind w:left="240" w:right="340" w:hanging="240"/>
        <w:spacing w:after="0" w:line="252"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only amortization of intangible assets identified as developed technology assets through purchase accounting transactions, which otherwise would have been allocated to cost of revenue.</w:t>
      </w:r>
    </w:p>
    <w:p>
      <w:pPr>
        <w:ind w:left="240" w:right="220" w:hanging="240"/>
        <w:spacing w:after="0" w:line="234"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only amortization of intangible assets, which otherwise would have been allocated to research and development, selling and marketing or general and administrative expense and excludes the cost of revenue ($29.4 million and $26.8 million) and the amortization of intangible assets which would have been allocated to the cost of revenue ($4.0 million and $4.7 million) for the three months ended December 31, 2023 and for the three months ended December 31, 2022 respectively.</w:t>
      </w:r>
    </w:p>
    <w:p>
      <w:pPr>
        <w:spacing w:after="0" w:line="13" w:lineRule="exact"/>
        <w:rPr>
          <w:rFonts w:ascii="Arial" w:cs="Arial" w:eastAsia="Arial" w:hAnsi="Arial"/>
          <w:sz w:val="14"/>
          <w:szCs w:val="14"/>
          <w:color w:val="auto"/>
        </w:rPr>
      </w:pPr>
    </w:p>
    <w:p>
      <w:pPr>
        <w:ind w:left="240" w:right="660" w:hanging="240"/>
        <w:spacing w:after="0" w:line="264"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December 31, 2023, includes $32.0 million expense related to the impairment charge associated with HalioDx developed technology, customer relationships and customer backlog finite-lived intangible assets.</w:t>
      </w:r>
    </w:p>
    <w:p>
      <w:pPr>
        <w:sectPr>
          <w:pgSz w:w="11900" w:h="16838" w:orient="portrait"/>
          <w:cols w:equalWidth="0" w:num="1">
            <w:col w:w="11080"/>
          </w:cols>
          <w:pgMar w:left="420" w:top="1183" w:right="3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6"/>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U.S. GAAP to Non-GAAP Financial Measures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Identified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GAAP</w:t>
            </w:r>
          </w:p>
        </w:tc>
        <w:tc>
          <w:tcPr>
            <w:tcW w:w="1480" w:type="dxa"/>
            <w:vAlign w:val="bottom"/>
            <w:gridSpan w:val="2"/>
          </w:tcPr>
          <w:p>
            <w:pPr>
              <w:jc w:val="right"/>
              <w:ind w:right="8"/>
              <w:spacing w:after="0" w:line="147" w:lineRule="exact"/>
              <w:rPr>
                <w:sz w:val="20"/>
                <w:szCs w:val="20"/>
                <w:color w:val="auto"/>
              </w:rPr>
            </w:pPr>
            <w:r>
              <w:rPr>
                <w:rFonts w:ascii="Arial" w:cs="Arial" w:eastAsia="Arial" w:hAnsi="Arial"/>
                <w:sz w:val="14"/>
                <w:szCs w:val="14"/>
                <w:b w:val="1"/>
                <w:bCs w:val="1"/>
                <w:color w:val="auto"/>
              </w:rPr>
              <w:t>Acquisition Related</w:t>
            </w:r>
          </w:p>
        </w:tc>
        <w:tc>
          <w:tcPr>
            <w:tcW w:w="220" w:type="dxa"/>
            <w:vAlign w:val="bottom"/>
          </w:tcPr>
          <w:p>
            <w:pPr>
              <w:spacing w:after="0"/>
              <w:rPr>
                <w:sz w:val="12"/>
                <w:szCs w:val="12"/>
                <w:color w:val="auto"/>
              </w:rPr>
            </w:pPr>
          </w:p>
        </w:tc>
        <w:tc>
          <w:tcPr>
            <w:tcW w:w="146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Intangible Assets</w:t>
            </w:r>
          </w:p>
        </w:tc>
        <w:tc>
          <w:tcPr>
            <w:tcW w:w="18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 (4)</w:t>
            </w:r>
          </w:p>
        </w:tc>
        <w:tc>
          <w:tcPr>
            <w:tcW w:w="220" w:type="dxa"/>
            <w:vAlign w:val="bottom"/>
          </w:tcPr>
          <w:p>
            <w:pPr>
              <w:spacing w:after="0"/>
              <w:rPr>
                <w:sz w:val="12"/>
                <w:szCs w:val="12"/>
                <w:color w:val="auto"/>
              </w:rPr>
            </w:pPr>
          </w:p>
        </w:tc>
        <w:tc>
          <w:tcPr>
            <w:tcW w:w="1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Non-GAAP Measure</w:t>
            </w:r>
          </w:p>
        </w:tc>
        <w:tc>
          <w:tcPr>
            <w:tcW w:w="0" w:type="dxa"/>
            <w:vAlign w:val="bottom"/>
          </w:tcPr>
          <w:p>
            <w:pPr>
              <w:spacing w:after="0"/>
              <w:rPr>
                <w:sz w:val="1"/>
                <w:szCs w:val="1"/>
                <w:color w:val="auto"/>
              </w:rPr>
            </w:pPr>
          </w:p>
        </w:tc>
      </w:tr>
      <w:tr>
        <w:trPr>
          <w:trHeight w:val="185"/>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Twelve Months Ended December 31, 2023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Expenses (1)</w:t>
            </w: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 Expense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361,051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361,051</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88,913</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88,830</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8,666</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15,324</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15,230</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18,464</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18,464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229,684</w:t>
            </w:r>
          </w:p>
        </w:tc>
        <w:tc>
          <w:tcPr>
            <w:tcW w:w="18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18,464</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248,325</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64 %</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472"/>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57,305</w:t>
            </w:r>
          </w:p>
        </w:tc>
        <w:tc>
          <w:tcPr>
            <w:tcW w:w="18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57,247</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101,490</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2,610</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98,880</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86,229</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1,371</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84,529</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68,349</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68,349</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2,106</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315,479</w:t>
            </w:r>
          </w:p>
        </w:tc>
        <w:tc>
          <w:tcPr>
            <w:tcW w:w="18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2,997</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2,106</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69,720</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240,656</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(85,795)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3,174</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69,720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7,669</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Twelve Months Ended December 31, 2022</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296,536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296,536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75,317</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75,096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7,820</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18,445</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18,120</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19,273</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19,273</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175,681</w:t>
            </w:r>
          </w:p>
        </w:tc>
        <w:tc>
          <w:tcPr>
            <w:tcW w:w="18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2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19,273</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195,503</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59 %</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473"/>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40,603</w:t>
            </w:r>
          </w:p>
        </w:tc>
        <w:tc>
          <w:tcPr>
            <w:tcW w:w="18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1,418</w:t>
            </w:r>
          </w:p>
        </w:tc>
        <w:tc>
          <w:tcPr>
            <w:tcW w:w="2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39,185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97,560</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3,914</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93,153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73,200</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5,245</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67,955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3,318</w:t>
            </w:r>
          </w:p>
        </w:tc>
        <w:tc>
          <w:tcPr>
            <w:tcW w:w="1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3,318</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2,081</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2,081</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216,762</w:t>
            </w:r>
          </w:p>
        </w:tc>
        <w:tc>
          <w:tcPr>
            <w:tcW w:w="18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10,577</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2,081</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3,811</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200,293</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(41,081)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11,105</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(4,790)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right="380" w:hanging="240"/>
        <w:spacing w:after="0" w:line="235" w:lineRule="auto"/>
        <w:tabs>
          <w:tab w:leader="none" w:pos="15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transaction related expenses as well as post-combination compensation expenses, adjustments consist primarily remeasurement of contingent consideration related to our adoption of a multi-platform IVD strategy, post-combination compensation expenses associated with the acquisition of HalioDx and transaction related expenses associated with the acquisition of C2i Genomics.</w:t>
      </w:r>
    </w:p>
    <w:p>
      <w:pPr>
        <w:spacing w:after="0" w:line="13" w:lineRule="exact"/>
        <w:rPr>
          <w:rFonts w:ascii="Arial" w:cs="Arial" w:eastAsia="Arial" w:hAnsi="Arial"/>
          <w:sz w:val="14"/>
          <w:szCs w:val="14"/>
          <w:color w:val="auto"/>
        </w:rPr>
      </w:pPr>
    </w:p>
    <w:p>
      <w:pPr>
        <w:ind w:left="240" w:right="340" w:hanging="240"/>
        <w:spacing w:after="0" w:line="252" w:lineRule="auto"/>
        <w:tabs>
          <w:tab w:leader="none" w:pos="15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only amortization of intangible assets identified as developed technology assets through purchase accounting transactions, which otherwise would have been allocated to cost of revenue.</w:t>
      </w:r>
    </w:p>
    <w:p>
      <w:pPr>
        <w:ind w:left="240" w:right="280" w:hanging="240"/>
        <w:spacing w:after="0" w:line="234" w:lineRule="auto"/>
        <w:tabs>
          <w:tab w:leader="none" w:pos="15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only amortization of intangible assets, which otherwise would have been allocated to research and development, selling and marketing or general and administrative expense and excludes the cost of revenue ($112.9 and $101.6 million) and the amortization of intangible assets which would have been allocated to the cost of revenue ($18.5 and $19.3 million) for the full year 2023 and 2022 respectively.</w:t>
      </w:r>
    </w:p>
    <w:p>
      <w:pPr>
        <w:spacing w:after="0" w:line="13" w:lineRule="exact"/>
        <w:rPr>
          <w:rFonts w:ascii="Arial" w:cs="Arial" w:eastAsia="Arial" w:hAnsi="Arial"/>
          <w:sz w:val="14"/>
          <w:szCs w:val="14"/>
          <w:color w:val="auto"/>
        </w:rPr>
      </w:pPr>
    </w:p>
    <w:p>
      <w:pPr>
        <w:ind w:left="240" w:right="120" w:hanging="240"/>
        <w:spacing w:after="0" w:line="231" w:lineRule="auto"/>
        <w:tabs>
          <w:tab w:leader="none" w:pos="157" w:val="left"/>
        </w:tabs>
        <w:numPr>
          <w:ilvl w:val="0"/>
          <w:numId w:val="6"/>
        </w:numPr>
        <w:rPr>
          <w:rFonts w:ascii="Arial" w:cs="Arial" w:eastAsia="Arial" w:hAnsi="Arial"/>
          <w:sz w:val="14"/>
          <w:szCs w:val="14"/>
          <w:color w:val="auto"/>
        </w:rPr>
      </w:pPr>
      <w:r>
        <w:rPr>
          <w:rFonts w:ascii="Arial" w:cs="Arial" w:eastAsia="Arial" w:hAnsi="Arial"/>
          <w:sz w:val="14"/>
          <w:szCs w:val="14"/>
          <w:color w:val="auto"/>
        </w:rPr>
        <w:t>2022 includes $3.3 million expense related to the impairment charge associated with certain developed technology intangible assets; 2023 includes $34.9 million expense related to the impairment charge associated with the nCounter license intangible assets, $32.0 million related to the impairment charge associated with HalioDx developed technology, customer relationships and customer backlog finite-lived intangible assets, $1.4 million related to the departure of the former executive chair and $1.4 million related to restructuring costs.</w:t>
      </w:r>
    </w:p>
    <w:p>
      <w:pPr>
        <w:sectPr>
          <w:pgSz w:w="11900" w:h="16838" w:orient="portrait"/>
          <w:cols w:equalWidth="0" w:num="1">
            <w:col w:w="11080"/>
          </w:cols>
          <w:pgMar w:left="420" w:top="940" w:right="399" w:bottom="1440" w:gutter="0" w:footer="0" w:header="0"/>
        </w:sectPr>
      </w:pPr>
    </w:p>
    <w:bookmarkStart w:id="14" w:name="page15"/>
    <w:bookmarkEnd w:id="14"/>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650-380-4413</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2024-02-22T15:22:53Z</dcterms:created>
  <dcterms:modified xsi:type="dcterms:W3CDTF">2024-02-22T15:22:53Z</dcterms:modified>
</cp:coreProperties>
</file>