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March 1, 2017</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S - 8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6"/>
          <w:szCs w:val="36"/>
          <w:color w:val="auto"/>
        </w:rPr>
        <w:t>Veracyte,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10" w:lineRule="exact"/>
        <w:rPr>
          <w:sz w:val="24"/>
          <w:szCs w:val="24"/>
          <w:color w:val="auto"/>
        </w:rPr>
      </w:pPr>
    </w:p>
    <w:tbl>
      <w:tblPr>
        <w:tblLayout w:type="fixed"/>
        <w:tblInd w:w="260" w:type="dxa"/>
        <w:tblCellMar>
          <w:top w:w="0" w:type="dxa"/>
          <w:left w:w="0" w:type="dxa"/>
          <w:bottom w:w="0" w:type="dxa"/>
          <w:right w:w="0" w:type="dxa"/>
        </w:tblCellMar>
      </w:tblPr>
      <w:tr>
        <w:trPr>
          <w:trHeight w:val="216"/>
        </w:trPr>
        <w:tc>
          <w:tcPr>
            <w:tcW w:w="7280" w:type="dxa"/>
            <w:vAlign w:val="bottom"/>
          </w:tcPr>
          <w:p>
            <w:pPr>
              <w:jc w:val="center"/>
              <w:ind w:right="2530"/>
              <w:spacing w:after="0"/>
              <w:rPr>
                <w:sz w:val="20"/>
                <w:szCs w:val="20"/>
                <w:color w:val="auto"/>
              </w:rPr>
            </w:pPr>
            <w:r>
              <w:rPr>
                <w:rFonts w:ascii="Arial" w:cs="Arial" w:eastAsia="Arial" w:hAnsi="Arial"/>
                <w:sz w:val="18"/>
                <w:szCs w:val="18"/>
                <w:color w:val="auto"/>
                <w:w w:val="92"/>
              </w:rPr>
              <w:t>Delaware</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20-5455398</w:t>
            </w:r>
          </w:p>
        </w:tc>
      </w:tr>
      <w:tr>
        <w:trPr>
          <w:trHeight w:val="216"/>
        </w:trPr>
        <w:tc>
          <w:tcPr>
            <w:tcW w:w="7280" w:type="dxa"/>
            <w:vAlign w:val="bottom"/>
          </w:tcPr>
          <w:p>
            <w:pPr>
              <w:jc w:val="center"/>
              <w:ind w:right="2530"/>
              <w:spacing w:after="0"/>
              <w:rPr>
                <w:sz w:val="20"/>
                <w:szCs w:val="20"/>
                <w:color w:val="auto"/>
              </w:rPr>
            </w:pPr>
            <w:r>
              <w:rPr>
                <w:rFonts w:ascii="Arial" w:cs="Arial" w:eastAsia="Arial" w:hAnsi="Arial"/>
                <w:sz w:val="18"/>
                <w:szCs w:val="18"/>
                <w:color w:val="auto"/>
                <w:w w:val="93"/>
              </w:rPr>
              <w:t>(State or other jurisdiction of</w:t>
            </w:r>
          </w:p>
        </w:tc>
        <w:tc>
          <w:tcPr>
            <w:tcW w:w="1880" w:type="dxa"/>
            <w:vAlign w:val="bottom"/>
          </w:tcPr>
          <w:p>
            <w:pPr>
              <w:jc w:val="center"/>
              <w:ind w:left="510"/>
              <w:spacing w:after="0"/>
              <w:rPr>
                <w:sz w:val="20"/>
                <w:szCs w:val="20"/>
                <w:color w:val="auto"/>
              </w:rPr>
            </w:pPr>
            <w:r>
              <w:rPr>
                <w:rFonts w:ascii="Arial" w:cs="Arial" w:eastAsia="Arial" w:hAnsi="Arial"/>
                <w:sz w:val="18"/>
                <w:szCs w:val="18"/>
                <w:color w:val="auto"/>
                <w:w w:val="93"/>
              </w:rPr>
              <w:t>(I.R.S. Employer</w:t>
            </w:r>
          </w:p>
        </w:tc>
      </w:tr>
      <w:tr>
        <w:trPr>
          <w:trHeight w:val="230"/>
        </w:trPr>
        <w:tc>
          <w:tcPr>
            <w:tcW w:w="7280" w:type="dxa"/>
            <w:vAlign w:val="bottom"/>
          </w:tcPr>
          <w:p>
            <w:pPr>
              <w:jc w:val="center"/>
              <w:ind w:right="2530"/>
              <w:spacing w:after="0"/>
              <w:rPr>
                <w:sz w:val="20"/>
                <w:szCs w:val="20"/>
                <w:color w:val="auto"/>
              </w:rPr>
            </w:pPr>
            <w:r>
              <w:rPr>
                <w:rFonts w:ascii="Arial" w:cs="Arial" w:eastAsia="Arial" w:hAnsi="Arial"/>
                <w:sz w:val="18"/>
                <w:szCs w:val="18"/>
                <w:color w:val="auto"/>
                <w:w w:val="93"/>
              </w:rPr>
              <w:t>incorporation or organization)</w:t>
            </w:r>
          </w:p>
        </w:tc>
        <w:tc>
          <w:tcPr>
            <w:tcW w:w="1880" w:type="dxa"/>
            <w:vAlign w:val="bottom"/>
          </w:tcPr>
          <w:p>
            <w:pPr>
              <w:ind w:left="540"/>
              <w:spacing w:after="0"/>
              <w:rPr>
                <w:sz w:val="20"/>
                <w:szCs w:val="20"/>
                <w:color w:val="auto"/>
              </w:rPr>
            </w:pPr>
            <w:r>
              <w:rPr>
                <w:rFonts w:ascii="Arial" w:cs="Arial" w:eastAsia="Arial" w:hAnsi="Arial"/>
                <w:sz w:val="18"/>
                <w:szCs w:val="18"/>
                <w:color w:val="auto"/>
                <w:w w:val="94"/>
              </w:rPr>
              <w:t>Identification No.)</w:t>
            </w:r>
          </w:p>
        </w:tc>
      </w:tr>
      <w:tr>
        <w:trPr>
          <w:trHeight w:val="472"/>
        </w:trPr>
        <w:tc>
          <w:tcPr>
            <w:tcW w:w="7280" w:type="dxa"/>
            <w:vAlign w:val="bottom"/>
          </w:tcPr>
          <w:p>
            <w:pPr>
              <w:jc w:val="center"/>
              <w:ind w:right="2530"/>
              <w:spacing w:after="0"/>
              <w:rPr>
                <w:sz w:val="20"/>
                <w:szCs w:val="20"/>
                <w:color w:val="auto"/>
              </w:rPr>
            </w:pPr>
            <w:r>
              <w:rPr>
                <w:rFonts w:ascii="Arial" w:cs="Arial" w:eastAsia="Arial" w:hAnsi="Arial"/>
                <w:sz w:val="18"/>
                <w:szCs w:val="18"/>
                <w:color w:val="auto"/>
                <w:w w:val="91"/>
              </w:rPr>
              <w:t>6000 Shoreline Court, Suite 300</w:t>
            </w:r>
          </w:p>
        </w:tc>
        <w:tc>
          <w:tcPr>
            <w:tcW w:w="1880" w:type="dxa"/>
            <w:vAlign w:val="bottom"/>
          </w:tcPr>
          <w:p>
            <w:pPr>
              <w:spacing w:after="0"/>
              <w:rPr>
                <w:sz w:val="24"/>
                <w:szCs w:val="24"/>
                <w:color w:val="auto"/>
              </w:rPr>
            </w:pPr>
          </w:p>
        </w:tc>
      </w:tr>
      <w:tr>
        <w:trPr>
          <w:trHeight w:val="216"/>
        </w:trPr>
        <w:tc>
          <w:tcPr>
            <w:tcW w:w="7280" w:type="dxa"/>
            <w:vAlign w:val="bottom"/>
          </w:tcPr>
          <w:p>
            <w:pPr>
              <w:jc w:val="center"/>
              <w:ind w:right="2530"/>
              <w:spacing w:after="0"/>
              <w:rPr>
                <w:sz w:val="20"/>
                <w:szCs w:val="20"/>
                <w:color w:val="auto"/>
              </w:rPr>
            </w:pPr>
            <w:r>
              <w:rPr>
                <w:rFonts w:ascii="Arial" w:cs="Arial" w:eastAsia="Arial" w:hAnsi="Arial"/>
                <w:sz w:val="18"/>
                <w:szCs w:val="18"/>
                <w:color w:val="auto"/>
                <w:w w:val="91"/>
              </w:rPr>
              <w:t>South San Francisco, California (Address of Principal Executive</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94080</w:t>
            </w:r>
          </w:p>
        </w:tc>
      </w:tr>
      <w:tr>
        <w:trPr>
          <w:trHeight w:val="230"/>
        </w:trPr>
        <w:tc>
          <w:tcPr>
            <w:tcW w:w="7280" w:type="dxa"/>
            <w:vAlign w:val="bottom"/>
          </w:tcPr>
          <w:p>
            <w:pPr>
              <w:jc w:val="center"/>
              <w:ind w:right="2530"/>
              <w:spacing w:after="0"/>
              <w:rPr>
                <w:sz w:val="20"/>
                <w:szCs w:val="20"/>
                <w:color w:val="auto"/>
              </w:rPr>
            </w:pPr>
            <w:r>
              <w:rPr>
                <w:rFonts w:ascii="Arial" w:cs="Arial" w:eastAsia="Arial" w:hAnsi="Arial"/>
                <w:sz w:val="18"/>
                <w:szCs w:val="18"/>
                <w:color w:val="auto"/>
                <w:w w:val="93"/>
              </w:rPr>
              <w:t>Offices)</w:t>
            </w:r>
          </w:p>
        </w:tc>
        <w:tc>
          <w:tcPr>
            <w:tcW w:w="1880" w:type="dxa"/>
            <w:vAlign w:val="bottom"/>
          </w:tcPr>
          <w:p>
            <w:pPr>
              <w:jc w:val="center"/>
              <w:ind w:left="470"/>
              <w:spacing w:after="0"/>
              <w:rPr>
                <w:sz w:val="20"/>
                <w:szCs w:val="20"/>
                <w:color w:val="auto"/>
              </w:rPr>
            </w:pPr>
            <w:r>
              <w:rPr>
                <w:rFonts w:ascii="Arial" w:cs="Arial" w:eastAsia="Arial" w:hAnsi="Arial"/>
                <w:sz w:val="18"/>
                <w:szCs w:val="18"/>
                <w:color w:val="auto"/>
                <w:w w:val="94"/>
              </w:rPr>
              <w:t>(Zip Code)</w:t>
            </w:r>
          </w:p>
        </w:tc>
      </w:tr>
      <w:tr>
        <w:trPr>
          <w:trHeight w:val="270"/>
        </w:trPr>
        <w:tc>
          <w:tcPr>
            <w:tcW w:w="7280" w:type="dxa"/>
            <w:vAlign w:val="bottom"/>
          </w:tcPr>
          <w:p>
            <w:pPr>
              <w:jc w:val="center"/>
              <w:ind w:left="3210"/>
              <w:spacing w:after="0"/>
              <w:rPr>
                <w:sz w:val="20"/>
                <w:szCs w:val="20"/>
                <w:color w:val="auto"/>
              </w:rPr>
            </w:pPr>
            <w:r>
              <w:rPr>
                <w:rFonts w:ascii="Arial" w:cs="Arial" w:eastAsia="Arial" w:hAnsi="Arial"/>
                <w:sz w:val="18"/>
                <w:szCs w:val="18"/>
                <w:color w:val="auto"/>
                <w:w w:val="90"/>
              </w:rPr>
              <w:t>Veracyte, Inc. 2013 Stock Incentive Plan</w:t>
            </w:r>
          </w:p>
        </w:tc>
        <w:tc>
          <w:tcPr>
            <w:tcW w:w="1880" w:type="dxa"/>
            <w:vAlign w:val="bottom"/>
          </w:tcPr>
          <w:p>
            <w:pPr>
              <w:spacing w:after="0"/>
              <w:rPr>
                <w:sz w:val="23"/>
                <w:szCs w:val="23"/>
                <w:color w:val="auto"/>
              </w:rPr>
            </w:pPr>
          </w:p>
        </w:tc>
      </w:tr>
      <w:tr>
        <w:trPr>
          <w:trHeight w:val="270"/>
        </w:trPr>
        <w:tc>
          <w:tcPr>
            <w:tcW w:w="7280" w:type="dxa"/>
            <w:vAlign w:val="bottom"/>
          </w:tcPr>
          <w:p>
            <w:pPr>
              <w:jc w:val="center"/>
              <w:ind w:left="3210"/>
              <w:spacing w:after="0"/>
              <w:rPr>
                <w:sz w:val="20"/>
                <w:szCs w:val="20"/>
                <w:color w:val="auto"/>
              </w:rPr>
            </w:pPr>
            <w:r>
              <w:rPr>
                <w:rFonts w:ascii="Arial" w:cs="Arial" w:eastAsia="Arial" w:hAnsi="Arial"/>
                <w:sz w:val="18"/>
                <w:szCs w:val="18"/>
                <w:color w:val="auto"/>
                <w:w w:val="94"/>
              </w:rPr>
              <w:t>(Full title of the plan)</w:t>
            </w:r>
          </w:p>
        </w:tc>
        <w:tc>
          <w:tcPr>
            <w:tcW w:w="1880" w:type="dxa"/>
            <w:vAlign w:val="bottom"/>
          </w:tcPr>
          <w:p>
            <w:pPr>
              <w:spacing w:after="0"/>
              <w:rPr>
                <w:sz w:val="23"/>
                <w:szCs w:val="23"/>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Bonnie H. Anderson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(650) 243-6300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49"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740" w:type="dxa"/>
            <w:vAlign w:val="bottom"/>
          </w:tcPr>
          <w:p>
            <w:pPr>
              <w:jc w:val="center"/>
              <w:ind w:left="290"/>
              <w:spacing w:after="0"/>
              <w:rPr>
                <w:sz w:val="20"/>
                <w:szCs w:val="20"/>
                <w:color w:val="auto"/>
              </w:rPr>
            </w:pPr>
            <w:r>
              <w:rPr>
                <w:rFonts w:ascii="Arial" w:cs="Arial" w:eastAsia="Arial" w:hAnsi="Arial"/>
                <w:sz w:val="18"/>
                <w:szCs w:val="18"/>
                <w:color w:val="auto"/>
                <w:w w:val="93"/>
              </w:rPr>
              <w:t>Julie A. Brooks</w:t>
            </w:r>
          </w:p>
        </w:tc>
      </w:tr>
      <w:tr>
        <w:trPr>
          <w:trHeight w:val="216"/>
        </w:trPr>
        <w:tc>
          <w:tcPr>
            <w:tcW w:w="3260" w:type="dxa"/>
            <w:vAlign w:val="bottom"/>
          </w:tcPr>
          <w:p>
            <w:pPr>
              <w:jc w:val="center"/>
              <w:ind w:right="370"/>
              <w:spacing w:after="0"/>
              <w:rPr>
                <w:sz w:val="20"/>
                <w:szCs w:val="20"/>
                <w:color w:val="auto"/>
              </w:rPr>
            </w:pPr>
            <w:r>
              <w:rPr>
                <w:rFonts w:ascii="Arial" w:cs="Arial" w:eastAsia="Arial" w:hAnsi="Arial"/>
                <w:sz w:val="18"/>
                <w:szCs w:val="18"/>
                <w:color w:val="auto"/>
                <w:w w:val="90"/>
              </w:rPr>
              <w:t>Stanton D. Wong</w:t>
            </w:r>
          </w:p>
        </w:tc>
        <w:tc>
          <w:tcPr>
            <w:tcW w:w="3620" w:type="dxa"/>
            <w:vAlign w:val="bottom"/>
          </w:tcPr>
          <w:p>
            <w:pPr>
              <w:jc w:val="center"/>
              <w:ind w:left="10"/>
              <w:spacing w:after="0"/>
              <w:rPr>
                <w:sz w:val="20"/>
                <w:szCs w:val="20"/>
                <w:color w:val="auto"/>
              </w:rPr>
            </w:pPr>
            <w:r>
              <w:rPr>
                <w:rFonts w:ascii="Arial" w:cs="Arial" w:eastAsia="Arial" w:hAnsi="Arial"/>
                <w:sz w:val="18"/>
                <w:szCs w:val="18"/>
                <w:color w:val="auto"/>
                <w:w w:val="94"/>
              </w:rPr>
              <w:t>Gabriella A. Lombardi</w:t>
            </w:r>
          </w:p>
        </w:tc>
        <w:tc>
          <w:tcPr>
            <w:tcW w:w="3740" w:type="dxa"/>
            <w:vAlign w:val="bottom"/>
          </w:tcPr>
          <w:p>
            <w:pPr>
              <w:jc w:val="center"/>
              <w:ind w:left="290"/>
              <w:spacing w:after="0"/>
              <w:rPr>
                <w:sz w:val="20"/>
                <w:szCs w:val="20"/>
                <w:color w:val="auto"/>
              </w:rPr>
            </w:pPr>
            <w:r>
              <w:rPr>
                <w:rFonts w:ascii="Arial" w:cs="Arial" w:eastAsia="Arial" w:hAnsi="Arial"/>
                <w:sz w:val="18"/>
                <w:szCs w:val="18"/>
                <w:color w:val="auto"/>
                <w:w w:val="89"/>
              </w:rPr>
              <w:t>Executive Vice President and General Counsel</w:t>
            </w:r>
          </w:p>
        </w:tc>
      </w:tr>
      <w:tr>
        <w:trPr>
          <w:trHeight w:val="216"/>
        </w:trPr>
        <w:tc>
          <w:tcPr>
            <w:tcW w:w="3260" w:type="dxa"/>
            <w:vAlign w:val="bottom"/>
          </w:tcPr>
          <w:p>
            <w:pPr>
              <w:jc w:val="center"/>
              <w:ind w:right="370"/>
              <w:spacing w:after="0"/>
              <w:rPr>
                <w:sz w:val="20"/>
                <w:szCs w:val="20"/>
                <w:color w:val="auto"/>
              </w:rPr>
            </w:pPr>
            <w:r>
              <w:rPr>
                <w:rFonts w:ascii="Arial" w:cs="Arial" w:eastAsia="Arial" w:hAnsi="Arial"/>
                <w:sz w:val="18"/>
                <w:szCs w:val="18"/>
                <w:color w:val="auto"/>
                <w:w w:val="93"/>
              </w:rPr>
              <w:t>Pillsbury Winthrop Shaw Pittman LLP</w:t>
            </w:r>
          </w:p>
        </w:tc>
        <w:tc>
          <w:tcPr>
            <w:tcW w:w="3620" w:type="dxa"/>
            <w:vAlign w:val="bottom"/>
          </w:tcPr>
          <w:p>
            <w:pPr>
              <w:jc w:val="center"/>
              <w:ind w:left="10"/>
              <w:spacing w:after="0"/>
              <w:rPr>
                <w:sz w:val="20"/>
                <w:szCs w:val="20"/>
                <w:color w:val="auto"/>
              </w:rPr>
            </w:pPr>
            <w:r>
              <w:rPr>
                <w:rFonts w:ascii="Arial" w:cs="Arial" w:eastAsia="Arial" w:hAnsi="Arial"/>
                <w:sz w:val="18"/>
                <w:szCs w:val="18"/>
                <w:color w:val="auto"/>
                <w:w w:val="93"/>
              </w:rPr>
              <w:t>Pillsbury Winthrop Shaw Pittman LLP</w:t>
            </w:r>
          </w:p>
        </w:tc>
        <w:tc>
          <w:tcPr>
            <w:tcW w:w="3740" w:type="dxa"/>
            <w:vAlign w:val="bottom"/>
          </w:tcPr>
          <w:p>
            <w:pPr>
              <w:jc w:val="center"/>
              <w:ind w:left="290"/>
              <w:spacing w:after="0"/>
              <w:rPr>
                <w:sz w:val="20"/>
                <w:szCs w:val="20"/>
                <w:color w:val="auto"/>
              </w:rPr>
            </w:pPr>
            <w:r>
              <w:rPr>
                <w:rFonts w:ascii="Arial" w:cs="Arial" w:eastAsia="Arial" w:hAnsi="Arial"/>
                <w:sz w:val="18"/>
                <w:szCs w:val="18"/>
                <w:color w:val="auto"/>
                <w:w w:val="90"/>
              </w:rPr>
              <w:t>Veracyte, Inc.</w:t>
            </w:r>
          </w:p>
        </w:tc>
      </w:tr>
      <w:tr>
        <w:trPr>
          <w:trHeight w:val="216"/>
        </w:trPr>
        <w:tc>
          <w:tcPr>
            <w:tcW w:w="3260" w:type="dxa"/>
            <w:vAlign w:val="bottom"/>
          </w:tcPr>
          <w:p>
            <w:pPr>
              <w:jc w:val="center"/>
              <w:ind w:right="370"/>
              <w:spacing w:after="0"/>
              <w:rPr>
                <w:sz w:val="20"/>
                <w:szCs w:val="20"/>
                <w:color w:val="auto"/>
              </w:rPr>
            </w:pPr>
            <w:r>
              <w:rPr>
                <w:rFonts w:ascii="Arial" w:cs="Arial" w:eastAsia="Arial" w:hAnsi="Arial"/>
                <w:sz w:val="18"/>
                <w:szCs w:val="18"/>
                <w:color w:val="auto"/>
                <w:w w:val="89"/>
              </w:rPr>
              <w:t>Four Embarcadero Center, 22nd Flr.</w:t>
            </w:r>
          </w:p>
        </w:tc>
        <w:tc>
          <w:tcPr>
            <w:tcW w:w="3620" w:type="dxa"/>
            <w:vAlign w:val="bottom"/>
          </w:tcPr>
          <w:p>
            <w:pPr>
              <w:jc w:val="center"/>
              <w:ind w:left="10"/>
              <w:spacing w:after="0"/>
              <w:rPr>
                <w:sz w:val="20"/>
                <w:szCs w:val="20"/>
                <w:color w:val="auto"/>
              </w:rPr>
            </w:pPr>
            <w:r>
              <w:rPr>
                <w:rFonts w:ascii="Arial" w:cs="Arial" w:eastAsia="Arial" w:hAnsi="Arial"/>
                <w:sz w:val="18"/>
                <w:szCs w:val="18"/>
                <w:color w:val="auto"/>
                <w:w w:val="89"/>
              </w:rPr>
              <w:t>2550 Hanover Street</w:t>
            </w:r>
          </w:p>
        </w:tc>
        <w:tc>
          <w:tcPr>
            <w:tcW w:w="3740" w:type="dxa"/>
            <w:vAlign w:val="bottom"/>
          </w:tcPr>
          <w:p>
            <w:pPr>
              <w:jc w:val="center"/>
              <w:ind w:left="290"/>
              <w:spacing w:after="0"/>
              <w:rPr>
                <w:sz w:val="20"/>
                <w:szCs w:val="20"/>
                <w:color w:val="auto"/>
              </w:rPr>
            </w:pPr>
            <w:r>
              <w:rPr>
                <w:rFonts w:ascii="Arial" w:cs="Arial" w:eastAsia="Arial" w:hAnsi="Arial"/>
                <w:sz w:val="18"/>
                <w:szCs w:val="18"/>
                <w:color w:val="auto"/>
                <w:w w:val="90"/>
              </w:rPr>
              <w:t>6000 Shoreline Court, Suite 300</w:t>
            </w:r>
          </w:p>
        </w:tc>
      </w:tr>
      <w:tr>
        <w:trPr>
          <w:trHeight w:val="216"/>
        </w:trPr>
        <w:tc>
          <w:tcPr>
            <w:tcW w:w="3260" w:type="dxa"/>
            <w:vAlign w:val="bottom"/>
          </w:tcPr>
          <w:p>
            <w:pPr>
              <w:jc w:val="center"/>
              <w:ind w:right="370"/>
              <w:spacing w:after="0"/>
              <w:rPr>
                <w:sz w:val="20"/>
                <w:szCs w:val="20"/>
                <w:color w:val="auto"/>
              </w:rPr>
            </w:pPr>
            <w:r>
              <w:rPr>
                <w:rFonts w:ascii="Arial" w:cs="Arial" w:eastAsia="Arial" w:hAnsi="Arial"/>
                <w:sz w:val="18"/>
                <w:szCs w:val="18"/>
                <w:color w:val="auto"/>
                <w:w w:val="90"/>
              </w:rPr>
              <w:t>San Francisco, California 94111</w:t>
            </w:r>
          </w:p>
        </w:tc>
        <w:tc>
          <w:tcPr>
            <w:tcW w:w="3620" w:type="dxa"/>
            <w:vAlign w:val="bottom"/>
          </w:tcPr>
          <w:p>
            <w:pPr>
              <w:jc w:val="center"/>
              <w:ind w:left="10"/>
              <w:spacing w:after="0"/>
              <w:rPr>
                <w:sz w:val="20"/>
                <w:szCs w:val="20"/>
                <w:color w:val="auto"/>
              </w:rPr>
            </w:pPr>
            <w:r>
              <w:rPr>
                <w:rFonts w:ascii="Arial" w:cs="Arial" w:eastAsia="Arial" w:hAnsi="Arial"/>
                <w:sz w:val="18"/>
                <w:szCs w:val="18"/>
                <w:color w:val="auto"/>
                <w:w w:val="93"/>
              </w:rPr>
              <w:t>Palo Alto, California 94304</w:t>
            </w:r>
          </w:p>
        </w:tc>
        <w:tc>
          <w:tcPr>
            <w:tcW w:w="3740" w:type="dxa"/>
            <w:vAlign w:val="bottom"/>
          </w:tcPr>
          <w:p>
            <w:pPr>
              <w:jc w:val="center"/>
              <w:ind w:left="290"/>
              <w:spacing w:after="0"/>
              <w:rPr>
                <w:sz w:val="20"/>
                <w:szCs w:val="20"/>
                <w:color w:val="auto"/>
              </w:rPr>
            </w:pPr>
            <w:r>
              <w:rPr>
                <w:rFonts w:ascii="Arial" w:cs="Arial" w:eastAsia="Arial" w:hAnsi="Arial"/>
                <w:sz w:val="18"/>
                <w:szCs w:val="18"/>
                <w:color w:val="auto"/>
                <w:w w:val="90"/>
              </w:rPr>
              <w:t>South San Francisco, California 94080</w:t>
            </w:r>
          </w:p>
        </w:tc>
      </w:tr>
      <w:tr>
        <w:trPr>
          <w:trHeight w:val="216"/>
        </w:trPr>
        <w:tc>
          <w:tcPr>
            <w:tcW w:w="3260" w:type="dxa"/>
            <w:vAlign w:val="bottom"/>
          </w:tcPr>
          <w:p>
            <w:pPr>
              <w:jc w:val="center"/>
              <w:ind w:right="370"/>
              <w:spacing w:after="0"/>
              <w:rPr>
                <w:sz w:val="20"/>
                <w:szCs w:val="20"/>
                <w:color w:val="auto"/>
              </w:rPr>
            </w:pPr>
            <w:r>
              <w:rPr>
                <w:rFonts w:ascii="Arial" w:cs="Arial" w:eastAsia="Arial" w:hAnsi="Arial"/>
                <w:sz w:val="18"/>
                <w:szCs w:val="18"/>
                <w:color w:val="auto"/>
                <w:w w:val="90"/>
              </w:rPr>
              <w:t>(415) 983-1000</w:t>
            </w:r>
          </w:p>
        </w:tc>
        <w:tc>
          <w:tcPr>
            <w:tcW w:w="3620" w:type="dxa"/>
            <w:vAlign w:val="bottom"/>
          </w:tcPr>
          <w:p>
            <w:pPr>
              <w:jc w:val="center"/>
              <w:ind w:left="10"/>
              <w:spacing w:after="0"/>
              <w:rPr>
                <w:sz w:val="20"/>
                <w:szCs w:val="20"/>
                <w:color w:val="auto"/>
              </w:rPr>
            </w:pPr>
            <w:r>
              <w:rPr>
                <w:rFonts w:ascii="Arial" w:cs="Arial" w:eastAsia="Arial" w:hAnsi="Arial"/>
                <w:sz w:val="18"/>
                <w:szCs w:val="18"/>
                <w:color w:val="auto"/>
                <w:w w:val="90"/>
              </w:rPr>
              <w:t>(650) 233-4500</w:t>
            </w:r>
          </w:p>
        </w:tc>
        <w:tc>
          <w:tcPr>
            <w:tcW w:w="3740" w:type="dxa"/>
            <w:vAlign w:val="bottom"/>
          </w:tcPr>
          <w:p>
            <w:pPr>
              <w:jc w:val="center"/>
              <w:ind w:left="290"/>
              <w:spacing w:after="0"/>
              <w:rPr>
                <w:sz w:val="20"/>
                <w:szCs w:val="20"/>
                <w:color w:val="auto"/>
              </w:rPr>
            </w:pPr>
            <w:r>
              <w:rPr>
                <w:rFonts w:ascii="Arial" w:cs="Arial" w:eastAsia="Arial" w:hAnsi="Arial"/>
                <w:sz w:val="18"/>
                <w:szCs w:val="18"/>
                <w:color w:val="auto"/>
                <w:w w:val="90"/>
              </w:rPr>
              <w:t>(650) 243-6300</w:t>
            </w:r>
          </w:p>
        </w:tc>
      </w:tr>
      <w:tr>
        <w:trPr>
          <w:trHeight w:val="230"/>
        </w:trPr>
        <w:tc>
          <w:tcPr>
            <w:tcW w:w="3260" w:type="dxa"/>
            <w:vAlign w:val="bottom"/>
          </w:tcPr>
          <w:p>
            <w:pPr>
              <w:jc w:val="center"/>
              <w:ind w:right="370"/>
              <w:spacing w:after="0"/>
              <w:rPr>
                <w:sz w:val="20"/>
                <w:szCs w:val="20"/>
                <w:color w:val="auto"/>
              </w:rPr>
            </w:pPr>
            <w:r>
              <w:rPr>
                <w:rFonts w:ascii="Arial" w:cs="Arial" w:eastAsia="Arial" w:hAnsi="Arial"/>
                <w:sz w:val="18"/>
                <w:szCs w:val="18"/>
                <w:color w:val="auto"/>
                <w:w w:val="92"/>
              </w:rPr>
              <w:t>(415) 983-1200 facsimile</w:t>
            </w:r>
          </w:p>
        </w:tc>
        <w:tc>
          <w:tcPr>
            <w:tcW w:w="3620" w:type="dxa"/>
            <w:vAlign w:val="bottom"/>
          </w:tcPr>
          <w:p>
            <w:pPr>
              <w:jc w:val="center"/>
              <w:ind w:left="10"/>
              <w:spacing w:after="0"/>
              <w:rPr>
                <w:sz w:val="20"/>
                <w:szCs w:val="20"/>
                <w:color w:val="auto"/>
              </w:rPr>
            </w:pPr>
            <w:r>
              <w:rPr>
                <w:rFonts w:ascii="Arial" w:cs="Arial" w:eastAsia="Arial" w:hAnsi="Arial"/>
                <w:sz w:val="18"/>
                <w:szCs w:val="18"/>
                <w:color w:val="auto"/>
                <w:w w:val="92"/>
              </w:rPr>
              <w:t>(650) 233-4545 facsimile</w:t>
            </w:r>
          </w:p>
        </w:tc>
        <w:tc>
          <w:tcPr>
            <w:tcW w:w="3740" w:type="dxa"/>
            <w:vAlign w:val="bottom"/>
          </w:tcPr>
          <w:p>
            <w:pPr>
              <w:jc w:val="center"/>
              <w:ind w:left="270"/>
              <w:spacing w:after="0"/>
              <w:rPr>
                <w:sz w:val="20"/>
                <w:szCs w:val="20"/>
                <w:color w:val="auto"/>
              </w:rPr>
            </w:pPr>
            <w:r>
              <w:rPr>
                <w:rFonts w:ascii="Arial" w:cs="Arial" w:eastAsia="Arial" w:hAnsi="Arial"/>
                <w:sz w:val="18"/>
                <w:szCs w:val="18"/>
                <w:color w:val="auto"/>
                <w:w w:val="91"/>
              </w:rPr>
              <w:t>(650) 243-6301 facsimile</w:t>
            </w:r>
          </w:p>
        </w:tc>
      </w:tr>
    </w:tbl>
    <w:p>
      <w:pPr>
        <w:spacing w:after="0" w:line="13"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270"/>
        </w:trPr>
        <w:tc>
          <w:tcPr>
            <w:tcW w:w="1620" w:type="dxa"/>
            <w:vAlign w:val="bottom"/>
            <w:gridSpan w:val="2"/>
          </w:tcPr>
          <w:p>
            <w:pPr>
              <w:spacing w:after="0"/>
              <w:rPr>
                <w:sz w:val="20"/>
                <w:szCs w:val="20"/>
                <w:color w:val="auto"/>
              </w:rPr>
            </w:pPr>
            <w:r>
              <w:rPr>
                <w:rFonts w:ascii="Arial" w:cs="Arial" w:eastAsia="Arial" w:hAnsi="Arial"/>
                <w:sz w:val="18"/>
                <w:szCs w:val="18"/>
                <w:color w:val="auto"/>
                <w:w w:val="89"/>
              </w:rPr>
              <w:t>Large accelerated filer</w:t>
            </w:r>
          </w:p>
        </w:tc>
        <w:tc>
          <w:tcPr>
            <w:tcW w:w="11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840" w:type="dxa"/>
            <w:vAlign w:val="bottom"/>
            <w:gridSpan w:val="2"/>
          </w:tcPr>
          <w:p>
            <w:pPr>
              <w:ind w:left="320"/>
              <w:spacing w:after="0"/>
              <w:rPr>
                <w:sz w:val="20"/>
                <w:szCs w:val="20"/>
                <w:color w:val="auto"/>
              </w:rPr>
            </w:pPr>
            <w:r>
              <w:rPr>
                <w:rFonts w:ascii="Arial" w:cs="Arial" w:eastAsia="Arial" w:hAnsi="Arial"/>
                <w:sz w:val="18"/>
                <w:szCs w:val="18"/>
                <w:color w:val="auto"/>
              </w:rPr>
              <w:t>Accelerated filer</w:t>
            </w:r>
          </w:p>
        </w:tc>
        <w:tc>
          <w:tcPr>
            <w:tcW w:w="1260" w:type="dxa"/>
            <w:vAlign w:val="bottom"/>
          </w:tcPr>
          <w:p>
            <w:pPr>
              <w:spacing w:after="0"/>
              <w:rPr>
                <w:sz w:val="23"/>
                <w:szCs w:val="23"/>
                <w:color w:val="auto"/>
              </w:rPr>
            </w:pPr>
          </w:p>
        </w:tc>
        <w:tc>
          <w:tcPr>
            <w:tcW w:w="22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20" w:type="dxa"/>
            <w:vAlign w:val="bottom"/>
            <w:gridSpan w:val="2"/>
          </w:tcPr>
          <w:p>
            <w:pPr>
              <w:spacing w:after="0"/>
              <w:rPr>
                <w:sz w:val="20"/>
                <w:szCs w:val="20"/>
                <w:color w:val="auto"/>
              </w:rPr>
            </w:pPr>
            <w:r>
              <w:rPr>
                <w:rFonts w:ascii="Arial" w:cs="Arial" w:eastAsia="Arial" w:hAnsi="Arial"/>
                <w:sz w:val="18"/>
                <w:szCs w:val="18"/>
                <w:color w:val="auto"/>
                <w:w w:val="96"/>
              </w:rPr>
              <w:t>Non-accelerated filer</w:t>
            </w:r>
          </w:p>
        </w:tc>
        <w:tc>
          <w:tcPr>
            <w:tcW w:w="11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gridSpan w:val="3"/>
          </w:tcPr>
          <w:p>
            <w:pPr>
              <w:ind w:left="80"/>
              <w:spacing w:after="0"/>
              <w:rPr>
                <w:sz w:val="20"/>
                <w:szCs w:val="20"/>
                <w:color w:val="auto"/>
              </w:rPr>
            </w:pPr>
            <w:r>
              <w:rPr>
                <w:rFonts w:ascii="Arial" w:cs="Arial" w:eastAsia="Arial" w:hAnsi="Arial"/>
                <w:sz w:val="18"/>
                <w:szCs w:val="18"/>
                <w:color w:val="auto"/>
              </w:rPr>
              <w:t>(Do not check if a smaller reporting company)</w:t>
            </w:r>
          </w:p>
        </w:tc>
        <w:tc>
          <w:tcPr>
            <w:tcW w:w="3100" w:type="dxa"/>
            <w:vAlign w:val="bottom"/>
            <w:gridSpan w:val="3"/>
          </w:tcPr>
          <w:p>
            <w:pPr>
              <w:ind w:left="320"/>
              <w:spacing w:after="0"/>
              <w:rPr>
                <w:sz w:val="20"/>
                <w:szCs w:val="20"/>
                <w:color w:val="auto"/>
              </w:rPr>
            </w:pPr>
            <w:r>
              <w:rPr>
                <w:rFonts w:ascii="Arial" w:cs="Arial" w:eastAsia="Arial" w:hAnsi="Arial"/>
                <w:sz w:val="18"/>
                <w:szCs w:val="18"/>
                <w:color w:val="auto"/>
              </w:rPr>
              <w:t>Smaller reporting company</w:t>
            </w:r>
          </w:p>
        </w:tc>
        <w:tc>
          <w:tcPr>
            <w:tcW w:w="22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1"/>
        </w:trPr>
        <w:tc>
          <w:tcPr>
            <w:tcW w:w="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0" w:type="dxa"/>
            <w:vAlign w:val="bottom"/>
            <w:gridSpan w:val="2"/>
          </w:tcPr>
          <w:p>
            <w:pPr>
              <w:ind w:left="360"/>
              <w:spacing w:after="0"/>
              <w:rPr>
                <w:sz w:val="20"/>
                <w:szCs w:val="20"/>
                <w:color w:val="auto"/>
              </w:rPr>
            </w:pPr>
            <w:r>
              <w:rPr>
                <w:rFonts w:ascii="Arial" w:cs="Arial" w:eastAsia="Arial" w:hAnsi="Arial"/>
                <w:sz w:val="16"/>
                <w:szCs w:val="16"/>
                <w:b w:val="1"/>
                <w:bCs w:val="1"/>
                <w:color w:val="auto"/>
              </w:rPr>
              <w:t>CALCULATION OF REGISTRATION FEE</w:t>
            </w:r>
          </w:p>
        </w:tc>
        <w:tc>
          <w:tcPr>
            <w:tcW w:w="1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55"/>
        </w:trPr>
        <w:tc>
          <w:tcPr>
            <w:tcW w:w="4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7"/>
        </w:trPr>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4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w w:val="86"/>
              </w:rPr>
              <w:t>Proposed</w:t>
            </w: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jc w:val="center"/>
              <w:ind w:right="19"/>
              <w:spacing w:after="0" w:line="149" w:lineRule="exact"/>
              <w:rPr>
                <w:sz w:val="20"/>
                <w:szCs w:val="20"/>
                <w:color w:val="auto"/>
              </w:rPr>
            </w:pPr>
            <w:r>
              <w:rPr>
                <w:rFonts w:ascii="Arial" w:cs="Arial" w:eastAsia="Arial" w:hAnsi="Arial"/>
                <w:sz w:val="14"/>
                <w:szCs w:val="14"/>
                <w:color w:val="auto"/>
                <w:w w:val="96"/>
              </w:rPr>
              <w:t>Title of Securities</w:t>
            </w:r>
          </w:p>
        </w:tc>
        <w:tc>
          <w:tcPr>
            <w:tcW w:w="980" w:type="dxa"/>
            <w:vAlign w:val="bottom"/>
          </w:tcPr>
          <w:p>
            <w:pPr>
              <w:spacing w:after="0"/>
              <w:rPr>
                <w:sz w:val="12"/>
                <w:szCs w:val="12"/>
                <w:color w:val="auto"/>
              </w:rPr>
            </w:pPr>
          </w:p>
        </w:tc>
        <w:tc>
          <w:tcPr>
            <w:tcW w:w="1720" w:type="dxa"/>
            <w:vAlign w:val="bottom"/>
          </w:tcPr>
          <w:p>
            <w:pPr>
              <w:jc w:val="center"/>
              <w:ind w:left="186"/>
              <w:spacing w:after="0" w:line="149" w:lineRule="exact"/>
              <w:rPr>
                <w:sz w:val="20"/>
                <w:szCs w:val="20"/>
                <w:color w:val="auto"/>
              </w:rPr>
            </w:pPr>
            <w:r>
              <w:rPr>
                <w:rFonts w:ascii="Arial" w:cs="Arial" w:eastAsia="Arial" w:hAnsi="Arial"/>
                <w:sz w:val="14"/>
                <w:szCs w:val="14"/>
                <w:color w:val="auto"/>
                <w:w w:val="96"/>
              </w:rPr>
              <w:t>Amount To</w:t>
            </w:r>
          </w:p>
        </w:tc>
        <w:tc>
          <w:tcPr>
            <w:tcW w:w="208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5"/>
              </w:rPr>
              <w:t>Proposed Maximum Offering</w:t>
            </w:r>
          </w:p>
        </w:tc>
        <w:tc>
          <w:tcPr>
            <w:tcW w:w="1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Maximum Aggregate</w:t>
            </w:r>
          </w:p>
        </w:tc>
        <w:tc>
          <w:tcPr>
            <w:tcW w:w="126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7"/>
              </w:rPr>
              <w:t>Amount of</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8"/>
        </w:trPr>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jc w:val="center"/>
              <w:ind w:right="19"/>
              <w:spacing w:after="0"/>
              <w:rPr>
                <w:sz w:val="20"/>
                <w:szCs w:val="20"/>
                <w:color w:val="auto"/>
              </w:rPr>
            </w:pPr>
            <w:r>
              <w:rPr>
                <w:rFonts w:ascii="Arial" w:cs="Arial" w:eastAsia="Arial" w:hAnsi="Arial"/>
                <w:sz w:val="14"/>
                <w:szCs w:val="14"/>
                <w:color w:val="auto"/>
                <w:w w:val="91"/>
              </w:rPr>
              <w:t>To Be Registered</w:t>
            </w:r>
          </w:p>
        </w:tc>
        <w:tc>
          <w:tcPr>
            <w:tcW w:w="980" w:type="dxa"/>
            <w:vAlign w:val="bottom"/>
          </w:tcPr>
          <w:p>
            <w:pPr>
              <w:spacing w:after="0"/>
              <w:rPr>
                <w:sz w:val="16"/>
                <w:szCs w:val="16"/>
                <w:color w:val="auto"/>
              </w:rPr>
            </w:pPr>
          </w:p>
        </w:tc>
        <w:tc>
          <w:tcPr>
            <w:tcW w:w="1720" w:type="dxa"/>
            <w:vAlign w:val="bottom"/>
          </w:tcPr>
          <w:p>
            <w:pPr>
              <w:jc w:val="center"/>
              <w:ind w:left="186"/>
              <w:spacing w:after="0"/>
              <w:rPr>
                <w:sz w:val="20"/>
                <w:szCs w:val="20"/>
                <w:color w:val="auto"/>
              </w:rPr>
            </w:pPr>
            <w:r>
              <w:rPr>
                <w:rFonts w:ascii="Arial" w:cs="Arial" w:eastAsia="Arial" w:hAnsi="Arial"/>
                <w:sz w:val="14"/>
                <w:szCs w:val="14"/>
                <w:color w:val="auto"/>
                <w:w w:val="92"/>
              </w:rPr>
              <w:t>Be Registered (1)</w:t>
            </w:r>
          </w:p>
        </w:tc>
        <w:tc>
          <w:tcPr>
            <w:tcW w:w="2080" w:type="dxa"/>
            <w:vAlign w:val="bottom"/>
          </w:tcPr>
          <w:p>
            <w:pPr>
              <w:jc w:val="center"/>
              <w:ind w:left="8"/>
              <w:spacing w:after="0"/>
              <w:rPr>
                <w:sz w:val="20"/>
                <w:szCs w:val="20"/>
                <w:color w:val="auto"/>
              </w:rPr>
            </w:pPr>
            <w:r>
              <w:rPr>
                <w:rFonts w:ascii="Arial" w:cs="Arial" w:eastAsia="Arial" w:hAnsi="Arial"/>
                <w:sz w:val="14"/>
                <w:szCs w:val="14"/>
                <w:color w:val="auto"/>
                <w:w w:val="89"/>
              </w:rPr>
              <w:t>Price Per Share</w:t>
            </w: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Offering Price</w:t>
            </w:r>
          </w:p>
        </w:tc>
        <w:tc>
          <w:tcPr>
            <w:tcW w:w="1260" w:type="dxa"/>
            <w:vAlign w:val="bottom"/>
          </w:tcPr>
          <w:p>
            <w:pPr>
              <w:jc w:val="center"/>
              <w:ind w:left="128"/>
              <w:spacing w:after="0"/>
              <w:rPr>
                <w:sz w:val="20"/>
                <w:szCs w:val="20"/>
                <w:color w:val="auto"/>
              </w:rPr>
            </w:pPr>
            <w:r>
              <w:rPr>
                <w:rFonts w:ascii="Arial" w:cs="Arial" w:eastAsia="Arial" w:hAnsi="Arial"/>
                <w:sz w:val="14"/>
                <w:szCs w:val="14"/>
                <w:color w:val="auto"/>
                <w:w w:val="91"/>
              </w:rPr>
              <w:t>Registration Fee</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4"/>
        </w:trPr>
        <w:tc>
          <w:tcPr>
            <w:tcW w:w="480" w:type="dxa"/>
            <w:vAlign w:val="bottom"/>
          </w:tcPr>
          <w:p>
            <w:pPr>
              <w:spacing w:after="0"/>
              <w:rPr>
                <w:sz w:val="21"/>
                <w:szCs w:val="21"/>
                <w:color w:val="auto"/>
              </w:rPr>
            </w:pPr>
          </w:p>
        </w:tc>
        <w:tc>
          <w:tcPr>
            <w:tcW w:w="32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2"/>
              </w:rPr>
              <w:t>Common stock, par value $0.001 per share</w:t>
            </w:r>
          </w:p>
        </w:tc>
        <w:tc>
          <w:tcPr>
            <w:tcW w:w="1720" w:type="dxa"/>
            <w:vAlign w:val="bottom"/>
            <w:tcBorders>
              <w:top w:val="single" w:sz="8" w:color="auto"/>
            </w:tcBorders>
          </w:tcPr>
          <w:p>
            <w:pPr>
              <w:jc w:val="center"/>
              <w:ind w:left="206"/>
              <w:spacing w:after="0"/>
              <w:rPr>
                <w:sz w:val="20"/>
                <w:szCs w:val="20"/>
                <w:color w:val="auto"/>
              </w:rPr>
            </w:pPr>
            <w:r>
              <w:rPr>
                <w:rFonts w:ascii="Arial" w:cs="Arial" w:eastAsia="Arial" w:hAnsi="Arial"/>
                <w:sz w:val="14"/>
                <w:szCs w:val="14"/>
                <w:color w:val="auto"/>
                <w:w w:val="88"/>
              </w:rPr>
              <w:t>1,350,491 shares</w:t>
            </w:r>
          </w:p>
        </w:tc>
        <w:tc>
          <w:tcPr>
            <w:tcW w:w="208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color w:val="auto"/>
                <w:w w:val="91"/>
              </w:rPr>
              <w:t>$7.83</w:t>
            </w:r>
          </w:p>
        </w:tc>
        <w:tc>
          <w:tcPr>
            <w:tcW w:w="1640" w:type="dxa"/>
            <w:vAlign w:val="bottom"/>
            <w:tcBorders>
              <w:top w:val="single" w:sz="8" w:color="auto"/>
            </w:tcBorders>
          </w:tcPr>
          <w:p>
            <w:pPr>
              <w:jc w:val="center"/>
              <w:ind w:right="42"/>
              <w:spacing w:after="0"/>
              <w:rPr>
                <w:sz w:val="20"/>
                <w:szCs w:val="20"/>
                <w:color w:val="auto"/>
              </w:rPr>
            </w:pPr>
            <w:r>
              <w:rPr>
                <w:rFonts w:ascii="Arial" w:cs="Arial" w:eastAsia="Arial" w:hAnsi="Arial"/>
                <w:sz w:val="14"/>
                <w:szCs w:val="14"/>
                <w:color w:val="auto"/>
                <w:w w:val="92"/>
              </w:rPr>
              <w:t>$10,574,345</w:t>
            </w:r>
          </w:p>
        </w:tc>
        <w:tc>
          <w:tcPr>
            <w:tcW w:w="200" w:type="dxa"/>
            <w:vAlign w:val="bottom"/>
          </w:tcPr>
          <w:p>
            <w:pPr>
              <w:spacing w:after="0"/>
              <w:rPr>
                <w:sz w:val="21"/>
                <w:szCs w:val="21"/>
                <w:color w:val="auto"/>
              </w:rPr>
            </w:pPr>
          </w:p>
        </w:tc>
        <w:tc>
          <w:tcPr>
            <w:tcW w:w="1260" w:type="dxa"/>
            <w:vAlign w:val="bottom"/>
            <w:tcBorders>
              <w:top w:val="single" w:sz="8" w:color="auto"/>
            </w:tcBorders>
          </w:tcPr>
          <w:p>
            <w:pPr>
              <w:jc w:val="center"/>
              <w:ind w:left="108"/>
              <w:spacing w:after="0"/>
              <w:rPr>
                <w:sz w:val="20"/>
                <w:szCs w:val="20"/>
                <w:color w:val="auto"/>
              </w:rPr>
            </w:pPr>
            <w:r>
              <w:rPr>
                <w:rFonts w:ascii="Arial" w:cs="Arial" w:eastAsia="Arial" w:hAnsi="Arial"/>
                <w:sz w:val="14"/>
                <w:szCs w:val="14"/>
                <w:color w:val="auto"/>
                <w:w w:val="93"/>
              </w:rPr>
              <w:t>$1,226</w:t>
            </w:r>
          </w:p>
        </w:tc>
        <w:tc>
          <w:tcPr>
            <w:tcW w:w="2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bl>
    <w:p>
      <w:pPr>
        <w:spacing w:after="0" w:line="155" w:lineRule="exact"/>
        <w:rPr>
          <w:sz w:val="24"/>
          <w:szCs w:val="24"/>
          <w:color w:val="auto"/>
        </w:rPr>
      </w:pPr>
    </w:p>
    <w:p>
      <w:pPr>
        <w:jc w:val="both"/>
        <w:ind w:left="520" w:right="180" w:hanging="465"/>
        <w:spacing w:after="0" w:line="238"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of the Securities Act of 1933 (the “Securities Act”), this registration statement also covers any additional securities that may be offered or become issuable under the 2013 Stock Incentive Plan in connection with any stock split, stock dividend, recapitalization or any other similar transaction effected without receipt of consideration, which results in an increase in the number of the Registrant’s outstanding shares of Common Stock.</w:t>
      </w:r>
    </w:p>
    <w:p>
      <w:pPr>
        <w:spacing w:after="0" w:line="20" w:lineRule="exact"/>
        <w:rPr>
          <w:rFonts w:ascii="Arial" w:cs="Arial" w:eastAsia="Arial" w:hAnsi="Arial"/>
          <w:sz w:val="14"/>
          <w:szCs w:val="14"/>
          <w:color w:val="auto"/>
        </w:rPr>
      </w:pPr>
    </w:p>
    <w:p>
      <w:pPr>
        <w:ind w:left="520" w:right="60" w:hanging="465"/>
        <w:spacing w:after="0" w:line="253"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Rules 457(h) and 457(c) under the Securities Act, solely for the purposes of calculating the registration fee, based on the average of the high and low prices of the Registrant’s Common Stock as reported on The Nasdaq Capital Market on February 28, 2017.</w:t>
      </w:r>
    </w:p>
    <w:p>
      <w:pPr>
        <w:spacing w:after="0" w:line="5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The Registration Statement shall become effective upon filing in accordance with Rule 462 under the Securities Act.</w:t>
      </w:r>
    </w:p>
    <w:p>
      <w:pPr>
        <w:sectPr>
          <w:pgSz w:w="11900" w:h="16838" w:orient="portrait"/>
          <w:cols w:equalWidth="0" w:num="1">
            <w:col w:w="11420"/>
          </w:cols>
          <w:pgMar w:left="240" w:top="6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Instruction 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Registration Statement is being filed for the purpose of increasing the number of securities of the same class as other securities for which certain Registration Statements on Form S-8 relating to the same employee benefit plan are effective. The Registrant’s Registration Statements on Form S-8 filed with the Securities and Exchange Commission (the “Commission”) on October 30, 2014 (File No. 333-191992), March 30, 2015 (File No. 333-203097) and March 14, 2016 (File No. 333-210185) excluding reports that the Registrant filed with the Commission that were incorporated into the Form S-8 Registration Statements in order to maintain current information about the Registrant, are hereby incorporated by reference into this Registration Statement pursuant to General Instruction E of Form S-8.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documents filed by the Registrant with the Securities and Exchange Commission (the “Commission”) are hereby incorporated by reference in this Registration Statement:</w:t>
      </w:r>
    </w:p>
    <w:p>
      <w:pPr>
        <w:spacing w:after="0" w:line="170"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2016.</w:t>
      </w:r>
    </w:p>
    <w:p>
      <w:pPr>
        <w:spacing w:after="0" w:line="184"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Registrant’s registration statement on Form 8-A, filed on October 28, 2013 pursuant to Section 12(b) of the Securities Exchange Act of 1934 (the “Exchange Act”), including any amendment or report filed for the purpose of updating such description.</w:t>
      </w:r>
    </w:p>
    <w:p>
      <w:pPr>
        <w:spacing w:after="0" w:line="14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ectPr>
          <w:pgSz w:w="11900" w:h="16838" w:orient="portrait"/>
          <w:cols w:equalWidth="0" w:num="1">
            <w:col w:w="11420"/>
          </w:cols>
          <w:pgMar w:left="240" w:top="1013" w:right="239" w:bottom="1440" w:gutter="0" w:footer="0" w:header="0"/>
        </w:sectPr>
      </w:pPr>
    </w:p>
    <w:bookmarkStart w:id="2" w:name="page3"/>
    <w:bookmarkEnd w:id="2"/>
    <w:tbl>
      <w:tblPr>
        <w:tblLayout w:type="fixed"/>
        <w:tblInd w:w="340" w:type="dxa"/>
        <w:tblCellMar>
          <w:top w:w="0" w:type="dxa"/>
          <w:left w:w="0" w:type="dxa"/>
          <w:bottom w:w="0" w:type="dxa"/>
          <w:right w:w="0" w:type="dxa"/>
        </w:tblCellMar>
      </w:tblPr>
      <w:tr>
        <w:trPr>
          <w:trHeight w:val="234"/>
        </w:trPr>
        <w:tc>
          <w:tcPr>
            <w:tcW w:w="880" w:type="dxa"/>
            <w:vAlign w:val="bottom"/>
          </w:tcPr>
          <w:p>
            <w:pPr>
              <w:ind w:left="200"/>
              <w:spacing w:after="0"/>
              <w:rPr>
                <w:sz w:val="20"/>
                <w:szCs w:val="20"/>
                <w:color w:val="auto"/>
              </w:rPr>
            </w:pPr>
            <w:r>
              <w:rPr>
                <w:rFonts w:ascii="Arial" w:cs="Arial" w:eastAsia="Arial" w:hAnsi="Arial"/>
                <w:sz w:val="18"/>
                <w:szCs w:val="18"/>
                <w:b w:val="1"/>
                <w:bCs w:val="1"/>
                <w:color w:val="auto"/>
              </w:rPr>
              <w:t>Item 8.</w:t>
            </w:r>
          </w:p>
        </w:tc>
        <w:tc>
          <w:tcPr>
            <w:tcW w:w="968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20" w:type="dxa"/>
            <w:vAlign w:val="bottom"/>
          </w:tcPr>
          <w:p>
            <w:pPr>
              <w:ind w:left="3600"/>
              <w:spacing w:after="0"/>
              <w:rPr>
                <w:sz w:val="20"/>
                <w:szCs w:val="20"/>
                <w:color w:val="auto"/>
              </w:rPr>
            </w:pPr>
            <w:r>
              <w:rPr>
                <w:rFonts w:ascii="Arial" w:cs="Arial" w:eastAsia="Arial" w:hAnsi="Arial"/>
                <w:sz w:val="18"/>
                <w:szCs w:val="18"/>
                <w:b w:val="1"/>
                <w:bCs w:val="1"/>
                <w:color w:val="auto"/>
              </w:rPr>
              <w:t>EXHIBITS</w:t>
            </w:r>
          </w:p>
        </w:tc>
      </w:tr>
      <w:tr>
        <w:trPr>
          <w:trHeight w:val="594"/>
        </w:trPr>
        <w:tc>
          <w:tcPr>
            <w:tcW w:w="1340" w:type="dxa"/>
            <w:vAlign w:val="bottom"/>
            <w:gridSpan w:val="2"/>
          </w:tcPr>
          <w:p>
            <w:pPr>
              <w:ind w:left="320"/>
              <w:spacing w:after="0"/>
              <w:rPr>
                <w:sz w:val="20"/>
                <w:szCs w:val="20"/>
                <w:color w:val="auto"/>
              </w:rPr>
            </w:pPr>
            <w:r>
              <w:rPr>
                <w:rFonts w:ascii="Arial" w:cs="Arial" w:eastAsia="Arial" w:hAnsi="Arial"/>
                <w:sz w:val="18"/>
                <w:szCs w:val="18"/>
                <w:color w:val="auto"/>
              </w:rPr>
              <w:t>Exhibit No.</w:t>
            </w:r>
          </w:p>
        </w:tc>
        <w:tc>
          <w:tcPr>
            <w:tcW w:w="9220" w:type="dxa"/>
            <w:vAlign w:val="bottom"/>
          </w:tcPr>
          <w:p>
            <w:pPr>
              <w:ind w:left="4380"/>
              <w:spacing w:after="0"/>
              <w:rPr>
                <w:sz w:val="20"/>
                <w:szCs w:val="20"/>
                <w:color w:val="auto"/>
              </w:rPr>
            </w:pPr>
            <w:r>
              <w:rPr>
                <w:rFonts w:ascii="Arial" w:cs="Arial" w:eastAsia="Arial" w:hAnsi="Arial"/>
                <w:sz w:val="18"/>
                <w:szCs w:val="18"/>
                <w:color w:val="auto"/>
              </w:rPr>
              <w:t>Description</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3"/>
                <w:szCs w:val="23"/>
                <w:color w:val="auto"/>
              </w:rPr>
            </w:pPr>
          </w:p>
        </w:tc>
        <w:tc>
          <w:tcPr>
            <w:tcW w:w="9220" w:type="dxa"/>
            <w:vAlign w:val="bottom"/>
          </w:tcPr>
          <w:p>
            <w:pPr>
              <w:ind w:left="180"/>
              <w:spacing w:after="0"/>
              <w:rPr>
                <w:sz w:val="20"/>
                <w:szCs w:val="20"/>
                <w:color w:val="auto"/>
              </w:rPr>
            </w:pPr>
            <w:r>
              <w:rPr>
                <w:rFonts w:ascii="Arial" w:cs="Arial" w:eastAsia="Arial" w:hAnsi="Arial"/>
                <w:sz w:val="18"/>
                <w:szCs w:val="18"/>
                <w:color w:val="auto"/>
              </w:rPr>
              <w:t>Opinion of Pillsbury Winthrop Shaw Pittman LLP.</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23"/>
                <w:szCs w:val="23"/>
                <w:color w:val="auto"/>
              </w:rPr>
            </w:pPr>
          </w:p>
        </w:tc>
        <w:tc>
          <w:tcPr>
            <w:tcW w:w="9220" w:type="dxa"/>
            <w:vAlign w:val="bottom"/>
          </w:tcPr>
          <w:p>
            <w:pPr>
              <w:ind w:left="1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23"/>
                <w:szCs w:val="23"/>
                <w:color w:val="auto"/>
              </w:rPr>
            </w:pPr>
          </w:p>
        </w:tc>
        <w:tc>
          <w:tcPr>
            <w:tcW w:w="9220" w:type="dxa"/>
            <w:vAlign w:val="bottom"/>
          </w:tcPr>
          <w:p>
            <w:pPr>
              <w:ind w:left="180"/>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460" w:type="dxa"/>
            <w:vAlign w:val="bottom"/>
          </w:tcPr>
          <w:p>
            <w:pPr>
              <w:spacing w:after="0"/>
              <w:rPr>
                <w:sz w:val="23"/>
                <w:szCs w:val="23"/>
                <w:color w:val="auto"/>
              </w:rPr>
            </w:pPr>
          </w:p>
        </w:tc>
        <w:tc>
          <w:tcPr>
            <w:tcW w:w="9220" w:type="dxa"/>
            <w:vAlign w:val="bottom"/>
          </w:tcPr>
          <w:p>
            <w:pPr>
              <w:ind w:left="180"/>
              <w:spacing w:after="0"/>
              <w:rPr>
                <w:sz w:val="20"/>
                <w:szCs w:val="20"/>
                <w:color w:val="auto"/>
              </w:rPr>
            </w:pPr>
            <w:r>
              <w:rPr>
                <w:rFonts w:ascii="Arial" w:cs="Arial" w:eastAsia="Arial" w:hAnsi="Arial"/>
                <w:sz w:val="18"/>
                <w:szCs w:val="18"/>
                <w:color w:val="auto"/>
              </w:rPr>
              <w:t>Power of Attorney (contained on signature page hereto).</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2"/>
                <w:szCs w:val="22"/>
                <w:color w:val="auto"/>
              </w:rPr>
            </w:pPr>
          </w:p>
        </w:tc>
        <w:tc>
          <w:tcPr>
            <w:tcW w:w="9220" w:type="dxa"/>
            <w:vAlign w:val="bottom"/>
          </w:tcPr>
          <w:p>
            <w:pPr>
              <w:ind w:left="180"/>
              <w:spacing w:after="0"/>
              <w:rPr>
                <w:sz w:val="20"/>
                <w:szCs w:val="20"/>
                <w:color w:val="auto"/>
              </w:rPr>
            </w:pPr>
            <w:r>
              <w:rPr>
                <w:rFonts w:ascii="Arial" w:cs="Arial" w:eastAsia="Arial" w:hAnsi="Arial"/>
                <w:sz w:val="18"/>
                <w:szCs w:val="18"/>
                <w:color w:val="auto"/>
                <w:w w:val="90"/>
              </w:rPr>
              <w:t>Veracyte, Inc. 2013 Stock Incentive Plan (incorporated by reference to Exhibit 10.3 to the Registrant's Registration Statement</w:t>
            </w:r>
          </w:p>
        </w:tc>
      </w:tr>
      <w:tr>
        <w:trPr>
          <w:trHeight w:val="230"/>
        </w:trPr>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20" w:type="dxa"/>
            <w:vAlign w:val="bottom"/>
          </w:tcPr>
          <w:p>
            <w:pPr>
              <w:ind w:left="180"/>
              <w:spacing w:after="0"/>
              <w:rPr>
                <w:sz w:val="20"/>
                <w:szCs w:val="20"/>
                <w:color w:val="auto"/>
              </w:rPr>
            </w:pPr>
            <w:r>
              <w:rPr>
                <w:rFonts w:ascii="Arial" w:cs="Arial" w:eastAsia="Arial" w:hAnsi="Arial"/>
                <w:sz w:val="18"/>
                <w:szCs w:val="18"/>
                <w:color w:val="auto"/>
              </w:rPr>
              <w:t>on Form S-1 (File No. 333-191282), as amended, declared effective on October 29, 2013).</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0"/>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700" w:hanging="260"/>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jc w:val="both"/>
        <w:ind w:firstLine="440"/>
        <w:spacing w:after="0" w:line="273" w:lineRule="auto"/>
        <w:tabs>
          <w:tab w:leader="none" w:pos="723"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firstLine="440"/>
        <w:spacing w:after="0" w:line="277" w:lineRule="auto"/>
        <w:tabs>
          <w:tab w:leader="none" w:pos="75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provided, however, 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81" w:lineRule="exact"/>
        <w:rPr>
          <w:sz w:val="20"/>
          <w:szCs w:val="20"/>
          <w:color w:val="auto"/>
        </w:rPr>
      </w:pPr>
    </w:p>
    <w:p>
      <w:pPr>
        <w:jc w:val="both"/>
        <w:ind w:firstLine="440"/>
        <w:spacing w:after="0" w:line="264" w:lineRule="auto"/>
        <w:tabs>
          <w:tab w:leader="none" w:pos="7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440"/>
        <w:spacing w:after="0" w:line="277" w:lineRule="auto"/>
        <w:tabs>
          <w:tab w:leader="none" w:pos="69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jc w:val="both"/>
        <w:ind w:firstLine="440"/>
        <w:spacing w:after="0" w:line="302" w:lineRule="auto"/>
        <w:tabs>
          <w:tab w:leader="none" w:pos="69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jc w:val="both"/>
        <w:ind w:right="20" w:firstLine="440"/>
        <w:spacing w:after="0" w:line="264" w:lineRule="auto"/>
        <w:tabs>
          <w:tab w:leader="none" w:pos="703"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w:t>
      </w:r>
    </w:p>
    <w:p>
      <w:pPr>
        <w:sectPr>
          <w:pgSz w:w="11900" w:h="16838" w:orient="portrait"/>
          <w:cols w:equalWidth="0" w:num="1">
            <w:col w:w="11420"/>
          </w:cols>
          <w:pgMar w:left="240" w:top="958" w:right="239" w:bottom="1440" w:gutter="0" w:footer="0" w:header="0"/>
        </w:sectPr>
      </w:pPr>
    </w:p>
    <w:bookmarkStart w:id="3" w:name="page4"/>
    <w:bookmarkEnd w:id="3"/>
    <w:p>
      <w:pPr>
        <w:jc w:val="both"/>
        <w:spacing w:after="0" w:line="257" w:lineRule="auto"/>
        <w:rPr>
          <w:sz w:val="20"/>
          <w:szCs w:val="20"/>
          <w:color w:val="auto"/>
        </w:rPr>
      </w:pPr>
      <w:r>
        <w:rPr>
          <w:rFonts w:ascii="Arial" w:cs="Arial" w:eastAsia="Arial" w:hAnsi="Arial"/>
          <w:sz w:val="18"/>
          <w:szCs w:val="18"/>
          <w:color w:val="auto"/>
        </w:rPr>
        <w:t>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420"/>
          </w:cols>
          <w:pgMar w:left="240" w:top="80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1st day of March, 2017.</w:t>
      </w:r>
    </w:p>
    <w:p>
      <w:pPr>
        <w:spacing w:after="0" w:line="28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606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31750</wp:posOffset>
            </wp:positionV>
            <wp:extent cx="30187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6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Bonnie H. Anderson and Keith S. Kennedy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6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96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92"/>
              </w:rPr>
              <w:t>Signature</w:t>
            </w:r>
          </w:p>
        </w:tc>
        <w:tc>
          <w:tcPr>
            <w:tcW w:w="2880" w:type="dxa"/>
            <w:vAlign w:val="bottom"/>
          </w:tcPr>
          <w:p>
            <w:pPr>
              <w:spacing w:after="0"/>
              <w:rPr>
                <w:sz w:val="14"/>
                <w:szCs w:val="14"/>
                <w:color w:val="auto"/>
              </w:rPr>
            </w:pPr>
          </w:p>
        </w:tc>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60" w:type="dxa"/>
            <w:vAlign w:val="bottom"/>
          </w:tcPr>
          <w:p>
            <w:pPr>
              <w:spacing w:after="0"/>
              <w:rPr>
                <w:sz w:val="14"/>
                <w:szCs w:val="14"/>
                <w:color w:val="auto"/>
              </w:rPr>
            </w:pPr>
          </w:p>
        </w:tc>
        <w:tc>
          <w:tcPr>
            <w:tcW w:w="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534"/>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5"/>
              </w:rPr>
              <w:t>/s/ BONNIE H. ANDERSON</w:t>
            </w: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Chairman and Chief Executive Officer (Principal Executive Officer)</w:t>
            </w:r>
          </w:p>
        </w:tc>
        <w:tc>
          <w:tcPr>
            <w:tcW w:w="1620" w:type="dxa"/>
            <w:vAlign w:val="bottom"/>
            <w:gridSpan w:val="3"/>
          </w:tcPr>
          <w:p>
            <w:pPr>
              <w:jc w:val="center"/>
              <w:ind w:left="490"/>
              <w:spacing w:after="0"/>
              <w:rPr>
                <w:sz w:val="20"/>
                <w:szCs w:val="20"/>
                <w:color w:val="auto"/>
              </w:rPr>
            </w:pPr>
            <w:r>
              <w:rPr>
                <w:rFonts w:ascii="Arial" w:cs="Arial" w:eastAsia="Arial" w:hAnsi="Arial"/>
                <w:sz w:val="18"/>
                <w:szCs w:val="18"/>
                <w:color w:val="auto"/>
                <w:w w:val="90"/>
              </w:rPr>
              <w:t>March 1, 2017</w:t>
            </w:r>
          </w:p>
        </w:tc>
      </w:tr>
      <w:tr>
        <w:trPr>
          <w:trHeight w:val="27"/>
        </w:trPr>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1"/>
              </w:rPr>
              <w:t>Bonnie H. Anderson</w:t>
            </w: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40"/>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7"/>
              </w:rPr>
              <w:t>/s/ KEITH S. KENNEDY</w:t>
            </w: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620" w:type="dxa"/>
            <w:vAlign w:val="bottom"/>
            <w:gridSpan w:val="3"/>
          </w:tcPr>
          <w:p>
            <w:pPr>
              <w:jc w:val="center"/>
              <w:ind w:left="490"/>
              <w:spacing w:after="0"/>
              <w:rPr>
                <w:sz w:val="20"/>
                <w:szCs w:val="20"/>
                <w:color w:val="auto"/>
              </w:rPr>
            </w:pPr>
            <w:r>
              <w:rPr>
                <w:rFonts w:ascii="Arial" w:cs="Arial" w:eastAsia="Arial" w:hAnsi="Arial"/>
                <w:sz w:val="18"/>
                <w:szCs w:val="18"/>
                <w:color w:val="auto"/>
                <w:w w:val="90"/>
              </w:rPr>
              <w:t>March 1, 2017</w:t>
            </w:r>
          </w:p>
        </w:tc>
      </w:tr>
      <w:tr>
        <w:trPr>
          <w:trHeight w:val="27"/>
        </w:trPr>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1"/>
              </w:rPr>
              <w:t>Keith S. Kennedy</w:t>
            </w: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Lead Independent Director</w:t>
            </w:r>
          </w:p>
        </w:tc>
        <w:tc>
          <w:tcPr>
            <w:tcW w:w="1620" w:type="dxa"/>
            <w:vAlign w:val="bottom"/>
            <w:gridSpan w:val="3"/>
          </w:tcPr>
          <w:p>
            <w:pPr>
              <w:jc w:val="center"/>
              <w:ind w:left="490"/>
              <w:spacing w:after="0"/>
              <w:rPr>
                <w:sz w:val="20"/>
                <w:szCs w:val="20"/>
                <w:color w:val="auto"/>
              </w:rPr>
            </w:pPr>
            <w:r>
              <w:rPr>
                <w:rFonts w:ascii="Arial" w:cs="Arial" w:eastAsia="Arial" w:hAnsi="Arial"/>
                <w:sz w:val="18"/>
                <w:szCs w:val="18"/>
                <w:color w:val="auto"/>
                <w:w w:val="90"/>
              </w:rPr>
              <w:t>March 1, 2017</w:t>
            </w:r>
          </w:p>
        </w:tc>
      </w:tr>
      <w:tr>
        <w:trPr>
          <w:trHeight w:val="27"/>
        </w:trPr>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2"/>
              </w:rPr>
              <w:t>John L. Bishop</w:t>
            </w: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5"/>
              </w:rPr>
              <w:t>/s/ FRED E. COHEN, M.D., D.PHIL.</w:t>
            </w: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490"/>
              <w:spacing w:after="0"/>
              <w:rPr>
                <w:sz w:val="20"/>
                <w:szCs w:val="20"/>
                <w:color w:val="auto"/>
              </w:rPr>
            </w:pPr>
            <w:r>
              <w:rPr>
                <w:rFonts w:ascii="Arial" w:cs="Arial" w:eastAsia="Arial" w:hAnsi="Arial"/>
                <w:sz w:val="18"/>
                <w:szCs w:val="18"/>
                <w:color w:val="auto"/>
                <w:w w:val="90"/>
              </w:rPr>
              <w:t>March 1, 2017</w:t>
            </w:r>
          </w:p>
        </w:tc>
      </w:tr>
      <w:tr>
        <w:trPr>
          <w:trHeight w:val="27"/>
        </w:trPr>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2"/>
              </w:rPr>
              <w:t>Fred E. Cohen, M.D., D.Phil.</w:t>
            </w: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490"/>
              <w:spacing w:after="0"/>
              <w:rPr>
                <w:sz w:val="20"/>
                <w:szCs w:val="20"/>
                <w:color w:val="auto"/>
              </w:rPr>
            </w:pPr>
            <w:r>
              <w:rPr>
                <w:rFonts w:ascii="Arial" w:cs="Arial" w:eastAsia="Arial" w:hAnsi="Arial"/>
                <w:sz w:val="18"/>
                <w:szCs w:val="18"/>
                <w:color w:val="auto"/>
                <w:w w:val="90"/>
              </w:rPr>
              <w:t>March 1, 2017</w:t>
            </w:r>
          </w:p>
        </w:tc>
      </w:tr>
      <w:tr>
        <w:trPr>
          <w:trHeight w:val="27"/>
        </w:trPr>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2"/>
              </w:rPr>
              <w:t>/s/ ROBERT S. EPSTEIN</w:t>
            </w: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490"/>
              <w:spacing w:after="0"/>
              <w:rPr>
                <w:sz w:val="20"/>
                <w:szCs w:val="20"/>
                <w:color w:val="auto"/>
              </w:rPr>
            </w:pPr>
            <w:r>
              <w:rPr>
                <w:rFonts w:ascii="Arial" w:cs="Arial" w:eastAsia="Arial" w:hAnsi="Arial"/>
                <w:sz w:val="18"/>
                <w:szCs w:val="18"/>
                <w:color w:val="auto"/>
                <w:w w:val="90"/>
              </w:rPr>
              <w:t>March 1, 2017</w:t>
            </w:r>
          </w:p>
        </w:tc>
      </w:tr>
      <w:tr>
        <w:trPr>
          <w:trHeight w:val="27"/>
        </w:trPr>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89"/>
              </w:rPr>
              <w:t>Robert S. Epstein</w:t>
            </w: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6"/>
              </w:rPr>
              <w:t>/s/ KEVIN K. GORDON</w:t>
            </w: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490"/>
              <w:spacing w:after="0"/>
              <w:rPr>
                <w:sz w:val="20"/>
                <w:szCs w:val="20"/>
                <w:color w:val="auto"/>
              </w:rPr>
            </w:pPr>
            <w:r>
              <w:rPr>
                <w:rFonts w:ascii="Arial" w:cs="Arial" w:eastAsia="Arial" w:hAnsi="Arial"/>
                <w:sz w:val="18"/>
                <w:szCs w:val="18"/>
                <w:color w:val="auto"/>
                <w:w w:val="90"/>
              </w:rPr>
              <w:t>March 1, 2017</w:t>
            </w:r>
          </w:p>
        </w:tc>
      </w:tr>
      <w:tr>
        <w:trPr>
          <w:trHeight w:val="27"/>
        </w:trPr>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3"/>
              </w:rPr>
              <w:t>Kevin K. Gordon</w:t>
            </w: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490"/>
              <w:spacing w:after="0"/>
              <w:rPr>
                <w:sz w:val="20"/>
                <w:szCs w:val="20"/>
                <w:color w:val="auto"/>
              </w:rPr>
            </w:pPr>
            <w:r>
              <w:rPr>
                <w:rFonts w:ascii="Arial" w:cs="Arial" w:eastAsia="Arial" w:hAnsi="Arial"/>
                <w:sz w:val="18"/>
                <w:szCs w:val="18"/>
                <w:color w:val="auto"/>
                <w:w w:val="90"/>
              </w:rPr>
              <w:t>March 1, 2017</w:t>
            </w:r>
          </w:p>
        </w:tc>
      </w:tr>
      <w:tr>
        <w:trPr>
          <w:trHeight w:val="27"/>
        </w:trPr>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85"/>
              </w:rPr>
              <w:t>Evan Jones</w:t>
            </w: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5"/>
              </w:rPr>
              <w:t>/s/ TINA S. NOVA, PH.D.</w:t>
            </w: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490"/>
              <w:spacing w:after="0"/>
              <w:rPr>
                <w:sz w:val="20"/>
                <w:szCs w:val="20"/>
                <w:color w:val="auto"/>
              </w:rPr>
            </w:pPr>
            <w:r>
              <w:rPr>
                <w:rFonts w:ascii="Arial" w:cs="Arial" w:eastAsia="Arial" w:hAnsi="Arial"/>
                <w:sz w:val="18"/>
                <w:szCs w:val="18"/>
                <w:color w:val="auto"/>
                <w:w w:val="90"/>
              </w:rPr>
              <w:t>March 1, 2017</w:t>
            </w:r>
          </w:p>
        </w:tc>
      </w:tr>
      <w:tr>
        <w:trPr>
          <w:trHeight w:val="27"/>
        </w:trPr>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0"/>
              </w:rPr>
              <w:t>Tina S. Nova, Ph.D.</w:t>
            </w: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92"/>
              </w:rPr>
              <w:t>/s/ JESSE I. TREU, PH.D.</w:t>
            </w:r>
          </w:p>
        </w:tc>
        <w:tc>
          <w:tcPr>
            <w:tcW w:w="57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490"/>
              <w:spacing w:after="0"/>
              <w:rPr>
                <w:sz w:val="20"/>
                <w:szCs w:val="20"/>
                <w:color w:val="auto"/>
              </w:rPr>
            </w:pPr>
            <w:r>
              <w:rPr>
                <w:rFonts w:ascii="Arial" w:cs="Arial" w:eastAsia="Arial" w:hAnsi="Arial"/>
                <w:sz w:val="18"/>
                <w:szCs w:val="18"/>
                <w:color w:val="auto"/>
                <w:w w:val="90"/>
              </w:rPr>
              <w:t>March 1, 2017</w:t>
            </w:r>
          </w:p>
        </w:tc>
      </w:tr>
      <w:tr>
        <w:trPr>
          <w:trHeight w:val="27"/>
        </w:trPr>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320" w:type="dxa"/>
            <w:vAlign w:val="bottom"/>
            <w:gridSpan w:val="3"/>
          </w:tcPr>
          <w:p>
            <w:pPr>
              <w:jc w:val="center"/>
              <w:spacing w:after="0"/>
              <w:rPr>
                <w:sz w:val="20"/>
                <w:szCs w:val="20"/>
                <w:color w:val="auto"/>
              </w:rPr>
            </w:pPr>
            <w:r>
              <w:rPr>
                <w:rFonts w:ascii="Arial" w:cs="Arial" w:eastAsia="Arial" w:hAnsi="Arial"/>
                <w:sz w:val="18"/>
                <w:szCs w:val="18"/>
                <w:color w:val="auto"/>
                <w:w w:val="87"/>
              </w:rPr>
              <w:t>Jesse I. Treu, Ph.D.</w:t>
            </w:r>
          </w:p>
        </w:tc>
        <w:tc>
          <w:tcPr>
            <w:tcW w:w="2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ectPr>
          <w:pgSz w:w="11900" w:h="16838" w:orient="portrait"/>
          <w:cols w:equalWidth="0" w:num="1">
            <w:col w:w="11420"/>
          </w:cols>
          <w:pgMar w:left="240" w:top="796"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9220" w:type="dxa"/>
            <w:vAlign w:val="bottom"/>
          </w:tcPr>
          <w:p>
            <w:pPr>
              <w:ind w:left="3140"/>
              <w:spacing w:after="0"/>
              <w:rPr>
                <w:sz w:val="20"/>
                <w:szCs w:val="20"/>
                <w:color w:val="auto"/>
              </w:rPr>
            </w:pPr>
            <w:r>
              <w:rPr>
                <w:rFonts w:ascii="Arial" w:cs="Arial" w:eastAsia="Arial" w:hAnsi="Arial"/>
                <w:sz w:val="18"/>
                <w:szCs w:val="18"/>
                <w:b w:val="1"/>
                <w:bCs w:val="1"/>
                <w:color w:val="auto"/>
              </w:rPr>
              <w:t>INDEX TO EXHIBITS</w:t>
            </w:r>
          </w:p>
        </w:tc>
      </w:tr>
      <w:tr>
        <w:trPr>
          <w:trHeight w:val="594"/>
        </w:trPr>
        <w:tc>
          <w:tcPr>
            <w:tcW w:w="1340" w:type="dxa"/>
            <w:vAlign w:val="bottom"/>
          </w:tcPr>
          <w:p>
            <w:pPr>
              <w:ind w:left="320"/>
              <w:spacing w:after="0"/>
              <w:rPr>
                <w:sz w:val="20"/>
                <w:szCs w:val="20"/>
                <w:color w:val="auto"/>
              </w:rPr>
            </w:pPr>
            <w:r>
              <w:rPr>
                <w:rFonts w:ascii="Arial" w:cs="Arial" w:eastAsia="Arial" w:hAnsi="Arial"/>
                <w:sz w:val="18"/>
                <w:szCs w:val="18"/>
                <w:color w:val="auto"/>
              </w:rPr>
              <w:t>Exhibit No.</w:t>
            </w:r>
          </w:p>
        </w:tc>
        <w:tc>
          <w:tcPr>
            <w:tcW w:w="9220" w:type="dxa"/>
            <w:vAlign w:val="bottom"/>
          </w:tcPr>
          <w:p>
            <w:pPr>
              <w:ind w:left="4380"/>
              <w:spacing w:after="0"/>
              <w:rPr>
                <w:sz w:val="20"/>
                <w:szCs w:val="20"/>
                <w:color w:val="auto"/>
              </w:rPr>
            </w:pPr>
            <w:r>
              <w:rPr>
                <w:rFonts w:ascii="Arial" w:cs="Arial" w:eastAsia="Arial" w:hAnsi="Arial"/>
                <w:sz w:val="18"/>
                <w:szCs w:val="18"/>
                <w:color w:val="auto"/>
              </w:rPr>
              <w:t>Description</w:t>
            </w:r>
          </w:p>
        </w:tc>
      </w:tr>
      <w:tr>
        <w:trPr>
          <w:trHeight w:val="270"/>
        </w:trPr>
        <w:tc>
          <w:tcPr>
            <w:tcW w:w="1340" w:type="dxa"/>
            <w:vAlign w:val="bottom"/>
          </w:tcPr>
          <w:p>
            <w:pPr>
              <w:spacing w:after="0"/>
              <w:rPr>
                <w:sz w:val="20"/>
                <w:szCs w:val="20"/>
                <w:color w:val="auto"/>
              </w:rPr>
            </w:pPr>
            <w:r>
              <w:rPr>
                <w:rFonts w:ascii="Arial" w:cs="Arial" w:eastAsia="Arial" w:hAnsi="Arial"/>
                <w:sz w:val="18"/>
                <w:szCs w:val="18"/>
                <w:color w:val="auto"/>
              </w:rPr>
              <w:t>5.1</w:t>
            </w:r>
          </w:p>
        </w:tc>
        <w:tc>
          <w:tcPr>
            <w:tcW w:w="9220" w:type="dxa"/>
            <w:vAlign w:val="bottom"/>
          </w:tcPr>
          <w:p>
            <w:pPr>
              <w:ind w:left="180"/>
              <w:spacing w:after="0"/>
              <w:rPr>
                <w:sz w:val="20"/>
                <w:szCs w:val="20"/>
                <w:color w:val="auto"/>
              </w:rPr>
            </w:pPr>
            <w:r>
              <w:rPr>
                <w:rFonts w:ascii="Arial" w:cs="Arial" w:eastAsia="Arial" w:hAnsi="Arial"/>
                <w:sz w:val="18"/>
                <w:szCs w:val="18"/>
                <w:color w:val="auto"/>
              </w:rPr>
              <w:t>Opinion of Pillsbury Winthrop Shaw Pittman LLP.</w:t>
            </w:r>
          </w:p>
        </w:tc>
      </w:tr>
      <w:tr>
        <w:trPr>
          <w:trHeight w:val="270"/>
        </w:trPr>
        <w:tc>
          <w:tcPr>
            <w:tcW w:w="1340" w:type="dxa"/>
            <w:vAlign w:val="bottom"/>
          </w:tcPr>
          <w:p>
            <w:pPr>
              <w:spacing w:after="0"/>
              <w:rPr>
                <w:sz w:val="20"/>
                <w:szCs w:val="20"/>
                <w:color w:val="auto"/>
              </w:rPr>
            </w:pPr>
            <w:r>
              <w:rPr>
                <w:rFonts w:ascii="Arial" w:cs="Arial" w:eastAsia="Arial" w:hAnsi="Arial"/>
                <w:sz w:val="18"/>
                <w:szCs w:val="18"/>
                <w:color w:val="auto"/>
              </w:rPr>
              <w:t>23.1</w:t>
            </w:r>
          </w:p>
        </w:tc>
        <w:tc>
          <w:tcPr>
            <w:tcW w:w="9220" w:type="dxa"/>
            <w:vAlign w:val="bottom"/>
          </w:tcPr>
          <w:p>
            <w:pPr>
              <w:ind w:left="1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70"/>
        </w:trPr>
        <w:tc>
          <w:tcPr>
            <w:tcW w:w="1340" w:type="dxa"/>
            <w:vAlign w:val="bottom"/>
          </w:tcPr>
          <w:p>
            <w:pPr>
              <w:spacing w:after="0"/>
              <w:rPr>
                <w:sz w:val="20"/>
                <w:szCs w:val="20"/>
                <w:color w:val="auto"/>
              </w:rPr>
            </w:pPr>
            <w:r>
              <w:rPr>
                <w:rFonts w:ascii="Arial" w:cs="Arial" w:eastAsia="Arial" w:hAnsi="Arial"/>
                <w:sz w:val="18"/>
                <w:szCs w:val="18"/>
                <w:color w:val="auto"/>
              </w:rPr>
              <w:t>23.2</w:t>
            </w:r>
          </w:p>
        </w:tc>
        <w:tc>
          <w:tcPr>
            <w:tcW w:w="9220" w:type="dxa"/>
            <w:vAlign w:val="bottom"/>
          </w:tcPr>
          <w:p>
            <w:pPr>
              <w:ind w:left="180"/>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270"/>
        </w:trPr>
        <w:tc>
          <w:tcPr>
            <w:tcW w:w="1340" w:type="dxa"/>
            <w:vAlign w:val="bottom"/>
          </w:tcPr>
          <w:p>
            <w:pPr>
              <w:spacing w:after="0"/>
              <w:rPr>
                <w:sz w:val="20"/>
                <w:szCs w:val="20"/>
                <w:color w:val="auto"/>
              </w:rPr>
            </w:pPr>
            <w:r>
              <w:rPr>
                <w:rFonts w:ascii="Arial" w:cs="Arial" w:eastAsia="Arial" w:hAnsi="Arial"/>
                <w:sz w:val="18"/>
                <w:szCs w:val="18"/>
                <w:color w:val="auto"/>
              </w:rPr>
              <w:t>24.1</w:t>
            </w:r>
          </w:p>
        </w:tc>
        <w:tc>
          <w:tcPr>
            <w:tcW w:w="9220" w:type="dxa"/>
            <w:vAlign w:val="bottom"/>
          </w:tcPr>
          <w:p>
            <w:pPr>
              <w:ind w:left="180"/>
              <w:spacing w:after="0"/>
              <w:rPr>
                <w:sz w:val="20"/>
                <w:szCs w:val="20"/>
                <w:color w:val="auto"/>
              </w:rPr>
            </w:pPr>
            <w:r>
              <w:rPr>
                <w:rFonts w:ascii="Arial" w:cs="Arial" w:eastAsia="Arial" w:hAnsi="Arial"/>
                <w:sz w:val="18"/>
                <w:szCs w:val="18"/>
                <w:color w:val="auto"/>
              </w:rPr>
              <w:t>Power of Attorney (contained on signature page hereto).</w:t>
            </w:r>
          </w:p>
        </w:tc>
      </w:tr>
      <w:tr>
        <w:trPr>
          <w:trHeight w:val="256"/>
        </w:trPr>
        <w:tc>
          <w:tcPr>
            <w:tcW w:w="1340" w:type="dxa"/>
            <w:vAlign w:val="bottom"/>
          </w:tcPr>
          <w:p>
            <w:pPr>
              <w:spacing w:after="0"/>
              <w:rPr>
                <w:sz w:val="20"/>
                <w:szCs w:val="20"/>
                <w:color w:val="auto"/>
              </w:rPr>
            </w:pPr>
            <w:r>
              <w:rPr>
                <w:rFonts w:ascii="Arial" w:cs="Arial" w:eastAsia="Arial" w:hAnsi="Arial"/>
                <w:sz w:val="18"/>
                <w:szCs w:val="18"/>
                <w:color w:val="auto"/>
              </w:rPr>
              <w:t>99.1</w:t>
            </w:r>
          </w:p>
        </w:tc>
        <w:tc>
          <w:tcPr>
            <w:tcW w:w="9220" w:type="dxa"/>
            <w:vAlign w:val="bottom"/>
          </w:tcPr>
          <w:p>
            <w:pPr>
              <w:ind w:left="180"/>
              <w:spacing w:after="0"/>
              <w:rPr>
                <w:sz w:val="20"/>
                <w:szCs w:val="20"/>
                <w:color w:val="auto"/>
              </w:rPr>
            </w:pPr>
            <w:r>
              <w:rPr>
                <w:rFonts w:ascii="Arial" w:cs="Arial" w:eastAsia="Arial" w:hAnsi="Arial"/>
                <w:sz w:val="18"/>
                <w:szCs w:val="18"/>
                <w:color w:val="auto"/>
                <w:w w:val="90"/>
              </w:rPr>
              <w:t>Veracyte, Inc. 2013 Stock Incentive Plan (incorporated by reference to Exhibit 10.3 to the Registrant's Registration Statement</w:t>
            </w:r>
          </w:p>
        </w:tc>
      </w:tr>
      <w:tr>
        <w:trPr>
          <w:trHeight w:val="230"/>
        </w:trPr>
        <w:tc>
          <w:tcPr>
            <w:tcW w:w="1340" w:type="dxa"/>
            <w:vAlign w:val="bottom"/>
          </w:tcPr>
          <w:p>
            <w:pPr>
              <w:spacing w:after="0"/>
              <w:rPr>
                <w:sz w:val="20"/>
                <w:szCs w:val="20"/>
                <w:color w:val="auto"/>
              </w:rPr>
            </w:pPr>
          </w:p>
        </w:tc>
        <w:tc>
          <w:tcPr>
            <w:tcW w:w="9220" w:type="dxa"/>
            <w:vAlign w:val="bottom"/>
          </w:tcPr>
          <w:p>
            <w:pPr>
              <w:ind w:left="180"/>
              <w:spacing w:after="0"/>
              <w:rPr>
                <w:sz w:val="20"/>
                <w:szCs w:val="20"/>
                <w:color w:val="auto"/>
              </w:rPr>
            </w:pPr>
            <w:r>
              <w:rPr>
                <w:rFonts w:ascii="Arial" w:cs="Arial" w:eastAsia="Arial" w:hAnsi="Arial"/>
                <w:sz w:val="18"/>
                <w:szCs w:val="18"/>
                <w:color w:val="auto"/>
              </w:rPr>
              <w:t>on Form S-1 (File No. 333-191282), as amended, declared effective on October 29, 2013).</w:t>
            </w:r>
          </w:p>
        </w:tc>
      </w:tr>
    </w:tbl>
    <w:p>
      <w:pPr>
        <w:sectPr>
          <w:pgSz w:w="11900" w:h="16838" w:orient="portrait"/>
          <w:cols w:equalWidth="0" w:num="1">
            <w:col w:w="10560"/>
          </w:cols>
          <w:pgMar w:left="580" w:top="742" w:right="7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 Embarcadero Center,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California 94111-5998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are acting as counsel for Veracyte, Inc., a Delaware corporation (the “Company”), in connection with the Registration Statement on Form S-8 (the “Registration Statement”) relating to the registration under the Securities Act of 1933 (the “Act”) of 1,350,491 shares of the Company’s common stock, par value $0.001 per share (the “Shares”), issuable pursuant to the Company’s 2013 Stock Incentive Plan (the “Plan”).</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reviewed and are familiar with such corporate proceedings and other matters as we have deemed necessary for the opinions expressed in this letter. Based upon the foregoing, we are of the opinion that the Shares have been duly authorized and, when issued and sold in accordance with the Plan, will be validly issued, fully paid and nonassessable. The opinions set forth in this letter are limited to the General Corporation Law of the State of Delaware, as in effect on the date hereof.</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In giving this consent, we do not thereby admit that we are within the category of persons whose consent is required under Section 7 of the Act or the rules and regulations of the Securities and Exchange Commission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20"/>
          </w:cols>
          <w:pgMar w:left="240" w:top="58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2013 Stock Incentive Plan of Veracyte, Inc. of our report dated March 1, 2017, with respect to the financial statements of Veracyte, Inc. included in its Annual Report (Form 10-K) for the year ended December 31, 2016, filed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2019-12-07T04:46:54Z</dcterms:created>
  <dcterms:modified xsi:type="dcterms:W3CDTF">2019-12-07T04:46:54Z</dcterms:modified>
</cp:coreProperties>
</file>