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08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8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Chambers Rebecca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5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07/19/2021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36.59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07/19/2021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07/19/2031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67,000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18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(RSUs) awarded on July 19, 2021, which vest 25% on September 2, 2022 and 1/16 on each quarterly anniversary thereafter subject to continuing employment of the Reporting Person on each vesting date.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July 19, 2022, and the remaining shares vest at a rate of 1/48th of the total number of shares subject to the award for each month of continuous service thereafter.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Jane Alley as attorney-in-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3563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2021-07-20T15:53:37Z</dcterms:created>
  <dcterms:modified xsi:type="dcterms:W3CDTF">2021-07-20T15:53:37Z</dcterms:modified>
</cp:coreProperties>
</file>