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12/31/2020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7397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397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w:t>
      </w:r>
    </w:p>
    <w:p>
      <w:pPr>
        <w:spacing w:after="0" w:line="207" w:lineRule="exact"/>
        <w:rPr>
          <w:sz w:val="20"/>
          <w:szCs w:val="20"/>
          <w:color w:val="auto"/>
        </w:rPr>
      </w:pPr>
    </w:p>
    <w:p>
      <w:pPr>
        <w:sectPr>
          <w:pgSz w:w="11900" w:h="16838" w:orient="portrait"/>
          <w:cols w:equalWidth="0" w:num="2">
            <w:col w:w="9900" w:space="720"/>
            <w:col w:w="480"/>
          </w:cols>
          <w:pgMar w:left="340" w:top="702" w:right="4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000" w:right="6840" w:hanging="627"/>
        <w:spacing w:after="0" w:line="538"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Investment Management, LLC</w:t>
      </w:r>
    </w:p>
    <w:p>
      <w:pPr>
        <w:spacing w:after="0" w:line="1" w:lineRule="exact"/>
        <w:rPr>
          <w:rFonts w:ascii="Arial" w:cs="Arial" w:eastAsia="Arial" w:hAnsi="Arial"/>
          <w:sz w:val="17"/>
          <w:szCs w:val="17"/>
          <w:color w:val="auto"/>
        </w:rPr>
      </w:pPr>
    </w:p>
    <w:p>
      <w:pPr>
        <w:ind w:left="1000" w:right="5120" w:hanging="627"/>
        <w:spacing w:after="0" w:line="25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580"/>
        <w:spacing w:after="0"/>
        <w:tabs>
          <w:tab w:leader="none" w:pos="1098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60"/>
        <w:spacing w:after="0"/>
        <w:tabs>
          <w:tab w:leader="none" w:pos="1098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00" w:hanging="62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0" w:right="6420" w:hanging="627"/>
        <w:spacing w:after="0" w:line="50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ectPr>
          <w:pgSz w:w="11900" w:h="16838" w:orient="portrait"/>
          <w:cols w:equalWidth="0" w:num="1">
            <w:col w:w="11100"/>
          </w:cols>
          <w:pgMar w:left="340" w:top="70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79" w:right="49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4,660,719</w:t>
      </w:r>
    </w:p>
    <w:p>
      <w:pPr>
        <w:spacing w:after="0" w:line="1" w:lineRule="exact"/>
        <w:rPr>
          <w:rFonts w:ascii="Arial" w:cs="Arial" w:eastAsia="Arial" w:hAnsi="Arial"/>
          <w:sz w:val="18"/>
          <w:szCs w:val="18"/>
          <w:color w:val="auto"/>
        </w:rPr>
      </w:pPr>
    </w:p>
    <w:p>
      <w:pPr>
        <w:ind w:left="579" w:right="462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579" w:right="45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5,207,939</w:t>
      </w:r>
    </w:p>
    <w:p>
      <w:pPr>
        <w:spacing w:after="0" w:line="1" w:lineRule="exact"/>
        <w:rPr>
          <w:rFonts w:ascii="Arial" w:cs="Arial" w:eastAsia="Arial" w:hAnsi="Arial"/>
          <w:sz w:val="18"/>
          <w:szCs w:val="18"/>
          <w:color w:val="auto"/>
        </w:rPr>
      </w:pPr>
    </w:p>
    <w:p>
      <w:pPr>
        <w:ind w:left="579" w:right="4220" w:hanging="579"/>
        <w:spacing w:after="0" w:line="52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sz w:val="20"/>
          <w:szCs w:val="20"/>
          <w:color w:val="auto"/>
        </w:rPr>
      </w:pPr>
    </w:p>
    <w:p>
      <w:pPr>
        <w:sectPr>
          <w:pgSz w:w="11900" w:h="16838" w:orient="portrait"/>
          <w:cols w:equalWidth="0" w:num="2">
            <w:col w:w="3041" w:space="720"/>
            <w:col w:w="7339"/>
          </w:cols>
          <w:pgMar w:left="340" w:top="702" w:right="459" w:bottom="1440" w:gutter="0" w:footer="0" w:header="0"/>
          <w:type w:val="continuous"/>
        </w:sectPr>
      </w:pPr>
    </w:p>
    <w:p>
      <w:pPr>
        <w:ind w:left="1000" w:right="3540" w:hanging="627"/>
        <w:spacing w:after="0" w:line="50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5,207,939</w:t>
      </w:r>
    </w:p>
    <w:p>
      <w:pPr>
        <w:spacing w:after="0" w:line="1" w:lineRule="exact"/>
        <w:rPr>
          <w:sz w:val="20"/>
          <w:szCs w:val="20"/>
          <w:color w:val="auto"/>
        </w:rPr>
      </w:pPr>
    </w:p>
    <w:p>
      <w:pPr>
        <w:ind w:left="1000" w:right="3460" w:hanging="672"/>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00" w:right="5040" w:hanging="669"/>
        <w:spacing w:after="0" w:line="50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9.00%</w:t>
      </w:r>
    </w:p>
    <w:p>
      <w:pPr>
        <w:spacing w:after="0" w:line="1" w:lineRule="exact"/>
        <w:rPr>
          <w:rFonts w:ascii="Arial" w:cs="Arial" w:eastAsia="Arial" w:hAnsi="Arial"/>
          <w:sz w:val="18"/>
          <w:szCs w:val="18"/>
          <w:color w:val="auto"/>
        </w:rPr>
      </w:pPr>
    </w:p>
    <w:p>
      <w:pPr>
        <w:ind w:left="1000" w:right="5760" w:hanging="672"/>
        <w:spacing w:after="0" w:line="52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40" w:top="702" w:right="4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372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627"/>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Veracyte, Inc</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6000 Shoreline Court, Suite 300, South San Francisco, CA 94080</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William Blair Investment Management, LLC</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Delaware</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Common Stock</w:t>
            </w:r>
          </w:p>
        </w:tc>
      </w:tr>
      <w:tr>
        <w:trPr>
          <w:trHeight w:val="418"/>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color w:val="auto"/>
              </w:rPr>
              <w:t>92337F107</w:t>
            </w:r>
          </w:p>
        </w:tc>
      </w:tr>
      <w:tr>
        <w:trPr>
          <w:trHeight w:val="414"/>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40" w:type="dxa"/>
            <w:vAlign w:val="bottom"/>
          </w:tcPr>
          <w:p>
            <w:pPr>
              <w:spacing w:after="0"/>
              <w:rPr>
                <w:sz w:val="20"/>
                <w:szCs w:val="20"/>
                <w:color w:val="auto"/>
              </w:rPr>
            </w:pPr>
          </w:p>
        </w:tc>
        <w:tc>
          <w:tcPr>
            <w:tcW w:w="9200" w:type="dxa"/>
            <w:vAlign w:val="bottom"/>
            <w:gridSpan w:val="2"/>
          </w:tcPr>
          <w:p>
            <w:pPr>
              <w:ind w:left="54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98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92337F107</w:t>
            </w:r>
          </w:p>
        </w:tc>
        <w:tc>
          <w:tcPr>
            <w:tcW w:w="10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627"/>
        </w:trPr>
        <w:tc>
          <w:tcPr>
            <w:tcW w:w="198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60" w:type="dxa"/>
            <w:vAlign w:val="bottom"/>
            <w:gridSpan w:val="3"/>
          </w:tcPr>
          <w:p>
            <w:pPr>
              <w:ind w:left="48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1980" w:type="dxa"/>
            <w:vAlign w:val="bottom"/>
          </w:tcPr>
          <w:p>
            <w:pPr>
              <w:spacing w:after="0"/>
              <w:rPr>
                <w:sz w:val="18"/>
                <w:szCs w:val="18"/>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1980" w:type="dxa"/>
            <w:vAlign w:val="bottom"/>
          </w:tcPr>
          <w:p>
            <w:pPr>
              <w:spacing w:after="0"/>
              <w:rPr>
                <w:sz w:val="20"/>
                <w:szCs w:val="20"/>
                <w:color w:val="auto"/>
              </w:rPr>
            </w:pPr>
          </w:p>
        </w:tc>
        <w:tc>
          <w:tcPr>
            <w:tcW w:w="9260" w:type="dxa"/>
            <w:vAlign w:val="bottom"/>
            <w:gridSpan w:val="3"/>
          </w:tcPr>
          <w:p>
            <w:pPr>
              <w:ind w:left="480"/>
              <w:spacing w:after="0"/>
              <w:rPr>
                <w:sz w:val="20"/>
                <w:szCs w:val="20"/>
                <w:color w:val="auto"/>
              </w:rPr>
            </w:pPr>
            <w:r>
              <w:rPr>
                <w:rFonts w:ascii="Arial" w:cs="Arial" w:eastAsia="Arial" w:hAnsi="Arial"/>
                <w:sz w:val="18"/>
                <w:szCs w:val="18"/>
                <w:color w:val="auto"/>
              </w:rPr>
              <w:t>identified in Item 1.</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5,207,939</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9.00%</w:t>
            </w:r>
          </w:p>
        </w:tc>
      </w:tr>
      <w:tr>
        <w:trPr>
          <w:trHeight w:val="432"/>
        </w:trPr>
        <w:tc>
          <w:tcPr>
            <w:tcW w:w="1980" w:type="dxa"/>
            <w:vAlign w:val="bottom"/>
          </w:tcPr>
          <w:p>
            <w:pPr>
              <w:spacing w:after="0"/>
              <w:rPr>
                <w:sz w:val="24"/>
                <w:szCs w:val="24"/>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4,660,719</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5,207,939</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687"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held in the ordinary course of business and were not acquired and are not held for the purpose of or with the</w:t>
      </w:r>
    </w:p>
    <w:p>
      <w:pPr>
        <w:spacing w:after="0" w:line="32"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ind w:left="2460" w:right="100"/>
        <w:spacing w:after="0" w:line="260" w:lineRule="auto"/>
        <w:rPr>
          <w:sz w:val="20"/>
          <w:szCs w:val="20"/>
          <w:color w:val="auto"/>
        </w:rPr>
      </w:pPr>
      <w:r>
        <w:rPr>
          <w:rFonts w:ascii="Arial" w:cs="Arial" w:eastAsia="Arial" w:hAnsi="Arial"/>
          <w:sz w:val="18"/>
          <w:szCs w:val="18"/>
          <w:color w:val="auto"/>
        </w:rPr>
        <w:t>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w:t>
      </w:r>
    </w:p>
    <w:p>
      <w:pPr>
        <w:spacing w:after="0" w:line="207" w:lineRule="exact"/>
        <w:rPr>
          <w:sz w:val="20"/>
          <w:szCs w:val="20"/>
          <w:color w:val="auto"/>
        </w:rPr>
      </w:pPr>
    </w:p>
    <w:p>
      <w:pPr>
        <w:sectPr>
          <w:pgSz w:w="11900" w:h="16838" w:orient="portrait"/>
          <w:cols w:equalWidth="0" w:num="2">
            <w:col w:w="9920" w:space="720"/>
            <w:col w:w="600"/>
          </w:cols>
          <w:pgMar w:left="320" w:top="702"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February 10, 2021</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40"/>
              <w:spacing w:after="0"/>
              <w:rPr>
                <w:sz w:val="20"/>
                <w:szCs w:val="20"/>
                <w:color w:val="auto"/>
              </w:rPr>
            </w:pPr>
            <w:r>
              <w:rPr>
                <w:rFonts w:ascii="Arial" w:cs="Arial" w:eastAsia="Arial" w:hAnsi="Arial"/>
                <w:sz w:val="18"/>
                <w:szCs w:val="18"/>
                <w:color w:val="auto"/>
              </w:rPr>
              <w:t>/s/ 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40"/>
              <w:spacing w:after="0"/>
              <w:rPr>
                <w:sz w:val="20"/>
                <w:szCs w:val="20"/>
                <w:color w:val="auto"/>
              </w:rPr>
            </w:pPr>
            <w:r>
              <w:rPr>
                <w:rFonts w:ascii="Arial" w:cs="Arial" w:eastAsia="Arial" w:hAnsi="Arial"/>
                <w:sz w:val="18"/>
                <w:szCs w:val="18"/>
                <w:color w:val="auto"/>
              </w:rPr>
              <w:t>Stephanie Braming</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40"/>
              <w:spacing w:after="0"/>
              <w:rPr>
                <w:sz w:val="20"/>
                <w:szCs w:val="20"/>
                <w:color w:val="auto"/>
              </w:rPr>
            </w:pPr>
            <w:r>
              <w:rPr>
                <w:rFonts w:ascii="Arial" w:cs="Arial" w:eastAsia="Arial" w:hAnsi="Arial"/>
                <w:sz w:val="18"/>
                <w:szCs w:val="18"/>
                <w:color w:val="auto"/>
              </w:rPr>
              <w:t>Partner, Global Head of Investment Management</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2021-02-11T13:58:22Z</dcterms:created>
  <dcterms:modified xsi:type="dcterms:W3CDTF">2021-02-11T13:58:22Z</dcterms:modified>
</cp:coreProperties>
</file>