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960" w:right="1860" w:hanging="3880"/>
        <w:spacing w:after="0" w:line="438" w:lineRule="auto"/>
        <w:tabs>
          <w:tab w:leader="none" w:pos="39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36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46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2120" w:type="dxa"/>
            <w:vAlign w:val="bottom"/>
            <w:gridSpan w:val="2"/>
          </w:tcPr>
          <w:p>
            <w:pPr>
              <w:ind w:left="80"/>
              <w:spacing w:after="0"/>
              <w:rPr>
                <w:sz w:val="20"/>
                <w:szCs w:val="20"/>
                <w:color w:val="auto"/>
              </w:rPr>
            </w:pPr>
            <w:r>
              <w:rPr>
                <w:rFonts w:ascii="Arial" w:cs="Arial" w:eastAsia="Arial" w:hAnsi="Arial"/>
                <w:sz w:val="18"/>
                <w:szCs w:val="18"/>
                <w:color w:val="auto"/>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54"/>
        </w:trPr>
        <w:tc>
          <w:tcPr>
            <w:tcW w:w="4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46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Common Stock, par value, $0.001 per share</w:t>
            </w:r>
          </w:p>
        </w:tc>
        <w:tc>
          <w:tcPr>
            <w:tcW w:w="2120" w:type="dxa"/>
            <w:vAlign w:val="bottom"/>
            <w:gridSpan w:val="2"/>
          </w:tcPr>
          <w:p>
            <w:pPr>
              <w:ind w:left="780"/>
              <w:spacing w:after="0"/>
              <w:rPr>
                <w:sz w:val="20"/>
                <w:szCs w:val="20"/>
                <w:color w:val="auto"/>
              </w:rPr>
            </w:pPr>
            <w:r>
              <w:rPr>
                <w:rFonts w:ascii="Arial" w:cs="Arial" w:eastAsia="Arial" w:hAnsi="Arial"/>
                <w:sz w:val="18"/>
                <w:szCs w:val="18"/>
                <w:color w:val="auto"/>
              </w:rPr>
              <w:t>VCYT</w:t>
            </w:r>
          </w:p>
        </w:tc>
        <w:tc>
          <w:tcPr>
            <w:tcW w:w="44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97" w:lineRule="exact"/>
        <w:rPr>
          <w:sz w:val="24"/>
          <w:szCs w:val="24"/>
          <w:color w:val="auto"/>
        </w:rPr>
      </w:pPr>
    </w:p>
    <w:p>
      <w:pPr>
        <w:jc w:val="both"/>
        <w:ind w:right="120"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right="340" w:firstLine="243"/>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9" w:right="25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ectPr>
          <w:pgSz w:w="11900" w:h="16838" w:orient="portrait"/>
          <w:cols w:equalWidth="0" w:num="1">
            <w:col w:w="10920"/>
          </w:cols>
          <w:pgMar w:left="240" w:top="121" w:right="7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0" w:lineRule="exact"/>
        <w:rPr>
          <w:sz w:val="20"/>
          <w:szCs w:val="20"/>
          <w:color w:val="auto"/>
        </w:rPr>
      </w:pPr>
    </w:p>
    <w:p>
      <w:pPr>
        <w:sectPr>
          <w:pgSz w:w="11900" w:h="16838" w:orient="portrait"/>
          <w:cols w:equalWidth="0" w:num="2">
            <w:col w:w="7420" w:space="720"/>
            <w:col w:w="2780"/>
          </w:cols>
          <w:pgMar w:left="240" w:top="121" w:right="739" w:bottom="1440" w:gutter="0" w:footer="0" w:header="0"/>
          <w:type w:val="continuous"/>
        </w:sectPr>
      </w:pPr>
    </w:p>
    <w:p>
      <w:pPr>
        <w:spacing w:after="0" w:line="42" w:lineRule="exact"/>
        <w:rPr>
          <w:sz w:val="20"/>
          <w:szCs w:val="20"/>
          <w:color w:val="auto"/>
        </w:rPr>
      </w:pPr>
    </w:p>
    <w:p>
      <w:pPr>
        <w:ind w:left="2080"/>
        <w:spacing w:after="0"/>
        <w:rPr>
          <w:sz w:val="20"/>
          <w:szCs w:val="20"/>
          <w:color w:val="auto"/>
        </w:rPr>
      </w:pPr>
      <w:r>
        <w:rPr>
          <w:rFonts w:ascii="Arial" w:cs="Arial" w:eastAsia="Arial" w:hAnsi="Arial"/>
          <w:sz w:val="13"/>
          <w:szCs w:val="13"/>
          <w:color w:val="auto"/>
        </w:rPr>
        <w:t>Non-accelerated filer 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Smaller reporting company x</w:t>
      </w:r>
    </w:p>
    <w:p>
      <w:pPr>
        <w:spacing w:after="0" w:line="200" w:lineRule="exact"/>
        <w:rPr>
          <w:sz w:val="20"/>
          <w:szCs w:val="20"/>
          <w:color w:val="auto"/>
        </w:rPr>
      </w:pPr>
    </w:p>
    <w:p>
      <w:pPr>
        <w:sectPr>
          <w:pgSz w:w="11900" w:h="16838" w:orient="portrait"/>
          <w:cols w:equalWidth="0" w:num="2">
            <w:col w:w="7120" w:space="720"/>
            <w:col w:w="3080"/>
          </w:cols>
          <w:pgMar w:left="240" w:top="121" w:right="739" w:bottom="1440" w:gutter="0" w:footer="0" w:header="0"/>
          <w:type w:val="continuous"/>
        </w:sectPr>
      </w:pPr>
    </w:p>
    <w:p>
      <w:pPr>
        <w:spacing w:after="0" w:line="42" w:lineRule="exact"/>
        <w:rPr>
          <w:sz w:val="20"/>
          <w:szCs w:val="20"/>
          <w:color w:val="auto"/>
        </w:rPr>
      </w:pPr>
    </w:p>
    <w:p>
      <w:pPr>
        <w:ind w:left="7840"/>
        <w:spacing w:after="0"/>
        <w:rPr>
          <w:sz w:val="20"/>
          <w:szCs w:val="20"/>
          <w:color w:val="auto"/>
        </w:rPr>
      </w:pPr>
      <w:r>
        <w:rPr>
          <w:rFonts w:ascii="Arial" w:cs="Arial" w:eastAsia="Arial" w:hAnsi="Arial"/>
          <w:sz w:val="14"/>
          <w:szCs w:val="14"/>
          <w:color w:val="auto"/>
        </w:rPr>
        <w:t>Emerging growth company o</w:t>
      </w:r>
    </w:p>
    <w:p>
      <w:pPr>
        <w:spacing w:after="0" w:line="55" w:lineRule="exact"/>
        <w:rPr>
          <w:sz w:val="20"/>
          <w:szCs w:val="20"/>
          <w:color w:val="auto"/>
        </w:rPr>
      </w:pPr>
    </w:p>
    <w:p>
      <w:pPr>
        <w:ind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3" w:lineRule="exact"/>
        <w:rPr>
          <w:sz w:val="20"/>
          <w:szCs w:val="20"/>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July 26, 2019, there were 48,445,700 shares of common stock, par value $0.001 per share, outstanding.</w:t>
      </w:r>
    </w:p>
    <w:p>
      <w:pPr>
        <w:sectPr>
          <w:pgSz w:w="11900" w:h="16838" w:orient="portrait"/>
          <w:cols w:equalWidth="0" w:num="1">
            <w:col w:w="10920"/>
          </w:cols>
          <w:pgMar w:left="240" w:top="121" w:right="739" w:bottom="1440" w:gutter="0" w:footer="0" w:header="0"/>
          <w:type w:val="continuous"/>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7"/>
              </w:rPr>
              <w:t>No.</w:t>
            </w:r>
          </w:p>
        </w:tc>
        <w:tc>
          <w:tcPr>
            <w:tcW w:w="0" w:type="dxa"/>
            <w:vAlign w:val="bottom"/>
          </w:tcPr>
          <w:p>
            <w:pPr>
              <w:spacing w:after="0"/>
              <w:rPr>
                <w:sz w:val="1"/>
                <w:szCs w:val="1"/>
                <w:color w:val="auto"/>
              </w:rPr>
            </w:pPr>
          </w:p>
        </w:tc>
      </w:tr>
      <w:tr>
        <w:trPr>
          <w:trHeight w:val="189"/>
        </w:trPr>
        <w:tc>
          <w:tcPr>
            <w:tcW w:w="10360" w:type="dxa"/>
            <w:vAlign w:val="bottom"/>
            <w:gridSpan w:val="18"/>
          </w:tcPr>
          <w:p>
            <w:pPr>
              <w:spacing w:after="0" w:line="189"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Condensed Financial Statements (Unaudited)</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June 30, 2019 and December 31, 2018</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Operations and Comprehensive Loss for the Three and Six Month Periods Ended June 30, 2019 and 2018</w:t>
              </w:r>
            </w:hyperlink>
          </w:p>
        </w:tc>
        <w:tc>
          <w:tcPr>
            <w:tcW w:w="540" w:type="dxa"/>
            <w:vAlign w:val="bottom"/>
            <w:vMerge w:val="restart"/>
          </w:tcPr>
          <w:p>
            <w:pPr>
              <w:spacing w:after="0"/>
              <w:rPr>
                <w:sz w:val="21"/>
                <w:szCs w:val="21"/>
                <w:color w:val="auto"/>
              </w:rPr>
            </w:pPr>
          </w:p>
        </w:tc>
        <w:tc>
          <w:tcPr>
            <w:tcW w:w="900" w:type="dxa"/>
            <w:vAlign w:val="bottom"/>
            <w:gridSpan w:val="2"/>
            <w:vMerge w:val="restart"/>
          </w:tcPr>
          <w:p>
            <w:pPr>
              <w:spacing w:after="0"/>
              <w:rPr>
                <w:sz w:val="21"/>
                <w:szCs w:val="21"/>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2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Statements of Stockholders' Equity for the Three and Six Month Periods Ended June 30, 2019 and 2018</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32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Statements of Cash Flows for the Six Month Periods Ended June 30, 2019 and 2018</w:t>
              </w:r>
            </w:hyperlink>
          </w:p>
        </w:tc>
        <w:tc>
          <w:tcPr>
            <w:tcW w:w="1700" w:type="dxa"/>
            <w:vAlign w:val="bottom"/>
            <w:gridSpan w:val="2"/>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00" w:type="dxa"/>
            <w:vAlign w:val="bottom"/>
            <w:tcBorders>
              <w:top w:val="single" w:sz="8" w:color="0000EE"/>
            </w:tcBorders>
            <w:gridSpan w:val="13"/>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Financial Statements</w:t>
              </w:r>
            </w:hyperlink>
          </w:p>
        </w:tc>
        <w:tc>
          <w:tcPr>
            <w:tcW w:w="31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9700" w:type="dxa"/>
            <w:vAlign w:val="bottom"/>
            <w:gridSpan w:val="15"/>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16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3.</w:t>
              </w:r>
            </w:hyperlink>
          </w:p>
        </w:tc>
        <w:tc>
          <w:tcPr>
            <w:tcW w:w="6480" w:type="dxa"/>
            <w:vAlign w:val="bottom"/>
            <w:gridSpan w:val="11"/>
          </w:tcPr>
          <w:p>
            <w:pPr>
              <w:ind w:left="20"/>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220" w:type="dxa"/>
            <w:vAlign w:val="bottom"/>
            <w:gridSpan w:val="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Item 4.</w:t>
              </w:r>
            </w:hyperlink>
          </w:p>
        </w:tc>
        <w:tc>
          <w:tcPr>
            <w:tcW w:w="1800" w:type="dxa"/>
            <w:vAlign w:val="bottom"/>
            <w:gridSpan w:val="4"/>
          </w:tcPr>
          <w:p>
            <w:pPr>
              <w:ind w:left="20"/>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5320" w:type="dxa"/>
            <w:vAlign w:val="bottom"/>
            <w:gridSpan w:val="6"/>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80" w:type="dxa"/>
            <w:vAlign w:val="bottom"/>
            <w:gridSpan w:val="1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360" w:type="dxa"/>
            <w:vAlign w:val="bottom"/>
            <w:gridSpan w:val="1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 OTHER INFORMATION</w:t>
              </w:r>
            </w:hyperlink>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5"/>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380" w:type="dxa"/>
            <w:vAlign w:val="bottom"/>
            <w:gridSpan w:val="10"/>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4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1060" w:type="dxa"/>
            <w:vAlign w:val="bottom"/>
            <w:gridSpan w:val="3"/>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640" w:type="dxa"/>
            <w:vAlign w:val="bottom"/>
            <w:gridSpan w:val="12"/>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80" w:type="dxa"/>
            <w:vAlign w:val="bottom"/>
            <w:gridSpan w:val="1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SIGNATURES</w:t>
              </w:r>
            </w:hyperlink>
          </w:p>
        </w:tc>
        <w:tc>
          <w:tcPr>
            <w:tcW w:w="9260" w:type="dxa"/>
            <w:vAlign w:val="bottom"/>
            <w:gridSpan w:val="14"/>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77,995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96,952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8,150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 finance lease,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Right-of-use assets - operating lease</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9,412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252,377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finance lease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Preferred stock, $0.001 par value; 5,000,000 shares authorized, no shares issued and outstanding as of June 30,</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2019 and December 31, 2018</w:t>
            </w:r>
          </w:p>
        </w:tc>
        <w:tc>
          <w:tcPr>
            <w:tcW w:w="2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Common stock, $0.001 par value; 125,000,000 shares authorized, 48,255,225 and 40,863,202 shares issued</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and outstanding as of June 30, 2019 and December 31,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462,689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313,800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224,240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252,377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42,792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16,113</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8,276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11,576</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33,236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28,668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64,832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57,664</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(15,425)</w:t>
            </w:r>
          </w:p>
        </w:tc>
      </w:tr>
      <w:tr>
        <w:trPr>
          <w:trHeight w:val="25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5620" w:type="dxa"/>
            <w:vAlign w:val="bottom"/>
          </w:tcPr>
          <w:p>
            <w:pPr>
              <w:ind w:left="40"/>
              <w:spacing w:after="0"/>
              <w:rPr>
                <w:sz w:val="20"/>
                <w:szCs w:val="20"/>
                <w:color w:val="auto"/>
              </w:rPr>
            </w:pPr>
            <w:r>
              <w:rPr>
                <w:rFonts w:ascii="Arial" w:cs="Arial" w:eastAsia="Arial" w:hAnsi="Arial"/>
                <w:sz w:val="18"/>
                <w:szCs w:val="18"/>
                <w:color w:val="auto"/>
                <w:w w:val="98"/>
              </w:rPr>
              <w:t>Shares used to compute net loss per common share, basic and diluted</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45,586,081</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34,314,234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43,389,540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34,320,793</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94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6"/>
        </w:trPr>
        <w:tc>
          <w:tcPr>
            <w:tcW w:w="54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5480" w:type="dxa"/>
            <w:vAlign w:val="bottom"/>
          </w:tcPr>
          <w:p>
            <w:pPr>
              <w:ind w:left="20"/>
              <w:spacing w:after="0"/>
              <w:rPr>
                <w:sz w:val="20"/>
                <w:szCs w:val="20"/>
                <w:color w:val="auto"/>
              </w:rPr>
            </w:pPr>
            <w:r>
              <w:rPr>
                <w:rFonts w:ascii="Arial" w:cs="Arial" w:eastAsia="Arial" w:hAnsi="Arial"/>
                <w:sz w:val="14"/>
                <w:szCs w:val="14"/>
                <w:color w:val="auto"/>
              </w:rPr>
              <w:t>Balance at March 31, 2019</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41,509</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42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319,733</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(236,003)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83,772</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common stock in a public offering, net of issuance costs of $9,208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137,848</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w w:val="96"/>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2,668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8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48,255</w:t>
            </w:r>
          </w:p>
        </w:tc>
        <w:tc>
          <w:tcPr>
            <w:tcW w:w="120" w:type="dxa"/>
            <w:vAlign w:val="bottom"/>
            <w:tcBorders>
              <w:bottom w:val="single" w:sz="8" w:color="CCEEFF"/>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48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462,689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(238,497)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224,240</w:t>
            </w:r>
          </w:p>
        </w:tc>
        <w:tc>
          <w:tcPr>
            <w:tcW w:w="0" w:type="dxa"/>
            <w:vAlign w:val="bottom"/>
          </w:tcPr>
          <w:p>
            <w:pPr>
              <w:spacing w:after="0"/>
              <w:rPr>
                <w:sz w:val="1"/>
                <w:szCs w:val="1"/>
                <w:color w:val="auto"/>
              </w:rPr>
            </w:pPr>
          </w:p>
        </w:tc>
      </w:tr>
      <w:tr>
        <w:trPr>
          <w:trHeight w:val="264"/>
        </w:trPr>
        <w:tc>
          <w:tcPr>
            <w:tcW w:w="54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Balance at December 31, 2018</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40,863</w:t>
            </w:r>
          </w:p>
        </w:tc>
        <w:tc>
          <w:tcPr>
            <w:tcW w:w="120" w:type="dxa"/>
            <w:vAlign w:val="bottom"/>
          </w:tcPr>
          <w:p>
            <w:pPr>
              <w:spacing w:after="0"/>
              <w:rPr>
                <w:sz w:val="22"/>
                <w:szCs w:val="22"/>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48"/>
              <w:spacing w:after="0"/>
              <w:rPr>
                <w:sz w:val="20"/>
                <w:szCs w:val="20"/>
                <w:color w:val="auto"/>
              </w:rPr>
            </w:pPr>
            <w:r>
              <w:rPr>
                <w:rFonts w:ascii="Arial" w:cs="Arial" w:eastAsia="Arial" w:hAnsi="Arial"/>
                <w:sz w:val="14"/>
                <w:szCs w:val="14"/>
                <w:color w:val="auto"/>
                <w:w w:val="76"/>
              </w:rPr>
              <w:t>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313,800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(234,086)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79,755</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common stock in a public offering, net of issuance costs of $9,208</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137,848</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w w:val="96"/>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6,907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6,908</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3,932</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5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64"/>
        </w:trPr>
        <w:tc>
          <w:tcPr>
            <w:tcW w:w="548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(4,411)</w:t>
            </w:r>
          </w:p>
        </w:tc>
        <w:tc>
          <w:tcPr>
            <w:tcW w:w="0" w:type="dxa"/>
            <w:vAlign w:val="bottom"/>
          </w:tcPr>
          <w:p>
            <w:pPr>
              <w:spacing w:after="0"/>
              <w:rPr>
                <w:sz w:val="1"/>
                <w:szCs w:val="1"/>
                <w:color w:val="auto"/>
              </w:rPr>
            </w:pPr>
          </w:p>
        </w:tc>
      </w:tr>
      <w:tr>
        <w:trPr>
          <w:trHeight w:val="243"/>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2019</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48,255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462,689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224,240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1"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5500" w:type="dxa"/>
            <w:vAlign w:val="bottom"/>
            <w:gridSpan w:val="3"/>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19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8"/>
              <w:spacing w:after="0" w:line="126"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Balance at March 31, 2018</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34,327</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250,238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(220,264)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30,008</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Issuance of common stock on exercise of stock options and vesting of restricted stock units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1,646</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Legal settlement from short-swing profits, net of tax</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June 30, 2018</w:t>
            </w:r>
          </w:p>
        </w:tc>
        <w:tc>
          <w:tcPr>
            <w:tcW w:w="10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34,442</w:t>
            </w:r>
          </w:p>
        </w:tc>
        <w:tc>
          <w:tcPr>
            <w:tcW w:w="1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252,284</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(226,512)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25,806</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34,210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(211,087)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37,225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w w:val="95"/>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Tax portion of vested restricted stock units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Legal settlement from short-swing profits, net of tax</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(15,425)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60" w:type="dxa"/>
            <w:vAlign w:val="bottom"/>
            <w:gridSpan w:val="2"/>
          </w:tcPr>
          <w:p>
            <w:pPr>
              <w:ind w:left="20"/>
              <w:spacing w:after="0"/>
              <w:rPr>
                <w:sz w:val="20"/>
                <w:szCs w:val="20"/>
                <w:color w:val="auto"/>
              </w:rPr>
            </w:pPr>
            <w:r>
              <w:rPr>
                <w:rFonts w:ascii="Arial" w:cs="Arial" w:eastAsia="Arial" w:hAnsi="Arial"/>
                <w:sz w:val="14"/>
                <w:szCs w:val="14"/>
                <w:color w:val="auto"/>
              </w:rPr>
              <w:t>Balance at June 30, 2018</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34,442</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252,284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(226,512)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25,806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14"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on end-of-term debt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Supplies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Right-of-use assets - operating lease and operating lease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deferred rent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137,848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legal settlement regarding short-swing profits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finance lease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881</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114,652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34,494</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193,250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24,361</w:t>
            </w:r>
          </w:p>
        </w:tc>
      </w:tr>
      <w:tr>
        <w:trPr>
          <w:trHeight w:val="210"/>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liability arising from obtaining right-of-use assets - operating lease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paid on debt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741</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603</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193,250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78,598</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Veracyte, Inc. (“Veracyte” or the “Company”) is a leading genomic diagnostics company that is creating value through innovation. The Company was founded in 2008 with a mission to improve diagnostic accuracy. Today, through its innovative scientific platform, Veracyte is serving this critical medical need and expanding its offerings further along the clinical continuum of care to advance early detection of disease and inform treatment decisions. The Company utilizes its scientific platform, which uses RNA whole-transcriptome sequencing combined with machine learning, to discover and develop its products.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offers the following products in three clinical indications:</w:t>
      </w:r>
    </w:p>
    <w:p>
      <w:pPr>
        <w:spacing w:after="0" w:line="225"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Afirma Genomic Sequencing Classifier ("Afirma GSC") and Xpression Atlas - The Company’s Afirma offering, consisting of the Afirma GSC and the Afirma Xpression Atlas, provides a comprehensive solution in thyroid nodule diagnosis and is intended to provide physicians with clinically actionable results from a single fine needle aspiration ("FNA") biopsy. The Afirma GSC is used to identify patients with benign thyroid nodules among those with indeterminate cytopathology results so that these patients can avoid unnecessary thyroid surgery. The Afirma Xpression Atlas provides genomic alteration content from the same sample to help physicians decide with greater confidence on surgery strategy and treatment options for their patients.</w:t>
      </w:r>
    </w:p>
    <w:p>
      <w:pPr>
        <w:spacing w:after="0" w:line="193"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Percepta Genomic Sequencing Classifier ("Percepta GSC") - The Percepta GSC, which is the second generation of the original Percepta test, improves lung cancer diagnosis by enhancing the performance of diagnostic bronchoscopies and determines the risk of lung cancer to guide next steps in the evaluation of patients with lung nodules. The test may help patients avoid unnecessary invasive procedures by identifying those with a low risk of having cancer, while helping to guide next intervention steps for patients it identifies as high risk. The Percepta GSC uses novel "field of injury" science - through which genomic changes associated with lung cancer in current and former smokers can be identified with a simple brushing of a person's airway - without the need to sample the often hard-to-reach nodule directly.</w:t>
      </w:r>
    </w:p>
    <w:p>
      <w:pPr>
        <w:spacing w:after="0" w:line="178"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Envisia Genomic Classifier - The Envisia classifier improves diagnosis of idiopathic pulmonary fibrosis ("IPF") by helping physicians better differentiate IPF from other interstitial lung diseases without the need for surgery. The test identifies the genomic pattern of usual interstitial pneumonia, a hallmark of IPF, with high accuracy on patient samples that are obtained through transbronchial biopsy, a nonsurgical procedure that is commonly used in lung evaluation.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approach also provides multiple opportunities for partnerships with biopharmaceutical companies. In developing its products, the Company has built or gained access to unique biorepositories that include extensive clinical cohorts and whole genome RNA sequencing data that it believes are important to the development of new targeted therapies, determining clinical trial eligibility and guiding treatment selection.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balance sheet as of June 30, 2019, the condensed statements of operations and comprehensive loss for the three and six months ended June 30, 2019 and 2018, the condensed statements of stockholders' equity for the three and six months ended June 30, 2019 and 2018, and the condensed statements of cash flows for the six months ended June 30, 2019 and 2018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2018 has been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derived from audited financial statements. The results for the three and six months ended June 30, 2019 are not necessarily indicative of the results expected for the full year or any other period.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Items subject to such estimates include: revenue recognition; the useful lives of property and equipment; the recoverability of long-lived assets; the incremental borrowing rate for leases;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in a Public Offering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7, 2019, the Company issued and sold 6,325,000 shares of common stock in a registered public offering, including 825,000 shares issued and sold upon the underwriters’ exercise in full of their option to purchase additional shares, at a price to the public of $23.25 per share. The Company's net proceeds from the offering were approximately $137.8 million, after deducting underwriting discounts and commissions and offering expenses of $9.2 million.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July 30, 2018, the Company issued and sold 5,750,000 shares of common stock in a registered public offering, including shares issued and sold upon the underwriters' exercise in full of their option to purchase an additional 750,000 shares, at a price to the public of $10.25 per share. The Company's net proceeds from the offering were approximately $55.0 million, after deducting underwriting commissions and offering expenses of $3.9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June 30, 2019, most of the Company’s revenue has been derived from the sale of Afirma. To date, Afirma has been delivered primarily to physicians in the United States. The Company’s third-party payers in excess of 10% of total revenue and their related revenue as a percentage of total revenue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000" w:type="dxa"/>
            <w:vAlign w:val="bottom"/>
          </w:tcPr>
          <w:p>
            <w:pPr>
              <w:spacing w:after="0"/>
              <w:rPr>
                <w:sz w:val="24"/>
                <w:szCs w:val="24"/>
                <w:color w:val="auto"/>
              </w:rPr>
            </w:pPr>
          </w:p>
        </w:tc>
        <w:tc>
          <w:tcPr>
            <w:tcW w:w="1520" w:type="dxa"/>
            <w:vAlign w:val="bottom"/>
          </w:tcPr>
          <w:p>
            <w:pPr>
              <w:ind w:left="6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28, 2018, the Company entered into a diagnostics development agreement with Johnson &amp; Johnson Services, Inc. ("JJSI") for which the Company recognized $3.2 million and $7.0 million of revenue for the provision of data and fulfillment of milestone obligations, which represents 10.6% and 11.7% of total revenue for the three and six months ended June 30, 2019, respectively.</w:t>
      </w:r>
    </w:p>
    <w:p>
      <w:pPr>
        <w:spacing w:after="0" w:line="3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third-party payers in excess of 10% of accounts receivable and their related accounts receivable balance as a percentage of total accounts receivable were as follows at the following dates: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UnitedHealthcare</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at June 30, 2019, accounts receivable from JJSI was $2.0 million for the fulfillment of milestone obligations, which represents 10.2% of total accounts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had deposits of $603,000 included in long-term assets as of June 30, 2019 and December 31, 2018, restricted from withdrawal and held by a bank in the form of collateral for an irrevocable standby letter of credit held as security for the lease of the Company’s South San Francisco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starting January 1, 2018.</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from Diagnostic Services</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Most of the Company’s revenue is generated from the provision of diagnostic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93"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The Company adopted ASC 606 on January 1, 2018 using the modified retrospective method, which requires a cumulative catch-up adjustment as if the Company had recognized revenue under ASC 606 from January 1, 2016.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 adoption of ASC 606 did not have a material impact on the Company's statement of operations or financial position.</w:t>
      </w:r>
    </w:p>
    <w:p>
      <w:pPr>
        <w:spacing w:after="0" w:line="173"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first half of 2019, the Company changed its revenue estimates due to actual and anticipated cash collections for tests delivered in prior quarters and recognized additional revenue of $0.1 million and $0.8 million for the three and six months ended June 30, 2019, respectively. As of June 30, 2019, $0.6 million of these adjustments have been collected. These adjustments resulted in decreases in the Company's loss from operations of $0.1 million and $0.8 million and a decrease in basic and diluted net loss per share of $0.01 and $0.02 for the three and six months ended June 30, 2019, respectively.</w:t>
      </w:r>
    </w:p>
    <w:p>
      <w:pPr>
        <w:spacing w:after="0" w:line="188"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During the first half of 2018, the Company changed its revenue estimates due to actual and anticipated cash collections for tests delivered in prior quarters and recognized additional revenue of $0.5 million and $1.2 million of revenue for the three and six months ended June 30, 2018, respectively. These adjustments resulted in decreases in basic and diluted net loss from operations of $0.5 million and $1.2 million and decreases in loss per share of approximately $0.02 and $0.04 for the three and six months ended June 30, 2018, respectively.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Arrangements with Multiple-Performance Obligations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From time to time, the Company enters into arrangements for research and development and/or commercialization services. Such arrangements may require the Company to deliver various rights, services and/or samples, including intellectual property rights/licenses, R&amp;D services, and/or commercialization services. The underlying terms of these arrangements generally provide for consideration to the Company in the form of nonrefundable upfront license fees, development and commercial performance milestone payments, royalty payments, and/or profit sharing.</w:t>
      </w:r>
    </w:p>
    <w:p>
      <w:pPr>
        <w:spacing w:after="0" w:line="154"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89"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Collaborative Arrangements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enters into collaborative arrangements with partners that fall under the scope of ASC Topic 808,</w:t>
      </w:r>
    </w:p>
    <w:p>
      <w:pPr>
        <w:spacing w:after="0" w:line="23"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i w:val="1"/>
          <w:iCs w:val="1"/>
          <w:color w:val="auto"/>
        </w:rPr>
        <w:t>Collaborative Arrangements</w:t>
      </w:r>
      <w:r>
        <w:rPr>
          <w:rFonts w:ascii="Arial" w:cs="Arial" w:eastAsia="Arial" w:hAnsi="Arial"/>
          <w:sz w:val="18"/>
          <w:szCs w:val="18"/>
          <w:color w:val="auto"/>
        </w:rPr>
        <w:t>, or ASC 808. While these arrangements are in the scope of ASC 808, the Company may analogize to ASC 606 for</w:t>
      </w:r>
      <w:r>
        <w:rPr>
          <w:rFonts w:ascii="Arial" w:cs="Arial" w:eastAsia="Arial" w:hAnsi="Arial"/>
          <w:sz w:val="18"/>
          <w:szCs w:val="18"/>
          <w:i w:val="1"/>
          <w:iCs w:val="1"/>
          <w:color w:val="auto"/>
        </w:rPr>
        <w:t xml:space="preserve"> </w:t>
      </w:r>
      <w:r>
        <w:rPr>
          <w:rFonts w:ascii="Arial" w:cs="Arial" w:eastAsia="Arial" w:hAnsi="Arial"/>
          <w:sz w:val="18"/>
          <w:szCs w:val="18"/>
          <w:color w:val="auto"/>
        </w:rPr>
        <w:t>some aspects of the arrangements. The Company analogizes to ASC 606 for certain activities</w:t>
      </w:r>
    </w:p>
    <w:p>
      <w:pPr>
        <w:spacing w:after="0" w:line="1" w:lineRule="exact"/>
        <w:rPr>
          <w:sz w:val="20"/>
          <w:szCs w:val="20"/>
          <w:color w:val="auto"/>
        </w:rPr>
      </w:pPr>
    </w:p>
    <w:p>
      <w:pPr>
        <w:ind w:left="660" w:right="1960"/>
        <w:spacing w:after="0" w:line="261" w:lineRule="auto"/>
        <w:rPr>
          <w:sz w:val="20"/>
          <w:szCs w:val="20"/>
          <w:color w:val="auto"/>
        </w:rPr>
      </w:pPr>
      <w:r>
        <w:rPr>
          <w:rFonts w:ascii="Arial" w:cs="Arial" w:eastAsia="Arial" w:hAnsi="Arial"/>
          <w:sz w:val="18"/>
          <w:szCs w:val="18"/>
          <w:color w:val="auto"/>
        </w:rPr>
        <w:t>within the collaborative arrangement for the delivery of a good or service (i.e., a unit of account) that is part of its ongoing major or central operations.</w:t>
      </w:r>
    </w:p>
    <w:p>
      <w:pPr>
        <w:spacing w:after="0" w:line="184" w:lineRule="exact"/>
        <w:rPr>
          <w:sz w:val="20"/>
          <w:szCs w:val="20"/>
          <w:color w:val="auto"/>
        </w:rPr>
      </w:pPr>
    </w:p>
    <w:p>
      <w:pPr>
        <w:jc w:val="both"/>
        <w:ind w:left="660" w:right="20" w:firstLine="648"/>
        <w:spacing w:after="0" w:line="286" w:lineRule="auto"/>
        <w:rPr>
          <w:sz w:val="20"/>
          <w:szCs w:val="20"/>
          <w:color w:val="auto"/>
        </w:rPr>
      </w:pPr>
      <w:r>
        <w:rPr>
          <w:rFonts w:ascii="Arial" w:cs="Arial" w:eastAsia="Arial" w:hAnsi="Arial"/>
          <w:sz w:val="17"/>
          <w:szCs w:val="17"/>
          <w:color w:val="auto"/>
        </w:rPr>
        <w:t>The terms of the Company’s collaborative arrangements typically include one or more of the following: (i) up-front fees; (ii) milestone payments related to the achievement of development, regulatory, or commercial goals; and (iii) royalties on net sales of licensed products. Each of these payments may result in collaboration revenues or an offset against research and development expense.</w:t>
      </w:r>
    </w:p>
    <w:p>
      <w:pPr>
        <w:spacing w:after="0" w:line="166"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As part of the accounting for these arrangements,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probabilities of technical and regulatory success. The Company evaluates each performance obligation to determine if they can be satisfied at a point in time or over time, and it measures the services delivered to the collaborative partner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66"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i w:val="1"/>
          <w:iCs w:val="1"/>
          <w:color w:val="auto"/>
        </w:rPr>
        <w:t xml:space="preserve">Up-front Fees: </w:t>
      </w:r>
      <w:r>
        <w:rPr>
          <w:rFonts w:ascii="Arial" w:cs="Arial" w:eastAsia="Arial" w:hAnsi="Arial"/>
          <w:sz w:val="18"/>
          <w:szCs w:val="18"/>
          <w:color w:val="auto"/>
        </w:rPr>
        <w:t>If a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88"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At the inception of each arrangement that includes milestone payments (variable consideration),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collaborative partner’s control, such as non-operational developmental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regulatory approvals, are generally not considered probable of being achieved until those approvals are received. At the end of each reporting period, the Company re-evaluates the probability of achievement of milestones that are within its or the collaborative partner’s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collaboration revenues and earnings in the period of adjustment.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Services Agreement with Loxo Oncology</w:t>
      </w:r>
    </w:p>
    <w:p>
      <w:pPr>
        <w:spacing w:after="0" w:line="225" w:lineRule="exact"/>
        <w:rPr>
          <w:sz w:val="20"/>
          <w:szCs w:val="20"/>
          <w:color w:val="auto"/>
        </w:rPr>
      </w:pPr>
    </w:p>
    <w:p>
      <w:pPr>
        <w:jc w:val="both"/>
        <w:ind w:left="660" w:firstLine="648"/>
        <w:spacing w:after="0" w:line="270" w:lineRule="auto"/>
        <w:rPr>
          <w:sz w:val="20"/>
          <w:szCs w:val="20"/>
          <w:color w:val="auto"/>
        </w:rPr>
      </w:pPr>
      <w:r>
        <w:rPr>
          <w:rFonts w:ascii="Arial" w:cs="Arial" w:eastAsia="Arial" w:hAnsi="Arial"/>
          <w:sz w:val="17"/>
          <w:szCs w:val="17"/>
          <w:color w:val="auto"/>
        </w:rPr>
        <w:t>On April 9, 2018, the Company entered into an agreement with Loxo Oncology, Inc. ("Loxo") whereby the Company agreed to provide certain tissue samples and other services in exchange for agreed-upon fees. The agreement has a term of one year with an automatic renewal of one year and Loxo may terminate the agreement at any time with at least 90 days' notice. As of June 30, 2019, the agreement has not been terminated. The Company evaluated the accounting for this agreement under ASC 606 and concluded the performance obligations thereunder are the delivery of tissue samples and performance of services, both of which are distinct. For the three months ended March 31, 2019, the Company recognized revenue of $90,000 for the delivery of tissue samples. There were no deliveries of tissue samples for the three months ended June 30, 2019. The Company recognized revenue of $250,000 for the performance of services for each of the three months ended March 31, 2019 and June 30, 2019. The cost of revenue associated with revenue recognized under the agreement with Loxo is not significant. There was no deferred revenue related to this agreement at either June 30, 2019 or December 31, 2018.</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Diagnostic Development Agreement with Johnson &amp; Johnson</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8"/>
          <w:szCs w:val="18"/>
          <w:color w:val="auto"/>
        </w:rPr>
        <w:t>On December 28, 2018, the Company entered into a diagnostics development agreement with JJSI (i) to cooperate on a program to enable the Company to use JJSI samples and clinical data to develop a next generation bronchial genomic classifier diagnostic for lung cancer diagnosis (“Percepta v.2") and a nasal genomic classifier diagnostic for lung cancer (“NasaRISK”) and (ii) for JJSI to use Veracyte data generated in two Veracyte development programs for therapeutic purposes and for purposes of developing a companion diagnostic product used in conjunction with a JJSI therapeutic. The Company granted a license to JJSI with the right to use data and under the Company's intellectual property rights for JJSI's therapeutic purposes, including the development and commercialization of a companion diagnostic for its products, from the Percepta v.2 and NasaRISK programs. The license granted to JJSI is not distinct from other performance obligations as JJSI receives benefit only when other performance obligations are met.</w:t>
      </w:r>
    </w:p>
    <w:p>
      <w:pPr>
        <w:spacing w:after="0" w:line="192"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The Company will provide data from its RNA whole-transcriptome sequencing platform to JJSI in exchange for $7.0 million in payments from JJSI. The Company is also entitled to additional payments from JJSI of up to $13.0 million, conditioned upon the achievement of certain milestones relating to the development and reimbursement of Percepta v.2 and NasaRISK. For a period of ten years commencing with the first commercial sale of Percepta v.2 and NasaRISK, respectively, the Company will make payments to JJSI of one percent of net cash collections for Percepta v.2 and in the low-single digits of net cash collections for NasaRISK, depending on the number and timing of JJSI samples and associated clinical data the Company receives from JJSI.</w:t>
      </w:r>
    </w:p>
    <w:p>
      <w:pPr>
        <w:spacing w:after="0" w:line="193"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The JJSI agreement is considered to be within the scope of ASC 808, as the parties are active participants and exposed to the risks and rewards of the collaborative activity. The Company evaluated the terms of the JJSI agreement and has analogized to ASC 606 for the delivery of data from its RNA whole-transcriptome sequencing platform to JJSI under the collaborative arrangement, which the Company believes is a distinct service for which JJSI meets the definition of a customer. Using the concepts of ASC 606, the Company has identified the delivery of data as its only performance obligation. The Company further determined that the transaction price under the arrangement was the $7.0 million in payments which was allocated to the obligation to deliver data. The $13.0 million in future potential payments is considered variable consideration because the Company determined that the potential payments are contingent upon regulatory and commercialization milestones that are uncertain to occur and, as such, were not included in the transaction price, and will be recognized accordingly as each potential payment becomes probable.</w:t>
      </w:r>
    </w:p>
    <w:p>
      <w:pPr>
        <w:spacing w:after="0" w:line="166"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During the three months ended March 31, 2019, the Company received $5.0 million from JJSI. The Company recognized revenue of $3.8 million and $1.2 million for the provision of data for the three months ended March 31, 2019 and June 30, 2019, respectively. In addition, the Company recognized revenue of $2.0 million for fulfillment of obligations relating to Percepta v.2 development milestones during the three months ended June 30, 2019 and the related accounts receivable was $2.0 million at June 30, 2019. The cost of revenue associated with revenue recognized under the agreement with JJSI is not significant. There was no deferred revenue related to this agreement at either June 30, 2019 or December 31, 2018.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the Company received $0.4 million as a settlement with an institutional investor that was a beneficial owner of the Company's common stock related to the disgorgement of short-swing profits pursuant to Section 16(b) of the Securities Exchange Act of 1934, as amended. The settlement of $0.4 million was recognized as additional paid-in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is effective for interim and annual periods beginning after December 15, 2018. Additionally,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elected this transition method and adopted ASC 842 on January 1, 2019 and as a result, recorded operating lease right-of-use ("ROU") assets of $9.8 million, including offsetting deferred rent of $4.3 million, along with the associated operating lease liabilities of $14.1 million. On January 1, 2019, the Company had a finance lease ROU of $0.8 million and associated finance lease liabilities of $0.3 million for leases classified as finance leases prior to the adoption of ASC 842. The adoption of ASC 842 had an immaterial impact on the Company's condensed statement of operations and comprehensive loss, condensed statement of stockholders' equity and condensed statement of cash flows for the three-month period ended March 31, 2019 and the six-month period ended June 30, 2019. In addition, the Company elected the package of practical expedients permitted under the transition guidance within the new standard which allowed it to carry forward the historical lease classification. Additional information and disclosures required by this new standard are contained in Note 5, Commitments and Contingencies.</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The Company is currently evaluating the potential effect of this standard on its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25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5,721,801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6,209,143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5,696,450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6,100,753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2500" w:type="dxa"/>
            <w:vAlign w:val="bottom"/>
            <w:gridSpan w:val="2"/>
          </w:tcPr>
          <w:p>
            <w:pPr>
              <w:jc w:val="right"/>
              <w:ind w:right="39"/>
              <w:spacing w:after="0"/>
              <w:rPr>
                <w:sz w:val="20"/>
                <w:szCs w:val="20"/>
                <w:color w:val="auto"/>
              </w:rPr>
            </w:pPr>
            <w:r>
              <w:rPr>
                <w:rFonts w:ascii="Arial" w:cs="Arial" w:eastAsia="Arial" w:hAnsi="Arial"/>
                <w:sz w:val="18"/>
                <w:szCs w:val="18"/>
                <w:color w:val="auto"/>
              </w:rPr>
              <w:t>29,471</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42,531</w:t>
            </w: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27,582</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34,137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752,607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450,505</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646,274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322,367</w:t>
            </w:r>
          </w:p>
        </w:tc>
        <w:tc>
          <w:tcPr>
            <w:tcW w:w="0" w:type="dxa"/>
            <w:vAlign w:val="bottom"/>
          </w:tcPr>
          <w:p>
            <w:pPr>
              <w:spacing w:after="0"/>
              <w:rPr>
                <w:sz w:val="1"/>
                <w:szCs w:val="1"/>
                <w:color w:val="auto"/>
              </w:rPr>
            </w:pPr>
          </w:p>
        </w:tc>
      </w:tr>
      <w:tr>
        <w:trPr>
          <w:trHeight w:val="257"/>
        </w:trPr>
        <w:tc>
          <w:tcPr>
            <w:tcW w:w="482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24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6,503,879</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6,702,179</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6,370,306</w:t>
            </w: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6,457,257</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40" w:type="dxa"/>
            <w:vAlign w:val="bottom"/>
            <w:vMerge w:val="restart"/>
          </w:tcPr>
          <w:p>
            <w:pPr>
              <w:jc w:val="right"/>
              <w:ind w:right="170"/>
              <w:spacing w:after="0"/>
              <w:rPr>
                <w:sz w:val="20"/>
                <w:szCs w:val="20"/>
                <w:color w:val="auto"/>
              </w:rPr>
            </w:pPr>
            <w:r>
              <w:rPr>
                <w:rFonts w:ascii="Arial" w:cs="Arial" w:eastAsia="Arial" w:hAnsi="Arial"/>
                <w:sz w:val="18"/>
                <w:szCs w:val="18"/>
                <w:color w:val="auto"/>
              </w:rPr>
              <w:t>12</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2,764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2,774</w:t>
            </w:r>
          </w:p>
        </w:tc>
      </w:tr>
      <w:tr>
        <w:trPr>
          <w:trHeight w:val="27"/>
        </w:trPr>
        <w:tc>
          <w:tcPr>
            <w:tcW w:w="8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9,820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9,186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Company’s financial assets includes money market funds and a deposit for the lease of the Company's South San Francisco facility. Money market funds, included in cash and cash equivalents in the accompanying condensed balance sheets, were $192.0 million and $76.6 million as of June 30, 2019 and December 31, 2018, respectively, and are Level I assets as described above. The deposit for the lease, included in restricted cash in the accompanying condensed balance sheets, was $603,000 as of June 30, 2019 and December 31, 2018, and is a Level I asset as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The Company had deposits of $603,000 included in long-term assets as of June 30, 2019 and December 31, 2018, restricted from withdrawal and held by a bank in the form of collateral for an irrevocable standby letter of credit held as security for the lease of the South San Francisco facility.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included in other assets in the Company’s condensed balance sheets as of June 30, 2019 and December 31, 2018.</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determined its operating lease liabilities for the two operating leases mentioned above using a discount rate of 7.53% based on the rate that the Company would have to pay to borrow on a collateralized basis for a similar lease an amount equal to the lease payments in a similar economic environment. Operating lease liabilities along with the associated right-of-use assets as of June 30, 2019 are disclosed in the accompanying condensed balance sheets. After the adoption of ASC 842,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classified its deferred rent for tenant improvements with its operating lease right-of-use assets on the condensed balance sheets.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as of June 30, 2019 are as follows (in thousands of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2,332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2,401</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2,472</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6,841</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9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17,690</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operating lease expense on a straight-line basis over the non-cancelable lease period. Operating lease expense was $476,000 for the three months ended June 30, 2019 and 2018, and $953,000 for the six months ended June 30,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entered into a finance lease in December 2016 for $1.2 million of laboratory equipment which ends in December 2019. The Company paid an upfront amount of $330,000 and the present value of the total future minimum lease payments at the inception of the lease was $874,000. As of June 30, 2019, the remaining future minimum lease payments of $159,000 are due in the last half of 2019. The interest expense and related amortization of laboratory equipment are recorded in the statements of operations for nominal amounts. After the adoption of ASC 842, this finance lease remained a finance lease and the Company did not change the discount rate to determine the lease liability nor the amortization life of the related right-of-use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either individually or in the aggregate, a material adverse effect on the Company’s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June 30, 2019.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 The average Term Loan Advance rate for the six months ended June 30, 2019 was 7.23%.</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may prepay the outstanding principal amount under the Term Loan Advance plus accrued and unpaid interest and, if the Term Loan Advance is repaid in full, a prepayment premium. The prepayment premium will be (i) $750,000 if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prepayment is made prior to November 3, 2018, (ii) $500,000 if the prepayment is made after November 3, 2018 but on or before November 3, 2019, or (iii) $250,000 if the prepayment is made after November 3, 2019. In January 2019 and May 2019, the Company prepaid $12.5 million and $12.4 million, respectively, of the principal amount of the Term Loan Advance. These prepayments did not trigger any prepayment premium because they were partial, not full, repayments of the principal amount.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the Company's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June 30, 2019, the Company was in compliance with the loan covenants.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debt obligation for borrowings made under the Loan and Security Agreement was as follows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2018</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End-of-term debt obligation</w:t>
            </w: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365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Net debt obligation</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25,282</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and end-of-term debt obligation payments due under the Loan and Security Agreement are $1.3 million in 2022.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end-of-term debt obligation accretes over the term of the Loan and Security Agreement until maturity and is included in interest expense in the Company's condensed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30,</w:t>
            </w:r>
          </w:p>
        </w:tc>
        <w:tc>
          <w:tcPr>
            <w:tcW w:w="1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6,567,833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6,235,258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1,886,789</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1,571,658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229,218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309,419</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8,683,840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8,116,335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Thyroid Cytopathology Partners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an agreement with a specialized pathology practice, Thyroid Cytopathology Partners, ("TCP"), to provide testing services to the Company (the "TCP Agreement"). The TCP Agreement is effective through October 31, 2022, and thereafter automatically renews every year unless either party provides notice of intent not to renew at least 12 months prior to the end of the then-current term. Under the TCP Agreement, the Company pays TCP based on a fixed price per test schedule which is reviewed periodically for changes in market pricing, and the TCP Agreement included a clause allowing TCP to sublease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portion of the Company's facility in Austin, Texas. The Company does not have an ownership interest in or provide any form of financial or other support to TCP. The Company previously concluded that TCP represents a variable interest entity as a result of the facility arrangement clause, but that the Company is not the primary beneficiary as it does not have the ability to direct the activities that most significantly impact TCP's economic performance, and therefore does not consolidate TCP. On February 14, 2019, the TCP Agreement was amended to remove the facility clause. Accordingly, the Company believes TCP was no longer a variable interest entity as of that date.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TCP's portion of rent and related operating expenses reimbursed to the Company for the shared space at the Austin, Texas facility was $32,000 for the three months ended June 30, 2018 and $11,000 and $64,000 for the six months ended June 30, 2019 and 2018, respectively, and is included in other income, net in the Company’s condensed statements of operations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six months ended June 30, 2019 and 2018. The Company continues to maintain a full valuation allowance against its net deferred tax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2019, the Company had unrecognized tax benefits of $2.8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June 30, 2019 will significantly increase or decrease within the next 12 months. There was no interest expense or penalties related to unrecognized tax benefits recorded through June 30, 2019.</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with consideration of changing facts and circumstances. Settlement of any particular position could require the use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2018.</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collaboration with Johnson &amp; Johnson Services, Inc.; our belief in the importance of maintaining libraries of clinical evidence;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estimates of the number of people covered under the TRICARE program, our belief that published clinical validation and utility study finding for the Envisia classifier can improve diagnosis and decrease the need for surgery, study results demonstrating that the Afirma GSC test has an enhanced ability to distinguish benign from cancerous </w:t>
      </w:r>
      <w:r>
        <w:rPr>
          <w:rFonts w:ascii="Arial" w:cs="Arial" w:eastAsia="Arial" w:hAnsi="Arial"/>
          <w:sz w:val="16"/>
          <w:szCs w:val="16"/>
          <w:i w:val="1"/>
          <w:iCs w:val="1"/>
          <w:color w:val="222222"/>
        </w:rPr>
        <w:t>Hürthle cells, our belief that variant and fusion information from the Afirma Xpression Atlas data may help guide physicians in preoperative</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22222"/>
        </w:rPr>
        <w:t xml:space="preserve">evaluation, surgical planning and targeted therapy selections; </w:t>
      </w:r>
      <w:r>
        <w:rPr>
          <w:rFonts w:ascii="Arial" w:cs="Arial" w:eastAsia="Arial" w:hAnsi="Arial"/>
          <w:sz w:val="16"/>
          <w:szCs w:val="16"/>
          <w:i w:val="1"/>
          <w:iCs w:val="1"/>
          <w:color w:val="000000"/>
        </w:rPr>
        <w:t>our need for additional financing; potential future sources of cash; our business strategy and</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potential for future clinical studies to contradict or undermine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genomic diagnostics company that is creating value through innovation. We were founded in 2008 with a mission to improve diagnostic accuracy. Today, through our innovative scientific platform which utilizes RNA whole-transcriptome sequencing combined with machine learning, we are serving this critical medical need and expanding our offerings further along the clinical continuum of care so that we can advance early detection of disease and inform treatment decisions at the same time as diagnosis.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commercialized seven leading, first-to-market tests that are transforming care in large, untapped clinical areas - thyroid cancer, lung cancer and IPF. We develop tests that answer specific clinical questions, providing patients and physicians with a clear path forward without the need for risky or costly procedures that are often unnecessary. Our RNA whole-transcriptome sequencing platform enables us to maximize the amount of genomic content that we extract from each nonsurgical patient sample. We utilize our machine learning expertise to develop genomic classifiers that provide actionable information at the time of diagnosis. At the same time, our approach enables us to provide information that can guide treatment decisions such as surgery strategy and therapy selection.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position our tests in each clinical indication at the point where they improve diagnostic clarity for cancer and other diseases. In its 2015 report, “Improving Diagnostic Errors in Medicine,” the Institute of Medicine concluded that most people will experience at least one diagnostic error in their lifetime, sometimes with devastating consequences. Annually, of the hundreds of thousands of patients who are evaluated for suspected disease in our thyroid and lung indications, diagnosis can be ambiguous in 15% to 70% of cases.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commercialized seven genomic tests that are changing disease diagnosis: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endocrinology:</w:t>
      </w:r>
    </w:p>
    <w:p>
      <w:pPr>
        <w:spacing w:after="0" w:line="23"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Afirma Genomic Sequencing Classifier, or Afirma GSC, for thyroid cancer;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Afirma Gene Expression Classifier, or GEC, which was the Afirma GSC’s predecessor;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Malignancy Classifiers which test for the BRAF v600E mutation and medullary thyroid cancer;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Afirma Xpression Atlas, which provides genomic alteration information to inform surgery and treatment decisions.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pulmonology: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Percepta Genomic Sequencing Classifier, or Percepta GSC, for lung cancer; and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Percepta Bronchial Genomic Classifier, which was the Percepta GSC’s predecessor.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interstitial lung disease:</w:t>
      </w:r>
    </w:p>
    <w:p>
      <w:pPr>
        <w:spacing w:after="0" w:line="23"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Envisia Genomic Classifier for IPF.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Collectively, we believe the tests we are currently offering address a $2 billion global market opportunity.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and we believe is key to driving adoption and reimbursement. Patients and physicians can access our full list of publications on our website. Over 38 clinical studies covering our products have been published, including two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for the Afirma and Percepta classifiers, respectively. We continue to build upon our extensive library of clinical evidence.</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our focus on developing clinically useful tests that change patient care is enabling us to set new standards in genomic test reimbursement. Our Afirma genomic classifier is now covered by every major health plan in the United States, which collectively insure more than 275 million people for use in thyroid cancer diagnosis. Veracyte is now contracted as an in-network service provider to health plans representing over 220 million people in the United States. Our Percepta classifier is the first genomic test to gain Medicare coverage for improved lung cancer screening and diagnosis, making it a covered benefit for more than 60 million people. Our Envisia Genomic Classifier is the first commercial test to improve the diagnosis of IPF among patients with a suspected interstitial lung disease and gained Medicare coverage effective April 1, 2019, making it a covered benefit for more than 60 million people.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second quarter of 2019 as compared to the second quarter of 2018:</w:t>
      </w:r>
    </w:p>
    <w:p>
      <w:pPr>
        <w:spacing w:after="0" w:line="225" w:lineRule="exact"/>
        <w:rPr>
          <w:sz w:val="20"/>
          <w:szCs w:val="20"/>
          <w:color w:val="auto"/>
        </w:rPr>
      </w:pPr>
    </w:p>
    <w:p>
      <w:pPr>
        <w:ind w:left="500" w:right="20" w:hanging="249"/>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$30.1 million, an increase of 32%; excluding $3.5 million of biopharmaceutical services revenue, revenue was $26.7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20%.</w:t>
      </w:r>
    </w:p>
    <w:p>
      <w:pPr>
        <w:spacing w:after="0" w:line="1" w:lineRule="exact"/>
        <w:rPr>
          <w:rFonts w:ascii="Arial" w:cs="Arial" w:eastAsia="Arial" w:hAnsi="Arial"/>
          <w:sz w:val="18"/>
          <w:szCs w:val="18"/>
          <w:color w:val="auto"/>
        </w:rPr>
      </w:pPr>
    </w:p>
    <w:p>
      <w:pPr>
        <w:ind w:left="500" w:hanging="249"/>
        <w:spacing w:after="0" w:line="25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increase of seven percentage points; excluding biopharmaceutical services revenue, gross margin was 67%,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four percentage points.</w:t>
      </w: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$24.5 million, an increase of 20%.</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$2.5 million, an improvement of 60%.</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was $0.05, an improvement of 72%.</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$2.5 million, an improvement of 21%.</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$192.6 million at June 30, 2019</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six-month period ended June 30, 2019, as compared with the prior year period of 2018:</w:t>
      </w:r>
    </w:p>
    <w:p>
      <w:pPr>
        <w:spacing w:after="0" w:line="225" w:lineRule="exact"/>
        <w:rPr>
          <w:sz w:val="20"/>
          <w:szCs w:val="20"/>
          <w:color w:val="auto"/>
        </w:rPr>
      </w:pPr>
    </w:p>
    <w:p>
      <w:pPr>
        <w:ind w:left="500" w:right="20" w:hanging="249"/>
        <w:spacing w:after="0" w:line="25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$59.7 million, an increase of 39%; excluding $7.6 million of biopharmaceutical services revenue, revenue was $52.1 million,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23%.</w:t>
      </w:r>
    </w:p>
    <w:p>
      <w:pPr>
        <w:spacing w:after="0" w:line="1" w:lineRule="exact"/>
        <w:rPr>
          <w:rFonts w:ascii="Arial" w:cs="Arial" w:eastAsia="Arial" w:hAnsi="Arial"/>
          <w:sz w:val="18"/>
          <w:szCs w:val="18"/>
          <w:color w:val="auto"/>
        </w:rPr>
      </w:pPr>
    </w:p>
    <w:p>
      <w:pPr>
        <w:ind w:left="500" w:right="20" w:hanging="249"/>
        <w:spacing w:after="0" w:line="250"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increase of nine percentage points; excluding biopharmaceutical services revenue, gross margin was 67%,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five percentage points.</w:t>
      </w: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$47.5 million, an increase of 14%.</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was $4.4 million, an improvement of 71%.</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Loss Per Share </w:t>
      </w:r>
      <w:r>
        <w:rPr>
          <w:rFonts w:ascii="Arial" w:cs="Arial" w:eastAsia="Arial" w:hAnsi="Arial"/>
          <w:sz w:val="18"/>
          <w:szCs w:val="18"/>
          <w:color w:val="auto"/>
        </w:rPr>
        <w:t>was $0.10, an improvement of 78%.</w:t>
      </w:r>
    </w:p>
    <w:p>
      <w:pPr>
        <w:spacing w:after="0" w:line="9" w:lineRule="exact"/>
        <w:rPr>
          <w:rFonts w:ascii="Arial" w:cs="Arial" w:eastAsia="Arial" w:hAnsi="Arial"/>
          <w:sz w:val="18"/>
          <w:szCs w:val="18"/>
          <w:color w:val="auto"/>
        </w:rPr>
      </w:pPr>
    </w:p>
    <w:p>
      <w:pPr>
        <w:ind w:left="500" w:hanging="249"/>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$3.5 million, an improvement of 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Growth and Reimbursement Expansion:</w:t>
      </w:r>
    </w:p>
    <w:p>
      <w:pPr>
        <w:spacing w:after="0" w:line="225" w:lineRule="exact"/>
        <w:rPr>
          <w:sz w:val="20"/>
          <w:szCs w:val="20"/>
          <w:color w:val="auto"/>
        </w:rPr>
      </w:pPr>
    </w:p>
    <w:p>
      <w:pPr>
        <w:ind w:left="500" w:hanging="249"/>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Launched the “next-generation” Percepta Genomic Sequencing Classifier (GSC) in June 2019, ahead of the company’s expectations, completing the transition of all of the company’s classifiers to its RNA whole-transcriptome sequencing platform.</w:t>
      </w:r>
    </w:p>
    <w:p>
      <w:pPr>
        <w:spacing w:after="0" w:line="1" w:lineRule="exact"/>
        <w:rPr>
          <w:rFonts w:ascii="Arial" w:cs="Arial" w:eastAsia="Arial" w:hAnsi="Arial"/>
          <w:sz w:val="18"/>
          <w:szCs w:val="18"/>
          <w:color w:val="auto"/>
        </w:rPr>
      </w:pPr>
    </w:p>
    <w:p>
      <w:pPr>
        <w:ind w:left="500" w:hanging="249"/>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Grew total genomic test volume in the second quarter of 2019 to 9,663, an increase of 26% over the second quarter of 2018.</w:t>
      </w:r>
    </w:p>
    <w:p>
      <w:pPr>
        <w:spacing w:after="0" w:line="9" w:lineRule="exact"/>
        <w:rPr>
          <w:rFonts w:ascii="Arial" w:cs="Arial" w:eastAsia="Arial" w:hAnsi="Arial"/>
          <w:sz w:val="18"/>
          <w:szCs w:val="18"/>
          <w:color w:val="auto"/>
        </w:rPr>
      </w:pPr>
    </w:p>
    <w:p>
      <w:pPr>
        <w:ind w:left="820" w:hanging="324"/>
        <w:spacing w:after="0" w:line="261" w:lineRule="auto"/>
        <w:rPr>
          <w:rFonts w:ascii="Arial" w:cs="Arial" w:eastAsia="Arial" w:hAnsi="Arial"/>
          <w:sz w:val="18"/>
          <w:szCs w:val="18"/>
          <w:color w:val="auto"/>
        </w:rPr>
      </w:pPr>
      <w:r>
        <w:rPr>
          <w:rFonts w:ascii="Arial" w:cs="Arial" w:eastAsia="Arial" w:hAnsi="Arial"/>
          <w:sz w:val="18"/>
          <w:szCs w:val="18"/>
          <w:color w:val="auto"/>
        </w:rPr>
        <w:t>–Increased Percepta classifier test volume to 744 tests and revenue to more than $1.0 million, representing a 142% and 159% increase, respectively, compared with the second quarter of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820" w:hanging="324"/>
        <w:spacing w:after="0" w:line="216" w:lineRule="auto"/>
        <w:rPr>
          <w:sz w:val="20"/>
          <w:szCs w:val="20"/>
          <w:color w:val="auto"/>
        </w:rPr>
      </w:pPr>
      <w:r>
        <w:rPr>
          <w:rFonts w:ascii="Arial" w:cs="Arial" w:eastAsia="Arial" w:hAnsi="Arial"/>
          <w:sz w:val="18"/>
          <w:szCs w:val="18"/>
          <w:color w:val="auto"/>
        </w:rPr>
        <w:t>–Ramped Envisia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Genomic Classifier test volume as well as the number of institutions ordering the test by more than 100% sequentially from the first quarter of 2019 to 130 tests and 76 sites, respectively.</w:t>
      </w:r>
    </w:p>
    <w:p>
      <w:pPr>
        <w:spacing w:after="0" w:line="1" w:lineRule="exact"/>
        <w:rPr>
          <w:sz w:val="20"/>
          <w:szCs w:val="20"/>
          <w:color w:val="auto"/>
        </w:rPr>
      </w:pPr>
    </w:p>
    <w:p>
      <w:pPr>
        <w:ind w:left="500"/>
        <w:spacing w:after="0" w:line="2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Grew Afirma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classifier test volume to 8,789 tests, an increase of 19% over the second quarter of 2018.</w:t>
      </w:r>
    </w:p>
    <w:p>
      <w:pPr>
        <w:ind w:left="500" w:hanging="249"/>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Achieved in-network status with four Blue Cross Blue Shield plans in New Jersey, North Carolina, South Carolina and Vermont, covering nearly 8.5 million medical members.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Strengthened Library of Clinical Evidence:</w:t>
      </w:r>
    </w:p>
    <w:p>
      <w:pPr>
        <w:spacing w:after="0" w:line="225" w:lineRule="exact"/>
        <w:rPr>
          <w:sz w:val="20"/>
          <w:szCs w:val="20"/>
          <w:color w:val="auto"/>
        </w:rPr>
      </w:pPr>
    </w:p>
    <w:p>
      <w:pPr>
        <w:jc w:val="both"/>
        <w:ind w:left="500" w:hanging="330"/>
        <w:spacing w:after="0" w:line="256"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Unveiled clinical validation data for the Percepta GSC during ATS 2019, demonstrating the test’s ability to down-classify lung nodule patients to “low risk” for cancer so they may avoid unnecessary invasive procedures (NPV of 91%), while also up-classifying patients to “high risk” to help guide next steps (PPV of 65%).</w:t>
      </w:r>
    </w:p>
    <w:p>
      <w:pPr>
        <w:jc w:val="both"/>
        <w:ind w:left="500" w:hanging="330"/>
        <w:spacing w:after="0" w:line="265"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Published clinical validation and utility study findings for the Envisia classifier in </w:t>
      </w:r>
      <w:r>
        <w:rPr>
          <w:rFonts w:ascii="Arial" w:cs="Arial" w:eastAsia="Arial" w:hAnsi="Arial"/>
          <w:sz w:val="17"/>
          <w:szCs w:val="17"/>
          <w:i w:val="1"/>
          <w:iCs w:val="1"/>
          <w:color w:val="auto"/>
        </w:rPr>
        <w:t>The Lancet Respiratory Medicine</w:t>
      </w:r>
      <w:r>
        <w:rPr>
          <w:rFonts w:ascii="Arial" w:cs="Arial" w:eastAsia="Arial" w:hAnsi="Arial"/>
          <w:sz w:val="17"/>
          <w:szCs w:val="17"/>
          <w:color w:val="auto"/>
        </w:rPr>
        <w:t>, showing that the test helps physicians distinguish idiopathic pulmonary fibrosis (IPF) from other interstitial lung diseases without the need for surgery, and that when paired with HRCT results and patient clinical history, the test provided physicians with a higher level of confidence in making an IPF diagnosis.</w:t>
      </w:r>
    </w:p>
    <w:p>
      <w:pPr>
        <w:ind w:left="500" w:hanging="330"/>
        <w:spacing w:after="0" w:line="265"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Positive data were presented at the 2019 ASCO Annual Meeting demonstrating the ability of the Afirma Xpression Atlas (XA) to identify gene mutations in medullary thyroid cancer that may guide targeted treatment decisions for patients concurrent with diagnosis by the Afirma GSC.</w:t>
      </w:r>
    </w:p>
    <w:p>
      <w:pPr>
        <w:ind w:left="500" w:hanging="330"/>
        <w:spacing w:after="0" w:line="265"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Independent clinical utility study for the Afirma GSC was published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showing that use of the test enabled Ohio State University researchers to identify significantly more benign thyroid nodules and therefore meaningfully decrease surgeries compared to the original test.</w:t>
      </w:r>
    </w:p>
    <w:p>
      <w:pPr>
        <w:jc w:val="both"/>
        <w:ind w:left="500" w:hanging="330"/>
        <w:spacing w:after="0" w:line="255"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Publication in </w:t>
      </w:r>
      <w:r>
        <w:rPr>
          <w:rFonts w:ascii="Arial" w:cs="Arial" w:eastAsia="Arial" w:hAnsi="Arial"/>
          <w:sz w:val="18"/>
          <w:szCs w:val="18"/>
          <w:i w:val="1"/>
          <w:iCs w:val="1"/>
          <w:color w:val="auto"/>
        </w:rPr>
        <w:t>Cancer Cytopathology</w:t>
      </w:r>
      <w:r>
        <w:rPr>
          <w:rFonts w:ascii="Arial" w:cs="Arial" w:eastAsia="Arial" w:hAnsi="Arial"/>
          <w:sz w:val="18"/>
          <w:szCs w:val="18"/>
          <w:color w:val="auto"/>
        </w:rPr>
        <w:t xml:space="preserve"> detailed how new RNA sequencing-based genomic testing, the technology behind the Afirma GSC and Afirma XA, is helping to reduce unnecessary surgeries in thyroid cancer diagnosis and inform on surgery and treatment decision-making using the same minimally invasive patient sample.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Debt Facility</w:t>
      </w:r>
    </w:p>
    <w:p>
      <w:pPr>
        <w:spacing w:after="0" w:line="225" w:lineRule="exact"/>
        <w:rPr>
          <w:sz w:val="20"/>
          <w:szCs w:val="20"/>
          <w:color w:val="auto"/>
        </w:rPr>
      </w:pPr>
    </w:p>
    <w:p>
      <w:pPr>
        <w:jc w:val="both"/>
        <w:ind w:left="500" w:hanging="249"/>
        <w:spacing w:after="0" w:line="256" w:lineRule="auto"/>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Issued and sold 6,325,000 shares of common stock in May 2019 in a registered public offering, including the underwriters’ exercise in full of their option to purchase an additional 825,000 shares, at a price to the public of $23.25 per share. Net proceeds from the offering were approximately $137.8 million.</w:t>
      </w:r>
    </w:p>
    <w:p>
      <w:pPr>
        <w:ind w:left="500" w:hanging="330"/>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Used $12.4 million of offering proceeds to reduce the company’s principal debt balance from $12.5 million at the end of first quarter of 2019 to $0.1 million at the end of the second quarter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01"/>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1300" w:hanging="401"/>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01"/>
        <w:spacing w:after="0" w:line="261"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For the Afirma classifier, we do not accrue revenue for approximately 5% - 10% of the tests that we perform and report as complete due principally to insufficient RNA from which to render a result and tests performed for which we do not reasonably expect to be paid.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264"/>
        <w:spacing w:after="0" w:line="253" w:lineRule="auto"/>
        <w:rPr>
          <w:sz w:val="20"/>
          <w:szCs w:val="20"/>
          <w:color w:val="auto"/>
        </w:rPr>
      </w:pPr>
      <w:r>
        <w:rPr>
          <w:rFonts w:ascii="Arial" w:cs="Arial" w:eastAsia="Arial" w:hAnsi="Arial"/>
          <w:sz w:val="18"/>
          <w:szCs w:val="18"/>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We commenced recognizing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starting January 1, 2018. Prior to January 1, 2018, we recognized revenue in accordance with the provisions of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2018,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six months ended June 30, 2019 and we have no expectation of future collection because we began accruing for substantially all revenue upon delivery of a patient report in the third quarter of 2016.</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bill list price regardless of contract rate, but only recognize revenue from amounts that we estimate are collectible and meet our revenue recognition criteria. Revenue may not be equal to the list price or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we calculate the average reimbursement from our products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genomic classifier tests, including variants, performed during the relevant period divided by the number of these tests performed during that same period.</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June 30, 2019, we accrued, on average, between $2,800 and $2,900 for the Afirma genomic classifier tests, including variants, that met our revenue recognition standard, which was between 90% - 95% of the reported Afirma classifier test volume.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second quarter of 2018 to the second quarter of 2019, we accrued between $1.0 million and $2.6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continue to advance our product portfolio with diagnostic tests that leverage innovations in genomic science, sequencing technology and machine learning methodologies to further improve patient care. In May 2017, we introduced the Afirma GSC, supported by rigorous clinical validation data showing that the RNA sequencing-based test can help significantly more patients avoid unnecessary surgery in thyroid cancer diagnosis, compared to the original Afirma Classifier. In March 2018, we unveiled our Afirma Xpression Atlas, which uses the same RNA sequencing data from the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or Malignancy Classifiers, the Afirma Xpression Atlas rounds out a comprehensive solution for physicians evaluating thyroid nodules. This innovation also enables us to enter into research collaborations with biopharmaceutical companies, which is intended to support their development of targeted therapies for genetically defined cancers, including thyroid cancer.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In June 2019, we began making our “next-generation” Percepta Genomic Sequencing Classifier available to physicians, providing them with expanded lung cancer risk information that can further guide next steps for patients with suspicious lung nodules, as compared to the Percepta Bronchial Genomic Classifier.</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our Envisia Genomic Classifier, launched in October 2016, is the first commercial test to improve the diagnosis of IPF among patients with a suspected interstitial lung disease. In March 2019, we received final Medicare coverage for the Envisia classifier through the MolDX program, with an effective date of April 1, 2019.</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currently exploring opportunities to utilize the same “field of injury” technology that powers our Percepta classifier to develop a nasal swab test that can enable earlier lung cancer detection - and ultimately help reduce lung cancer deaths. Additionally, we believe our Xpression Atlas platform can be transferred to our pulmonology indications, to further improve patient care and advance precision medicine in lung cancer and IPF.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June 30, 2019, we had derived most of our revenue from the sale of Afirma, delivered primarily to physicians in the United States. We generally invoice third-party payers upon delivery of a patient report to the prescribing physician.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we take the assignment of benefits and the risk of cash collection from the third-party payer and individual patients. Third-party payers in excess of 10% of total revenue and their related revenue as a percentage of total revenue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 Ended June 30,</w:t>
            </w:r>
          </w:p>
        </w:tc>
        <w:tc>
          <w:tcPr>
            <w:tcW w:w="3160" w:type="dxa"/>
            <w:vAlign w:val="bottom"/>
            <w:gridSpan w:val="3"/>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28, 2018, we entered into a diagnostics development agreement with Johnson &amp; Johnson Services, Inc. ("JJSI") for which we recognized $3.2 million and $7.0 million of revenue for the provision of data and fulfillment of milestone obligations, which represents 10.6% and 11.7% of total revenue for the three and six months ended June 30, 2019, respectively.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may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2018 and the first and second quarters of 2019, and expect to continue doing so in the remainder of 2019. We believe a majority of our research and development expenses in and after 2019 will be predominantly in support of our pipeline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point of contact to successfully develop and implement relationships with our customers and increased our marketing spending. We have also incurred increased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and marketing expense as a result of investments in our lung product portfolio and believe total selling and marketing expenses will continue to increase as we launch and promote our new tests.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six months ended June 30, 2019, approximately 66% of the average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related finite-lived intangible asset with a cost of $16.0 million, and a net book value of $11.5 million at June 30, 2019,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net consists primarily of sublease rental income and interest income from our cash held in interest bearing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Comparison of the three and six months ended June 30, 2019 and 2018 (in thousands of dollars, except percentages and genomic classifiers reported):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7,385</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16,873</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4,601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(1,271)</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(18)%</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4,320</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5,254</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25%</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988</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2,248</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19%</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2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33,236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28,668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4,568</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16%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64,832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57,664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7,168</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12%</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9,705</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(65)%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391</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w:t>
            </w:r>
          </w:p>
        </w:tc>
        <w:tc>
          <w:tcPr>
            <w:tcW w:w="10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244%</w:t>
            </w: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3,754</w:t>
            </w:r>
          </w:p>
        </w:tc>
        <w:tc>
          <w:tcPr>
            <w:tcW w:w="102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(60)%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11,014</w:t>
            </w:r>
          </w:p>
        </w:tc>
        <w:tc>
          <w:tcPr>
            <w:tcW w:w="100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5"/>
              </w:rPr>
              <w:t>(71)%</w:t>
            </w:r>
          </w:p>
        </w:tc>
      </w:tr>
      <w:tr>
        <w:trPr>
          <w:trHeight w:val="210"/>
        </w:trPr>
        <w:tc>
          <w:tcPr>
            <w:tcW w:w="32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Genomic classifiers reported</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9,663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1,977</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18,825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4,275</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29%</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(5)%</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102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1,419</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increased $7.4 million, or 32%, for the three months ended June 30, 2019 compared to the same period in 2018 primarily due to a 26% volume increase in genomic classifiers and an increase in the accrual rate for our Afirma genomic classifiers. In the three months ended June 30, 2019, we also recognized $3.5 million of biopharmaceutical service revenue and $1.1 million of revenue for Percepta, the volume for which is included in the number of genomic classifiers reported, compared to $0.5 million and $0.4 million in the same period in 2018, respectively. We also make adjustments, as necessary, for tests accrued in prior quarters as collections are made if the amount we expect to ultimately collect changes. The adjustment for tests accrued in prior quarters increased revenue by $0.1 million and $0.5 million for the three months ended June 30, 2019 and 2018, respectively, a net decrease of $0.4 million between the periods.</w:t>
      </w:r>
    </w:p>
    <w:p>
      <w:pPr>
        <w:spacing w:after="0" w:line="18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increased $16.9 million, or 39%, for the six months ended June 30, 2019 compared to the same period in 2018 primarily due to a 29% volume increase in genomic classifiers and an increase in the accrual rate for our Afirma genomic classifiers. In the six months ended June 30, 2019, we also recognized $7.6 million of biopharmaceutical service revenue and $2.0 million of revenue for Percepta, the volume for which is included in the number of genomic classifiers reported, compared to $0.5 million and $0.6 million in the same period in 2018, respectively. We also make adjustments, as necessary, for tests accrued in prior quarters as collections are made if the amount we expect to collect changes. The adjustment for tests accrued in prior quarters increased revenue by $0.8 million and $1.2 million for the six months ended June 30, 2019 and 2018, respectively, a net decrease of $0.4 million between the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2019 and 2018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0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Laboratory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4,871</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4,817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54</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9,536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552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costs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405</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716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33 %</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131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34 %</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2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r>
        <w:trPr>
          <w:trHeight w:val="27"/>
        </w:trPr>
        <w:tc>
          <w:tcPr>
            <w:tcW w:w="3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102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17,290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7 %</w:t>
            </w: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Cost of revenue increased $0.5 million, or 6%, for the three months ended June 30, 2019 compared to the same period in 2018. Reported genomic classifiers volume increased 26% and cytopathology volume was flat for the three months ended June 30, 2019 compared to the same period in 2018. Laboratory costs were essentially flat for the three months ended June 30, 2019 as compared to the same period in 2018 despite the increase in reported genomic classifiers volume due to better pricing on supplies and improved efficiencies following the completion of the transition from the Afirma GEC to Afirma GSC in the third quarter of 2018. The increase in sample collection costs was primarily related to the increase in the overall volume of samples received, partially offset by shipping cost savings from improvements to our collection kits. The increase in compensation expense was primarily due to an average laboratory headcount increase of 14% and an increase in average salaries. The decrease in license fees and royalties was due to the completed transition to the Afirma GSC in the third quarter of 2018, for which we do not pay license fees as we did in connection with the Afirma GEC.</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Cost of revenue increased $1.2 million, or 7%, for the six months ended June 30, 2019 compared to the same period in 2018. Reported genomic classifiers volume increased 29% and cytopathology volume was flat for the six months ended June 30, 2019 compared to the same period in 2018. The increase in laboratory costs was due primarily to the increase in reported genomic classifiers volume, partially offset by better pricing on supplies and improved efficiencies following the completion of the transition from the Afirma GEC to Afirma GSC in the third quarter of 2018. The increase in sample collection costs was primarily related to the increase in the overall volume of samples received, partially offset by shipping cost savings from improvements to our collection kits. The increase in compensation expense was primarily due to an average laboratory headcount increase of 12%. The decrease in license fees and royalties was due to the completed transition to the Afirma GSC in the third quarter of 2018,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we do not pay license fees as we did in connection with the Afirma GEC. The increase in depreciation and amortization is from more equipment being placed into service. The increase in other expenses was due to higher maintenance and laboratory supply costs. The increase in allocations was due to higher allocated costs from increased headcount.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2019 and 2018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0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w:t>
            </w:r>
          </w:p>
        </w:tc>
      </w:tr>
      <w:tr>
        <w:trPr>
          <w:trHeight w:val="250"/>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2,350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337</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4,480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Direct research and development expense</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35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6,765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Research and development expense decreased $1.3 million, or 28%, for the three months ended June 30, 2019 compared to the same period in 2018. The increase in compensation expense was primarily due to higher stock-based compensation expense from the increase in our stock price and incentive compensation. The decrease in direct research and development primarily relates to one-time sequencing costs in the second quarter of 2018 associated with research and development projects. The decrease in professional fees was primarily due to lower consulting expenses.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decreased $1.5 million, or 18%, for the six months ended June 30, 2019 compared to the same period in 2018. The increase in compensation expense was primarily due to higher stock-based compensation expense from the increase in our stock price and incentive compensation, partially offset by severance costs incurred in the three months ended March 31, 2018 that were not incurred in the three months ended March 31, 2019. The decrease in professional fees was primarily due to lower consulting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2019 and 2018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6"/>
              </w:rPr>
              <w:t>Three Months Ended June 30,</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3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Change</w:t>
            </w:r>
          </w:p>
        </w:tc>
        <w:tc>
          <w:tcPr>
            <w:tcW w:w="88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Change</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r>
      <w:tr>
        <w:trPr>
          <w:trHeight w:val="250"/>
        </w:trPr>
        <w:tc>
          <w:tcPr>
            <w:tcW w:w="3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8,410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5,517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2,893</w:t>
            </w:r>
          </w:p>
        </w:tc>
        <w:tc>
          <w:tcPr>
            <w:tcW w:w="88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16,123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2,745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w:t>
            </w:r>
          </w:p>
        </w:tc>
        <w:tc>
          <w:tcPr>
            <w:tcW w:w="88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414</w:t>
            </w:r>
          </w:p>
        </w:tc>
        <w:tc>
          <w:tcPr>
            <w:tcW w:w="880" w:type="dxa"/>
            <w:vAlign w:val="bottom"/>
            <w:gridSpan w:val="2"/>
          </w:tcPr>
          <w:p>
            <w:pPr>
              <w:jc w:val="center"/>
              <w:ind w:left="13"/>
              <w:spacing w:after="0"/>
              <w:rPr>
                <w:sz w:val="20"/>
                <w:szCs w:val="20"/>
                <w:color w:val="auto"/>
              </w:rPr>
            </w:pPr>
            <w:r>
              <w:rPr>
                <w:rFonts w:ascii="Arial" w:cs="Arial" w:eastAsia="Arial" w:hAnsi="Arial"/>
                <w:sz w:val="18"/>
                <w:szCs w:val="18"/>
                <w:color w:val="auto"/>
                <w:w w:val="91"/>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451</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7"/>
        </w:trPr>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570</w:t>
            </w:r>
          </w:p>
        </w:tc>
        <w:tc>
          <w:tcPr>
            <w:tcW w:w="88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1,004</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179</w:t>
            </w:r>
          </w:p>
        </w:tc>
        <w:tc>
          <w:tcPr>
            <w:tcW w:w="880" w:type="dxa"/>
            <w:vAlign w:val="bottom"/>
            <w:gridSpan w:val="2"/>
          </w:tcPr>
          <w:p>
            <w:pPr>
              <w:jc w:val="center"/>
              <w:ind w:left="13"/>
              <w:spacing w:after="0"/>
              <w:rPr>
                <w:sz w:val="20"/>
                <w:szCs w:val="20"/>
                <w:color w:val="auto"/>
              </w:rPr>
            </w:pPr>
            <w:r>
              <w:rPr>
                <w:rFonts w:ascii="Arial" w:cs="Arial" w:eastAsia="Arial" w:hAnsi="Arial"/>
                <w:sz w:val="18"/>
                <w:szCs w:val="18"/>
                <w:color w:val="auto"/>
                <w:w w:val="94"/>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340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7"/>
        </w:trPr>
        <w:tc>
          <w:tcPr>
            <w:tcW w:w="3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r>
      <w:tr>
        <w:trPr>
          <w:trHeight w:val="257"/>
        </w:trPr>
        <w:tc>
          <w:tcPr>
            <w:tcW w:w="3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13,943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4,320</w:t>
            </w:r>
          </w:p>
        </w:tc>
        <w:tc>
          <w:tcPr>
            <w:tcW w:w="880" w:type="dxa"/>
            <w:vAlign w:val="bottom"/>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4"/>
              </w:rPr>
              <w:t>45%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21,166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5,254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 increased $4.3 million, or 45%, for the three months ended June 30, 2019 compared to the same period in 2018. The increase in compensation expense was primarily due to an average headcount increase of 44%, higher incentive compensation and higher stock-based compensation expense. The increase in direct marketing expense was due to higher general marketing expeditures. The increase in professional fees was due to higher consulting expenses. The increase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 other expenses was primarily due to travel and entertainment expenses related to the increase in headcount, as was the increase in allocations.</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Selling and marketing expense increased $5.3 million, or 25%, for the six months ended June 30, 2019 compared to the same period in 2018. The increase in compensation expense was primarily due to an average headcount increase of 43% and higher stock-based compensation expense, partially offset by higher incentive compensation expense in the prior year period. The increase in direct marketing expense was due to higher general marketing expenditures. The increase in professional fees was due to higher consulting expenses. The increase in other expenses was primarily due to travel and entertainment expenses related to the increase in headcount, as was the increase in allocations.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Comparison of the three and six months ended June 30, 2019 and 2018 is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7"/>
              </w:rPr>
              <w:t>Three Months Ended June 30,</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3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w w:val="97"/>
              </w:rPr>
              <w:t>Change</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r>
      <w:tr>
        <w:trPr>
          <w:trHeight w:val="236"/>
        </w:trPr>
        <w:tc>
          <w:tcPr>
            <w:tcW w:w="3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4,594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8,794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7,659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1,135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1,246</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42 %</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Occupancy expenses</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1"/>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43"/>
        </w:trPr>
        <w:tc>
          <w:tcPr>
            <w:tcW w:w="35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425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r>
      <w:tr>
        <w:trPr>
          <w:trHeight w:val="27"/>
        </w:trPr>
        <w:tc>
          <w:tcPr>
            <w:tcW w:w="3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900" w:type="dxa"/>
            <w:vAlign w:val="bottom"/>
            <w:tcBorders>
              <w:bottom w:val="single" w:sz="8" w:color="CCEEFF"/>
            </w:tcBorders>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16 %</w:t>
            </w:r>
          </w:p>
        </w:tc>
      </w:tr>
      <w:tr>
        <w:trPr>
          <w:trHeight w:val="257"/>
        </w:trPr>
        <w:tc>
          <w:tcPr>
            <w:tcW w:w="35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988</w:t>
            </w:r>
          </w:p>
        </w:tc>
        <w:tc>
          <w:tcPr>
            <w:tcW w:w="9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19 %</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$1.0 million, or 17%, for the three months ended June 30, 2019 compared to the same period in 2018. The increase in compensation expense was primarily due to higher stock-based compensation expense from the increase in our stock price. The increase in professional fees was primarily due to higher legal expenses. The increase in other expenses was primarily due to information technology costs incurred to support the increase in our headcount.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$2.2 million, or 19%, for the six months ended June 30, 2019 compared to the same period in 2018. The increase in compensation expense was primarily due to higher stock-based compensation expense from the increase in our stock price. The increase in professional fees was primarily due to higher legal expenses. The increase in other expenses was primarily due to information technology costs incurred to support the increase in our headcount.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decreased $246,000, or 51%, for the three months ended June 30, 2019 compared to the same period in 2018, mainly due to the prepayments of $12.5 million and $12.4 million of the principal amount of our Term Loan in January 2019 and May 2019, respectively. The average Term Loan Advance interest rate was 7.76% and 6.03% for the three months ended June 30, 2019 and 2018, respectively.</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decreased $391,000, or 42%, for the six months ended June 30, 2019 compared to the same period in 2018, mainly due to the prepayments of $12.5 million and $12.4 million of the principal amount of our Term Loan in January 2019 and May 2019, respectively. The average Term Loan Advance interest rate was 7.23% and 5.86% for the six months ended June 30, 2019 and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Other income, net, increased $691,000 for the three months ended June 30, 2019 compared to the same period in 2018 primarily due to higher interest income from our money market investments from higher invested cash balances.</w:t>
      </w:r>
    </w:p>
    <w:p>
      <w:pPr>
        <w:spacing w:after="0" w:line="1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income, net, increased $918,000 for the six months ended June 30, 2019 compared to the same period in 2018 primarily due to higher interest income from our money market investments from higher invested cash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From inception through June 30, 2019, we have been financed primarily through net proceeds from the sale of our equity securities and borrowings under our credit facilities. We have incurred net losses since our inception. For the six months ended June 30, 2019, we had a net loss of $4.4 million, and as of June 30, 2019, we had an accumulated deficit of $238.5 million. We expect to incur additional losses in 2019 and potentially in future years.</w:t>
      </w:r>
    </w:p>
    <w:p>
      <w:pPr>
        <w:spacing w:after="0" w:line="147" w:lineRule="exact"/>
        <w:rPr>
          <w:sz w:val="20"/>
          <w:szCs w:val="20"/>
          <w:color w:val="auto"/>
        </w:rPr>
      </w:pPr>
    </w:p>
    <w:p>
      <w:pPr>
        <w:jc w:val="both"/>
        <w:ind w:firstLine="891"/>
        <w:spacing w:after="0" w:line="290" w:lineRule="auto"/>
        <w:rPr>
          <w:sz w:val="20"/>
          <w:szCs w:val="20"/>
          <w:color w:val="auto"/>
        </w:rPr>
      </w:pPr>
      <w:r>
        <w:rPr>
          <w:rFonts w:ascii="Arial" w:cs="Arial" w:eastAsia="Arial" w:hAnsi="Arial"/>
          <w:sz w:val="16"/>
          <w:szCs w:val="16"/>
          <w:color w:val="auto"/>
        </w:rPr>
        <w:t>We believe our existing cash and cash equivalents of $192.6 million as of June 30, 2019,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6 to our unaudited condensed financial statements included in the Form 10-Q for more information about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secure additional funding when needed, we may have to delay, reduce the scope of or eliminate one or more research and development programs or selling and marketing initiatives, or forgo potential acquisitions or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7, 2019, we issued and sold 6,325,000 shares of common stock in a registered public offering, including 825,000 shares issued and sold upon the underwriters’ exercise in full of their option to purchase additional shares, at a price to the public of $23.25 per share. Our net proceeds from the offering were approximately $137.8 million, after deducting underwriting discounts and commissions and offering expenses of $9.2 million.</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July 30, 2018, we issued and sold 5,750,000 shares of common stock in a registered public offering, including shares issued and sold upon the underwriters’ exercise in full of their option to purchase an additional 750,000 shares, at a price to the public of $10.25 per share. Our net proceeds from the offering were approximately $55.0 million, after deducting underwriting discounts and commissions and offering expenses of $3.9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average Term Loan Advance rate for the six months ended June 30, 2019 was 7.23%.</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 In January 2019 and May 2019, we prepaid $12.5 million and $12.4 million of the principal amount of the Term Loan, respectively, and did not incur any prepayment premium as we did not repay the Term Loan in full. These prepayments cover scheduled principal payments from November 2019 to September 2022.</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June 30, 2019, the principal balance outstanding was $0.1 million and we were in compliance with debt covenants.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six months ended June 30, 2019 and 2018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(10,512)</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7"/>
        </w:trPr>
        <w:tc>
          <w:tcPr>
            <w:tcW w:w="8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119,525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1,140</w:t>
            </w:r>
          </w:p>
        </w:tc>
      </w:tr>
      <w:tr>
        <w:trPr>
          <w:trHeight w:val="27"/>
        </w:trPr>
        <w:tc>
          <w:tcPr>
            <w:tcW w:w="82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operating activities for the six months ended June 30, 2019 was $3.5 million. The net loss of $4.4 million includes non-cash charges of $4.3 million of stock-based compensation expense and $1.9 million of depreciation and amortization, which includes $0.5 million of intangible asset amortization. Cash used as a result of changes in operating assets and liabilities was $5.4 million, primarily comprised of an increase in accounts receivable of $6.5 million and increase in supplies of $1.7 million, partially offset by increases in accounts payable and accrued liabilities of $1.7 million and $1.3 million, respectively.</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Cash used in operating activities for the six months ended June 30, 2018 was $10.5 million. The net loss of $15.4 million includes non-cash charges of $2.9 million of stock-based compensation expense and $2.0 million of depreciation and amortization, which includes $0.5 million of intangible asset amortization. Cash used as a result of changes in operating assets and liabilities was flat, comprised of a decrease in supplies of $2.3 million, a decrease in prepaid expenses and other current assets of $0.1 million and an increase in accrued liabilities and deferred rent of $0.1 million, offset by a decrease in accounts payable of $1.9 million, an increase in accounts receivable of $0.3 million and an increase in other assets of $0.3 million.</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six months ended June 30, 2019 was $1.4 million for the acquisition of property and equipment, net of proceeds from the disposal of property and equipment.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investing activities for the six months ended June 30, 2018 was $0.8 million for the acquisition of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for the six months ended June 30, 2019 was $119.5 million, consisting of $137.8 million in net proceeds from the issuance of common stock in a public offering in May 2019 and $6.7 million in proceeds from the exercise of options to purchase our common stock and purchase of stock under our Employee Stock Purchase Plan, or ESPP, during the period, partially offset by $24.9 million of loan principal repayments and finance lease payments of $0.2 million.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provided by financing activities for the six months ended June 30, 2018 was $1.1 million, consisting of $0.9 million in proceeds from the exercise of options to purchase our common stock and purchase of stock under our ESPP, and $0.4 million in proceeds from a legal settlement, partially offset by finance lease payments of $0.1 million.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2019 and May 2019, we prepaid $12.5 million and $12.4 million of the principal amount of the Term Loan Advance, respectively, under our Loan and Security Agreement. As of June 30, 2019, future principal and end-of-term debt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obligation payments due under the Loan and Security Agreement are limited to $1.3 million in 2022. There were no other material changes during the interim period in the contractual obligations presented in our Form 10-K for the year ended December 31, 2018 filed with the Securities and Exchange Commission on February 25,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is effective for interim and annual periods beginning after December 15, 2018. Additionally,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We elected this transition method and adopted ASC 842 on January 1, 2019 and as a result, we recorded operating lease right-of-use ("ROU") assets of $9.8 million, including offsetting deferred rent of $4.3 million, along with the associated operating lease liabilities of $14.1 million. On January 1, 2019, we had a finance lease ROU of $0.8 million and associated finance lease liabilities of $0.3 million for leases we classified as finance leases prior to the adoption of ASC 842. The adoption of ASC 842 had an immaterial impact on our condensed statement of operations and comprehensive loss, condensed statement of stockholders' equity and condensed statement of cash flows for the three-month period ended March 31, 2019 and six-month period ended June 30, 2019. In addition, we elected the package of practical expedients permitted under the transition guidance within the new standard which allowed us to carry forward the historical lease classification. Additional information and disclosures required by this new standard are contained in Note 5, Commitments and Contingencies, in Part I of this Quarterly Report on Form 10-Q.</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Collaborative Arrangements (Topic 808).</w:t>
      </w:r>
      <w:r>
        <w:rPr>
          <w:rFonts w:ascii="Arial" w:cs="Arial" w:eastAsia="Arial" w:hAnsi="Arial"/>
          <w:sz w:val="17"/>
          <w:szCs w:val="17"/>
          <w:color w:val="auto"/>
        </w:rPr>
        <w:t xml:space="preserve"> Under this ASU, transactions in collaborative arrangements are to be accounted for under ASC 606 if the counterparty is a customer for a good or service (or bundle of goods and services) that is a distinct unit of account. Also, entities are precluded from presenting consideration from transactions with a counterparty that is not a customer together with revenue recognized from ASC 606. This ASU is effective for all interim and annual reporting periods beginning on or after December 15, 2019, with early adoption permitted. We are currently evaluating the potential effect of this standard on our financial statements.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$192.6 million as of June 30, 2019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history of losses, and we expect to incur net losses for the foreseeable future and may never achieve or sustain profitability.</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incurred net losses since our inception. For the six months ended June 30, 2019, we had a net loss of $4.4 million and as of June 30, 2019, we had an accumulated deficit of $238.5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Percepta and Envisia Classifiers and the development of additional tests. We may never achieve or sustain profitability, and our failure to achieve and sustain profitability in the future could cause the market price of our common stock to decline.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and began recognizing revenue from Envisia in the second quarter of 2019.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Percepta and Envisia tests, or develop and commercialize other solutions, our revenue and our ability to achieve and sustain profitability would be impaired, and the market price of our common stock could decline.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Revenue for tests performed on patients covered by Medicare and UnitedHealthcare was 24% and 11%, respectively, of our revenue for the six months ended June 30, 2019, compared with 28% and 12%, respectively, for the six months ended June 30, 2018.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 Local Coverage Determination, or LCD.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submitted the dossier of clinical evidence needed to obtain Medicare coverage for the Envisia Genomic Classifier through the MolDX technical assessment process in 2018, and received final Medicare coverage for the classifier in the first quarter of 2019, with an effective date of April 1, 2019.</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five-year rotational basis, Medicare requests bids for its regional MAC services. Any future changes in the MAC processing or coding for Medicare claims for the Afirma, Percepta or Envisia classifiers could result in a change in the coverage or reimbursement rates for such products, or the loss of coverage, and could also result in increased difficulties in obtaining and maintaining coverage for future products.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This payment rate will be effective through December 31, 2020. The next data reporting period will be in 2020 for final payments made between January 1 and June 30, 2019. The volume-weighted median of these private payer rates will set the Medicare payment rate for the Afirma classifier from January 1, 2021 through December 31, 2023. There can be no assurance that the rate will not decrease from $3,600 during this or a subsequent reporting cycle under PAMA.</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submit claims to Medicare for Percepta using an unlisted code and were paid at the rate of $3,220 in 2018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when we are required to report those rates under PAMA.</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submit claims to Medicare for Envisia using an unlisted code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Envisia. There can also be no assurance that the Medicare payment rate for Envisia will not be reduced when it is set based on volume-weighted median of private payer rates when we are required to report those rates under PAMA.</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 or increases in the difficulty of achieving payment could have a negative effect on our revenue.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8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a contracted rate of reimbursement with some payers for our tests.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expect to continue to focus substantial resources on increasing adoption, coverage and reimbursement for the Afirma, Percepta, and Envisia classifiers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3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comply with federal and state licensing requirements, we could lose the ability to perform our tests or experience disruptions to our business.</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inspections of our clinical reference laboratories. As discussed in our Annual Report on Form 10-K for the year ended December 31, 2018 in the section titled “Business-Regulation-Clinical Laboratory Improvement Act of 1988, or CLIA,” following a routine July 2018 survey of our Austin laboratory location, in September 2018, CMS determined that because we only collected and processed patient specimens and TCP, rather than us, performed the patient testing from the Austin laboratory, we did not require a CLIA certificate for the laboratory. As a result, CMS inactivated our Austin laboratory’s CLIA number effective July 2018. While CMS recently reinstated our CLIA number effective as of February 2019, we reversed $0.6 million in previously recognized revenue associated with claims for cytopathology diagnostic services furnished after the date of the July 2018 survey and prior to the reinstatement date. If we in the future fail to maintain CLIA certificates in our South San Francisco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or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 next data reporting period will be in 2020 for final payments made between January 1 and June 30, 2019. The volume weighted median of these private payer rates will set the Medicare payment rate for the Afirma classifier from January 1, 2021 through December 31, 2023. There can be no assurance that the payment rate for Afirma will not decrease in the future or that the payment rates for Percepta or Envisia will not be adversely affected by the PAMA law and regulations.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physicians to enroll in alternative payment methods. At this time, we do not know whether these changes to the physician payment systems will have any impact on orders or payments for our tests.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Congress is considering legislation to limit balance billing of patients who receive services from out-of-network providers (including laboratories) at in-network facilities and to set a methodology for payment of the out-of-network provider in such circumstances. This legislation, if enacted, could limit our ability to achieve payment in full for our testing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should be covered by this policy. Accordingly, we bill Medicare for these tests when we perform them on specimens collected from hospital outpatients and meet the conditions set forth in CMS's revised billing rules.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must maintain CLIA compliance and certification to sell our tests and be eligible to bill for diagnostic services provided to Medicare beneficiaries.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 In a December 2018 statement, FDA said that there is a need for “a unified approach to the regulation of in vitro clinical tests to protect patient safety, support innovation, and keep pace with the rapidly evolving technology that’s helping us find new treatments for disease.” FDA listed key principles of an approach it would support.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2017, a draft bill on the regulation of LDTs, entitled "The Diagnostics Accuracy and Innovation Act", or DAIA, was released for discussion. In December 2018, the sponsors of DAIA released a new version of the legislation called the “Verifying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Accurate, Leading-edge IVCT Development Act, or VALID Act. The VALID Act proposes a risk-based approach to regulate LDTs and creates a new in vitro clinical test category, which includes LDTs, and a regulatory structure under the FDA. As proposed, the bill would create a precertification program for lower risk tests not otherwise required to go through premarket review. It would grandfather existing tests but would allow FDA to subject otherwise grandfathered tests to premarket review under certain conditions. We cannot predict whether this draft bill will become legislation and cannot quantify the effect of this draft bill on our business.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the materials we use for our tests and that we may use for future tests are labeled for research use-only,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Oncocyte Corporation and Biodesix, Inc. As we expand our portfolio of tests to address clinical questions across the clinical care continuum, we may also face competition from companies focused on screening at-risk patients for cancer or companies informing treatment decisions such as Guardant Health or GRAIL. Competition could also emerge using alternative samples, such as blood, urine or sputum. However, such “liquid biopsies” are currently being used to gauge risk of recurrence or response to treatment in patients already diagnosed with lung cancer.</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general, we also face competition from commercial laboratories, such as Laboratory Corporation of America Holdings and Sonic Healthcare USA, with strong infrastructure to support the commercialization of diagnostic services. We face potential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Billing for our diagnostic tests is complex, and we must dedicate substantial time and resources to the billing process to be paid.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25" w:lineRule="exact"/>
        <w:rPr>
          <w:rFonts w:ascii="Arial" w:cs="Arial" w:eastAsia="Arial" w:hAnsi="Arial"/>
          <w:sz w:val="18"/>
          <w:szCs w:val="18"/>
          <w:color w:val="auto"/>
        </w:rPr>
      </w:pPr>
    </w:p>
    <w:p>
      <w:pPr>
        <w:ind w:left="980" w:hanging="324"/>
        <w:spacing w:after="0" w:line="324" w:lineRule="auto"/>
        <w:tabs>
          <w:tab w:leader="none" w:pos="10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payers, such as Medicare and Medicaid, including requirements to have an active CLIA certificate;</w:t>
      </w:r>
    </w:p>
    <w:p>
      <w:pPr>
        <w:spacing w:after="0" w:line="34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 and other government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payers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recently adopted an update to its Coding Policy Manual effective January 1, 2019, to limit instances when multiple codes may be billed for molecular pathology testing. Such coding policy changes may negatively affect our revenues and cash flow.</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third-party provider to transmit claims to payers, and any delay in transmitting claims could have an adverse effect on our revenue.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previously acquired companies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70" w:lineRule="exact"/>
        <w:rPr>
          <w:sz w:val="20"/>
          <w:szCs w:val="20"/>
          <w:color w:val="auto"/>
        </w:rPr>
      </w:pPr>
    </w:p>
    <w:p>
      <w:pPr>
        <w:jc w:val="both"/>
        <w:ind w:left="980" w:hanging="324"/>
        <w:spacing w:after="0" w:line="27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2"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 including requirements to have an active CLIA certificate;</w:t>
      </w:r>
    </w:p>
    <w:p>
      <w:pPr>
        <w:spacing w:after="0" w:line="23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6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980" w:right="2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81" w:lineRule="exact"/>
        <w:rPr>
          <w:rFonts w:ascii="Arial" w:cs="Arial" w:eastAsia="Arial" w:hAnsi="Arial"/>
          <w:sz w:val="18"/>
          <w:szCs w:val="18"/>
          <w:color w:val="auto"/>
        </w:rPr>
      </w:pPr>
    </w:p>
    <w:p>
      <w:pPr>
        <w:jc w:val="both"/>
        <w:ind w:left="980" w:right="2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tissue samples, including infrastructure conditions and transportation delays;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management of supplies, sample logistics, billing and promotional activities;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sued for product liability or errors and omissions liability, we could face substantial liabilities that exceed our resources.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for damage to our property and the disruption of our business, this insurance may not be sufficient to cover all of our potential losses and may not continue to be available to us on acceptable terms, if at all.</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are scheduled to go into effect on January 1, 2020. The CCPA will, among other things, require covered companies to provide disclosures to California consumers concerning the collection and sale of personal information, and will give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CCPA on our business or operations, but it may require us to modify our data processing practices and policies and to incur substantial costs and expenses in an effort to comply.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 turnover for the preceding financial year or €20 million (whichever is higher) for the most serious infringements). As a result, we may need to modify the way we treat such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25 issued patents that expire between 2029 and 2032 related to methods used in the Afirma diagnostic platform, in addition to 15 pending U.S. utility patent applications and one Patent Cooperation Treaty, or PCT, application. Some of these U.S. utility patent applications have pending foreign counterparts. We also exclusively licensed intellectual property, including rights to five issued patents that will expire between 2030 and 2035,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12 pending patent applications and eight issued patents. Patents issuing from the licensed portfolio will expire between 2024 and 2028. In addition, we own a pending PCT patent application, a pending U.S. utility patent application, three U.S. provisional patent applications, and pending foreign counterpart patent applications in Australia, Canada, China, Europe, Japan, and South Korea related to our Percepta test. We also own one U.S. patent application and one counterpart European patent application related to another lung disease, and three pending U.S. patent applications, one granted patent abroad and ten patent applications abroad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parties in connection with any infringement claims, we could incur significant costs and expenses that could adversely affect our business, operating results,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our inception and may never achieve profitability. As of December 31, 2018, we had net operating loss, or NOL, carryforwards of approximately $210.7 million, $56.1 million and $36.6 million available to reduce future taxable income, if any, for federal, California and other state income tax purposes, respectively. The U.S. federal NOL carryforwards will begin to expire in 2026 while for state purposes, the NOL carryforwards begin to expire in 2028.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ceased being an emerging growth company on December 31, 2018, and are now required to include an attestation report on the effectiveness of our internal control over financial reporting annually of our independent registered public accounting firm.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5620" w:right="320" w:hanging="4964"/>
        <w:spacing w:after="0" w:line="810" w:lineRule="auto"/>
        <w:tabs>
          <w:tab w:leader="none" w:pos="97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 million shares of undesignated preferred stock; 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60" w:type="dxa"/>
            <w:vAlign w:val="bottom"/>
            <w:gridSpan w:val="9"/>
            <w:vMerge w:val="restart"/>
          </w:tcPr>
          <w:p>
            <w:pPr>
              <w:ind w:left="1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spacing w:after="0"/>
              <w:rPr>
                <w:sz w:val="17"/>
                <w:szCs w:val="17"/>
                <w:color w:val="auto"/>
              </w:rPr>
            </w:pPr>
          </w:p>
        </w:tc>
        <w:tc>
          <w:tcPr>
            <w:tcW w:w="400" w:type="dxa"/>
            <w:vAlign w:val="bottom"/>
            <w:tcBorders>
              <w:bottom w:val="single" w:sz="8" w:color="0000FF"/>
            </w:tcBorders>
          </w:tcPr>
          <w:p>
            <w:pPr>
              <w:jc w:val="right"/>
              <w:spacing w:after="0" w:line="202" w:lineRule="exact"/>
              <w:rPr>
                <w:rFonts w:ascii="Arial" w:cs="Arial" w:eastAsia="Arial" w:hAnsi="Arial"/>
                <w:sz w:val="18"/>
                <w:szCs w:val="18"/>
                <w:color w:val="0000FF"/>
                <w:w w:val="84"/>
              </w:rPr>
            </w:pPr>
            <w:hyperlink w:anchor="page5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80" w:type="dxa"/>
            <w:vAlign w:val="bottom"/>
            <w:tcBorders>
              <w:bottom w:val="single" w:sz="8" w:color="0000FF"/>
            </w:tcBorders>
            <w:gridSpan w:val="5"/>
          </w:tcPr>
          <w:p>
            <w:pPr>
              <w:spacing w:after="0" w:line="202"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Services and Separation Agreement, effective April 22, 2019 between Chris Hall and the Registrant</w:t>
              </w:r>
            </w:hyperlink>
          </w:p>
        </w:tc>
        <w:tc>
          <w:tcPr>
            <w:tcW w:w="20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w:anchor="page7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90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Amended and Restated Change of Control and Severance Agreement, effective July 1, 2019 between Bonnie Anderson and</w:t>
              </w:r>
            </w:hyperlink>
          </w:p>
        </w:tc>
        <w:tc>
          <w:tcPr>
            <w:tcW w:w="2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w:anchor="page75">
              <w:r>
                <w:rPr>
                  <w:rFonts w:ascii="Arial" w:cs="Arial" w:eastAsia="Arial" w:hAnsi="Arial"/>
                  <w:sz w:val="18"/>
                  <w:szCs w:val="18"/>
                  <w:color w:val="0000FF"/>
                  <w:w w:val="87"/>
                </w:rPr>
                <w:t>the Registrant</w:t>
              </w:r>
            </w:hyperlink>
          </w:p>
        </w:tc>
        <w:tc>
          <w:tcPr>
            <w:tcW w:w="81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w:anchor="page9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9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Amended and Restated Change of Control and Severance Agreement, effective July 1, 2019 between Keith Kennedy and the</w:t>
              </w:r>
            </w:hyperlink>
          </w:p>
        </w:tc>
        <w:tc>
          <w:tcPr>
            <w:tcW w:w="2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94">
              <w:r>
                <w:rPr>
                  <w:rFonts w:ascii="Arial" w:cs="Arial" w:eastAsia="Arial" w:hAnsi="Arial"/>
                  <w:sz w:val="18"/>
                  <w:szCs w:val="18"/>
                  <w:color w:val="0000FF"/>
                  <w:w w:val="87"/>
                </w:rPr>
                <w:t>Registrant</w:t>
              </w:r>
            </w:hyperlink>
          </w:p>
        </w:tc>
        <w:tc>
          <w:tcPr>
            <w:tcW w:w="8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Arial" w:cs="Arial" w:eastAsia="Arial" w:hAnsi="Arial"/>
                <w:sz w:val="18"/>
                <w:szCs w:val="18"/>
                <w:color w:val="0000FF"/>
                <w:w w:val="84"/>
              </w:rPr>
            </w:pPr>
            <w:hyperlink w:anchor="page11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4#</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Amended and Restated Change of Control and Severance Agreement, effective July 1, 2019 between Giulia Kennedy and the</w:t>
              </w:r>
            </w:hyperlink>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112">
              <w:r>
                <w:rPr>
                  <w:rFonts w:ascii="Arial" w:cs="Arial" w:eastAsia="Arial" w:hAnsi="Arial"/>
                  <w:sz w:val="18"/>
                  <w:szCs w:val="18"/>
                  <w:color w:val="0000FF"/>
                  <w:w w:val="87"/>
                </w:rPr>
                <w:t>Registrant</w:t>
              </w:r>
            </w:hyperlink>
          </w:p>
        </w:tc>
        <w:tc>
          <w:tcPr>
            <w:tcW w:w="8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0000FF"/>
                <w:w w:val="84"/>
              </w:rPr>
            </w:pPr>
            <w:hyperlink w:anchor="page13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5#</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13"/>
          </w:tcPr>
          <w:p>
            <w:pPr>
              <w:spacing w:after="0"/>
              <w:rPr>
                <w:rFonts w:ascii="Arial" w:cs="Arial" w:eastAsia="Arial" w:hAnsi="Arial"/>
                <w:sz w:val="18"/>
                <w:szCs w:val="18"/>
                <w:color w:val="0000FF"/>
                <w:w w:val="93"/>
              </w:rPr>
            </w:pPr>
            <w:hyperlink w:anchor="page133">
              <w:r>
                <w:rPr>
                  <w:rFonts w:ascii="Arial" w:cs="Arial" w:eastAsia="Arial" w:hAnsi="Arial"/>
                  <w:sz w:val="18"/>
                  <w:szCs w:val="18"/>
                  <w:color w:val="0000FF"/>
                  <w:w w:val="93"/>
                </w:rPr>
                <w:t>Amended and Restated Change of Control and Severance Agreement, effective July 1, 2019 between John Hanna and the</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w:anchor="page133">
              <w:r>
                <w:rPr>
                  <w:rFonts w:ascii="Arial" w:cs="Arial" w:eastAsia="Arial" w:hAnsi="Arial"/>
                  <w:sz w:val="18"/>
                  <w:szCs w:val="18"/>
                  <w:color w:val="0000FF"/>
                  <w:w w:val="87"/>
                </w:rPr>
                <w:t>Registrant</w:t>
              </w:r>
            </w:hyperlink>
          </w:p>
        </w:tc>
        <w:tc>
          <w:tcPr>
            <w:tcW w:w="8000" w:type="dxa"/>
            <w:vAlign w:val="bottom"/>
            <w:tcBorders>
              <w:top w:val="single" w:sz="8" w:color="0000FF"/>
            </w:tcBorders>
            <w:gridSpan w:val="5"/>
          </w:tcPr>
          <w:p>
            <w:pPr>
              <w:spacing w:after="0"/>
              <w:rPr>
                <w:sz w:val="17"/>
                <w:szCs w:val="17"/>
                <w:color w:val="auto"/>
              </w:rPr>
            </w:pPr>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Pr>
          <w:p>
            <w:pPr>
              <w:jc w:val="right"/>
              <w:spacing w:after="0"/>
              <w:rPr>
                <w:rFonts w:ascii="Arial" w:cs="Arial" w:eastAsia="Arial" w:hAnsi="Arial"/>
                <w:sz w:val="18"/>
                <w:szCs w:val="18"/>
                <w:color w:val="0000FF"/>
                <w:w w:val="90"/>
              </w:rPr>
            </w:pPr>
            <w:hyperlink w:anchor="page154">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13"/>
          </w:tcPr>
          <w:p>
            <w:pPr>
              <w:spacing w:after="0"/>
              <w:rPr>
                <w:rFonts w:ascii="Arial" w:cs="Arial" w:eastAsia="Arial" w:hAnsi="Arial"/>
                <w:sz w:val="18"/>
                <w:szCs w:val="18"/>
                <w:color w:val="0000FF"/>
                <w:w w:val="92"/>
              </w:rPr>
            </w:pPr>
            <w:hyperlink w:anchor="page154">
              <w:r>
                <w:rPr>
                  <w:rFonts w:ascii="Arial" w:cs="Arial" w:eastAsia="Arial" w:hAnsi="Arial"/>
                  <w:sz w:val="18"/>
                  <w:szCs w:val="18"/>
                  <w:color w:val="0000FF"/>
                  <w:w w:val="92"/>
                </w:rPr>
                <w:t>Certification of Principal Executive Officer pursuant to Rules 13a-14(a) and 15d-14(a), as adopted pursuant to Section 302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154">
              <w:r>
                <w:rPr>
                  <w:rFonts w:ascii="Arial" w:cs="Arial" w:eastAsia="Arial" w:hAnsi="Arial"/>
                  <w:sz w:val="18"/>
                  <w:szCs w:val="18"/>
                  <w:color w:val="0000FF"/>
                  <w:w w:val="90"/>
                </w:rPr>
                <w:t>the Sarbanes-Oxley Act of 2002</w:t>
              </w:r>
            </w:hyperlink>
          </w:p>
        </w:tc>
        <w:tc>
          <w:tcPr>
            <w:tcW w:w="6700" w:type="dxa"/>
            <w:vAlign w:val="bottom"/>
            <w:tcBorders>
              <w:top w:val="single" w:sz="8" w:color="0000FF"/>
            </w:tcBorders>
            <w:gridSpan w:val="7"/>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Arial" w:cs="Arial" w:eastAsia="Arial" w:hAnsi="Arial"/>
                <w:sz w:val="18"/>
                <w:szCs w:val="18"/>
                <w:color w:val="0000FF"/>
                <w:w w:val="90"/>
              </w:rPr>
            </w:pPr>
            <w:hyperlink w:anchor="page155">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8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155">
              <w:r>
                <w:rPr>
                  <w:rFonts w:ascii="Arial" w:cs="Arial" w:eastAsia="Arial" w:hAnsi="Arial"/>
                  <w:sz w:val="18"/>
                  <w:szCs w:val="18"/>
                  <w:color w:val="0000FF"/>
                  <w:w w:val="91"/>
                </w:rPr>
                <w:t>Certification of Principal Financial Officer pursuant to Rule 13a-14(a)/15d-14(a), as adopted pursuant to Section 302 of the</w:t>
              </w:r>
            </w:hyperlink>
          </w:p>
        </w:tc>
        <w:tc>
          <w:tcPr>
            <w:tcW w:w="3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13"/>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4"/>
          </w:tcPr>
          <w:p>
            <w:pPr>
              <w:jc w:val="right"/>
              <w:ind w:right="20"/>
              <w:spacing w:after="0"/>
              <w:rPr>
                <w:rFonts w:ascii="Arial" w:cs="Arial" w:eastAsia="Arial" w:hAnsi="Arial"/>
                <w:sz w:val="18"/>
                <w:szCs w:val="18"/>
                <w:color w:val="0000FF"/>
              </w:rPr>
            </w:pPr>
            <w:hyperlink w:anchor="page15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13"/>
          </w:tcPr>
          <w:p>
            <w:pPr>
              <w:spacing w:after="0"/>
              <w:rPr>
                <w:rFonts w:ascii="Arial" w:cs="Arial" w:eastAsia="Arial" w:hAnsi="Arial"/>
                <w:sz w:val="18"/>
                <w:szCs w:val="18"/>
                <w:color w:val="0000FF"/>
                <w:w w:val="95"/>
              </w:rPr>
            </w:pPr>
            <w:hyperlink w:anchor="page156">
              <w:r>
                <w:rPr>
                  <w:rFonts w:ascii="Arial" w:cs="Arial" w:eastAsia="Arial" w:hAnsi="Arial"/>
                  <w:sz w:val="18"/>
                  <w:szCs w:val="18"/>
                  <w:color w:val="0000FF"/>
                  <w:w w:val="95"/>
                </w:rPr>
                <w:t>Certification of Principal Executive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7"/>
            <w:shd w:val="clear" w:color="auto" w:fill="0000FF"/>
          </w:tcPr>
          <w:p>
            <w:pPr>
              <w:spacing w:after="0" w:line="20" w:lineRule="exact"/>
              <w:rPr>
                <w:sz w:val="1"/>
                <w:szCs w:val="1"/>
                <w:color w:val="auto"/>
              </w:rPr>
            </w:pPr>
          </w:p>
        </w:tc>
        <w:tc>
          <w:tcPr>
            <w:tcW w:w="380" w:type="dxa"/>
            <w:vAlign w:val="bottom"/>
            <w:tcBorders>
              <w:left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4"/>
          </w:tcPr>
          <w:p>
            <w:pPr>
              <w:jc w:val="right"/>
              <w:ind w:right="20"/>
              <w:spacing w:after="0"/>
              <w:rPr>
                <w:rFonts w:ascii="Arial" w:cs="Arial" w:eastAsia="Arial" w:hAnsi="Arial"/>
                <w:sz w:val="18"/>
                <w:szCs w:val="18"/>
                <w:color w:val="0000FF"/>
              </w:rPr>
            </w:pPr>
            <w:hyperlink w:anchor="page157">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13"/>
          </w:tcPr>
          <w:p>
            <w:pPr>
              <w:spacing w:after="0"/>
              <w:rPr>
                <w:rFonts w:ascii="Arial" w:cs="Arial" w:eastAsia="Arial" w:hAnsi="Arial"/>
                <w:sz w:val="18"/>
                <w:szCs w:val="18"/>
                <w:color w:val="0000FF"/>
                <w:w w:val="95"/>
              </w:rPr>
            </w:pPr>
            <w:hyperlink w:anchor="page157">
              <w:r>
                <w:rPr>
                  <w:rFonts w:ascii="Arial" w:cs="Arial" w:eastAsia="Arial" w:hAnsi="Arial"/>
                  <w:sz w:val="18"/>
                  <w:szCs w:val="18"/>
                  <w:color w:val="0000FF"/>
                  <w:w w:val="95"/>
                </w:rPr>
                <w:t>Certification of Principal Financial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7"/>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280" w:type="dxa"/>
            <w:vAlign w:val="bottom"/>
            <w:gridSpan w:val="5"/>
          </w:tcPr>
          <w:p>
            <w:pPr>
              <w:jc w:val="right"/>
              <w:ind w:righ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13"/>
            <w:vMerge w:val="restart"/>
          </w:tcPr>
          <w:p>
            <w:pPr>
              <w:spacing w:after="0"/>
              <w:rPr>
                <w:sz w:val="20"/>
                <w:szCs w:val="20"/>
                <w:color w:val="auto"/>
              </w:rPr>
            </w:pPr>
            <w:r>
              <w:rPr>
                <w:rFonts w:ascii="Arial" w:cs="Arial" w:eastAsia="Arial" w:hAnsi="Arial"/>
                <w:sz w:val="18"/>
                <w:szCs w:val="18"/>
                <w:color w:val="auto"/>
              </w:rPr>
              <w:t>Indicates management contract or compensatory plan or arrangement.</w:t>
            </w:r>
          </w:p>
        </w:tc>
        <w:tc>
          <w:tcPr>
            <w:tcW w:w="0" w:type="dxa"/>
            <w:vAlign w:val="bottom"/>
          </w:tcPr>
          <w:p>
            <w:pPr>
              <w:spacing w:after="0"/>
              <w:rPr>
                <w:sz w:val="1"/>
                <w:szCs w:val="1"/>
                <w:color w:val="auto"/>
              </w:rPr>
            </w:pPr>
          </w:p>
        </w:tc>
      </w:tr>
      <w:tr>
        <w:trPr>
          <w:trHeight w:val="237"/>
        </w:trPr>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180" w:type="dxa"/>
            <w:vAlign w:val="bottom"/>
            <w:gridSpan w:val="1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56"/>
        </w:trPr>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w w:val="96"/>
              </w:rPr>
              <w:t>In accordance with Item 601(b)(32)(ii) of Regulation S-K and SEC Release No. 34-47986, the certifications furnished in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w w:val="97"/>
              </w:rPr>
              <w:t>Exhibits 32.1 and 32.2 hereto are deemed to accompany this Form 10-Q and will not be deemed “filed” for purposes of</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w w:val="95"/>
              </w:rPr>
              <w:t>Section 18 of the Exchange Act or deemed to be incorporated by reference into any filing under the Exchange Act or the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180" w:type="dxa"/>
            <w:vAlign w:val="bottom"/>
            <w:gridSpan w:val="13"/>
          </w:tcPr>
          <w:p>
            <w:pPr>
              <w:spacing w:after="0"/>
              <w:rPr>
                <w:sz w:val="20"/>
                <w:szCs w:val="20"/>
                <w:color w:val="auto"/>
              </w:rPr>
            </w:pPr>
            <w:r>
              <w:rPr>
                <w:rFonts w:ascii="Arial" w:cs="Arial" w:eastAsia="Arial" w:hAnsi="Arial"/>
                <w:sz w:val="18"/>
                <w:szCs w:val="18"/>
                <w:color w:val="auto"/>
              </w:rPr>
              <w:t>Securities Act except to the extent that the registrant specifically incorporates it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240" w:top="122" w:right="6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Mark Ho</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10.1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Services &amp; Separation Agreement</w:t>
      </w:r>
    </w:p>
    <w:p>
      <w:pPr>
        <w:spacing w:after="0" w:line="213"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This services and separation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between Christopher Hall (“</w:t>
      </w:r>
      <w:r>
        <w:rPr>
          <w:rFonts w:ascii="Arial" w:cs="Arial" w:eastAsia="Arial" w:hAnsi="Arial"/>
          <w:sz w:val="18"/>
          <w:szCs w:val="18"/>
          <w:b w:val="1"/>
          <w:bCs w:val="1"/>
          <w:i w:val="1"/>
          <w:iCs w:val="1"/>
          <w:color w:val="auto"/>
        </w:rPr>
        <w:t>you</w:t>
      </w:r>
      <w:r>
        <w:rPr>
          <w:rFonts w:ascii="Arial" w:cs="Arial" w:eastAsia="Arial" w:hAnsi="Arial"/>
          <w:sz w:val="18"/>
          <w:szCs w:val="18"/>
          <w:color w:val="auto"/>
        </w:rPr>
        <w:t>”) and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or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concerning the terms of your continued services and separation from employment as provided herein. This Agreement is effective is as of the date it is signed by the Parties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65" w:lineRule="exact"/>
        <w:rPr>
          <w:sz w:val="20"/>
          <w:szCs w:val="20"/>
          <w:color w:val="auto"/>
        </w:rPr>
      </w:pPr>
    </w:p>
    <w:p>
      <w:pPr>
        <w:ind w:right="440" w:firstLine="656"/>
        <w:spacing w:after="0" w:line="278" w:lineRule="auto"/>
        <w:tabs>
          <w:tab w:leader="none" w:pos="1445" w:val="left"/>
        </w:tabs>
        <w:numPr>
          <w:ilvl w:val="0"/>
          <w:numId w:val="23"/>
        </w:numPr>
        <w:rPr>
          <w:rFonts w:ascii="Arial" w:cs="Arial" w:eastAsia="Arial" w:hAnsi="Arial"/>
          <w:sz w:val="20"/>
          <w:szCs w:val="20"/>
          <w:color w:val="010000"/>
        </w:rPr>
      </w:pPr>
      <w:r>
        <w:rPr>
          <w:rFonts w:ascii="Arial" w:cs="Arial" w:eastAsia="Arial" w:hAnsi="Arial"/>
          <w:sz w:val="20"/>
          <w:szCs w:val="20"/>
          <w:u w:val="single" w:color="auto"/>
          <w:color w:val="auto"/>
        </w:rPr>
        <w:t>Retirement from Employment</w:t>
      </w:r>
      <w:r>
        <w:rPr>
          <w:rFonts w:ascii="Arial" w:cs="Arial" w:eastAsia="Arial" w:hAnsi="Arial"/>
          <w:sz w:val="20"/>
          <w:szCs w:val="20"/>
          <w:color w:val="auto"/>
        </w:rPr>
        <w:t>. You have notified the Company that you will retire and resign your employment with the Company effective July 1, 2019 (the “</w:t>
      </w:r>
      <w:r>
        <w:rPr>
          <w:rFonts w:ascii="Arial" w:cs="Arial" w:eastAsia="Arial" w:hAnsi="Arial"/>
          <w:sz w:val="20"/>
          <w:szCs w:val="20"/>
          <w:b w:val="1"/>
          <w:bCs w:val="1"/>
          <w:i w:val="1"/>
          <w:iCs w:val="1"/>
          <w:color w:val="auto"/>
        </w:rPr>
        <w:t>Resignation Date</w:t>
      </w:r>
      <w:r>
        <w:rPr>
          <w:rFonts w:ascii="Arial" w:cs="Arial" w:eastAsia="Arial" w:hAnsi="Arial"/>
          <w:sz w:val="20"/>
          <w:szCs w:val="20"/>
          <w:color w:val="auto"/>
        </w:rPr>
        <w:t>”). You agree to execute any documentation deemed reasonably necessary by the Company to confirm your resignation from employment.</w:t>
      </w:r>
    </w:p>
    <w:p>
      <w:pPr>
        <w:spacing w:after="0" w:line="200" w:lineRule="exact"/>
        <w:rPr>
          <w:rFonts w:ascii="Arial" w:cs="Arial" w:eastAsia="Arial" w:hAnsi="Arial"/>
          <w:sz w:val="20"/>
          <w:szCs w:val="20"/>
          <w:color w:val="010000"/>
        </w:rPr>
      </w:pPr>
    </w:p>
    <w:p>
      <w:pPr>
        <w:ind w:right="80" w:firstLine="656"/>
        <w:spacing w:after="0" w:line="267" w:lineRule="auto"/>
        <w:tabs>
          <w:tab w:leader="none" w:pos="990" w:val="left"/>
        </w:tabs>
        <w:numPr>
          <w:ilvl w:val="0"/>
          <w:numId w:val="23"/>
        </w:numPr>
        <w:rPr>
          <w:rFonts w:ascii="Arial" w:cs="Arial" w:eastAsia="Arial" w:hAnsi="Arial"/>
          <w:sz w:val="22"/>
          <w:szCs w:val="22"/>
          <w:color w:val="010000"/>
        </w:rPr>
      </w:pPr>
      <w:r>
        <w:rPr>
          <w:rFonts w:ascii="Arial" w:cs="Arial" w:eastAsia="Arial" w:hAnsi="Arial"/>
          <w:sz w:val="20"/>
          <w:szCs w:val="20"/>
          <w:u w:val="single" w:color="auto"/>
          <w:color w:val="auto"/>
        </w:rPr>
        <w:t>Continued Employment Services</w:t>
      </w:r>
      <w:r>
        <w:rPr>
          <w:rFonts w:ascii="Arial" w:cs="Arial" w:eastAsia="Arial" w:hAnsi="Arial"/>
          <w:sz w:val="20"/>
          <w:szCs w:val="20"/>
          <w:color w:val="auto"/>
        </w:rPr>
        <w:t>. Beginning on the Effective Date of this Agreement and through and including the Resignation Date, you agree to continue to serve as the Company’s President and Chief Operating Officer and assist with the transition of your responsibilities (together, the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 Your employment during the period you provide the Services shall continue to be “at-will,” meaning the Company and you are both free to terminate your employment with or without cause or notice. During the period you provide the Services, you shall continue to receive your salary at the same rate that you were receiving your salary immediately prior to the Effective Date, and shall continue to be eligible to participate in then-available Company benefit programs at the same level as you would have been eligible to participate in such programs as of immediately prior to the Effective Date, subject to the terms and conditions, including eligibility requirements, of such programs. Notwithstanding the foregoing, you will not be eligible to receive any cash bonus payment under our 2019 Bonus Plan.</w:t>
      </w:r>
    </w:p>
    <w:p>
      <w:pPr>
        <w:spacing w:after="0" w:line="210" w:lineRule="exact"/>
        <w:rPr>
          <w:rFonts w:ascii="Arial" w:cs="Arial" w:eastAsia="Arial" w:hAnsi="Arial"/>
          <w:sz w:val="22"/>
          <w:szCs w:val="22"/>
          <w:color w:val="010000"/>
        </w:rPr>
      </w:pPr>
    </w:p>
    <w:p>
      <w:pPr>
        <w:ind w:right="280" w:firstLine="656"/>
        <w:spacing w:after="0" w:line="283" w:lineRule="auto"/>
        <w:tabs>
          <w:tab w:leader="none" w:pos="990" w:val="left"/>
        </w:tabs>
        <w:numPr>
          <w:ilvl w:val="0"/>
          <w:numId w:val="23"/>
        </w:numPr>
        <w:rPr>
          <w:rFonts w:ascii="Arial" w:cs="Arial" w:eastAsia="Arial" w:hAnsi="Arial"/>
          <w:sz w:val="21"/>
          <w:szCs w:val="21"/>
          <w:color w:val="010000"/>
        </w:rPr>
      </w:pPr>
      <w:r>
        <w:rPr>
          <w:rFonts w:ascii="Arial" w:cs="Arial" w:eastAsia="Arial" w:hAnsi="Arial"/>
          <w:sz w:val="19"/>
          <w:szCs w:val="19"/>
          <w:u w:val="single" w:color="auto"/>
          <w:color w:val="auto"/>
        </w:rPr>
        <w:t>Separation Payments</w:t>
      </w:r>
      <w:r>
        <w:rPr>
          <w:rFonts w:ascii="Arial" w:cs="Arial" w:eastAsia="Arial" w:hAnsi="Arial"/>
          <w:sz w:val="19"/>
          <w:szCs w:val="19"/>
          <w:color w:val="auto"/>
        </w:rPr>
        <w:t xml:space="preserve">. Upon your termination of employment on the Resignation Date, or upon an earlier termination of your employment by the Company without Cause (as defined below) and, subject to your signing a release of claims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and satisfying all conditions to make the Release effective by no later than thirty (30) days after your termination of employment (the “</w:t>
      </w:r>
      <w:r>
        <w:rPr>
          <w:rFonts w:ascii="Arial" w:cs="Arial" w:eastAsia="Arial" w:hAnsi="Arial"/>
          <w:sz w:val="19"/>
          <w:szCs w:val="19"/>
          <w:b w:val="1"/>
          <w:bCs w:val="1"/>
          <w:i w:val="1"/>
          <w:iCs w:val="1"/>
          <w:color w:val="auto"/>
        </w:rPr>
        <w:t>Release Deadline</w:t>
      </w:r>
      <w:r>
        <w:rPr>
          <w:rFonts w:ascii="Arial" w:cs="Arial" w:eastAsia="Arial" w:hAnsi="Arial"/>
          <w:sz w:val="19"/>
          <w:szCs w:val="19"/>
          <w:color w:val="auto"/>
        </w:rPr>
        <w:t>”), you will be entitled to the following:</w:t>
      </w:r>
    </w:p>
    <w:p>
      <w:pPr>
        <w:spacing w:after="0" w:line="198" w:lineRule="exact"/>
        <w:rPr>
          <w:sz w:val="20"/>
          <w:szCs w:val="20"/>
          <w:color w:val="auto"/>
        </w:rPr>
      </w:pPr>
    </w:p>
    <w:p>
      <w:pPr>
        <w:ind w:right="40" w:firstLine="656"/>
        <w:spacing w:after="0" w:line="265" w:lineRule="auto"/>
        <w:tabs>
          <w:tab w:leader="none" w:pos="978" w:val="left"/>
        </w:tabs>
        <w:numPr>
          <w:ilvl w:val="0"/>
          <w:numId w:val="24"/>
        </w:numPr>
        <w:rPr>
          <w:rFonts w:ascii="Arial" w:cs="Arial" w:eastAsia="Arial" w:hAnsi="Arial"/>
          <w:sz w:val="22"/>
          <w:szCs w:val="22"/>
          <w:color w:val="010000"/>
        </w:rPr>
      </w:pPr>
      <w:r>
        <w:rPr>
          <w:rFonts w:ascii="Arial" w:cs="Arial" w:eastAsia="Arial" w:hAnsi="Arial"/>
          <w:sz w:val="20"/>
          <w:szCs w:val="20"/>
          <w:color w:val="auto"/>
        </w:rPr>
        <w:t>A lump sum payment equal to six months of your then-current base salary, subject to applicable tax withholdings, to be paid within ten (10) days following the effectiveness of the Release.</w:t>
      </w:r>
    </w:p>
    <w:p>
      <w:pPr>
        <w:spacing w:after="0" w:line="209" w:lineRule="exact"/>
        <w:rPr>
          <w:rFonts w:ascii="Arial" w:cs="Arial" w:eastAsia="Arial" w:hAnsi="Arial"/>
          <w:sz w:val="22"/>
          <w:szCs w:val="22"/>
          <w:color w:val="010000"/>
        </w:rPr>
      </w:pPr>
    </w:p>
    <w:p>
      <w:pPr>
        <w:ind w:right="220" w:firstLine="656"/>
        <w:spacing w:after="0" w:line="304" w:lineRule="auto"/>
        <w:tabs>
          <w:tab w:leader="none" w:pos="990" w:val="left"/>
        </w:tabs>
        <w:numPr>
          <w:ilvl w:val="0"/>
          <w:numId w:val="24"/>
        </w:numPr>
        <w:rPr>
          <w:rFonts w:ascii="Arial" w:cs="Arial" w:eastAsia="Arial" w:hAnsi="Arial"/>
          <w:sz w:val="19"/>
          <w:szCs w:val="19"/>
          <w:color w:val="010000"/>
        </w:rPr>
      </w:pPr>
      <w:r>
        <w:rPr>
          <w:rFonts w:ascii="Arial" w:cs="Arial" w:eastAsia="Arial" w:hAnsi="Arial"/>
          <w:sz w:val="18"/>
          <w:szCs w:val="18"/>
          <w:color w:val="auto"/>
        </w:rPr>
        <w:t>If you timely elect to continue to receive coverage under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the Company will reimburse you for the monthly COBRA premium payments made by you in the six (6) months following your termination of employment, provided that, if the Company determines in its sole discretion that it cannot provide the COBRA benefits described herein without violating applicable law (including, without limitation, Section 2716 of the Public Health Service Act), the Company shall in lieu thereof provide you with a taxable lump sum payment in an amount equal to the then unreimbursed monthly COBRA premiums, which lump sum payment to be paid within ten (10) days following the effectiveness of the Release.</w:t>
      </w:r>
    </w:p>
    <w:p>
      <w:pPr>
        <w:spacing w:after="0" w:line="155" w:lineRule="exact"/>
        <w:rPr>
          <w:sz w:val="20"/>
          <w:szCs w:val="20"/>
          <w:color w:val="auto"/>
        </w:rPr>
      </w:pPr>
    </w:p>
    <w:p>
      <w:pPr>
        <w:ind w:right="160" w:firstLine="648"/>
        <w:spacing w:after="0" w:line="244"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means any or all of the following: (i) willful and continued failure to substantially perform your duties and/or responsibilities, as reasonably assigned or delegated by the Company; (ii) commission of any act of dishonesty, misconduct or fraud in any way impacting the Company, its clients, or its affiliates; (iii) material breach of the terms of your Confidential Information and Invention Assignment Agreement or any other agreement by and between you and the Company; (iv) your material violation of a federal or state law or regulation applicable to the</w:t>
      </w:r>
    </w:p>
    <w:p>
      <w:pPr>
        <w:sectPr>
          <w:pgSz w:w="11900" w:h="16838" w:orient="portrait"/>
          <w:cols w:equalWidth="0" w:num="1">
            <w:col w:w="11420"/>
          </w:cols>
          <w:pgMar w:left="240" w:top="576" w:right="239"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business of the Company; (v) your misappropriation or embezzlement of Company funds or your act of fraud or dishonesty upon the Company;</w:t>
      </w:r>
    </w:p>
    <w:p>
      <w:pPr>
        <w:spacing w:after="0" w:line="39" w:lineRule="exact"/>
        <w:rPr>
          <w:sz w:val="20"/>
          <w:szCs w:val="20"/>
          <w:color w:val="auto"/>
        </w:rPr>
      </w:pPr>
    </w:p>
    <w:p>
      <w:pPr>
        <w:ind w:right="40" w:firstLine="8"/>
        <w:spacing w:after="0" w:line="255" w:lineRule="auto"/>
        <w:tabs>
          <w:tab w:leader="none" w:pos="335" w:val="left"/>
        </w:tabs>
        <w:numPr>
          <w:ilvl w:val="0"/>
          <w:numId w:val="25"/>
        </w:numPr>
        <w:rPr>
          <w:rFonts w:ascii="Arial" w:cs="Arial" w:eastAsia="Arial" w:hAnsi="Arial"/>
          <w:sz w:val="19"/>
          <w:szCs w:val="19"/>
          <w:color w:val="auto"/>
        </w:rPr>
      </w:pPr>
      <w:r>
        <w:rPr>
          <w:rFonts w:ascii="Arial" w:cs="Arial" w:eastAsia="Arial" w:hAnsi="Arial"/>
          <w:sz w:val="19"/>
          <w:szCs w:val="19"/>
          <w:color w:val="auto"/>
        </w:rPr>
        <w:t>you conviction or, or plea of nolo contendere, to a felony or crime of moral turpitude; (vii) any misconduct which brings the Company into disrepute, including conduct that injures or impairs the Company’s business prospects, reputation or standing in the community; or (viii) violation of Company policies, including, without limitation, any violation of the Company’s Code of Conduct; provided, however, that the Company shall allow you a reasonable opportunity (but not in excess of 10 calendar days) to cure, to the reasonable satisfaction of the Company, any act or omission applicable to part (i), (iii), (vii) or (viii) above, if curable in the Company’s determination; provided, further, that it is understood that willful or grossly negligent acts or omissions will not be curable.</w:t>
      </w:r>
    </w:p>
    <w:p>
      <w:pPr>
        <w:spacing w:after="0" w:line="211" w:lineRule="exact"/>
        <w:rPr>
          <w:rFonts w:ascii="Arial" w:cs="Arial" w:eastAsia="Arial" w:hAnsi="Arial"/>
          <w:sz w:val="19"/>
          <w:szCs w:val="19"/>
          <w:color w:val="auto"/>
        </w:rPr>
      </w:pPr>
    </w:p>
    <w:p>
      <w:pPr>
        <w:ind w:right="400" w:firstLine="656"/>
        <w:spacing w:after="0" w:line="313" w:lineRule="auto"/>
        <w:tabs>
          <w:tab w:leader="none" w:pos="990" w:val="left"/>
        </w:tabs>
        <w:numPr>
          <w:ilvl w:val="1"/>
          <w:numId w:val="25"/>
        </w:numPr>
        <w:rPr>
          <w:rFonts w:ascii="Arial" w:cs="Arial" w:eastAsia="Arial" w:hAnsi="Arial"/>
          <w:sz w:val="19"/>
          <w:szCs w:val="19"/>
          <w:color w:val="010000"/>
        </w:rPr>
      </w:pPr>
      <w:r>
        <w:rPr>
          <w:rFonts w:ascii="Arial" w:cs="Arial" w:eastAsia="Arial" w:hAnsi="Arial"/>
          <w:sz w:val="18"/>
          <w:szCs w:val="18"/>
          <w:u w:val="single" w:color="auto"/>
          <w:color w:val="auto"/>
        </w:rPr>
        <w:t>Post-Employment Consulting Services</w:t>
      </w:r>
      <w:r>
        <w:rPr>
          <w:rFonts w:ascii="Arial" w:cs="Arial" w:eastAsia="Arial" w:hAnsi="Arial"/>
          <w:sz w:val="18"/>
          <w:szCs w:val="18"/>
          <w:color w:val="auto"/>
        </w:rPr>
        <w:t>. Commencing July 2, 2019, you will provide consulting services (the “</w:t>
      </w:r>
      <w:r>
        <w:rPr>
          <w:rFonts w:ascii="Arial" w:cs="Arial" w:eastAsia="Arial" w:hAnsi="Arial"/>
          <w:sz w:val="18"/>
          <w:szCs w:val="18"/>
          <w:b w:val="1"/>
          <w:bCs w:val="1"/>
          <w:i w:val="1"/>
          <w:iCs w:val="1"/>
          <w:color w:val="auto"/>
        </w:rPr>
        <w:t>Consulting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to the Company pursuant to the Consulting Agreement attached hereto as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Consulting Agreement</w:t>
      </w:r>
      <w:r>
        <w:rPr>
          <w:rFonts w:ascii="Arial" w:cs="Arial" w:eastAsia="Arial" w:hAnsi="Arial"/>
          <w:sz w:val="18"/>
          <w:szCs w:val="18"/>
          <w:color w:val="auto"/>
        </w:rPr>
        <w:t>”) through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January 1, 2020 or such earlier date pursuant to the terms of the Consulting Agreement (the “</w:t>
      </w:r>
      <w:r>
        <w:rPr>
          <w:rFonts w:ascii="Arial" w:cs="Arial" w:eastAsia="Arial" w:hAnsi="Arial"/>
          <w:sz w:val="18"/>
          <w:szCs w:val="18"/>
          <w:b w:val="1"/>
          <w:bCs w:val="1"/>
          <w:i w:val="1"/>
          <w:iCs w:val="1"/>
          <w:color w:val="auto"/>
        </w:rPr>
        <w:t>Consulting Period</w:t>
      </w:r>
      <w:r>
        <w:rPr>
          <w:rFonts w:ascii="Arial" w:cs="Arial" w:eastAsia="Arial" w:hAnsi="Arial"/>
          <w:sz w:val="18"/>
          <w:szCs w:val="18"/>
          <w:color w:val="auto"/>
        </w:rPr>
        <w:t>”).</w:t>
      </w:r>
    </w:p>
    <w:p>
      <w:pPr>
        <w:spacing w:after="0" w:line="172" w:lineRule="exact"/>
        <w:rPr>
          <w:rFonts w:ascii="Arial" w:cs="Arial" w:eastAsia="Arial" w:hAnsi="Arial"/>
          <w:sz w:val="19"/>
          <w:szCs w:val="19"/>
          <w:color w:val="010000"/>
        </w:rPr>
      </w:pPr>
    </w:p>
    <w:p>
      <w:pPr>
        <w:ind w:left="1000" w:hanging="344"/>
        <w:spacing w:after="0"/>
        <w:tabs>
          <w:tab w:leader="none" w:pos="1000" w:val="left"/>
        </w:tabs>
        <w:numPr>
          <w:ilvl w:val="1"/>
          <w:numId w:val="25"/>
        </w:numPr>
        <w:rPr>
          <w:rFonts w:ascii="Arial" w:cs="Arial" w:eastAsia="Arial" w:hAnsi="Arial"/>
          <w:sz w:val="22"/>
          <w:szCs w:val="22"/>
          <w:color w:val="010000"/>
        </w:rPr>
      </w:pPr>
      <w:r>
        <w:rPr>
          <w:rFonts w:ascii="Arial" w:cs="Arial" w:eastAsia="Arial" w:hAnsi="Arial"/>
          <w:sz w:val="20"/>
          <w:szCs w:val="20"/>
          <w:u w:val="single" w:color="auto"/>
          <w:color w:val="auto"/>
        </w:rPr>
        <w:t>Equity Awards</w:t>
      </w:r>
      <w:r>
        <w:rPr>
          <w:rFonts w:ascii="Arial" w:cs="Arial" w:eastAsia="Arial" w:hAnsi="Arial"/>
          <w:sz w:val="20"/>
          <w:szCs w:val="20"/>
          <w:color w:val="auto"/>
        </w:rPr>
        <w:t>.</w:t>
      </w:r>
    </w:p>
    <w:p>
      <w:pPr>
        <w:spacing w:after="0" w:line="236" w:lineRule="exact"/>
        <w:rPr>
          <w:sz w:val="20"/>
          <w:szCs w:val="20"/>
          <w:color w:val="auto"/>
        </w:rPr>
      </w:pPr>
    </w:p>
    <w:p>
      <w:pPr>
        <w:ind w:right="20" w:firstLine="656"/>
        <w:spacing w:after="0" w:line="300" w:lineRule="auto"/>
        <w:tabs>
          <w:tab w:leader="none" w:pos="978" w:val="left"/>
        </w:tabs>
        <w:numPr>
          <w:ilvl w:val="0"/>
          <w:numId w:val="26"/>
        </w:numPr>
        <w:rPr>
          <w:rFonts w:ascii="Arial" w:cs="Arial" w:eastAsia="Arial" w:hAnsi="Arial"/>
          <w:sz w:val="19"/>
          <w:szCs w:val="19"/>
          <w:color w:val="010000"/>
        </w:rPr>
      </w:pPr>
      <w:r>
        <w:rPr>
          <w:rFonts w:ascii="Arial" w:cs="Arial" w:eastAsia="Arial" w:hAnsi="Arial"/>
          <w:sz w:val="18"/>
          <w:szCs w:val="18"/>
          <w:u w:val="single" w:color="auto"/>
          <w:color w:val="auto"/>
        </w:rPr>
        <w:t>Transition Period</w:t>
      </w:r>
      <w:r>
        <w:rPr>
          <w:rFonts w:ascii="Arial" w:cs="Arial" w:eastAsia="Arial" w:hAnsi="Arial"/>
          <w:sz w:val="18"/>
          <w:szCs w:val="18"/>
          <w:color w:val="auto"/>
        </w:rPr>
        <w:t>. You will continue to vest in your outstanding (i) Company time-based restricted stock unit awards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(ii) Company time-based stock options (the “</w:t>
      </w:r>
      <w:r>
        <w:rPr>
          <w:rFonts w:ascii="Arial" w:cs="Arial" w:eastAsia="Arial" w:hAnsi="Arial"/>
          <w:sz w:val="18"/>
          <w:szCs w:val="18"/>
          <w:b w:val="1"/>
          <w:bCs w:val="1"/>
          <w:i w:val="1"/>
          <w:iCs w:val="1"/>
          <w:color w:val="auto"/>
        </w:rPr>
        <w:t>Options</w:t>
      </w:r>
      <w:r>
        <w:rPr>
          <w:rFonts w:ascii="Arial" w:cs="Arial" w:eastAsia="Arial" w:hAnsi="Arial"/>
          <w:sz w:val="18"/>
          <w:szCs w:val="18"/>
          <w:color w:val="auto"/>
        </w:rPr>
        <w:t>”) and (iii) Company performance-based restricted stock units, granted March 2, 2018 (the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and the RSUs, Options and PSUs together, the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in accordance with the terms of such Equity Awards for so long as you continue to provide the Services as of the applicable vesting dates set forth in such Equity Awards in accordance with the terms of such Equity Awards, but in no event after the Equity Award Termination Date set forth below. Notwithstanding the foregoing, in the event that the Company terminates without Cause either your employment before the Resignation Date or your Consulting Services on or prior to January 1, 2020, the vesting of your then-outstanding Equity Awards (excluding the PSUs, which are subject to the terms of Section 5(c) below) will accelerate such that you will vest in the number of shares of Company common stock subject to each such Equity Award that would have vested had you remained employed or in service through January 1, 2020, provided you have executed and not revoked the Release prior to the Release Deadline. Your Equity Awards will continue to be governed by the terms and conditions of the applicable award agreement and the Company’s equity plans under which the Equity Awards were granted except as explicitly set forth herein or in the Consulting Agreement.</w:t>
      </w:r>
    </w:p>
    <w:p>
      <w:pPr>
        <w:spacing w:after="0" w:line="191" w:lineRule="exact"/>
        <w:rPr>
          <w:rFonts w:ascii="Arial" w:cs="Arial" w:eastAsia="Arial" w:hAnsi="Arial"/>
          <w:sz w:val="19"/>
          <w:szCs w:val="19"/>
          <w:color w:val="010000"/>
        </w:rPr>
      </w:pPr>
    </w:p>
    <w:p>
      <w:pPr>
        <w:jc w:val="both"/>
        <w:ind w:right="720" w:firstLine="656"/>
        <w:spacing w:after="0" w:line="334" w:lineRule="auto"/>
        <w:tabs>
          <w:tab w:leader="none" w:pos="990" w:val="left"/>
        </w:tabs>
        <w:numPr>
          <w:ilvl w:val="0"/>
          <w:numId w:val="26"/>
        </w:numPr>
        <w:rPr>
          <w:rFonts w:ascii="Arial" w:cs="Arial" w:eastAsia="Arial" w:hAnsi="Arial"/>
          <w:sz w:val="19"/>
          <w:szCs w:val="19"/>
          <w:color w:val="010000"/>
        </w:rPr>
      </w:pPr>
      <w:r>
        <w:rPr>
          <w:rFonts w:ascii="Arial" w:cs="Arial" w:eastAsia="Arial" w:hAnsi="Arial"/>
          <w:sz w:val="18"/>
          <w:szCs w:val="18"/>
          <w:u w:val="single" w:color="auto"/>
          <w:color w:val="auto"/>
        </w:rPr>
        <w:t>Consulting Period</w:t>
      </w:r>
      <w:r>
        <w:rPr>
          <w:rFonts w:ascii="Arial" w:cs="Arial" w:eastAsia="Arial" w:hAnsi="Arial"/>
          <w:sz w:val="18"/>
          <w:szCs w:val="18"/>
          <w:color w:val="auto"/>
        </w:rPr>
        <w:t>. Subject to the terms of the Consulting Agreement, you will be eligible to continue to vest in your then-outstanding Equity Awards while you provide the Consulting Services pursuant to the Consulting Agreement through January 1, 2020.</w:t>
      </w:r>
    </w:p>
    <w:p>
      <w:pPr>
        <w:spacing w:after="0" w:line="150" w:lineRule="exact"/>
        <w:rPr>
          <w:rFonts w:ascii="Arial" w:cs="Arial" w:eastAsia="Arial" w:hAnsi="Arial"/>
          <w:sz w:val="19"/>
          <w:szCs w:val="19"/>
          <w:color w:val="010000"/>
        </w:rPr>
      </w:pPr>
    </w:p>
    <w:p>
      <w:pPr>
        <w:ind w:right="40" w:firstLine="656"/>
        <w:spacing w:after="0" w:line="267" w:lineRule="auto"/>
        <w:tabs>
          <w:tab w:leader="none" w:pos="978" w:val="left"/>
        </w:tabs>
        <w:numPr>
          <w:ilvl w:val="0"/>
          <w:numId w:val="26"/>
        </w:numPr>
        <w:rPr>
          <w:rFonts w:ascii="Arial" w:cs="Arial" w:eastAsia="Arial" w:hAnsi="Arial"/>
          <w:sz w:val="22"/>
          <w:szCs w:val="22"/>
          <w:color w:val="010000"/>
        </w:rPr>
      </w:pPr>
      <w:r>
        <w:rPr>
          <w:rFonts w:ascii="Arial" w:cs="Arial" w:eastAsia="Arial" w:hAnsi="Arial"/>
          <w:sz w:val="20"/>
          <w:szCs w:val="20"/>
          <w:u w:val="single" w:color="auto"/>
          <w:color w:val="auto"/>
        </w:rPr>
        <w:t>PSUs</w:t>
      </w:r>
      <w:r>
        <w:rPr>
          <w:rFonts w:ascii="Arial" w:cs="Arial" w:eastAsia="Arial" w:hAnsi="Arial"/>
          <w:sz w:val="20"/>
          <w:szCs w:val="20"/>
          <w:color w:val="auto"/>
        </w:rPr>
        <w:t>. You will remain eligible to vest in the PSUs if you continue to provide the Consulting Services on December 31, 2019, which is the final day of the Performance Period (as defined in performance-based restricted stock unit agreement, dated March 2, 2018 (the “</w:t>
      </w:r>
      <w:r>
        <w:rPr>
          <w:rFonts w:ascii="Arial" w:cs="Arial" w:eastAsia="Arial" w:hAnsi="Arial"/>
          <w:sz w:val="20"/>
          <w:szCs w:val="20"/>
          <w:b w:val="1"/>
          <w:bCs w:val="1"/>
          <w:i w:val="1"/>
          <w:iCs w:val="1"/>
          <w:color w:val="auto"/>
        </w:rPr>
        <w:t>PSU Agreement</w:t>
      </w:r>
      <w:r>
        <w:rPr>
          <w:rFonts w:ascii="Arial" w:cs="Arial" w:eastAsia="Arial" w:hAnsi="Arial"/>
          <w:sz w:val="20"/>
          <w:szCs w:val="20"/>
          <w:color w:val="auto"/>
        </w:rPr>
        <w:t>”)). Provided you continue to provide the Consulting Services on December 31, 2019 (or are earlier terminated without Cause as set forth below), and to the extent that the Company has satisfied the performance metrics set forth in the PSU Agreement (as measured on the Achievement Date (as defined in the PSU Agreement)), you will be eligible to vest in 50% of the resulting Eligible PSUs (as defined in the PSU Agreement) regardless of whether you continue to perform services on the Achievement Date pursuant to the PSU Agreement. For the avoidance of doubt, provided you continue to provide the Consulting Services on December 31, 2019 (or are earlier terminated without Cause as set forth below),</w:t>
      </w:r>
    </w:p>
    <w:p>
      <w:pPr>
        <w:sectPr>
          <w:pgSz w:w="11900" w:h="16838" w:orient="portrait"/>
          <w:cols w:equalWidth="0" w:num="1">
            <w:col w:w="11400"/>
          </w:cols>
          <w:pgMar w:left="240" w:top="388" w:right="25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PSUs shall remain outstanding to allow for the measurement of the performance metrics on the Achievement Date and the vesting and settlement of the resulting Eligible PSUs. Notwithstanding the foregoing, in the event that the Company terminates without Cause either your employment before the Resignation Date or your Consulting Services prior to January 1, 2020, and to the extent that the Company has satisfied the performance metrics set forth in the PSU Agreement (as measured on the Achievement Date), you will vest in 50% of the resulting Eligible PSUs as if you had remained employed or in service through January 1, 2020 (and for the avoidance of doubt, through the Achievement Date), provided you have executed and not revoked the Release prior to the Release Deadline. Notwithstanding anything to the contrary herein or in any other agreement, 50% of the PSUs will automatically terminate and forfeit to the Company on the Equity Award Termination Date even if you continue to provide additional services to the Company on and after such date.</w:t>
      </w:r>
    </w:p>
    <w:p>
      <w:pPr>
        <w:spacing w:after="0" w:line="196" w:lineRule="exact"/>
        <w:rPr>
          <w:sz w:val="20"/>
          <w:szCs w:val="20"/>
          <w:color w:val="auto"/>
        </w:rPr>
      </w:pPr>
    </w:p>
    <w:p>
      <w:pPr>
        <w:ind w:right="160" w:firstLine="656"/>
        <w:spacing w:after="0" w:line="266" w:lineRule="auto"/>
        <w:tabs>
          <w:tab w:leader="none" w:pos="990" w:val="left"/>
        </w:tabs>
        <w:numPr>
          <w:ilvl w:val="0"/>
          <w:numId w:val="27"/>
        </w:numPr>
        <w:rPr>
          <w:rFonts w:ascii="Arial" w:cs="Arial" w:eastAsia="Arial" w:hAnsi="Arial"/>
          <w:sz w:val="22"/>
          <w:szCs w:val="22"/>
          <w:color w:val="010000"/>
        </w:rPr>
      </w:pPr>
      <w:r>
        <w:rPr>
          <w:rFonts w:ascii="Arial" w:cs="Arial" w:eastAsia="Arial" w:hAnsi="Arial"/>
          <w:sz w:val="20"/>
          <w:szCs w:val="20"/>
          <w:u w:val="single" w:color="auto"/>
          <w:color w:val="auto"/>
        </w:rPr>
        <w:t>Termination of Equity Awards</w:t>
      </w:r>
      <w:r>
        <w:rPr>
          <w:rFonts w:ascii="Arial" w:cs="Arial" w:eastAsia="Arial" w:hAnsi="Arial"/>
          <w:sz w:val="20"/>
          <w:szCs w:val="20"/>
          <w:color w:val="auto"/>
        </w:rPr>
        <w:t>. Notwithstanding anything to the contrary herein or in any other agreement, all then-unvested Equity Awards (excluding the PSUs, which are subject to the terms of Section 5(c) above) will automatically terminate and forfeit to the Company on January 2, 2020 (the “</w:t>
      </w:r>
      <w:r>
        <w:rPr>
          <w:rFonts w:ascii="Arial" w:cs="Arial" w:eastAsia="Arial" w:hAnsi="Arial"/>
          <w:sz w:val="20"/>
          <w:szCs w:val="20"/>
          <w:b w:val="1"/>
          <w:bCs w:val="1"/>
          <w:i w:val="1"/>
          <w:iCs w:val="1"/>
          <w:color w:val="auto"/>
        </w:rPr>
        <w:t>Equity Award Termination Date</w:t>
      </w:r>
      <w:r>
        <w:rPr>
          <w:rFonts w:ascii="Arial" w:cs="Arial" w:eastAsia="Arial" w:hAnsi="Arial"/>
          <w:sz w:val="20"/>
          <w:szCs w:val="20"/>
          <w:color w:val="auto"/>
        </w:rPr>
        <w:t>”) even if you continue to provide additional services to the Company on and after such date.</w:t>
      </w:r>
    </w:p>
    <w:p>
      <w:pPr>
        <w:spacing w:after="0" w:line="210" w:lineRule="exact"/>
        <w:rPr>
          <w:rFonts w:ascii="Arial" w:cs="Arial" w:eastAsia="Arial" w:hAnsi="Arial"/>
          <w:sz w:val="22"/>
          <w:szCs w:val="22"/>
          <w:color w:val="010000"/>
        </w:rPr>
      </w:pPr>
    </w:p>
    <w:p>
      <w:pPr>
        <w:ind w:firstLine="656"/>
        <w:spacing w:after="0" w:line="266" w:lineRule="auto"/>
        <w:tabs>
          <w:tab w:leader="none" w:pos="978" w:val="left"/>
        </w:tabs>
        <w:numPr>
          <w:ilvl w:val="0"/>
          <w:numId w:val="27"/>
        </w:numPr>
        <w:rPr>
          <w:rFonts w:ascii="Arial" w:cs="Arial" w:eastAsia="Arial" w:hAnsi="Arial"/>
          <w:sz w:val="22"/>
          <w:szCs w:val="22"/>
          <w:color w:val="010000"/>
        </w:rPr>
      </w:pPr>
      <w:r>
        <w:rPr>
          <w:rFonts w:ascii="Arial" w:cs="Arial" w:eastAsia="Arial" w:hAnsi="Arial"/>
          <w:sz w:val="20"/>
          <w:szCs w:val="20"/>
          <w:u w:val="single" w:color="auto"/>
          <w:color w:val="auto"/>
        </w:rPr>
        <w:t>Extended Post-Termination Exercise Period</w:t>
      </w:r>
      <w:r>
        <w:rPr>
          <w:rFonts w:ascii="Arial" w:cs="Arial" w:eastAsia="Arial" w:hAnsi="Arial"/>
          <w:sz w:val="20"/>
          <w:szCs w:val="20"/>
          <w:color w:val="auto"/>
        </w:rPr>
        <w:t>. Any Options that are outstanding and vested as of January 1, 2020 or such earlier date on which your employment or services terminate (excluding a termination for Cause), will remain exercisable until July 1, 2020, but in no event later than the date on which the Options would have expired by their terms had your remained employed or in service to the Company. You acknowledge that to the extent an Option was an incentive stock option, this provision will cause the Option to become a nonqualified stock option for tax purposes.</w:t>
      </w:r>
    </w:p>
    <w:p>
      <w:pPr>
        <w:spacing w:after="0" w:line="213" w:lineRule="exact"/>
        <w:rPr>
          <w:sz w:val="20"/>
          <w:szCs w:val="20"/>
          <w:color w:val="auto"/>
        </w:rPr>
      </w:pPr>
    </w:p>
    <w:p>
      <w:pPr>
        <w:jc w:val="both"/>
        <w:ind w:right="40" w:firstLine="656"/>
        <w:spacing w:after="0" w:line="308" w:lineRule="auto"/>
        <w:tabs>
          <w:tab w:leader="none" w:pos="990" w:val="left"/>
        </w:tabs>
        <w:numPr>
          <w:ilvl w:val="0"/>
          <w:numId w:val="28"/>
        </w:numPr>
        <w:rPr>
          <w:rFonts w:ascii="Arial" w:cs="Arial" w:eastAsia="Arial" w:hAnsi="Arial"/>
          <w:sz w:val="19"/>
          <w:szCs w:val="19"/>
          <w:color w:val="010000"/>
        </w:rPr>
      </w:pPr>
      <w:r>
        <w:rPr>
          <w:rFonts w:ascii="Arial" w:cs="Arial" w:eastAsia="Arial" w:hAnsi="Arial"/>
          <w:sz w:val="18"/>
          <w:szCs w:val="18"/>
          <w:u w:val="single" w:color="auto"/>
          <w:color w:val="auto"/>
        </w:rPr>
        <w:t>All Payments</w:t>
      </w:r>
      <w:r>
        <w:rPr>
          <w:rFonts w:ascii="Arial" w:cs="Arial" w:eastAsia="Arial" w:hAnsi="Arial"/>
          <w:sz w:val="18"/>
          <w:szCs w:val="18"/>
          <w:color w:val="auto"/>
        </w:rPr>
        <w:t>. You understand and agree that except as expressly provided for this Agreement and the Consulting Agreement, you shall not be entitled to any other consideration, separation or change in control benefits, including, but not limited to, any severance payments, equity acceleration benefits or any other severance benefits provided for in your Amended and Restated Change of Control and Severance Agreement effective as of October 23, 2018 (the “</w:t>
      </w:r>
      <w:r>
        <w:rPr>
          <w:rFonts w:ascii="Arial" w:cs="Arial" w:eastAsia="Arial" w:hAnsi="Arial"/>
          <w:sz w:val="18"/>
          <w:szCs w:val="18"/>
          <w:b w:val="1"/>
          <w:bCs w:val="1"/>
          <w:i w:val="1"/>
          <w:iCs w:val="1"/>
          <w:color w:val="auto"/>
        </w:rPr>
        <w:t>Change of Control Agreement</w:t>
      </w:r>
      <w:r>
        <w:rPr>
          <w:rFonts w:ascii="Arial" w:cs="Arial" w:eastAsia="Arial" w:hAnsi="Arial"/>
          <w:sz w:val="18"/>
          <w:szCs w:val="18"/>
          <w:color w:val="auto"/>
        </w:rPr>
        <w:t>”) except as set forth in Section 7 below.</w:t>
      </w:r>
    </w:p>
    <w:p>
      <w:pPr>
        <w:spacing w:after="0" w:line="178" w:lineRule="exact"/>
        <w:rPr>
          <w:rFonts w:ascii="Arial" w:cs="Arial" w:eastAsia="Arial" w:hAnsi="Arial"/>
          <w:sz w:val="19"/>
          <w:szCs w:val="19"/>
          <w:color w:val="010000"/>
        </w:rPr>
      </w:pPr>
    </w:p>
    <w:p>
      <w:pPr>
        <w:ind w:right="60" w:firstLine="656"/>
        <w:spacing w:after="0" w:line="266" w:lineRule="auto"/>
        <w:tabs>
          <w:tab w:leader="none" w:pos="990" w:val="left"/>
        </w:tabs>
        <w:numPr>
          <w:ilvl w:val="0"/>
          <w:numId w:val="28"/>
        </w:numPr>
        <w:rPr>
          <w:rFonts w:ascii="Arial" w:cs="Arial" w:eastAsia="Arial" w:hAnsi="Arial"/>
          <w:sz w:val="22"/>
          <w:szCs w:val="22"/>
          <w:color w:val="010000"/>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a Change of Control (as defined in the Change of Control Agreement) is closed on or prior to July 1, 2019, you will be entitled to the benefits in Sections 3(b) of the Change of Control Agreement subject and pursuant to the terms of the Change of Control Agreement and the PSU will entitled to the treatment set forth in Section III of the PSU Agreement subject and pursuant to the terms of PSU Agreement. Unless a Change of Control has closed on or prior to July 1, 2019, the Change of Control Agreement shall terminate on July 1, 2019, or earlier pursuant to its terms.</w:t>
      </w:r>
    </w:p>
    <w:p>
      <w:pPr>
        <w:spacing w:after="0" w:line="212" w:lineRule="exact"/>
        <w:rPr>
          <w:rFonts w:ascii="Arial" w:cs="Arial" w:eastAsia="Arial" w:hAnsi="Arial"/>
          <w:sz w:val="22"/>
          <w:szCs w:val="22"/>
          <w:color w:val="010000"/>
        </w:rPr>
      </w:pPr>
    </w:p>
    <w:p>
      <w:pPr>
        <w:ind w:right="260" w:firstLine="656"/>
        <w:spacing w:after="0" w:line="265" w:lineRule="auto"/>
        <w:tabs>
          <w:tab w:leader="none" w:pos="990" w:val="left"/>
        </w:tabs>
        <w:numPr>
          <w:ilvl w:val="0"/>
          <w:numId w:val="28"/>
        </w:numPr>
        <w:rPr>
          <w:rFonts w:ascii="Arial" w:cs="Arial" w:eastAsia="Arial" w:hAnsi="Arial"/>
          <w:sz w:val="22"/>
          <w:szCs w:val="22"/>
          <w:color w:val="010000"/>
        </w:rPr>
      </w:pPr>
      <w:r>
        <w:rPr>
          <w:rFonts w:ascii="Arial" w:cs="Arial" w:eastAsia="Arial" w:hAnsi="Arial"/>
          <w:sz w:val="20"/>
          <w:szCs w:val="20"/>
          <w:u w:val="single" w:color="auto"/>
          <w:color w:val="auto"/>
        </w:rPr>
        <w:t>Restrictive Covenants</w:t>
      </w:r>
      <w:r>
        <w:rPr>
          <w:rFonts w:ascii="Arial" w:cs="Arial" w:eastAsia="Arial" w:hAnsi="Arial"/>
          <w:sz w:val="20"/>
          <w:szCs w:val="20"/>
          <w:color w:val="auto"/>
        </w:rPr>
        <w:t>. In consideration of the premises and promises herein and for good and valuable consideration, receipt of which is hereby acknowledged, you, intending to be legally bound, agrees as follows:</w:t>
      </w:r>
    </w:p>
    <w:p>
      <w:pPr>
        <w:spacing w:after="0" w:line="210" w:lineRule="exact"/>
        <w:rPr>
          <w:sz w:val="20"/>
          <w:szCs w:val="20"/>
          <w:color w:val="auto"/>
        </w:rPr>
      </w:pPr>
    </w:p>
    <w:p>
      <w:pPr>
        <w:ind w:right="180" w:firstLine="656"/>
        <w:spacing w:after="0" w:line="283" w:lineRule="auto"/>
        <w:tabs>
          <w:tab w:leader="none" w:pos="978" w:val="left"/>
        </w:tabs>
        <w:numPr>
          <w:ilvl w:val="0"/>
          <w:numId w:val="29"/>
        </w:numPr>
        <w:rPr>
          <w:rFonts w:ascii="Arial" w:cs="Arial" w:eastAsia="Arial" w:hAnsi="Arial"/>
          <w:sz w:val="21"/>
          <w:szCs w:val="21"/>
          <w:color w:val="010000"/>
        </w:rPr>
      </w:pPr>
      <w:r>
        <w:rPr>
          <w:rFonts w:ascii="Arial" w:cs="Arial" w:eastAsia="Arial" w:hAnsi="Arial"/>
          <w:sz w:val="19"/>
          <w:szCs w:val="19"/>
          <w:u w:val="single" w:color="auto"/>
          <w:color w:val="auto"/>
        </w:rPr>
        <w:t>Agreement Not to Solicit</w:t>
      </w:r>
      <w:r>
        <w:rPr>
          <w:rFonts w:ascii="Arial" w:cs="Arial" w:eastAsia="Arial" w:hAnsi="Arial"/>
          <w:sz w:val="19"/>
          <w:szCs w:val="19"/>
          <w:color w:val="auto"/>
        </w:rPr>
        <w:t>. You agree that during for a period of twelve (12) months following the later of the termination of your employment or services, you will not as an employee, agent, consultant, advisor, independent contractor, general partner, officer, director, stockholder, investor, lender or guarantor of any corporation, partnership or other entity, or in any other capacity, directly or indirectly for himself or on behalf of any other person (other than the Company or any of its affiliates):</w:t>
      </w:r>
    </w:p>
    <w:p>
      <w:pPr>
        <w:sectPr>
          <w:pgSz w:w="11900" w:h="16838" w:orient="portrait"/>
          <w:cols w:equalWidth="0" w:num="1">
            <w:col w:w="11360"/>
          </w:cols>
          <w:pgMar w:left="240" w:top="388" w:right="29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40" w:firstLine="1305"/>
        <w:spacing w:after="0" w:line="265" w:lineRule="auto"/>
        <w:tabs>
          <w:tab w:leader="none" w:pos="1590" w:val="left"/>
        </w:tabs>
        <w:numPr>
          <w:ilvl w:val="0"/>
          <w:numId w:val="30"/>
        </w:numPr>
        <w:rPr>
          <w:rFonts w:ascii="Arial" w:cs="Arial" w:eastAsia="Arial" w:hAnsi="Arial"/>
          <w:sz w:val="22"/>
          <w:szCs w:val="22"/>
          <w:color w:val="010000"/>
        </w:rPr>
      </w:pPr>
      <w:r>
        <w:rPr>
          <w:rFonts w:ascii="Arial" w:cs="Arial" w:eastAsia="Arial" w:hAnsi="Arial"/>
          <w:sz w:val="20"/>
          <w:szCs w:val="20"/>
          <w:color w:val="auto"/>
        </w:rPr>
        <w:t>interfere with the relationship between the Company and its employees or consultants or contractors by encouraging, inducing, soliciting or attempting to solicit any such employee or consultant or contractor to terminate his or her employment or end his or her relationship with the Company;</w:t>
      </w:r>
    </w:p>
    <w:p>
      <w:pPr>
        <w:spacing w:after="0" w:line="212" w:lineRule="exact"/>
        <w:rPr>
          <w:rFonts w:ascii="Arial" w:cs="Arial" w:eastAsia="Arial" w:hAnsi="Arial"/>
          <w:sz w:val="22"/>
          <w:szCs w:val="22"/>
          <w:color w:val="010000"/>
        </w:rPr>
      </w:pPr>
    </w:p>
    <w:p>
      <w:pPr>
        <w:ind w:right="120" w:firstLine="1305"/>
        <w:spacing w:after="0" w:line="265" w:lineRule="auto"/>
        <w:tabs>
          <w:tab w:leader="none" w:pos="1651" w:val="left"/>
        </w:tabs>
        <w:numPr>
          <w:ilvl w:val="0"/>
          <w:numId w:val="30"/>
        </w:numPr>
        <w:rPr>
          <w:rFonts w:ascii="Arial" w:cs="Arial" w:eastAsia="Arial" w:hAnsi="Arial"/>
          <w:sz w:val="22"/>
          <w:szCs w:val="22"/>
          <w:color w:val="010000"/>
        </w:rPr>
      </w:pPr>
      <w:r>
        <w:rPr>
          <w:rFonts w:ascii="Arial" w:cs="Arial" w:eastAsia="Arial" w:hAnsi="Arial"/>
          <w:sz w:val="20"/>
          <w:szCs w:val="20"/>
          <w:color w:val="auto"/>
        </w:rPr>
        <w:t>solicit or attempt to solicit for employment, on behalf of yourself or any other person, any person who is or, within six (6) months prior to such solicitation, was an employee or consultant or contractor of the Company; or</w:t>
      </w:r>
    </w:p>
    <w:p>
      <w:pPr>
        <w:spacing w:after="0" w:line="206" w:lineRule="exact"/>
        <w:rPr>
          <w:rFonts w:ascii="Arial" w:cs="Arial" w:eastAsia="Arial" w:hAnsi="Arial"/>
          <w:sz w:val="22"/>
          <w:szCs w:val="22"/>
          <w:color w:val="010000"/>
        </w:rPr>
      </w:pPr>
    </w:p>
    <w:p>
      <w:pPr>
        <w:ind w:left="1720" w:hanging="415"/>
        <w:spacing w:after="0"/>
        <w:tabs>
          <w:tab w:leader="none" w:pos="1720" w:val="left"/>
        </w:tabs>
        <w:numPr>
          <w:ilvl w:val="0"/>
          <w:numId w:val="30"/>
        </w:numPr>
        <w:rPr>
          <w:rFonts w:ascii="Arial" w:cs="Arial" w:eastAsia="Arial" w:hAnsi="Arial"/>
          <w:sz w:val="22"/>
          <w:szCs w:val="22"/>
          <w:color w:val="010000"/>
        </w:rPr>
      </w:pPr>
      <w:r>
        <w:rPr>
          <w:rFonts w:ascii="Arial" w:cs="Arial" w:eastAsia="Arial" w:hAnsi="Arial"/>
          <w:sz w:val="20"/>
          <w:szCs w:val="20"/>
          <w:color w:val="auto"/>
        </w:rPr>
        <w:t>induce or assist any other person to engage in any of the activities described in subparagraphs (i) or (ii).</w:t>
      </w:r>
    </w:p>
    <w:p>
      <w:pPr>
        <w:spacing w:after="0" w:line="209" w:lineRule="exact"/>
        <w:rPr>
          <w:sz w:val="20"/>
          <w:szCs w:val="20"/>
          <w:color w:val="auto"/>
        </w:rPr>
      </w:pPr>
    </w:p>
    <w:p>
      <w:pPr>
        <w:ind w:right="20" w:firstLine="648"/>
        <w:spacing w:after="0" w:line="263" w:lineRule="auto"/>
        <w:rPr>
          <w:sz w:val="20"/>
          <w:szCs w:val="20"/>
          <w:color w:val="auto"/>
        </w:rPr>
      </w:pPr>
      <w:r>
        <w:rPr>
          <w:rFonts w:ascii="Arial" w:cs="Arial" w:eastAsia="Arial" w:hAnsi="Arial"/>
          <w:sz w:val="19"/>
          <w:szCs w:val="19"/>
          <w:color w:val="auto"/>
        </w:rPr>
        <w:t>Notwithstanding the foregoing, for purposes of this Agreement, the placement of general advertisements that may be targeted to a particular geographic or technical area but that are not specifically targeted toward employees, consultants, or contractors of the Company or its successors or assigns, shall not be deemed to be a breach of this Section. In the event of a conflict between any provision of this Section and a provision of any agreement not superseded by this Agreement, this Section shall control.</w:t>
      </w:r>
    </w:p>
    <w:p>
      <w:pPr>
        <w:spacing w:after="0" w:line="204" w:lineRule="exact"/>
        <w:rPr>
          <w:sz w:val="20"/>
          <w:szCs w:val="20"/>
          <w:color w:val="auto"/>
        </w:rPr>
      </w:pPr>
    </w:p>
    <w:p>
      <w:pPr>
        <w:ind w:right="60" w:firstLine="656"/>
        <w:spacing w:after="0" w:line="283" w:lineRule="auto"/>
        <w:tabs>
          <w:tab w:leader="none" w:pos="990" w:val="left"/>
        </w:tabs>
        <w:numPr>
          <w:ilvl w:val="0"/>
          <w:numId w:val="31"/>
        </w:numPr>
        <w:rPr>
          <w:rFonts w:ascii="Arial" w:cs="Arial" w:eastAsia="Arial" w:hAnsi="Arial"/>
          <w:sz w:val="21"/>
          <w:szCs w:val="21"/>
          <w:color w:val="010000"/>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You shall not make any written or oral statement intended to disparage the Company or its products or services, or in their capacity connected to the Company or its products, any of its agents, representatives, directors, officers, shareholders, attorneys, employees, vendors, affiliates, or successors. The Company agrees that its current executive officers and Board of Directors shall not make any written or oral statement intended to disparage you or your business reputation. Nothing in this section shall prohibit you or the Company from providing truthful information in response to a subpoena or other legal process.</w:t>
      </w:r>
    </w:p>
    <w:p>
      <w:pPr>
        <w:spacing w:after="0" w:line="197" w:lineRule="exact"/>
        <w:rPr>
          <w:sz w:val="20"/>
          <w:szCs w:val="20"/>
          <w:color w:val="auto"/>
        </w:rPr>
      </w:pPr>
    </w:p>
    <w:p>
      <w:pPr>
        <w:ind w:right="40" w:firstLine="656"/>
        <w:spacing w:after="0" w:line="266" w:lineRule="auto"/>
        <w:tabs>
          <w:tab w:leader="none" w:pos="990" w:val="left"/>
        </w:tabs>
        <w:numPr>
          <w:ilvl w:val="0"/>
          <w:numId w:val="32"/>
        </w:numPr>
        <w:rPr>
          <w:rFonts w:ascii="Arial" w:cs="Arial" w:eastAsia="Arial" w:hAnsi="Arial"/>
          <w:sz w:val="22"/>
          <w:szCs w:val="22"/>
          <w:color w:val="010000"/>
        </w:rPr>
      </w:pPr>
      <w:r>
        <w:rPr>
          <w:rFonts w:ascii="Arial" w:cs="Arial" w:eastAsia="Arial" w:hAnsi="Arial"/>
          <w:sz w:val="20"/>
          <w:szCs w:val="20"/>
          <w:u w:val="single" w:color="auto"/>
          <w:color w:val="auto"/>
        </w:rPr>
        <w:t>Company Proprietary and Confidential Information</w:t>
      </w:r>
      <w:r>
        <w:rPr>
          <w:rFonts w:ascii="Arial" w:cs="Arial" w:eastAsia="Arial" w:hAnsi="Arial"/>
          <w:sz w:val="20"/>
          <w:szCs w:val="20"/>
          <w:color w:val="auto"/>
        </w:rPr>
        <w:t>. You hereby acknowledge that you are bound by the Company Confidential Information and Invention Assignment Agreement you previously signed and that as a result of your employment with the Company you have had access to the Company’s proprietary information (as described in such agreement), that you will hold all proprietary information in strictest confidence and that you will not make use of such proprietary information on behalf of anyone, except as required in the course of your employment with the Company. You further confirm that you will deliver to the Company, no later than your termination date, all documents and data of any nature containing or pertaining to such proprietary information and that you will not take with you any such documents or data or any reproduction thereof.</w:t>
      </w:r>
    </w:p>
    <w:p>
      <w:pPr>
        <w:spacing w:after="0" w:line="216" w:lineRule="exact"/>
        <w:rPr>
          <w:rFonts w:ascii="Arial" w:cs="Arial" w:eastAsia="Arial" w:hAnsi="Arial"/>
          <w:sz w:val="22"/>
          <w:szCs w:val="22"/>
          <w:color w:val="010000"/>
        </w:rPr>
      </w:pPr>
    </w:p>
    <w:p>
      <w:pPr>
        <w:ind w:right="80" w:firstLine="656"/>
        <w:spacing w:after="0" w:line="265" w:lineRule="auto"/>
        <w:tabs>
          <w:tab w:leader="none" w:pos="1098" w:val="left"/>
        </w:tabs>
        <w:numPr>
          <w:ilvl w:val="0"/>
          <w:numId w:val="32"/>
        </w:numPr>
        <w:rPr>
          <w:rFonts w:ascii="Arial" w:cs="Arial" w:eastAsia="Arial" w:hAnsi="Arial"/>
          <w:sz w:val="22"/>
          <w:szCs w:val="22"/>
          <w:color w:val="010000"/>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For the avoidance of doubt, you will continue to be covered by any indemnification agreement in place between you and the Company, and remain named as an insured on the director and officer liability insurance policy currently maintained by the Company, or as may be maintained by the Company from time to time.</w:t>
      </w:r>
    </w:p>
    <w:p>
      <w:pPr>
        <w:spacing w:after="0" w:line="212" w:lineRule="exact"/>
        <w:rPr>
          <w:rFonts w:ascii="Arial" w:cs="Arial" w:eastAsia="Arial" w:hAnsi="Arial"/>
          <w:sz w:val="22"/>
          <w:szCs w:val="22"/>
          <w:color w:val="010000"/>
        </w:rPr>
      </w:pPr>
    </w:p>
    <w:p>
      <w:pPr>
        <w:ind w:firstLine="656"/>
        <w:spacing w:after="0" w:line="266" w:lineRule="auto"/>
        <w:tabs>
          <w:tab w:leader="none" w:pos="1090" w:val="left"/>
        </w:tabs>
        <w:numPr>
          <w:ilvl w:val="0"/>
          <w:numId w:val="32"/>
        </w:numPr>
        <w:rPr>
          <w:rFonts w:ascii="Arial" w:cs="Arial" w:eastAsia="Arial" w:hAnsi="Arial"/>
          <w:sz w:val="22"/>
          <w:szCs w:val="22"/>
          <w:color w:val="010000"/>
        </w:rPr>
      </w:pPr>
      <w:r>
        <w:rPr>
          <w:rFonts w:ascii="Arial" w:cs="Arial" w:eastAsia="Arial" w:hAnsi="Arial"/>
          <w:sz w:val="20"/>
          <w:szCs w:val="20"/>
          <w:u w:val="single" w:color="auto"/>
          <w:color w:val="auto"/>
        </w:rPr>
        <w:t>Arbitration</w:t>
      </w:r>
      <w:r>
        <w:rPr>
          <w:rFonts w:ascii="Arial" w:cs="Arial" w:eastAsia="Arial" w:hAnsi="Arial"/>
          <w:sz w:val="20"/>
          <w:szCs w:val="20"/>
          <w:color w:val="auto"/>
        </w:rPr>
        <w:t>. Except for any claim for injunctive relief arising out of a breach of a party’s obligations to protect the other’s proprietary information, the parties agree to arbitrate, in San Mateo County,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w:t>
      </w:r>
    </w:p>
    <w:p>
      <w:pPr>
        <w:sectPr>
          <w:pgSz w:w="11900" w:h="16838" w:orient="portrait"/>
          <w:cols w:equalWidth="0" w:num="1">
            <w:col w:w="11420"/>
          </w:cols>
          <w:pgMar w:left="240" w:top="388" w:right="239" w:bottom="1440" w:gutter="0" w:footer="0" w:header="0"/>
        </w:sectPr>
      </w:pPr>
    </w:p>
    <w:bookmarkStart w:id="62" w:name="page63"/>
    <w:bookmarkEnd w:id="62"/>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213" w:lineRule="exact"/>
        <w:rPr>
          <w:sz w:val="20"/>
          <w:szCs w:val="20"/>
          <w:color w:val="auto"/>
        </w:rPr>
      </w:pPr>
    </w:p>
    <w:p>
      <w:pPr>
        <w:jc w:val="both"/>
        <w:ind w:firstLine="656"/>
        <w:spacing w:after="0" w:line="368" w:lineRule="auto"/>
        <w:tabs>
          <w:tab w:leader="none" w:pos="1098" w:val="left"/>
        </w:tabs>
        <w:numPr>
          <w:ilvl w:val="0"/>
          <w:numId w:val="33"/>
        </w:numPr>
        <w:rPr>
          <w:rFonts w:ascii="Arial" w:cs="Arial" w:eastAsia="Arial" w:hAnsi="Arial"/>
          <w:sz w:val="18"/>
          <w:szCs w:val="18"/>
          <w:color w:val="010000"/>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125" w:lineRule="exact"/>
        <w:rPr>
          <w:rFonts w:ascii="Arial" w:cs="Arial" w:eastAsia="Arial" w:hAnsi="Arial"/>
          <w:sz w:val="18"/>
          <w:szCs w:val="18"/>
          <w:color w:val="010000"/>
        </w:rPr>
      </w:pPr>
    </w:p>
    <w:p>
      <w:pPr>
        <w:ind w:right="180" w:firstLine="656"/>
        <w:spacing w:after="0" w:line="282" w:lineRule="auto"/>
        <w:tabs>
          <w:tab w:leader="none" w:pos="1098" w:val="left"/>
        </w:tabs>
        <w:numPr>
          <w:ilvl w:val="0"/>
          <w:numId w:val="33"/>
        </w:numPr>
        <w:rPr>
          <w:rFonts w:ascii="Arial" w:cs="Arial" w:eastAsia="Arial" w:hAnsi="Arial"/>
          <w:sz w:val="21"/>
          <w:szCs w:val="21"/>
          <w:color w:val="010000"/>
        </w:rPr>
      </w:pPr>
      <w:r>
        <w:rPr>
          <w:rFonts w:ascii="Arial" w:cs="Arial" w:eastAsia="Arial" w:hAnsi="Arial"/>
          <w:sz w:val="19"/>
          <w:szCs w:val="19"/>
          <w:u w:val="single" w:color="auto"/>
          <w:color w:val="auto"/>
        </w:rPr>
        <w:t>Complete and Voluntary Agreement</w:t>
      </w:r>
      <w:r>
        <w:rPr>
          <w:rFonts w:ascii="Arial" w:cs="Arial" w:eastAsia="Arial" w:hAnsi="Arial"/>
          <w:sz w:val="19"/>
          <w:szCs w:val="19"/>
          <w:color w:val="auto"/>
        </w:rPr>
        <w:t>. This Agreement, together with Exhibit A and Exhibit B, the Company Confidential Information and Invention Assignment Agreement and the Consulting Agreement constitute the entire agreement between you and the Company with respect to the subject matter hereof and supersedes all prior negotiations and agreements, whether written or oral, relating to such subject matter, including your Change of Control Agreement, except as set forth herein. You acknowledge that neither the Company nor its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201" w:lineRule="exact"/>
        <w:rPr>
          <w:rFonts w:ascii="Arial" w:cs="Arial" w:eastAsia="Arial" w:hAnsi="Arial"/>
          <w:sz w:val="21"/>
          <w:szCs w:val="21"/>
          <w:color w:val="010000"/>
        </w:rPr>
      </w:pPr>
    </w:p>
    <w:p>
      <w:pPr>
        <w:ind w:right="400" w:firstLine="656"/>
        <w:spacing w:after="0" w:line="265" w:lineRule="auto"/>
        <w:tabs>
          <w:tab w:leader="none" w:pos="1098" w:val="left"/>
        </w:tabs>
        <w:numPr>
          <w:ilvl w:val="0"/>
          <w:numId w:val="33"/>
        </w:numPr>
        <w:rPr>
          <w:rFonts w:ascii="Arial" w:cs="Arial" w:eastAsia="Arial" w:hAnsi="Arial"/>
          <w:sz w:val="22"/>
          <w:szCs w:val="22"/>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are severable, and if any part of it is found to be invalid or unenforceable, the other parts shall remain fully valid and enforceable.</w:t>
      </w:r>
    </w:p>
    <w:p>
      <w:pPr>
        <w:spacing w:after="0" w:line="209" w:lineRule="exact"/>
        <w:rPr>
          <w:rFonts w:ascii="Arial" w:cs="Arial" w:eastAsia="Arial" w:hAnsi="Arial"/>
          <w:sz w:val="22"/>
          <w:szCs w:val="22"/>
          <w:color w:val="010000"/>
        </w:rPr>
      </w:pPr>
    </w:p>
    <w:p>
      <w:pPr>
        <w:ind w:firstLine="656"/>
        <w:spacing w:after="0" w:line="305" w:lineRule="auto"/>
        <w:tabs>
          <w:tab w:leader="none" w:pos="1098" w:val="left"/>
        </w:tabs>
        <w:numPr>
          <w:ilvl w:val="0"/>
          <w:numId w:val="33"/>
        </w:numPr>
        <w:rPr>
          <w:rFonts w:ascii="Arial" w:cs="Arial" w:eastAsia="Arial" w:hAnsi="Arial"/>
          <w:sz w:val="19"/>
          <w:szCs w:val="19"/>
          <w:color w:val="010000"/>
        </w:rPr>
      </w:pPr>
      <w:r>
        <w:rPr>
          <w:rFonts w:ascii="Arial" w:cs="Arial" w:eastAsia="Arial" w:hAnsi="Arial"/>
          <w:sz w:val="18"/>
          <w:szCs w:val="18"/>
          <w:u w:val="single" w:color="auto"/>
          <w:color w:val="auto"/>
        </w:rPr>
        <w:t>Modification; Counterparts; Digital Signatures</w:t>
      </w:r>
      <w:r>
        <w:rPr>
          <w:rFonts w:ascii="Arial" w:cs="Arial" w:eastAsia="Arial" w:hAnsi="Arial"/>
          <w:sz w:val="18"/>
          <w:szCs w:val="18"/>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digital copy shall have the same force and effect as execution of an original, and a copy of a signature will be equally admissible in any legal proceeding as if an original.</w:t>
      </w:r>
    </w:p>
    <w:p>
      <w:pPr>
        <w:spacing w:after="0" w:line="182" w:lineRule="exact"/>
        <w:rPr>
          <w:rFonts w:ascii="Arial" w:cs="Arial" w:eastAsia="Arial" w:hAnsi="Arial"/>
          <w:sz w:val="19"/>
          <w:szCs w:val="19"/>
          <w:color w:val="010000"/>
        </w:rPr>
      </w:pPr>
    </w:p>
    <w:p>
      <w:pPr>
        <w:ind w:left="1100" w:hanging="444"/>
        <w:spacing w:after="0"/>
        <w:tabs>
          <w:tab w:leader="none" w:pos="1100" w:val="left"/>
        </w:tabs>
        <w:numPr>
          <w:ilvl w:val="0"/>
          <w:numId w:val="33"/>
        </w:numPr>
        <w:rPr>
          <w:rFonts w:ascii="Arial" w:cs="Arial" w:eastAsia="Arial" w:hAnsi="Arial"/>
          <w:sz w:val="19"/>
          <w:szCs w:val="19"/>
          <w:color w:val="010000"/>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California.</w:t>
      </w:r>
    </w:p>
    <w:p>
      <w:pPr>
        <w:spacing w:after="0" w:line="267" w:lineRule="exact"/>
        <w:rPr>
          <w:rFonts w:ascii="Arial" w:cs="Arial" w:eastAsia="Arial" w:hAnsi="Arial"/>
          <w:sz w:val="19"/>
          <w:szCs w:val="19"/>
          <w:color w:val="010000"/>
        </w:rPr>
      </w:pPr>
    </w:p>
    <w:p>
      <w:pPr>
        <w:ind w:right="120" w:firstLine="656"/>
        <w:spacing w:after="0" w:line="265" w:lineRule="auto"/>
        <w:tabs>
          <w:tab w:leader="none" w:pos="1098" w:val="left"/>
        </w:tabs>
        <w:numPr>
          <w:ilvl w:val="0"/>
          <w:numId w:val="33"/>
        </w:numPr>
        <w:rPr>
          <w:rFonts w:ascii="Arial" w:cs="Arial" w:eastAsia="Arial" w:hAnsi="Arial"/>
          <w:sz w:val="22"/>
          <w:szCs w:val="22"/>
          <w:color w:val="010000"/>
        </w:rPr>
      </w:pPr>
      <w:r>
        <w:rPr>
          <w:rFonts w:ascii="Arial" w:cs="Arial" w:eastAsia="Arial" w:hAnsi="Arial"/>
          <w:sz w:val="20"/>
          <w:szCs w:val="20"/>
          <w:u w:val="single" w:color="auto"/>
          <w:color w:val="auto"/>
        </w:rPr>
        <w:t>Taxes.</w:t>
      </w:r>
      <w:r>
        <w:rPr>
          <w:rFonts w:ascii="Arial" w:cs="Arial" w:eastAsia="Arial" w:hAnsi="Arial"/>
          <w:sz w:val="20"/>
          <w:szCs w:val="20"/>
          <w:color w:val="auto"/>
        </w:rPr>
        <w:t xml:space="preserve"> All payments made under this Agreement will be subject to reduction to reflect taxes or other charges required to be withheld by law. Each payment and benefit payable under this Agreement is intended to constitute a separate payment for purposes of Section 409A of the Internal Revenue Code of 1986, as amended.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 Page Follows]</w:t>
      </w:r>
    </w:p>
    <w:p>
      <w:pPr>
        <w:sectPr>
          <w:pgSz w:w="11900" w:h="16838" w:orient="portrait"/>
          <w:cols w:equalWidth="0" w:num="1">
            <w:col w:w="11380"/>
          </w:cols>
          <w:pgMar w:left="240" w:top="388" w:right="27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920" w:type="dxa"/>
            <w:vAlign w:val="bottom"/>
            <w:gridSpan w:val="3"/>
          </w:tcPr>
          <w:p>
            <w:pPr>
              <w:spacing w:after="0"/>
              <w:rPr>
                <w:sz w:val="20"/>
                <w:szCs w:val="20"/>
                <w:color w:val="auto"/>
              </w:rPr>
            </w:pPr>
            <w:r>
              <w:rPr>
                <w:rFonts w:ascii="Arial" w:cs="Arial" w:eastAsia="Arial" w:hAnsi="Arial"/>
                <w:sz w:val="20"/>
                <w:szCs w:val="20"/>
                <w:b w:val="1"/>
                <w:bCs w:val="1"/>
                <w:color w:val="auto"/>
              </w:rPr>
              <w:t>CHRISTOPHER HALL</w:t>
            </w:r>
          </w:p>
        </w:tc>
        <w:tc>
          <w:tcPr>
            <w:tcW w:w="4140" w:type="dxa"/>
            <w:vAlign w:val="bottom"/>
            <w:gridSpan w:val="4"/>
          </w:tcPr>
          <w:p>
            <w:pPr>
              <w:ind w:left="900"/>
              <w:spacing w:after="0"/>
              <w:rPr>
                <w:sz w:val="20"/>
                <w:szCs w:val="20"/>
                <w:color w:val="auto"/>
              </w:rPr>
            </w:pPr>
            <w:r>
              <w:rPr>
                <w:rFonts w:ascii="Arial" w:cs="Arial" w:eastAsia="Arial" w:hAnsi="Arial"/>
                <w:sz w:val="20"/>
                <w:szCs w:val="20"/>
                <w:b w:val="1"/>
                <w:bCs w:val="1"/>
                <w:color w:val="auto"/>
              </w:rPr>
              <w:t>VERACYTE, INC.</w:t>
            </w:r>
          </w:p>
        </w:tc>
      </w:tr>
      <w:tr>
        <w:trPr>
          <w:trHeight w:val="644"/>
        </w:trPr>
        <w:tc>
          <w:tcPr>
            <w:tcW w:w="4920" w:type="dxa"/>
            <w:vAlign w:val="bottom"/>
            <w:gridSpan w:val="3"/>
          </w:tcPr>
          <w:p>
            <w:pPr>
              <w:spacing w:after="0"/>
              <w:rPr>
                <w:sz w:val="20"/>
                <w:szCs w:val="20"/>
                <w:color w:val="auto"/>
              </w:rPr>
            </w:pPr>
            <w:r>
              <w:rPr>
                <w:rFonts w:ascii="Arial" w:cs="Arial" w:eastAsia="Arial" w:hAnsi="Arial"/>
                <w:sz w:val="20"/>
                <w:szCs w:val="20"/>
                <w:color w:val="auto"/>
              </w:rPr>
              <w:t>/s/ Christopher Hall_________________________</w:t>
            </w:r>
          </w:p>
        </w:tc>
        <w:tc>
          <w:tcPr>
            <w:tcW w:w="4140" w:type="dxa"/>
            <w:vAlign w:val="bottom"/>
            <w:gridSpan w:val="4"/>
          </w:tcPr>
          <w:p>
            <w:pPr>
              <w:ind w:left="900"/>
              <w:spacing w:after="0"/>
              <w:rPr>
                <w:sz w:val="20"/>
                <w:szCs w:val="20"/>
                <w:color w:val="auto"/>
              </w:rPr>
            </w:pPr>
            <w:r>
              <w:rPr>
                <w:rFonts w:ascii="Arial" w:cs="Arial" w:eastAsia="Arial" w:hAnsi="Arial"/>
                <w:sz w:val="20"/>
                <w:szCs w:val="20"/>
                <w:color w:val="auto"/>
                <w:w w:val="89"/>
              </w:rPr>
              <w:t>/s/ Bonnie Anderson________________</w:t>
            </w:r>
          </w:p>
        </w:tc>
      </w:tr>
      <w:tr>
        <w:trPr>
          <w:trHeight w:val="20"/>
        </w:trPr>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40" w:type="dxa"/>
            <w:vAlign w:val="bottom"/>
            <w:gridSpan w:val="4"/>
          </w:tcPr>
          <w:p>
            <w:pPr>
              <w:ind w:left="900"/>
              <w:spacing w:after="0"/>
              <w:rPr>
                <w:sz w:val="20"/>
                <w:szCs w:val="20"/>
                <w:color w:val="auto"/>
              </w:rPr>
            </w:pPr>
            <w:r>
              <w:rPr>
                <w:rFonts w:ascii="Arial" w:cs="Arial" w:eastAsia="Arial" w:hAnsi="Arial"/>
                <w:sz w:val="20"/>
                <w:szCs w:val="20"/>
                <w:color w:val="auto"/>
              </w:rPr>
              <w:t>Bonnie Anderson</w:t>
            </w:r>
          </w:p>
        </w:tc>
      </w:tr>
      <w:tr>
        <w:trPr>
          <w:trHeight w:val="250"/>
        </w:trPr>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40" w:type="dxa"/>
            <w:vAlign w:val="bottom"/>
            <w:gridSpan w:val="4"/>
          </w:tcPr>
          <w:p>
            <w:pPr>
              <w:ind w:left="900"/>
              <w:spacing w:after="0"/>
              <w:rPr>
                <w:sz w:val="20"/>
                <w:szCs w:val="20"/>
                <w:color w:val="auto"/>
              </w:rPr>
            </w:pPr>
            <w:r>
              <w:rPr>
                <w:rFonts w:ascii="Arial" w:cs="Arial" w:eastAsia="Arial" w:hAnsi="Arial"/>
                <w:sz w:val="20"/>
                <w:szCs w:val="20"/>
                <w:color w:val="auto"/>
              </w:rPr>
              <w:t>Chief Executive Officer</w:t>
            </w:r>
          </w:p>
        </w:tc>
      </w:tr>
      <w:tr>
        <w:trPr>
          <w:trHeight w:val="455"/>
        </w:trPr>
        <w:tc>
          <w:tcPr>
            <w:tcW w:w="4920" w:type="dxa"/>
            <w:vAlign w:val="bottom"/>
            <w:gridSpan w:val="3"/>
          </w:tcPr>
          <w:p>
            <w:pPr>
              <w:spacing w:after="0"/>
              <w:rPr>
                <w:sz w:val="20"/>
                <w:szCs w:val="20"/>
                <w:color w:val="auto"/>
              </w:rPr>
            </w:pPr>
            <w:r>
              <w:rPr>
                <w:rFonts w:ascii="Arial" w:cs="Arial" w:eastAsia="Arial" w:hAnsi="Arial"/>
                <w:sz w:val="20"/>
                <w:szCs w:val="20"/>
                <w:color w:val="auto"/>
              </w:rPr>
              <w:t>April 22, 2019____________________________</w:t>
            </w:r>
          </w:p>
        </w:tc>
        <w:tc>
          <w:tcPr>
            <w:tcW w:w="4140" w:type="dxa"/>
            <w:vAlign w:val="bottom"/>
            <w:gridSpan w:val="4"/>
          </w:tcPr>
          <w:p>
            <w:pPr>
              <w:ind w:left="900"/>
              <w:spacing w:after="0"/>
              <w:rPr>
                <w:sz w:val="20"/>
                <w:szCs w:val="20"/>
                <w:color w:val="auto"/>
              </w:rPr>
            </w:pPr>
            <w:r>
              <w:rPr>
                <w:rFonts w:ascii="Arial" w:cs="Arial" w:eastAsia="Arial" w:hAnsi="Arial"/>
                <w:sz w:val="20"/>
                <w:szCs w:val="20"/>
                <w:color w:val="auto"/>
                <w:w w:val="90"/>
              </w:rPr>
              <w:t>April 22, 2019_____________________</w:t>
            </w:r>
          </w:p>
        </w:tc>
      </w:tr>
      <w:tr>
        <w:trPr>
          <w:trHeight w:val="20"/>
        </w:trPr>
        <w:tc>
          <w:tcPr>
            <w:tcW w:w="1160" w:type="dxa"/>
            <w:vAlign w:val="bottom"/>
            <w:shd w:val="clear" w:color="auto" w:fill="000000"/>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r>
      <w:tr>
        <w:trPr>
          <w:trHeight w:val="254"/>
        </w:trPr>
        <w:tc>
          <w:tcPr>
            <w:tcW w:w="1160" w:type="dxa"/>
            <w:vAlign w:val="bottom"/>
          </w:tcPr>
          <w:p>
            <w:pPr>
              <w:spacing w:after="0"/>
              <w:rPr>
                <w:sz w:val="20"/>
                <w:szCs w:val="20"/>
                <w:color w:val="auto"/>
              </w:rPr>
            </w:pPr>
            <w:r>
              <w:rPr>
                <w:rFonts w:ascii="Arial" w:cs="Arial" w:eastAsia="Arial" w:hAnsi="Arial"/>
                <w:sz w:val="20"/>
                <w:szCs w:val="20"/>
                <w:color w:val="auto"/>
              </w:rPr>
              <w:t>Date</w:t>
            </w:r>
          </w:p>
        </w:tc>
        <w:tc>
          <w:tcPr>
            <w:tcW w:w="3760" w:type="dxa"/>
            <w:vAlign w:val="bottom"/>
            <w:gridSpan w:val="2"/>
          </w:tcPr>
          <w:p>
            <w:pPr>
              <w:spacing w:after="0"/>
              <w:rPr>
                <w:sz w:val="22"/>
                <w:szCs w:val="22"/>
                <w:color w:val="auto"/>
              </w:rPr>
            </w:pPr>
          </w:p>
        </w:tc>
        <w:tc>
          <w:tcPr>
            <w:tcW w:w="4140" w:type="dxa"/>
            <w:vAlign w:val="bottom"/>
            <w:gridSpan w:val="4"/>
          </w:tcPr>
          <w:p>
            <w:pPr>
              <w:ind w:left="90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46"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[SIGNATURE PAGE TO SERVICES &amp; SEPARATION AGREEMENT]</w:t>
      </w:r>
    </w:p>
    <w:p>
      <w:pPr>
        <w:sectPr>
          <w:pgSz w:w="11900" w:h="16838" w:orient="portrait"/>
          <w:cols w:equalWidth="0" w:num="1">
            <w:col w:w="10219"/>
          </w:cols>
          <w:pgMar w:left="240" w:top="1068" w:right="1440"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RELEASE</w:t>
      </w:r>
    </w:p>
    <w:p>
      <w:pPr>
        <w:spacing w:after="0" w:line="235"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This General Release of All Claims and Covenant Not to Sue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is entered into between Christopher Hall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Veracyte,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(collectively, “</w:t>
      </w:r>
      <w:r>
        <w:rPr>
          <w:rFonts w:ascii="Arial" w:cs="Arial" w:eastAsia="Arial" w:hAnsi="Arial"/>
          <w:sz w:val="20"/>
          <w:szCs w:val="20"/>
          <w:b w:val="1"/>
          <w:bCs w:val="1"/>
          <w:i w:val="1"/>
          <w:iCs w:val="1"/>
          <w:color w:val="auto"/>
        </w:rPr>
        <w:t>the parties</w:t>
      </w:r>
      <w:r>
        <w:rPr>
          <w:rFonts w:ascii="Arial" w:cs="Arial" w:eastAsia="Arial" w:hAnsi="Arial"/>
          <w:sz w:val="20"/>
          <w:szCs w:val="20"/>
          <w:color w:val="auto"/>
        </w:rPr>
        <w:t>”).</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[_______], Executive and the Company entered into an agreement regarding Executive’s continued services and</w:t>
      </w:r>
    </w:p>
    <w:p>
      <w:pPr>
        <w:spacing w:after="0" w:line="45" w:lineRule="exact"/>
        <w:rPr>
          <w:sz w:val="20"/>
          <w:szCs w:val="20"/>
          <w:color w:val="auto"/>
        </w:rPr>
      </w:pPr>
    </w:p>
    <w:p>
      <w:pPr>
        <w:ind w:left="660" w:right="440" w:hanging="647"/>
        <w:spacing w:after="0" w:line="358" w:lineRule="auto"/>
        <w:rPr>
          <w:sz w:val="20"/>
          <w:szCs w:val="20"/>
          <w:color w:val="auto"/>
        </w:rPr>
      </w:pPr>
      <w:r>
        <w:rPr>
          <w:rFonts w:ascii="Arial" w:cs="Arial" w:eastAsia="Arial" w:hAnsi="Arial"/>
          <w:sz w:val="19"/>
          <w:szCs w:val="19"/>
          <w:color w:val="auto"/>
        </w:rPr>
        <w:t>separation from employment with the Company (the “</w:t>
      </w:r>
      <w:r>
        <w:rPr>
          <w:rFonts w:ascii="Arial" w:cs="Arial" w:eastAsia="Arial" w:hAnsi="Arial"/>
          <w:sz w:val="19"/>
          <w:szCs w:val="19"/>
          <w:b w:val="1"/>
          <w:bCs w:val="1"/>
          <w:i w:val="1"/>
          <w:iCs w:val="1"/>
          <w:color w:val="auto"/>
        </w:rPr>
        <w:t>Services &amp; Separation Agreement</w:t>
      </w:r>
      <w:r>
        <w:rPr>
          <w:rFonts w:ascii="Arial" w:cs="Arial" w:eastAsia="Arial" w:hAnsi="Arial"/>
          <w:sz w:val="19"/>
          <w:szCs w:val="19"/>
          <w:color w:val="auto"/>
        </w:rPr>
        <w:t xml:space="preserve">”) to which this Release is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t>
      </w:r>
      <w:r>
        <w:rPr>
          <w:rFonts w:ascii="Arial" w:cs="Arial" w:eastAsia="Arial" w:hAnsi="Arial"/>
          <w:sz w:val="19"/>
          <w:szCs w:val="19"/>
          <w:b w:val="1"/>
          <w:bCs w:val="1"/>
          <w:color w:val="auto"/>
        </w:rPr>
        <w:t>WHEREAS</w:t>
      </w:r>
      <w:r>
        <w:rPr>
          <w:rFonts w:ascii="Arial" w:cs="Arial" w:eastAsia="Arial" w:hAnsi="Arial"/>
          <w:sz w:val="19"/>
          <w:szCs w:val="19"/>
          <w:color w:val="auto"/>
        </w:rPr>
        <w:t>, on [_______], Executive’s employment with the Company terminated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this agreement serves as the Release, pursuant to the Services &amp; Separation Agreement; and</w:t>
      </w:r>
    </w:p>
    <w:p>
      <w:pPr>
        <w:spacing w:after="0" w:line="108" w:lineRule="exact"/>
        <w:rPr>
          <w:sz w:val="20"/>
          <w:szCs w:val="20"/>
          <w:color w:val="auto"/>
        </w:rPr>
      </w:pPr>
    </w:p>
    <w:p>
      <w:pPr>
        <w:ind w:right="5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and the Company desire to mutually, amicably and finally resolve and compromise all issues and claims</w:t>
      </w:r>
      <w:r>
        <w:rPr>
          <w:rFonts w:ascii="Arial" w:cs="Arial" w:eastAsia="Arial" w:hAnsi="Arial"/>
          <w:sz w:val="20"/>
          <w:szCs w:val="20"/>
          <w:b w:val="1"/>
          <w:bCs w:val="1"/>
          <w:color w:val="auto"/>
        </w:rPr>
        <w:t xml:space="preserve"> </w:t>
      </w:r>
      <w:r>
        <w:rPr>
          <w:rFonts w:ascii="Arial" w:cs="Arial" w:eastAsia="Arial" w:hAnsi="Arial"/>
          <w:sz w:val="20"/>
          <w:szCs w:val="20"/>
          <w:color w:val="auto"/>
        </w:rPr>
        <w:t>surrounding Executive’s employment and separation from employemnt with the Company;</w:t>
      </w:r>
    </w:p>
    <w:p>
      <w:pPr>
        <w:spacing w:after="0" w:line="56" w:lineRule="exact"/>
        <w:rPr>
          <w:sz w:val="20"/>
          <w:szCs w:val="20"/>
          <w:color w:val="auto"/>
        </w:rPr>
      </w:pPr>
    </w:p>
    <w:p>
      <w:pPr>
        <w:ind w:right="18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for the mutual promises and undertakings of the parties as set forth below, Executive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enter into this Release.</w:t>
      </w:r>
    </w:p>
    <w:p>
      <w:pPr>
        <w:spacing w:after="0" w:line="75" w:lineRule="exact"/>
        <w:rPr>
          <w:sz w:val="20"/>
          <w:szCs w:val="20"/>
          <w:color w:val="auto"/>
        </w:rPr>
      </w:pPr>
    </w:p>
    <w:p>
      <w:pPr>
        <w:ind w:right="100" w:firstLine="656"/>
        <w:spacing w:after="0" w:line="314" w:lineRule="auto"/>
        <w:tabs>
          <w:tab w:leader="none" w:pos="144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Acknowledgment of Payment of Wages</w:t>
      </w:r>
      <w:r>
        <w:rPr>
          <w:rFonts w:ascii="Arial" w:cs="Arial" w:eastAsia="Arial" w:hAnsi="Arial"/>
          <w:sz w:val="18"/>
          <w:szCs w:val="18"/>
          <w:color w:val="auto"/>
        </w:rPr>
        <w:t>: By his signature below, Executive acknowledges that, on the Termination Date, the Company paid him for all wages, salary, accrued vacation, bonuses, commissions, reimbursable expenses, and any similar payments due him from the Company as of the Termination Date. By signing below, Executive acknowledges that the Company does not owe him any other amounts, except as may become payable under the Separation &amp; Services Agreement, the Consulting Agreement and this Release.</w:t>
      </w:r>
    </w:p>
    <w:p>
      <w:pPr>
        <w:spacing w:after="0" w:line="159" w:lineRule="exact"/>
        <w:rPr>
          <w:rFonts w:ascii="Arial" w:cs="Arial" w:eastAsia="Arial" w:hAnsi="Arial"/>
          <w:sz w:val="18"/>
          <w:szCs w:val="18"/>
          <w:color w:val="auto"/>
        </w:rPr>
      </w:pPr>
    </w:p>
    <w:p>
      <w:pPr>
        <w:ind w:firstLine="656"/>
        <w:spacing w:after="0" w:line="289" w:lineRule="auto"/>
        <w:tabs>
          <w:tab w:leader="none" w:pos="1445"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Return of Company Property</w:t>
      </w:r>
      <w:r>
        <w:rPr>
          <w:rFonts w:ascii="Arial" w:cs="Arial" w:eastAsia="Arial" w:hAnsi="Arial"/>
          <w:sz w:val="20"/>
          <w:szCs w:val="20"/>
          <w:color w:val="auto"/>
        </w:rPr>
        <w:t>: Executive hereby warrants to the Company that he has returned to the Company all property or data of the Company of any type whatsoever that has been in his possession, custody or control.</w:t>
      </w:r>
    </w:p>
    <w:p>
      <w:pPr>
        <w:spacing w:after="0" w:line="175" w:lineRule="exact"/>
        <w:rPr>
          <w:rFonts w:ascii="Arial" w:cs="Arial" w:eastAsia="Arial" w:hAnsi="Arial"/>
          <w:sz w:val="20"/>
          <w:szCs w:val="20"/>
          <w:color w:val="auto"/>
        </w:rPr>
      </w:pPr>
    </w:p>
    <w:p>
      <w:pPr>
        <w:ind w:right="140" w:firstLine="656"/>
        <w:spacing w:after="0" w:line="293" w:lineRule="auto"/>
        <w:tabs>
          <w:tab w:leader="none" w:pos="144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In exchange for Executive’s agreement to this Release and his other promises in the Services &amp; Separation Agreement and herein, the Company agrees to provide Executive with the consideration set forth in Sections 3 and 5 of the Services &amp; Separation Agreement. By signing below, Executive acknowledges that he is receiving the consideration in exchange for waiving his rights to claims referred to in this Release and he would not otherwise be entitled to the consideration.</w:t>
      </w:r>
    </w:p>
    <w:p>
      <w:pPr>
        <w:spacing w:after="0" w:line="175" w:lineRule="exact"/>
        <w:rPr>
          <w:rFonts w:ascii="Arial" w:cs="Arial" w:eastAsia="Arial" w:hAnsi="Arial"/>
          <w:sz w:val="19"/>
          <w:szCs w:val="19"/>
          <w:color w:val="auto"/>
        </w:rPr>
      </w:pPr>
    </w:p>
    <w:p>
      <w:pPr>
        <w:ind w:left="1460" w:hanging="804"/>
        <w:spacing w:after="0"/>
        <w:tabs>
          <w:tab w:leader="none" w:pos="146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General Release and Waiver of Claims</w:t>
      </w:r>
      <w:r>
        <w:rPr>
          <w:rFonts w:ascii="Arial" w:cs="Arial" w:eastAsia="Arial" w:hAnsi="Arial"/>
          <w:sz w:val="20"/>
          <w:szCs w:val="20"/>
          <w:color w:val="auto"/>
        </w:rPr>
        <w:t>:</w:t>
      </w:r>
    </w:p>
    <w:p>
      <w:pPr>
        <w:spacing w:after="0" w:line="238" w:lineRule="exact"/>
        <w:rPr>
          <w:rFonts w:ascii="Arial" w:cs="Arial" w:eastAsia="Arial" w:hAnsi="Arial"/>
          <w:sz w:val="20"/>
          <w:szCs w:val="20"/>
          <w:color w:val="auto"/>
        </w:rPr>
      </w:pPr>
    </w:p>
    <w:p>
      <w:pPr>
        <w:ind w:right="60" w:firstLine="1297"/>
        <w:spacing w:after="0" w:line="258" w:lineRule="exact"/>
        <w:rPr>
          <w:rFonts w:ascii="Arial" w:cs="Arial" w:eastAsia="Arial" w:hAnsi="Arial"/>
          <w:sz w:val="20"/>
          <w:szCs w:val="20"/>
          <w:color w:val="auto"/>
        </w:rPr>
      </w:pPr>
      <w:r>
        <w:rPr>
          <w:rFonts w:ascii="Arial" w:cs="Arial" w:eastAsia="Arial" w:hAnsi="Arial"/>
          <w:sz w:val="21"/>
          <w:szCs w:val="21"/>
          <w:color w:val="auto"/>
        </w:rPr>
        <w:t xml:space="preserve">a. </w:t>
      </w:r>
      <w:r>
        <w:rPr>
          <w:rFonts w:ascii="Arial" w:cs="Arial" w:eastAsia="Arial" w:hAnsi="Arial"/>
          <w:sz w:val="18"/>
          <w:szCs w:val="18"/>
          <w:color w:val="auto"/>
        </w:rPr>
        <w:t>The payments and promises set forth in this Release are in full satisfaction of all accrued salary, vacation pay, bonus and</w:t>
      </w:r>
      <w:r>
        <w:rPr>
          <w:rFonts w:ascii="Arial" w:cs="Arial" w:eastAsia="Arial" w:hAnsi="Arial"/>
          <w:sz w:val="21"/>
          <w:szCs w:val="21"/>
          <w:color w:val="auto"/>
        </w:rPr>
        <w:t xml:space="preserve"> </w:t>
      </w:r>
      <w:r>
        <w:rPr>
          <w:rFonts w:ascii="Arial" w:cs="Arial" w:eastAsia="Arial" w:hAnsi="Arial"/>
          <w:sz w:val="18"/>
          <w:szCs w:val="18"/>
          <w:color w:val="auto"/>
        </w:rPr>
        <w:t>commission pay, profit</w:t>
      </w:r>
      <w:r>
        <w:rPr>
          <w:rFonts w:ascii="MS PGothic" w:cs="MS PGothic" w:eastAsia="MS PGothic" w:hAnsi="MS PGothic"/>
          <w:sz w:val="18"/>
          <w:szCs w:val="18"/>
          <w:color w:val="auto"/>
        </w:rPr>
        <w:t>‑</w:t>
      </w:r>
      <w:r>
        <w:rPr>
          <w:rFonts w:ascii="Arial" w:cs="Arial" w:eastAsia="Arial" w:hAnsi="Arial"/>
          <w:sz w:val="18"/>
          <w:szCs w:val="18"/>
          <w:color w:val="auto"/>
        </w:rPr>
        <w:t>sharing, stock, stock options or other ownership interest in the Company, termination benefits or other compensation to which Executive may be entitled by virtue of his services with the Company or his separation from the Company, other than pursuant to the Services &amp; Separation Agreement. To the fullest extent permitted by law, Executive hereby releases and waives any other claims he may have against the Company and its owners, agents, officers, shareholders, employees, directors, attorneys, subscribers, subsidiaries, affiliates, successors and assigns (collectively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whether known or not known, including, without limitation, claims under any employment laws, including, but not limited to, claims of unlawful discharge, breach of</w:t>
      </w:r>
    </w:p>
    <w:p>
      <w:pPr>
        <w:sectPr>
          <w:pgSz w:w="11900" w:h="16838" w:orient="portrait"/>
          <w:cols w:equalWidth="0" w:num="1">
            <w:col w:w="11380"/>
          </w:cols>
          <w:pgMar w:left="240" w:top="576" w:right="279" w:bottom="1440" w:gutter="0" w:footer="0" w:header="0"/>
        </w:sectPr>
      </w:pPr>
    </w:p>
    <w:bookmarkStart w:id="65" w:name="page66"/>
    <w:bookmarkEnd w:id="65"/>
    <w:p>
      <w:pPr>
        <w:ind w:right="20"/>
        <w:spacing w:after="0" w:line="278" w:lineRule="auto"/>
        <w:rPr>
          <w:sz w:val="20"/>
          <w:szCs w:val="20"/>
          <w:color w:val="auto"/>
        </w:rPr>
      </w:pPr>
      <w:r>
        <w:rPr>
          <w:rFonts w:ascii="Arial" w:cs="Arial" w:eastAsia="Arial" w:hAnsi="Arial"/>
          <w:sz w:val="18"/>
          <w:szCs w:val="18"/>
          <w:color w:val="auto"/>
        </w:rPr>
        <w:t>contract, breach of the covenant of good faith and fair dealing, fraud, violation of public policy, defamation, physical injury, emotional distress, claims for additional compensation or benefits arising out of his/her employment or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spacing w:after="0" w:line="192" w:lineRule="exact"/>
        <w:rPr>
          <w:sz w:val="20"/>
          <w:szCs w:val="20"/>
          <w:color w:val="auto"/>
        </w:rPr>
      </w:pPr>
    </w:p>
    <w:p>
      <w:pPr>
        <w:ind w:right="300" w:firstLine="1305"/>
        <w:spacing w:after="0" w:line="265" w:lineRule="auto"/>
        <w:tabs>
          <w:tab w:leader="none" w:pos="1639" w:val="left"/>
        </w:tabs>
        <w:numPr>
          <w:ilvl w:val="0"/>
          <w:numId w:val="35"/>
        </w:numPr>
        <w:rPr>
          <w:rFonts w:ascii="Arial" w:cs="Arial" w:eastAsia="Arial" w:hAnsi="Arial"/>
          <w:sz w:val="22"/>
          <w:szCs w:val="22"/>
          <w:color w:val="auto"/>
        </w:rPr>
      </w:pPr>
      <w:r>
        <w:rPr>
          <w:rFonts w:ascii="Arial" w:cs="Arial" w:eastAsia="Arial" w:hAnsi="Arial"/>
          <w:sz w:val="20"/>
          <w:szCs w:val="20"/>
          <w:color w:val="auto"/>
        </w:rPr>
        <w:t>By signing below, Executive expressly waives any benefits of Section 1542 of the Civil Code of the State of California, which provides as follows:</w:t>
      </w:r>
    </w:p>
    <w:p>
      <w:pPr>
        <w:spacing w:after="0" w:line="183" w:lineRule="exact"/>
        <w:rPr>
          <w:sz w:val="20"/>
          <w:szCs w:val="20"/>
          <w:color w:val="auto"/>
        </w:rPr>
      </w:pPr>
    </w:p>
    <w:p>
      <w:pPr>
        <w:ind w:left="660" w:right="200" w:firstLine="1297"/>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RELEASING PARTY.”</w:t>
      </w:r>
    </w:p>
    <w:p>
      <w:pPr>
        <w:spacing w:after="0" w:line="219" w:lineRule="exact"/>
        <w:rPr>
          <w:sz w:val="20"/>
          <w:szCs w:val="20"/>
          <w:color w:val="auto"/>
        </w:rPr>
      </w:pPr>
    </w:p>
    <w:p>
      <w:pPr>
        <w:ind w:right="100" w:firstLine="1305"/>
        <w:spacing w:after="0" w:line="305" w:lineRule="auto"/>
        <w:tabs>
          <w:tab w:leader="none" w:pos="1626" w:val="left"/>
        </w:tabs>
        <w:numPr>
          <w:ilvl w:val="1"/>
          <w:numId w:val="36"/>
        </w:numPr>
        <w:rPr>
          <w:rFonts w:ascii="Arial" w:cs="Arial" w:eastAsia="Arial" w:hAnsi="Arial"/>
          <w:sz w:val="19"/>
          <w:szCs w:val="19"/>
          <w:color w:val="auto"/>
        </w:rPr>
      </w:pPr>
      <w:r>
        <w:rPr>
          <w:rFonts w:ascii="Arial" w:cs="Arial" w:eastAsia="Arial" w:hAnsi="Arial"/>
          <w:sz w:val="18"/>
          <w:szCs w:val="18"/>
          <w:color w:val="auto"/>
        </w:rPr>
        <w:t>Executive and the Company do not intend to release claims or rights that he may have as an equityholder of the Company, any rights to indemnification by the Company, rights arising under the Services &amp; Separation Agreement or any claims that he may not release as a matter of law, including but not limited to claims for indemnity under California Labor Code Section 2802, or any claims for enforcement of this Final Release. To the fullest extent permitted by law, any dispute regarding the scope of this general release shall be determined by an arbitrator under the procedures set forth in the arbitration clause set forth in the Services &amp; Separation Agreement.</w:t>
      </w:r>
    </w:p>
    <w:p>
      <w:pPr>
        <w:spacing w:after="0" w:line="169" w:lineRule="exact"/>
        <w:rPr>
          <w:rFonts w:ascii="Arial" w:cs="Arial" w:eastAsia="Arial" w:hAnsi="Arial"/>
          <w:sz w:val="19"/>
          <w:szCs w:val="19"/>
          <w:color w:val="auto"/>
        </w:rPr>
      </w:pPr>
    </w:p>
    <w:p>
      <w:pPr>
        <w:ind w:left="1460" w:hanging="804"/>
        <w:spacing w:after="0"/>
        <w:tabs>
          <w:tab w:leader="none" w:pos="1460"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firstLine="1305"/>
        <w:spacing w:after="0" w:line="331" w:lineRule="auto"/>
        <w:tabs>
          <w:tab w:leader="none" w:pos="1626" w:val="left"/>
        </w:tabs>
        <w:numPr>
          <w:ilvl w:val="1"/>
          <w:numId w:val="37"/>
        </w:numPr>
        <w:rPr>
          <w:rFonts w:ascii="Arial" w:cs="Arial" w:eastAsia="Arial" w:hAnsi="Arial"/>
          <w:sz w:val="18"/>
          <w:szCs w:val="18"/>
          <w:color w:val="auto"/>
        </w:rPr>
      </w:pPr>
      <w:r>
        <w:rPr>
          <w:rFonts w:ascii="Arial" w:cs="Arial" w:eastAsia="Arial" w:hAnsi="Arial"/>
          <w:sz w:val="17"/>
          <w:szCs w:val="17"/>
          <w:color w:val="auto"/>
        </w:rPr>
        <w:t>To the fullest extent permitted by law, at no time subsequent to the execution of this Release will Executive pursue, or cause or knowingly permit the prosecution, in any state, federal or foreign court, or before any local, state, federal or foreign administrative agency, or any other tribunal, of any charge, claim or action of any kind, nature and character whatsoever, known or unknown, which he may now have, have ever had, or may in the future have against Releasees, which is based in whole or in part on any matter released by this Release.</w:t>
      </w:r>
    </w:p>
    <w:p>
      <w:pPr>
        <w:spacing w:after="0" w:line="161" w:lineRule="exact"/>
        <w:rPr>
          <w:rFonts w:ascii="Arial" w:cs="Arial" w:eastAsia="Arial" w:hAnsi="Arial"/>
          <w:sz w:val="18"/>
          <w:szCs w:val="18"/>
          <w:color w:val="auto"/>
        </w:rPr>
      </w:pPr>
    </w:p>
    <w:p>
      <w:pPr>
        <w:ind w:right="80" w:firstLine="1305"/>
        <w:spacing w:after="0" w:line="291" w:lineRule="auto"/>
        <w:tabs>
          <w:tab w:leader="none" w:pos="1639" w:val="left"/>
        </w:tabs>
        <w:numPr>
          <w:ilvl w:val="1"/>
          <w:numId w:val="37"/>
        </w:numPr>
        <w:rPr>
          <w:rFonts w:ascii="Arial" w:cs="Arial" w:eastAsia="Arial" w:hAnsi="Arial"/>
          <w:sz w:val="21"/>
          <w:szCs w:val="21"/>
          <w:color w:val="auto"/>
        </w:rPr>
      </w:pPr>
      <w:r>
        <w:rPr>
          <w:rFonts w:ascii="Arial" w:cs="Arial" w:eastAsia="Arial" w:hAnsi="Arial"/>
          <w:sz w:val="19"/>
          <w:szCs w:val="19"/>
          <w:color w:val="auto"/>
        </w:rPr>
        <w:t>Nothing in this paragraph shall prohibit or impair Executive or the Company from complying with all applicable laws, nor shall this Release be construed to obligate either party to commit (or aid or abet in the commission of) any unlawful act.</w:t>
      </w:r>
    </w:p>
    <w:p>
      <w:pPr>
        <w:spacing w:after="0" w:line="171" w:lineRule="exact"/>
        <w:rPr>
          <w:rFonts w:ascii="Arial" w:cs="Arial" w:eastAsia="Arial" w:hAnsi="Arial"/>
          <w:sz w:val="21"/>
          <w:szCs w:val="21"/>
          <w:color w:val="auto"/>
        </w:rPr>
      </w:pPr>
    </w:p>
    <w:p>
      <w:pPr>
        <w:ind w:right="120" w:firstLine="656"/>
        <w:spacing w:after="0" w:line="305" w:lineRule="auto"/>
        <w:tabs>
          <w:tab w:leader="none" w:pos="144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Protected Rights</w:t>
      </w:r>
      <w:r>
        <w:rPr>
          <w:rFonts w:ascii="Arial" w:cs="Arial" w:eastAsia="Arial" w:hAnsi="Arial"/>
          <w:sz w:val="18"/>
          <w:szCs w:val="18"/>
          <w:color w:val="auto"/>
        </w:rPr>
        <w:t>: Executive understands that nothing in the General Release and Waiver of Claims and Covenant Not to Sue sections above, or otherwise in this Release, limits his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8"/>
          <w:szCs w:val="18"/>
          <w:b w:val="1"/>
          <w:bCs w:val="1"/>
          <w:i w:val="1"/>
          <w:iCs w:val="1"/>
          <w:color w:val="auto"/>
        </w:rPr>
        <w:t>Government Agencie</w:t>
      </w:r>
      <w:r>
        <w:rPr>
          <w:rFonts w:ascii="Arial" w:cs="Arial" w:eastAsia="Arial" w:hAnsi="Arial"/>
          <w:sz w:val="18"/>
          <w:szCs w:val="18"/>
          <w:color w:val="auto"/>
        </w:rPr>
        <w:t>s”). Executive further understands that this Release does not limit his ability to communicate with any Government Agencies or otherwise participate in any investigation or proceeding that may be conducted by any Government Agency, including providing documents or other information, without notice to the Company. This Release does not limit Executive’s right to receive an award for information provided to any Government Agencies.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66" w:name="page67"/>
    <w:bookmarkEnd w:id="66"/>
    <w:p>
      <w:pPr>
        <w:ind w:right="20" w:firstLine="656"/>
        <w:spacing w:after="0" w:line="314" w:lineRule="auto"/>
        <w:tabs>
          <w:tab w:leader="none" w:pos="144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Review of Release</w:t>
      </w:r>
      <w:r>
        <w:rPr>
          <w:rFonts w:ascii="Arial" w:cs="Arial" w:eastAsia="Arial" w:hAnsi="Arial"/>
          <w:sz w:val="18"/>
          <w:szCs w:val="18"/>
          <w:color w:val="auto"/>
        </w:rPr>
        <w:t>: Executive understands that he may take up to twenty-one (21) days to consider this Release and, by signing below, affirms that he was advised to consult with an attorney prior to signing this Release. Executive also understands that he may revoke this Release within seven (7) days of signing this document and that the consideration to be provided to him pursuant to the Services &amp; Separation Agreement that is contingent on this release will be provided only at the end of that seven (7) day revocation period.</w:t>
      </w:r>
    </w:p>
    <w:p>
      <w:pPr>
        <w:spacing w:after="0" w:line="159" w:lineRule="exact"/>
        <w:rPr>
          <w:rFonts w:ascii="Arial" w:cs="Arial" w:eastAsia="Arial" w:hAnsi="Arial"/>
          <w:sz w:val="18"/>
          <w:szCs w:val="18"/>
          <w:color w:val="auto"/>
        </w:rPr>
      </w:pPr>
    </w:p>
    <w:p>
      <w:pPr>
        <w:ind w:firstLine="656"/>
        <w:spacing w:after="0" w:line="289" w:lineRule="auto"/>
        <w:tabs>
          <w:tab w:leader="none" w:pos="1445"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Effective Date</w:t>
      </w:r>
      <w:r>
        <w:rPr>
          <w:rFonts w:ascii="Arial" w:cs="Arial" w:eastAsia="Arial" w:hAnsi="Arial"/>
          <w:sz w:val="20"/>
          <w:szCs w:val="20"/>
          <w:color w:val="auto"/>
        </w:rPr>
        <w:t>: This Final Release is effective on the eighth (8th) day after Executive signs it, provided he has not revoked it as of that time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right="280" w:firstLine="656"/>
        <w:spacing w:after="0" w:line="314" w:lineRule="auto"/>
        <w:tabs>
          <w:tab w:leader="none" w:pos="144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Other Terms of Services &amp; Separation Agreement and Consulting Agreement Incorporated Herein</w:t>
      </w:r>
      <w:r>
        <w:rPr>
          <w:rFonts w:ascii="Arial" w:cs="Arial" w:eastAsia="Arial" w:hAnsi="Arial"/>
          <w:sz w:val="18"/>
          <w:szCs w:val="18"/>
          <w:color w:val="auto"/>
        </w:rPr>
        <w:t>: All other terms of the Consulting Agreement and Services &amp; Separation Agreement to the extent not inconsistent with the terms of this Release are hereby incorporated in this Release as though fully stated herein and apply with equal force to this Release, including, without limitation, the provisions on Nondisparagement, Arbitration, Governing Law, and Attorneys’ Fees set forth in the Services &amp; Separation Agreement.</w:t>
      </w:r>
    </w:p>
    <w:p>
      <w:pPr>
        <w:sectPr>
          <w:pgSz w:w="11900" w:h="16838" w:orient="portrait"/>
          <w:cols w:equalWidth="0" w:num="1">
            <w:col w:w="11320"/>
          </w:cols>
          <w:pgMar w:left="240" w:top="595"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Dated:____________________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tabs>
          <w:tab w:leader="none" w:pos="16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color w:val="auto"/>
        </w:rPr>
        <w:t>For the Company</w:t>
      </w:r>
    </w:p>
    <w:p>
      <w:pPr>
        <w:spacing w:after="0" w:line="200" w:lineRule="exact"/>
        <w:rPr>
          <w:sz w:val="20"/>
          <w:szCs w:val="20"/>
          <w:color w:val="auto"/>
        </w:rPr>
      </w:pPr>
    </w:p>
    <w:p>
      <w:pPr>
        <w:sectPr>
          <w:pgSz w:w="11900" w:h="16838" w:orient="portrait"/>
          <w:cols w:equalWidth="0" w:num="2">
            <w:col w:w="3820" w:space="720"/>
            <w:col w:w="6780"/>
          </w:cols>
          <w:pgMar w:left="240" w:top="595"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spacing w:after="0"/>
        <w:tabs>
          <w:tab w:leader="none" w:pos="3880" w:val="left"/>
        </w:tabs>
        <w:rPr>
          <w:sz w:val="20"/>
          <w:szCs w:val="20"/>
          <w:color w:val="auto"/>
        </w:rPr>
      </w:pPr>
      <w:r>
        <w:rPr>
          <w:rFonts w:ascii="Arial" w:cs="Arial" w:eastAsia="Arial" w:hAnsi="Arial"/>
          <w:sz w:val="20"/>
          <w:szCs w:val="20"/>
          <w:color w:val="auto"/>
        </w:rPr>
        <w:t>Dated:____________________</w:t>
      </w:r>
      <w:r>
        <w:rPr>
          <w:sz w:val="20"/>
          <w:szCs w:val="20"/>
          <w:color w:val="auto"/>
        </w:rPr>
        <w:tab/>
      </w:r>
      <w:r>
        <w:rPr>
          <w:rFonts w:ascii="Arial" w:cs="Arial" w:eastAsia="Arial" w:hAnsi="Arial"/>
          <w:sz w:val="16"/>
          <w:szCs w:val="16"/>
          <w:color w:val="auto"/>
        </w:rPr>
        <w:t>________________________________</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Christopher Hall</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595" w:right="33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CONSULTING AGREEMENT</w:t>
      </w:r>
    </w:p>
    <w:p>
      <w:pPr>
        <w:spacing w:after="0" w:line="200" w:lineRule="exact"/>
        <w:rPr>
          <w:sz w:val="20"/>
          <w:szCs w:val="20"/>
          <w:color w:val="auto"/>
        </w:rPr>
      </w:pPr>
    </w:p>
    <w:p>
      <w:pPr>
        <w:spacing w:after="0" w:line="251" w:lineRule="exact"/>
        <w:rPr>
          <w:sz w:val="20"/>
          <w:szCs w:val="20"/>
          <w:color w:val="auto"/>
        </w:rPr>
      </w:pPr>
    </w:p>
    <w:p>
      <w:pPr>
        <w:ind w:right="880" w:firstLine="648"/>
        <w:spacing w:after="0" w:line="260" w:lineRule="auto"/>
        <w:rPr>
          <w:sz w:val="20"/>
          <w:szCs w:val="20"/>
          <w:color w:val="auto"/>
        </w:rPr>
      </w:pPr>
      <w:r>
        <w:rPr>
          <w:rFonts w:ascii="Arial" w:cs="Arial" w:eastAsia="Arial" w:hAnsi="Arial"/>
          <w:sz w:val="20"/>
          <w:szCs w:val="20"/>
          <w:color w:val="auto"/>
        </w:rPr>
        <w:t>This Consulting Agreement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effective as of July 2, 2019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by and between Veracyte, Inc.,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Christopher Hall, an individual (“</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Company desires to have Consultant perform consulting services for Company and Consultant desires to perform such services for Company, subject to and in accordance with the terms and conditions of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agree as follows:</w:t>
      </w:r>
    </w:p>
    <w:p>
      <w:pPr>
        <w:spacing w:after="0" w:line="216"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1.</w:t>
        <w:tab/>
        <w:t>SERVICES.</w:t>
      </w:r>
    </w:p>
    <w:p>
      <w:pPr>
        <w:spacing w:after="0" w:line="21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Performance of Services</w:t>
      </w:r>
      <w:r>
        <w:rPr>
          <w:rFonts w:ascii="Arial" w:cs="Arial" w:eastAsia="Arial" w:hAnsi="Arial"/>
          <w:sz w:val="20"/>
          <w:szCs w:val="20"/>
          <w:color w:val="auto"/>
        </w:rPr>
        <w:t>. Consultant will perform the consulting services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 as to be agreed upon between the Company and Consultant in accordance with the terms and conditions of this Agreement and any statement of work that may be attached to this Agreement (each, a “</w:t>
      </w:r>
      <w:r>
        <w:rPr>
          <w:rFonts w:ascii="Arial" w:cs="Arial" w:eastAsia="Arial" w:hAnsi="Arial"/>
          <w:sz w:val="20"/>
          <w:szCs w:val="20"/>
          <w:b w:val="1"/>
          <w:bCs w:val="1"/>
          <w:i w:val="1"/>
          <w:iCs w:val="1"/>
          <w:color w:val="auto"/>
        </w:rPr>
        <w:t>Statement of Work</w:t>
      </w:r>
      <w:r>
        <w:rPr>
          <w:rFonts w:ascii="Arial" w:cs="Arial" w:eastAsia="Arial" w:hAnsi="Arial"/>
          <w:sz w:val="20"/>
          <w:szCs w:val="20"/>
          <w:color w:val="auto"/>
        </w:rPr>
        <w:t>”).</w:t>
      </w:r>
    </w:p>
    <w:p>
      <w:pPr>
        <w:spacing w:after="0" w:line="186" w:lineRule="exact"/>
        <w:rPr>
          <w:sz w:val="20"/>
          <w:szCs w:val="20"/>
          <w:color w:val="auto"/>
        </w:rPr>
      </w:pPr>
    </w:p>
    <w:p>
      <w:pPr>
        <w:ind w:right="80" w:firstLine="1297"/>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Compensation</w:t>
      </w:r>
      <w:r>
        <w:rPr>
          <w:rFonts w:ascii="Arial" w:cs="Arial" w:eastAsia="Arial" w:hAnsi="Arial"/>
          <w:sz w:val="20"/>
          <w:szCs w:val="20"/>
          <w:color w:val="auto"/>
        </w:rPr>
        <w:t>. In exchange for the Services, (i) the Consultant will continue to vest in his outstanding Equity Awards subject to the terms of Section 1.3 below and (ii) the Company will pay Consultant such dollar amount for Services to be agreed upon between the Company and Consultant, if any (the “</w:t>
      </w:r>
      <w:r>
        <w:rPr>
          <w:rFonts w:ascii="Arial" w:cs="Arial" w:eastAsia="Arial" w:hAnsi="Arial"/>
          <w:sz w:val="20"/>
          <w:szCs w:val="20"/>
          <w:b w:val="1"/>
          <w:bCs w:val="1"/>
          <w:i w:val="1"/>
          <w:iCs w:val="1"/>
          <w:color w:val="auto"/>
        </w:rPr>
        <w:t>Fees</w:t>
      </w:r>
      <w:r>
        <w:rPr>
          <w:rFonts w:ascii="Arial" w:cs="Arial" w:eastAsia="Arial" w:hAnsi="Arial"/>
          <w:sz w:val="20"/>
          <w:szCs w:val="20"/>
          <w:color w:val="auto"/>
        </w:rPr>
        <w:t>”).</w:t>
      </w:r>
    </w:p>
    <w:p>
      <w:pPr>
        <w:spacing w:after="0" w:line="18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u w:val="single" w:color="auto"/>
          <w:color w:val="auto"/>
        </w:rPr>
        <w:t>Equity</w:t>
      </w:r>
      <w:r>
        <w:rPr>
          <w:rFonts w:ascii="Arial" w:cs="Arial" w:eastAsia="Arial" w:hAnsi="Arial"/>
          <w:sz w:val="18"/>
          <w:szCs w:val="18"/>
          <w:color w:val="auto"/>
        </w:rPr>
        <w:t>.</w:t>
      </w:r>
    </w:p>
    <w:p>
      <w:pPr>
        <w:spacing w:after="0" w:line="216" w:lineRule="exact"/>
        <w:rPr>
          <w:sz w:val="20"/>
          <w:szCs w:val="20"/>
          <w:color w:val="auto"/>
        </w:rPr>
      </w:pPr>
    </w:p>
    <w:p>
      <w:pPr>
        <w:ind w:left="1640" w:hanging="335"/>
        <w:spacing w:after="0"/>
        <w:tabs>
          <w:tab w:leader="none" w:pos="16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Consultant will continue to vest in Consultant’s outstanding (i) Company time-based restricted stock unit awards</w:t>
      </w:r>
    </w:p>
    <w:p>
      <w:pPr>
        <w:spacing w:after="0" w:line="2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RSUs</w:t>
      </w:r>
      <w:r>
        <w:rPr>
          <w:rFonts w:ascii="Arial" w:cs="Arial" w:eastAsia="Arial" w:hAnsi="Arial"/>
          <w:sz w:val="16"/>
          <w:szCs w:val="16"/>
          <w:color w:val="auto"/>
        </w:rPr>
        <w:t>”), (ii) Company time-based stock options (the “</w:t>
      </w:r>
      <w:r>
        <w:rPr>
          <w:rFonts w:ascii="Arial" w:cs="Arial" w:eastAsia="Arial" w:hAnsi="Arial"/>
          <w:sz w:val="16"/>
          <w:szCs w:val="16"/>
          <w:b w:val="1"/>
          <w:bCs w:val="1"/>
          <w:i w:val="1"/>
          <w:iCs w:val="1"/>
          <w:color w:val="auto"/>
        </w:rPr>
        <w:t>Options</w:t>
      </w:r>
      <w:r>
        <w:rPr>
          <w:rFonts w:ascii="Arial" w:cs="Arial" w:eastAsia="Arial" w:hAnsi="Arial"/>
          <w:sz w:val="16"/>
          <w:szCs w:val="16"/>
          <w:color w:val="auto"/>
        </w:rPr>
        <w:t>”) and (iii) Company performance-based RSUs, granted March 2, 2018 (the “</w:t>
      </w:r>
      <w:r>
        <w:rPr>
          <w:rFonts w:ascii="Arial" w:cs="Arial" w:eastAsia="Arial" w:hAnsi="Arial"/>
          <w:sz w:val="16"/>
          <w:szCs w:val="16"/>
          <w:b w:val="1"/>
          <w:bCs w:val="1"/>
          <w:i w:val="1"/>
          <w:iCs w:val="1"/>
          <w:color w:val="auto"/>
        </w:rPr>
        <w:t>PSUs</w:t>
      </w:r>
      <w:r>
        <w:rPr>
          <w:rFonts w:ascii="Arial" w:cs="Arial" w:eastAsia="Arial" w:hAnsi="Arial"/>
          <w:sz w:val="16"/>
          <w:szCs w:val="16"/>
          <w:color w:val="auto"/>
        </w:rPr>
        <w:t>,” and the RSUs, Options and PSUs together, the “</w:t>
      </w:r>
      <w:r>
        <w:rPr>
          <w:rFonts w:ascii="Arial" w:cs="Arial" w:eastAsia="Arial" w:hAnsi="Arial"/>
          <w:sz w:val="16"/>
          <w:szCs w:val="16"/>
          <w:b w:val="1"/>
          <w:bCs w:val="1"/>
          <w:i w:val="1"/>
          <w:iCs w:val="1"/>
          <w:color w:val="auto"/>
        </w:rPr>
        <w:t>Equity Awards</w:t>
      </w:r>
      <w:r>
        <w:rPr>
          <w:rFonts w:ascii="Arial" w:cs="Arial" w:eastAsia="Arial" w:hAnsi="Arial"/>
          <w:sz w:val="16"/>
          <w:szCs w:val="16"/>
          <w:color w:val="auto"/>
        </w:rPr>
        <w:t>”) in accordance with the terms of such Equity Awards for so long as Consultant continues to provide the Services as of the applicable vesting dates set forth in such Equity Awards in accordance with the terms of such Equity Awards, but in no event after the Equity Award Termination Date set forth below. Notwithstanding the foregoing, if Consultant’s Services are terminated by the Company other than for Cause (as defined in the Services &amp; Separation Agreement between the Company and Consultant, dated on or about ____, 2019 (the “</w:t>
      </w:r>
      <w:r>
        <w:rPr>
          <w:rFonts w:ascii="Arial" w:cs="Arial" w:eastAsia="Arial" w:hAnsi="Arial"/>
          <w:sz w:val="16"/>
          <w:szCs w:val="16"/>
          <w:b w:val="1"/>
          <w:bCs w:val="1"/>
          <w:i w:val="1"/>
          <w:iCs w:val="1"/>
          <w:color w:val="auto"/>
        </w:rPr>
        <w:t>Services &amp; Separation Agreement</w:t>
      </w:r>
      <w:r>
        <w:rPr>
          <w:rFonts w:ascii="Arial" w:cs="Arial" w:eastAsia="Arial" w:hAnsi="Arial"/>
          <w:sz w:val="16"/>
          <w:szCs w:val="16"/>
          <w:color w:val="auto"/>
        </w:rPr>
        <w:t>”)) on or prior to January 1, 2020, the vesting of Consultant’s</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then-outstanding Equity Awards (excluding the PSUs, which are subject to the terms of Section 1.3(b) below) will accelerate such that Consultant will vest in the number of shares of Company common stock subject to each such Equity Award that would have vested had Consultant continued to provide Services through January 1, 2020, , provided Consultant has executed and not revoked a release of claims substantially in the form attached to the Services &amp; Separation Agreement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and satisfied all conditions to make the Release effective by no later than thirty (30) days after such termination of Services. Any vested Equity Awards held by Consultant shall continue to be governed by the terms and conditions of the applicable Equity Award agreement and the Company’s equity plans under which the Equity Awards were granted except as explicitly set forth herein or in the Services &amp; Separation Agreement.</w:t>
      </w:r>
    </w:p>
    <w:p>
      <w:pPr>
        <w:spacing w:after="0" w:line="171" w:lineRule="exact"/>
        <w:rPr>
          <w:sz w:val="20"/>
          <w:szCs w:val="20"/>
          <w:color w:val="auto"/>
        </w:rPr>
      </w:pPr>
    </w:p>
    <w:p>
      <w:pPr>
        <w:ind w:right="780" w:firstLine="1305"/>
        <w:spacing w:after="0" w:line="260" w:lineRule="auto"/>
        <w:tabs>
          <w:tab w:leader="none" w:pos="1643"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PSUs</w:t>
      </w:r>
      <w:r>
        <w:rPr>
          <w:rFonts w:ascii="Arial" w:cs="Arial" w:eastAsia="Arial" w:hAnsi="Arial"/>
          <w:sz w:val="20"/>
          <w:szCs w:val="20"/>
          <w:color w:val="auto"/>
        </w:rPr>
        <w:t>. Consultant will remain eligible to vest in the PSUs if Consultant continues to provide the Services through December 31, 2019, which is the final day of the Performance</w:t>
      </w:r>
    </w:p>
    <w:p>
      <w:pPr>
        <w:sectPr>
          <w:pgSz w:w="11900" w:h="16838" w:orient="portrait"/>
          <w:cols w:equalWidth="0" w:num="1">
            <w:col w:w="11400"/>
          </w:cols>
          <w:pgMar w:left="240" w:top="576" w:right="259" w:bottom="1440" w:gutter="0" w:footer="0" w:header="0"/>
        </w:sectPr>
      </w:pPr>
    </w:p>
    <w:bookmarkStart w:id="68" w:name="page69"/>
    <w:bookmarkEnd w:id="68"/>
    <w:p>
      <w:pPr>
        <w:ind w:right="80"/>
        <w:spacing w:after="0" w:line="255" w:lineRule="auto"/>
        <w:rPr>
          <w:sz w:val="20"/>
          <w:szCs w:val="20"/>
          <w:color w:val="auto"/>
        </w:rPr>
      </w:pPr>
      <w:r>
        <w:rPr>
          <w:rFonts w:ascii="Arial" w:cs="Arial" w:eastAsia="Arial" w:hAnsi="Arial"/>
          <w:sz w:val="19"/>
          <w:szCs w:val="19"/>
          <w:color w:val="auto"/>
        </w:rPr>
        <w:t>Period (as defined in performance-based restricted stock unit agreement, dated March 2, 2018 (the “</w:t>
      </w:r>
      <w:r>
        <w:rPr>
          <w:rFonts w:ascii="Arial" w:cs="Arial" w:eastAsia="Arial" w:hAnsi="Arial"/>
          <w:sz w:val="19"/>
          <w:szCs w:val="19"/>
          <w:b w:val="1"/>
          <w:bCs w:val="1"/>
          <w:i w:val="1"/>
          <w:iCs w:val="1"/>
          <w:color w:val="auto"/>
        </w:rPr>
        <w:t>PSU Agreement</w:t>
      </w:r>
      <w:r>
        <w:rPr>
          <w:rFonts w:ascii="Arial" w:cs="Arial" w:eastAsia="Arial" w:hAnsi="Arial"/>
          <w:sz w:val="19"/>
          <w:szCs w:val="19"/>
          <w:color w:val="auto"/>
        </w:rPr>
        <w:t>”)). Provided Consultant continue to provide the Services on December 31, 2019, and to the extent that the Company has satisfied the performance metrics set forth in the PSU Agreement, Consultant will be eligible to vest in 50% of the resulting Eligible PSUs (as defined in the PSU Agreement) subject to the terms in the PSU Agreement. For the avoidance of doubt, provided Consultant continue to provide the Services on December 31, 2019 (or is earlier terminated without Cause as set forth below), the PSUs shall remain outstanding to allow for the measurement of the performance metrics on the Achievement Date (as defined in the PSU Agreement) and the vesting and settlement of the resulting Eligible PSUs. Notwithstanding the foregoing, in the event that the Company terminates without Cause Consultant’s Services on or prior to January 1, 2020, and to the extent that the Company has satisfied the performance metrics set forth in the PSU Agreement (as measured on the Achievement Date), Consultant will vest in 50% of the resulting Eligible PSUs as if Consultant had continued to provide the Services through January 1, 2020 (and through the Achievement Date), provided Consultant has executed and not revoked the Release prior to the Release Deadline. Notwithstanding anything to the contrary herein or in any other agreement, 50% of the PSUs will automatically terminate and forfeit to the Company on the Equity Award Termination Date even if Consultant continue to provide additional Services to the Company on and after such date.</w:t>
      </w:r>
    </w:p>
    <w:p>
      <w:pPr>
        <w:spacing w:after="0" w:line="183" w:lineRule="exact"/>
        <w:rPr>
          <w:sz w:val="20"/>
          <w:szCs w:val="20"/>
          <w:color w:val="auto"/>
        </w:rPr>
      </w:pPr>
    </w:p>
    <w:p>
      <w:pPr>
        <w:ind w:firstLine="1305"/>
        <w:spacing w:after="0" w:line="291" w:lineRule="auto"/>
        <w:tabs>
          <w:tab w:leader="none" w:pos="1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agreement, all then-unvested Equity Awards (excluding the PSUs, which are subject to the terms of Section 1.3(b) above) will automatically terminate and forfeit to the Company on January 2, 2020 (the “</w:t>
      </w:r>
      <w:r>
        <w:rPr>
          <w:rFonts w:ascii="Arial" w:cs="Arial" w:eastAsia="Arial" w:hAnsi="Arial"/>
          <w:sz w:val="18"/>
          <w:szCs w:val="18"/>
          <w:b w:val="1"/>
          <w:bCs w:val="1"/>
          <w:i w:val="1"/>
          <w:iCs w:val="1"/>
          <w:color w:val="auto"/>
        </w:rPr>
        <w:t>Equity Award Termination Date</w:t>
      </w:r>
      <w:r>
        <w:rPr>
          <w:rFonts w:ascii="Arial" w:cs="Arial" w:eastAsia="Arial" w:hAnsi="Arial"/>
          <w:sz w:val="18"/>
          <w:szCs w:val="18"/>
          <w:color w:val="auto"/>
        </w:rPr>
        <w:t>”) even if Consultant continues to provide additional Services to the Company on and after such date.</w:t>
      </w:r>
    </w:p>
    <w:p>
      <w:pPr>
        <w:spacing w:after="0" w:line="152" w:lineRule="exact"/>
        <w:rPr>
          <w:sz w:val="20"/>
          <w:szCs w:val="20"/>
          <w:color w:val="auto"/>
        </w:rPr>
      </w:pPr>
    </w:p>
    <w:p>
      <w:pPr>
        <w:ind w:right="40" w:firstLine="1297"/>
        <w:spacing w:after="0" w:line="29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Expenses</w:t>
      </w:r>
      <w:r>
        <w:rPr>
          <w:rFonts w:ascii="Arial" w:cs="Arial" w:eastAsia="Arial" w:hAnsi="Arial"/>
          <w:sz w:val="18"/>
          <w:szCs w:val="18"/>
          <w:color w:val="auto"/>
        </w:rPr>
        <w:t>. Company will reimburse Consultant for reasonable and necessary expenses incurred by Consultant directly in connection with the performance of the services set forth in Section 1 above, to be incurred with the Company´s prior approval. In addition, the Company specifically agrees to bear the costs of reasonable travel expenses incurred by Consultant pursuant to this Agreement.</w:t>
      </w:r>
    </w:p>
    <w:p>
      <w:pPr>
        <w:spacing w:after="0" w:line="152"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2.</w:t>
        <w:tab/>
        <w:t>RELATIONSHIP OF PARTIES.</w:t>
      </w:r>
    </w:p>
    <w:p>
      <w:pPr>
        <w:spacing w:after="0" w:line="216" w:lineRule="exact"/>
        <w:rPr>
          <w:sz w:val="20"/>
          <w:szCs w:val="20"/>
          <w:color w:val="auto"/>
        </w:rPr>
      </w:pPr>
    </w:p>
    <w:p>
      <w:pPr>
        <w:ind w:right="40" w:firstLine="1297"/>
        <w:spacing w:after="0" w:line="244"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Independent Contractor</w:t>
      </w:r>
      <w:r>
        <w:rPr>
          <w:rFonts w:ascii="Arial" w:cs="Arial" w:eastAsia="Arial" w:hAnsi="Arial"/>
          <w:sz w:val="20"/>
          <w:szCs w:val="20"/>
          <w:color w:val="auto"/>
        </w:rPr>
        <w:t>. Consultant is an independent contractor and is not an agent or employee of, and has no authority to bind, Company by contract or otherwise. Consultant will perform the Services under the general direction of Company, but Consultant will determine, in Consultant’s sole discretion, the manner and means by which the Services are accomplished, subject to the requirement that Consultant will at all times comply with applicable law. Company has no right or authority to control the manner or means by which the Services are accomplished.</w:t>
      </w:r>
    </w:p>
    <w:p>
      <w:pPr>
        <w:spacing w:after="0" w:line="195" w:lineRule="exact"/>
        <w:rPr>
          <w:sz w:val="20"/>
          <w:szCs w:val="20"/>
          <w:color w:val="auto"/>
        </w:rPr>
      </w:pPr>
    </w:p>
    <w:p>
      <w:pPr>
        <w:ind w:right="20" w:firstLine="1297"/>
        <w:spacing w:after="0" w:line="243"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Employment Taxes and Benefits</w:t>
      </w:r>
      <w:r>
        <w:rPr>
          <w:rFonts w:ascii="Arial" w:cs="Arial" w:eastAsia="Arial" w:hAnsi="Arial"/>
          <w:sz w:val="20"/>
          <w:szCs w:val="20"/>
          <w:color w:val="auto"/>
        </w:rPr>
        <w:t>. Consultant will report as income all compensation received by Consultant pursuant to this Agreement. Consultant will indemnify Company and hold it harmless from and against all claims, damages, losses, costs and expenses, including reasonable fees and expenses of attorneys and other professionals, relating to any obligation imposed by law on Company to pay any withholding taxes, social security, unemployment or disability insurance, or similar items in connection with compensation received by Consultant pursuant to this Agreement. Consultant will not be entitled to receive any vacation or illness payments or to participate in any plans, arrangements, or distributions by Company pertaining to any bonus, stock option, profit sharing, insurance or similar benefits for Company’s employees.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095" w:right="259" w:bottom="1440" w:gutter="0" w:footer="0" w:header="0"/>
        </w:sectPr>
      </w:pPr>
    </w:p>
    <w:bookmarkStart w:id="69" w:name="page70"/>
    <w:bookmarkEnd w:id="69"/>
    <w:p>
      <w:pPr>
        <w:ind w:left="660"/>
        <w:spacing w:after="0"/>
        <w:tabs>
          <w:tab w:leader="none" w:pos="980" w:val="left"/>
        </w:tabs>
        <w:rPr>
          <w:sz w:val="20"/>
          <w:szCs w:val="20"/>
          <w:color w:val="auto"/>
        </w:rPr>
      </w:pPr>
      <w:r>
        <w:rPr>
          <w:rFonts w:ascii="Arial" w:cs="Arial" w:eastAsia="Arial" w:hAnsi="Arial"/>
          <w:sz w:val="20"/>
          <w:szCs w:val="20"/>
          <w:color w:val="auto"/>
        </w:rPr>
        <w:t>3.</w:t>
        <w:tab/>
        <w:t>OWNERSHIP AND INTELLECTUAL PROPERTY RIGHTS.</w:t>
      </w:r>
    </w:p>
    <w:p>
      <w:pPr>
        <w:spacing w:after="0" w:line="216"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 of Innovations</w:t>
      </w:r>
      <w:r>
        <w:rPr>
          <w:rFonts w:ascii="Arial" w:cs="Arial" w:eastAsia="Arial" w:hAnsi="Arial"/>
          <w:sz w:val="18"/>
          <w:szCs w:val="18"/>
          <w:color w:val="auto"/>
        </w:rPr>
        <w:t>. Consultant agrees to disclose in writing to Company all inventions, products, designs, drawings, notes, documents, information, documentation, improvements, works of authorship, processes, techniques, know-how, algorithms, technical and business plans, specifications, hardware, circuits, computer languages, computer programs, databases, user interfaces, encoding techniques, and other materials or innovations of any kind that Consultant may make, conceive, develop or reduce to practice, alone or jointly with others, in connection with performing Services or that result from or that are related to such Services, whether or not they are eligible for patent, copyright, mask work, trade secret, trademark or other legal protection (collectively, “</w:t>
      </w:r>
      <w:r>
        <w:rPr>
          <w:rFonts w:ascii="Arial" w:cs="Arial" w:eastAsia="Arial" w:hAnsi="Arial"/>
          <w:sz w:val="18"/>
          <w:szCs w:val="18"/>
          <w:b w:val="1"/>
          <w:bCs w:val="1"/>
          <w:i w:val="1"/>
          <w:iCs w:val="1"/>
          <w:color w:val="auto"/>
        </w:rPr>
        <w:t>Innovations</w:t>
      </w:r>
      <w:r>
        <w:rPr>
          <w:rFonts w:ascii="Arial" w:cs="Arial" w:eastAsia="Arial" w:hAnsi="Arial"/>
          <w:sz w:val="18"/>
          <w:szCs w:val="18"/>
          <w:color w:val="auto"/>
        </w:rPr>
        <w:t>”).</w:t>
      </w:r>
    </w:p>
    <w:p>
      <w:pPr>
        <w:spacing w:after="0" w:line="16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Ownership of Innovations</w:t>
      </w:r>
      <w:r>
        <w:rPr>
          <w:rFonts w:ascii="Arial" w:cs="Arial" w:eastAsia="Arial" w:hAnsi="Arial"/>
          <w:sz w:val="18"/>
          <w:szCs w:val="18"/>
          <w:color w:val="auto"/>
        </w:rPr>
        <w:t>. Consultant and Company agree that, to the fullest extent legally possible, all Innovations will be works made for hire owned exclusively by Company. Consultant agrees that, regardless of whether the Innovations are legally works made for hire, all Innovations will be the sole and exclusive property of Company. Consultant hereby irrevocably transfers and assigns to Company, and agrees to irrevocably transfer and assign to Company, all right, title and interest in and to the Innovations, including all worldwide patent rights (including patent applications and disclosures), copyright rights, mask work rights, trade secret rights, know-how, and any and all other intellectual property or proprietary rights (collectively, “</w:t>
      </w:r>
      <w:r>
        <w:rPr>
          <w:rFonts w:ascii="Arial" w:cs="Arial" w:eastAsia="Arial" w:hAnsi="Arial"/>
          <w:sz w:val="18"/>
          <w:szCs w:val="18"/>
          <w:b w:val="1"/>
          <w:bCs w:val="1"/>
          <w:i w:val="1"/>
          <w:iCs w:val="1"/>
          <w:color w:val="auto"/>
        </w:rPr>
        <w:t>Intellectual Property Rights</w:t>
      </w:r>
      <w:r>
        <w:rPr>
          <w:rFonts w:ascii="Arial" w:cs="Arial" w:eastAsia="Arial" w:hAnsi="Arial"/>
          <w:sz w:val="18"/>
          <w:szCs w:val="18"/>
          <w:color w:val="auto"/>
        </w:rPr>
        <w:t>”) therein. At Company’s request and expense, during and after the term of this Agreement, Consultant will assist and cooperate with Company in all respects and will execute documents, and, subject to the reasonable availability of Consultant, give testimony and take such further acts reasonably requested by Company to enable Company to acquire, transfer, maintain, perfect and enforce its Intellectual Property Rights and other legal protections for the Innovations. Consultant hereby appoints the officers of Company as Consultant’s attorney-in-fact to execute documents on behalf of Consultant for this limited purpose.</w:t>
      </w:r>
    </w:p>
    <w:p>
      <w:pPr>
        <w:spacing w:after="0" w:line="17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Moral Rights</w:t>
      </w:r>
      <w:r>
        <w:rPr>
          <w:rFonts w:ascii="Arial" w:cs="Arial" w:eastAsia="Arial" w:hAnsi="Arial"/>
          <w:sz w:val="19"/>
          <w:szCs w:val="19"/>
          <w:color w:val="auto"/>
        </w:rPr>
        <w:t>. Consultant also hereby irrevocably transfers and assigns to Company, and agrees to irrevocably transfer and assign to Company, and waives and agrees never to assert, any and all Moral Rights (as defined below) that Consultant or its agents may have in or with respect to any Innovation, during and after the term of this Agreement. “</w:t>
      </w:r>
      <w:r>
        <w:rPr>
          <w:rFonts w:ascii="Arial" w:cs="Arial" w:eastAsia="Arial" w:hAnsi="Arial"/>
          <w:sz w:val="19"/>
          <w:szCs w:val="19"/>
          <w:b w:val="1"/>
          <w:bCs w:val="1"/>
          <w:i w:val="1"/>
          <w:iCs w:val="1"/>
          <w:color w:val="auto"/>
        </w:rPr>
        <w:t>Moral Rights</w:t>
      </w:r>
      <w:r>
        <w:rPr>
          <w:rFonts w:ascii="Arial" w:cs="Arial" w:eastAsia="Arial" w:hAnsi="Arial"/>
          <w:sz w:val="19"/>
          <w:szCs w:val="19"/>
          <w:color w:val="auto"/>
        </w:rPr>
        <w:t>” mean any rights to claim authorship of any Innovation, to object to or prevent the modification or destruction of any Innovation, to withdraw from circulation or control the publication or distribution of any Innovation, and any similar right, existing under judicial or statutory law of any country in the world, or under any treaty, regardless of whether or not such right is called or generally referred to as a “moral right.”</w:t>
      </w:r>
    </w:p>
    <w:p>
      <w:pPr>
        <w:spacing w:after="0" w:line="179" w:lineRule="exact"/>
        <w:rPr>
          <w:sz w:val="20"/>
          <w:szCs w:val="20"/>
          <w:color w:val="auto"/>
        </w:rPr>
      </w:pPr>
    </w:p>
    <w:p>
      <w:pPr>
        <w:ind w:firstLine="1297"/>
        <w:spacing w:after="0" w:line="258"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Related Rights</w:t>
      </w:r>
      <w:r>
        <w:rPr>
          <w:rFonts w:ascii="Arial" w:cs="Arial" w:eastAsia="Arial" w:hAnsi="Arial"/>
          <w:sz w:val="19"/>
          <w:szCs w:val="19"/>
          <w:color w:val="auto"/>
        </w:rPr>
        <w:t>. To the extent that Consultant owns or controls (presently or in the future) any patent rights, copyright rights, mask work rights, trade secret rights, or any other intellectual property or proprietary rights that block or interfere with the rights assigned to Company under this Agreement (collectively, “</w:t>
      </w:r>
      <w:r>
        <w:rPr>
          <w:rFonts w:ascii="Arial" w:cs="Arial" w:eastAsia="Arial" w:hAnsi="Arial"/>
          <w:sz w:val="19"/>
          <w:szCs w:val="19"/>
          <w:b w:val="1"/>
          <w:bCs w:val="1"/>
          <w:i w:val="1"/>
          <w:iCs w:val="1"/>
          <w:color w:val="auto"/>
        </w:rPr>
        <w:t>Related Rights</w:t>
      </w:r>
      <w:r>
        <w:rPr>
          <w:rFonts w:ascii="Arial" w:cs="Arial" w:eastAsia="Arial" w:hAnsi="Arial"/>
          <w:sz w:val="19"/>
          <w:szCs w:val="19"/>
          <w:color w:val="auto"/>
        </w:rPr>
        <w:t>”), Consultant hereby grants or will cause to be granted to Company a non-exclusive, royalty-free, irrevocable, perpetual, transferable, worldwide license (with the right to sublicense) to make, have made, use, offer to sell, sell, import, copy, modify, create derivative works based upon, distribute, sublicense, display, perform and transmit any products, software, hardware, methods or materials of any kind that are covered by such Related Rights, to the extent necessary to enable Company to exercise all of the rights assigned to Company under this Agreement.</w:t>
      </w:r>
    </w:p>
    <w:p>
      <w:pPr>
        <w:spacing w:after="0" w:line="179" w:lineRule="exact"/>
        <w:rPr>
          <w:sz w:val="20"/>
          <w:szCs w:val="20"/>
          <w:color w:val="auto"/>
        </w:rPr>
      </w:pPr>
    </w:p>
    <w:p>
      <w:pPr>
        <w:ind w:right="100" w:firstLine="656"/>
        <w:spacing w:after="0" w:line="269" w:lineRule="auto"/>
        <w:tabs>
          <w:tab w:leader="none" w:pos="995" w:val="left"/>
        </w:tabs>
        <w:numPr>
          <w:ilvl w:val="0"/>
          <w:numId w:val="42"/>
        </w:numPr>
        <w:rPr>
          <w:rFonts w:ascii="Arial" w:cs="Arial" w:eastAsia="Arial" w:hAnsi="Arial"/>
          <w:sz w:val="19"/>
          <w:szCs w:val="19"/>
          <w:color w:val="auto"/>
        </w:rPr>
      </w:pPr>
      <w:r>
        <w:rPr>
          <w:rFonts w:ascii="Arial" w:cs="Arial" w:eastAsia="Arial" w:hAnsi="Arial"/>
          <w:sz w:val="19"/>
          <w:szCs w:val="19"/>
          <w:color w:val="auto"/>
        </w:rPr>
        <w:t>CONFIDENTIAL INFORMATION. For purposes of this Agreement,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means and will include: (i) any information, materials or knowledge regarding Company and its business, financial condition, products, programming techniques, customers, suppliers, technology or research and development that is disclosed to Consultant or to which Consultant has access 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95" w:right="239" w:bottom="1440" w:gutter="0" w:footer="0" w:header="0"/>
        </w:sectPr>
      </w:pPr>
    </w:p>
    <w:bookmarkStart w:id="70" w:name="page71"/>
    <w:bookmarkEnd w:id="70"/>
    <w:p>
      <w:pPr>
        <w:ind w:right="20"/>
        <w:spacing w:after="0" w:line="256" w:lineRule="auto"/>
        <w:rPr>
          <w:sz w:val="20"/>
          <w:szCs w:val="20"/>
          <w:color w:val="auto"/>
        </w:rPr>
      </w:pPr>
      <w:r>
        <w:rPr>
          <w:rFonts w:ascii="Arial" w:cs="Arial" w:eastAsia="Arial" w:hAnsi="Arial"/>
          <w:sz w:val="19"/>
          <w:szCs w:val="19"/>
          <w:color w:val="auto"/>
        </w:rPr>
        <w:t>connection with performing Services; (ii) the Innovations; and (iii) the existence and terms and conditions of this Agreement. Confidential Information will not include, however, any information that is or becomes part of the public domain through no fault of Consultant or that Company regularly gives to third parties without restrictions on use or disclosure. Consultant agrees to hold all Confidential Information in strict confidence, not to use it in any way, commercially or otherwise, except in performing the Services, and not to disclose it to others, except disclosure may be made to Consultant’s agents who have a bona fide need to know and who have executed a written agreement that includes use and nondisclosure restrictions at least as protective of the Confidential Information as those set forth herein. Consultant further agrees to take all action reasonably necessary to protect the confidentiality of all Confidential Information including, without limitation, implementing and enforcing procedures to minimize the possibility of unauthorized use or disclosure of Confidential Information. Both parties agree and acknowledge that Consultant’s production of Confidential Information pursuant to an order from a court or agency of competent jurisdiction shall not be a breach of this Agreement.</w:t>
      </w:r>
    </w:p>
    <w:p>
      <w:pPr>
        <w:spacing w:after="0" w:line="181"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0"/>
          <w:szCs w:val="20"/>
          <w:color w:val="auto"/>
        </w:rPr>
        <w:t>5.</w:t>
        <w:tab/>
        <w:t>WARRANTIES.</w:t>
      </w:r>
    </w:p>
    <w:p>
      <w:pPr>
        <w:spacing w:after="0" w:line="216" w:lineRule="exact"/>
        <w:rPr>
          <w:sz w:val="20"/>
          <w:szCs w:val="20"/>
          <w:color w:val="auto"/>
        </w:rPr>
      </w:pPr>
    </w:p>
    <w:p>
      <w:pPr>
        <w:ind w:firstLine="1297"/>
        <w:spacing w:after="0" w:line="250"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Competitive Activities</w:t>
      </w:r>
      <w:r>
        <w:rPr>
          <w:rFonts w:ascii="Arial" w:cs="Arial" w:eastAsia="Arial" w:hAnsi="Arial"/>
          <w:sz w:val="20"/>
          <w:szCs w:val="20"/>
          <w:color w:val="auto"/>
        </w:rPr>
        <w:t>. During the term of this Agreement, Consultant will not, directly or indirectly, in any individual or representative capacity, engage or participate in or provide services to any business that is directly competitive with the types and kinds of business being conducted by Company.</w:t>
      </w:r>
    </w:p>
    <w:p>
      <w:pPr>
        <w:spacing w:after="0" w:line="186" w:lineRule="exact"/>
        <w:rPr>
          <w:sz w:val="20"/>
          <w:szCs w:val="20"/>
          <w:color w:val="auto"/>
        </w:rPr>
      </w:pPr>
    </w:p>
    <w:p>
      <w:pPr>
        <w:ind w:right="180" w:firstLine="1297"/>
        <w:spacing w:after="0" w:line="25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Pre-existing Obligations</w:t>
      </w:r>
      <w:r>
        <w:rPr>
          <w:rFonts w:ascii="Arial" w:cs="Arial" w:eastAsia="Arial" w:hAnsi="Arial"/>
          <w:sz w:val="20"/>
          <w:szCs w:val="20"/>
          <w:color w:val="auto"/>
        </w:rPr>
        <w:t>. Consultant represents and warrants that Consultant has no pre-existing obligations or commitments (and will not assume or otherwise undertake any obligations or commitments) that would be in conflict or inconsistent with, or that would hinder Consultant’s performance of its obligations under this Agreement.</w:t>
      </w:r>
    </w:p>
    <w:p>
      <w:pPr>
        <w:spacing w:after="0" w:line="186"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Solicitation of Services</w:t>
      </w:r>
      <w:r>
        <w:rPr>
          <w:rFonts w:ascii="Arial" w:cs="Arial" w:eastAsia="Arial" w:hAnsi="Arial"/>
          <w:sz w:val="20"/>
          <w:szCs w:val="20"/>
          <w:color w:val="auto"/>
        </w:rPr>
        <w:t>. Because of the trade secret subject matter of Company’s business, Consultant agrees that, during the term of this Agreement and for a period of one (1) year thereafter, Consultant will not solicit the services of any of Company’s employees and consultants for Consultant’s own benefit or for the benefit of any other person or entity.</w:t>
      </w:r>
    </w:p>
    <w:p>
      <w:pPr>
        <w:spacing w:after="0" w:line="186" w:lineRule="exact"/>
        <w:rPr>
          <w:sz w:val="20"/>
          <w:szCs w:val="20"/>
          <w:color w:val="auto"/>
        </w:rPr>
      </w:pPr>
    </w:p>
    <w:p>
      <w:pPr>
        <w:ind w:right="220" w:firstLine="656"/>
        <w:spacing w:after="0" w:line="250" w:lineRule="auto"/>
        <w:tabs>
          <w:tab w:leader="none" w:pos="995"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INDEMNIFICATION. Company will indemnify and hold harmless Consultant from and against all claims, damages, losses and expenses, including court costs and reasonable attorneys’ fees, arising out of or resulting from, and, at Consultant’s option, Company will defend Consultant against:</w:t>
      </w:r>
    </w:p>
    <w:p>
      <w:pPr>
        <w:spacing w:after="0" w:line="186" w:lineRule="exact"/>
        <w:rPr>
          <w:rFonts w:ascii="Arial" w:cs="Arial" w:eastAsia="Arial" w:hAnsi="Arial"/>
          <w:sz w:val="20"/>
          <w:szCs w:val="20"/>
          <w:color w:val="auto"/>
        </w:rPr>
      </w:pPr>
    </w:p>
    <w:p>
      <w:pPr>
        <w:ind w:right="220" w:firstLine="1305"/>
        <w:spacing w:after="0" w:line="260" w:lineRule="auto"/>
        <w:tabs>
          <w:tab w:leader="none" w:pos="1681" w:val="left"/>
        </w:tabs>
        <w:numPr>
          <w:ilvl w:val="1"/>
          <w:numId w:val="43"/>
        </w:numPr>
        <w:rPr>
          <w:rFonts w:ascii="Arial" w:cs="Arial" w:eastAsia="Arial" w:hAnsi="Arial"/>
          <w:sz w:val="20"/>
          <w:szCs w:val="20"/>
          <w:color w:val="auto"/>
        </w:rPr>
      </w:pPr>
      <w:r>
        <w:rPr>
          <w:rFonts w:ascii="Arial" w:cs="Arial" w:eastAsia="Arial" w:hAnsi="Arial"/>
          <w:sz w:val="20"/>
          <w:szCs w:val="20"/>
          <w:color w:val="auto"/>
        </w:rPr>
        <w:t>any action by a third party against Consultant that is based on a claim that any Consultant in his service to Company, or Company is infringing, misappropriating or violating a third party’s Intellectual Property Rights; and</w:t>
      </w:r>
    </w:p>
    <w:p>
      <w:pPr>
        <w:spacing w:after="0" w:line="176" w:lineRule="exact"/>
        <w:rPr>
          <w:rFonts w:ascii="Arial" w:cs="Arial" w:eastAsia="Arial" w:hAnsi="Arial"/>
          <w:sz w:val="20"/>
          <w:szCs w:val="20"/>
          <w:color w:val="auto"/>
        </w:rPr>
      </w:pPr>
    </w:p>
    <w:p>
      <w:pPr>
        <w:ind w:right="420" w:firstLine="1305"/>
        <w:spacing w:after="0" w:line="291" w:lineRule="auto"/>
        <w:tabs>
          <w:tab w:leader="none" w:pos="173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action by a third party against Consultant that is based on any negligent act or omission or willful conduct of Company that results in: (a) bodily injury, sickness, disease or death; (b) injury or destruction to tangible or intangible property (including computer programs and data) or any loss of use resulting therefrom; or (c) the violation of any statute, ordinance, or regulation.</w:t>
      </w:r>
    </w:p>
    <w:p>
      <w:pPr>
        <w:spacing w:after="0" w:line="151" w:lineRule="exact"/>
        <w:rPr>
          <w:rFonts w:ascii="Arial" w:cs="Arial" w:eastAsia="Arial" w:hAnsi="Arial"/>
          <w:sz w:val="18"/>
          <w:szCs w:val="18"/>
          <w:color w:val="auto"/>
        </w:rPr>
      </w:pPr>
    </w:p>
    <w:p>
      <w:pPr>
        <w:ind w:left="1000" w:hanging="344"/>
        <w:spacing w:after="0"/>
        <w:tabs>
          <w:tab w:leader="none" w:pos="100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TERM AND TERMINATION.</w:t>
      </w:r>
    </w:p>
    <w:p>
      <w:pPr>
        <w:spacing w:after="0" w:line="216" w:lineRule="exact"/>
        <w:rPr>
          <w:sz w:val="20"/>
          <w:szCs w:val="20"/>
          <w:color w:val="auto"/>
        </w:rPr>
      </w:pPr>
    </w:p>
    <w:p>
      <w:pPr>
        <w:ind w:right="120" w:firstLine="1297"/>
        <w:spacing w:after="0" w:line="31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on the Effective Date and, unless terminated earlier in accordance with the terms of this Agreement, will remain in force and effect until and including January 1, 2020 or until such earlier termination under this Section 7.</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095" w:right="299" w:bottom="1440" w:gutter="0" w:footer="0" w:header="0"/>
        </w:sectPr>
      </w:pPr>
    </w:p>
    <w:bookmarkStart w:id="71" w:name="page72"/>
    <w:bookmarkEnd w:id="71"/>
    <w:p>
      <w:pPr>
        <w:jc w:val="both"/>
        <w:ind w:right="100" w:firstLine="1297"/>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Termination for Breach</w:t>
      </w:r>
      <w:r>
        <w:rPr>
          <w:rFonts w:ascii="Arial" w:cs="Arial" w:eastAsia="Arial" w:hAnsi="Arial"/>
          <w:sz w:val="20"/>
          <w:szCs w:val="20"/>
          <w:color w:val="auto"/>
        </w:rPr>
        <w:t>. Either party may terminate this Agreement (including the Statement of Work) if the other party breaches any material term of this Agreement and fails to cure such breach within ten (10) days following written notice thereof from the non-breaching party.</w:t>
      </w:r>
    </w:p>
    <w:p>
      <w:pPr>
        <w:spacing w:after="0" w:line="186" w:lineRule="exact"/>
        <w:rPr>
          <w:sz w:val="20"/>
          <w:szCs w:val="20"/>
          <w:color w:val="auto"/>
        </w:rPr>
      </w:pPr>
    </w:p>
    <w:p>
      <w:pPr>
        <w:ind w:right="460" w:firstLine="1297"/>
        <w:spacing w:after="0" w:line="260"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Termination for Convenience</w:t>
      </w:r>
      <w:r>
        <w:rPr>
          <w:rFonts w:ascii="Arial" w:cs="Arial" w:eastAsia="Arial" w:hAnsi="Arial"/>
          <w:sz w:val="20"/>
          <w:szCs w:val="20"/>
          <w:color w:val="auto"/>
        </w:rPr>
        <w:t>. The parties hereto may terminate this Agreement with not less than 14 days’ advance written notice to the other party prior to termination.</w:t>
      </w:r>
    </w:p>
    <w:p>
      <w:pPr>
        <w:spacing w:after="0" w:line="177" w:lineRule="exact"/>
        <w:rPr>
          <w:sz w:val="20"/>
          <w:szCs w:val="20"/>
          <w:color w:val="auto"/>
        </w:rPr>
      </w:pPr>
    </w:p>
    <w:p>
      <w:pPr>
        <w:ind w:right="360" w:firstLine="1953"/>
        <w:spacing w:after="0" w:line="260" w:lineRule="auto"/>
        <w:tabs>
          <w:tab w:leader="none" w:pos="23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Upon the expiration or any termination of this Agreement for any reason, Consultant will promptly deliver to Company all Innovations, including all work in progress on any Innovations and all versions and portions thereof.</w:t>
      </w:r>
    </w:p>
    <w:p>
      <w:pPr>
        <w:spacing w:after="0" w:line="176" w:lineRule="exact"/>
        <w:rPr>
          <w:rFonts w:ascii="Arial" w:cs="Arial" w:eastAsia="Arial" w:hAnsi="Arial"/>
          <w:sz w:val="20"/>
          <w:szCs w:val="20"/>
          <w:color w:val="auto"/>
        </w:rPr>
      </w:pPr>
    </w:p>
    <w:p>
      <w:pPr>
        <w:ind w:right="60" w:firstLine="1953"/>
        <w:spacing w:after="0" w:line="246" w:lineRule="auto"/>
        <w:tabs>
          <w:tab w:leader="none" w:pos="2374" w:val="left"/>
        </w:tabs>
        <w:numPr>
          <w:ilvl w:val="0"/>
          <w:numId w:val="44"/>
        </w:numPr>
        <w:rPr>
          <w:rFonts w:ascii="Arial" w:cs="Arial" w:eastAsia="Arial" w:hAnsi="Arial"/>
          <w:sz w:val="20"/>
          <w:szCs w:val="20"/>
          <w:color w:val="auto"/>
        </w:rPr>
      </w:pPr>
      <w:r>
        <w:rPr>
          <w:rFonts w:ascii="Arial" w:cs="Arial" w:eastAsia="Arial" w:hAnsi="Arial"/>
          <w:sz w:val="20"/>
          <w:szCs w:val="20"/>
          <w:color w:val="auto"/>
        </w:rPr>
        <w:t>Upon the expiration or any termination of this Agreement (except termination of this Agreement pursuant by Company pursuant to Section 7.2 for breach by Consultant), Company will pay Consultant any Fees amounts that are due and payable for Services performed by Consultant prior to the effective date of expiration or termination, and in the event of a termination without Cause on or prior to January 1, 2020, Consultant shall have the rights set forth in Section 1.3.</w:t>
      </w:r>
    </w:p>
    <w:p>
      <w:pPr>
        <w:spacing w:after="0" w:line="191" w:lineRule="exact"/>
        <w:rPr>
          <w:rFonts w:ascii="Arial" w:cs="Arial" w:eastAsia="Arial" w:hAnsi="Arial"/>
          <w:sz w:val="20"/>
          <w:szCs w:val="20"/>
          <w:color w:val="auto"/>
        </w:rPr>
      </w:pPr>
    </w:p>
    <w:p>
      <w:pPr>
        <w:jc w:val="both"/>
        <w:ind w:right="140" w:firstLine="1953"/>
        <w:spacing w:after="0" w:line="250" w:lineRule="auto"/>
        <w:tabs>
          <w:tab w:leader="none" w:pos="2362" w:val="left"/>
        </w:tabs>
        <w:numPr>
          <w:ilvl w:val="0"/>
          <w:numId w:val="44"/>
        </w:numPr>
        <w:rPr>
          <w:rFonts w:ascii="Arial" w:cs="Arial" w:eastAsia="Arial" w:hAnsi="Arial"/>
          <w:sz w:val="20"/>
          <w:szCs w:val="20"/>
          <w:color w:val="auto"/>
        </w:rPr>
      </w:pPr>
      <w:r>
        <w:rPr>
          <w:rFonts w:ascii="Arial" w:cs="Arial" w:eastAsia="Arial" w:hAnsi="Arial"/>
          <w:sz w:val="20"/>
          <w:szCs w:val="20"/>
          <w:color w:val="auto"/>
        </w:rPr>
        <w:t>Upon the expiration or termination of this Agreement for any reason, Consultant will promptly notify Company of all Confidential Information in Consultant’s possession or control and will promptly deliver all such Confidential Information to Company, at Consultant’s expense and in accordance with Company’s instructions.</w:t>
      </w:r>
    </w:p>
    <w:p>
      <w:pPr>
        <w:spacing w:after="0" w:line="186"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2.2, 3, 4, 5.3, 6, 7.3, 7.4, 8 and 9 will survive the expiration or termination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94" w:lineRule="exact"/>
        <w:rPr>
          <w:sz w:val="20"/>
          <w:szCs w:val="20"/>
          <w:color w:val="auto"/>
        </w:rPr>
      </w:pPr>
    </w:p>
    <w:p>
      <w:pPr>
        <w:ind w:right="300" w:firstLine="656"/>
        <w:spacing w:after="0" w:line="248" w:lineRule="auto"/>
        <w:tabs>
          <w:tab w:leader="none" w:pos="995"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 xml:space="preserve">MUTUAL LIMITATION OF LIABILITY. </w:t>
      </w:r>
      <w:r>
        <w:rPr>
          <w:rFonts w:ascii="Arial" w:cs="Arial" w:eastAsia="Arial" w:hAnsi="Arial"/>
          <w:sz w:val="20"/>
          <w:szCs w:val="20"/>
          <w:color w:val="auto"/>
        </w:rPr>
        <w:t>IN NO EVENT WILL COMPANY OR CONSULTANT BE LIABLE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SPECIAL, INCIDENTAL, PUNITIVE OR CONSEQUENTIAL DAMAGES OF ANY KIND IN CONNECTION WITH THIS AGREEMENT, EVEN IF COMPANY OR CONSULTANT HAS BEEN INFORMED IN ADVANCE OF THE POSSIBILITY OF SUCH DAMAGES.</w:t>
      </w:r>
    </w:p>
    <w:p>
      <w:pPr>
        <w:spacing w:after="0" w:line="189" w:lineRule="exact"/>
        <w:rPr>
          <w:rFonts w:ascii="Arial" w:cs="Arial" w:eastAsia="Arial" w:hAnsi="Arial"/>
          <w:sz w:val="20"/>
          <w:szCs w:val="20"/>
          <w:color w:val="auto"/>
        </w:rPr>
      </w:pPr>
    </w:p>
    <w:p>
      <w:pPr>
        <w:ind w:left="1000" w:hanging="344"/>
        <w:spacing w:after="0"/>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GENERAL.</w:t>
      </w:r>
    </w:p>
    <w:p>
      <w:pPr>
        <w:spacing w:after="0" w:line="216" w:lineRule="exact"/>
        <w:rPr>
          <w:sz w:val="20"/>
          <w:szCs w:val="20"/>
          <w:color w:val="auto"/>
        </w:rPr>
      </w:pPr>
    </w:p>
    <w:p>
      <w:pPr>
        <w:ind w:right="20" w:firstLine="1297"/>
        <w:spacing w:after="0" w:line="31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No Election of Remedies</w:t>
      </w:r>
      <w:r>
        <w:rPr>
          <w:rFonts w:ascii="Arial" w:cs="Arial" w:eastAsia="Arial" w:hAnsi="Arial"/>
          <w:sz w:val="18"/>
          <w:szCs w:val="18"/>
          <w:color w:val="auto"/>
        </w:rPr>
        <w:t>. Except as expressly set forth in this Agreement, the exercise by Company or Consultant of any of its remedies under this Agreement will be without prejudice to its other remedies under this Agreement or available at law or in equity.</w:t>
      </w:r>
    </w:p>
    <w:p>
      <w:pPr>
        <w:spacing w:after="0" w:line="130"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Assignment</w:t>
      </w:r>
      <w:r>
        <w:rPr>
          <w:rFonts w:ascii="Arial" w:cs="Arial" w:eastAsia="Arial" w:hAnsi="Arial"/>
          <w:sz w:val="20"/>
          <w:szCs w:val="20"/>
          <w:color w:val="auto"/>
        </w:rPr>
        <w:t>. Neither party may assign or transfer any of its rights or delegate any of its obligations under this Agreement, in whole or in part, without the other party’s express prior written consent. Any attempted assignment, transfer or delegation, without such consent, will be void. Subject to the foregoing, this Agreement will be binding upon and will inure to the benefit of the parties permitted successors and assigns.</w:t>
      </w:r>
    </w:p>
    <w:p>
      <w:pPr>
        <w:spacing w:after="0" w:line="192" w:lineRule="exact"/>
        <w:rPr>
          <w:sz w:val="20"/>
          <w:szCs w:val="20"/>
          <w:color w:val="auto"/>
        </w:rPr>
      </w:pPr>
    </w:p>
    <w:p>
      <w:pPr>
        <w:ind w:right="40" w:firstLine="1297"/>
        <w:spacing w:after="0" w:line="246"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Equitable Remedies</w:t>
      </w:r>
      <w:r>
        <w:rPr>
          <w:rFonts w:ascii="Arial" w:cs="Arial" w:eastAsia="Arial" w:hAnsi="Arial"/>
          <w:sz w:val="20"/>
          <w:szCs w:val="20"/>
          <w:color w:val="auto"/>
        </w:rPr>
        <w:t>. Because the Services are personal and unique and because Consultant will have access to Confidential Information of Company, Company will have the right to enforce this Agreement and any of its provisions by injunction, specific performance or other equitable relief, without having to post a bond or other consideration, in addition to all other remedies that Company may have for a breach of this Agreement.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095" w:right="279" w:bottom="1440" w:gutter="0" w:footer="0" w:header="0"/>
        </w:sectPr>
      </w:pPr>
    </w:p>
    <w:bookmarkStart w:id="72" w:name="page73"/>
    <w:bookmarkEnd w:id="72"/>
    <w:p>
      <w:pPr>
        <w:ind w:right="40" w:firstLine="1297"/>
        <w:spacing w:after="0" w:line="31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Attorneys’ Fees</w:t>
      </w:r>
      <w:r>
        <w:rPr>
          <w:rFonts w:ascii="Arial" w:cs="Arial" w:eastAsia="Arial" w:hAnsi="Arial"/>
          <w:sz w:val="18"/>
          <w:szCs w:val="18"/>
          <w:color w:val="auto"/>
        </w:rPr>
        <w:t>. If any action is necessary to enforce the terms of this Agreement, the substantially prevailing party will be entitled to reasonable attorneys’ fees, costs and expenses in addition to any other relief to which such prevailing party may be entitled.</w:t>
      </w:r>
    </w:p>
    <w:p>
      <w:pPr>
        <w:spacing w:after="0" w:line="130" w:lineRule="exact"/>
        <w:rPr>
          <w:sz w:val="20"/>
          <w:szCs w:val="20"/>
          <w:color w:val="auto"/>
        </w:rPr>
      </w:pPr>
    </w:p>
    <w:p>
      <w:pPr>
        <w:ind w:right="180" w:firstLine="1297"/>
        <w:spacing w:after="0" w:line="24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will be governed by and construed in accordance with the laws of the State of California, excluding that body of law pertaining to conflict of laws. Any legal action or proceeding arising under this Agreement will be brought exclusively in the federal or state courts located in the State of California, and the parties hereby irrevocably consent to the personal jurisdiction and venue therein.</w:t>
      </w:r>
    </w:p>
    <w:p>
      <w:pPr>
        <w:spacing w:after="0" w:line="192" w:lineRule="exact"/>
        <w:rPr>
          <w:sz w:val="20"/>
          <w:szCs w:val="20"/>
          <w:color w:val="auto"/>
        </w:rPr>
      </w:pPr>
    </w:p>
    <w:p>
      <w:pPr>
        <w:ind w:right="20" w:firstLine="1297"/>
        <w:spacing w:after="0" w:line="25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of this Agreement is held invalid or unenforceable by a court of competent jurisdiction, the remaining provisions of the Agreement will remain in full force and effect, and the provision affected will be construed so as to be enforceable to the maximum extent permissible by law.</w:t>
      </w:r>
    </w:p>
    <w:p>
      <w:pPr>
        <w:spacing w:after="0" w:line="186" w:lineRule="exact"/>
        <w:rPr>
          <w:sz w:val="20"/>
          <w:szCs w:val="20"/>
          <w:color w:val="auto"/>
        </w:rPr>
      </w:pPr>
    </w:p>
    <w:p>
      <w:pPr>
        <w:ind w:firstLine="1297"/>
        <w:spacing w:after="0" w:line="246" w:lineRule="auto"/>
        <w:rPr>
          <w:sz w:val="20"/>
          <w:szCs w:val="20"/>
          <w:color w:val="auto"/>
        </w:rPr>
      </w:pPr>
      <w:r>
        <w:rPr>
          <w:rFonts w:ascii="Arial" w:cs="Arial" w:eastAsia="Arial" w:hAnsi="Arial"/>
          <w:sz w:val="20"/>
          <w:szCs w:val="20"/>
          <w:color w:val="auto"/>
        </w:rPr>
        <w:t xml:space="preserve">9.7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required or permitted under this Agreement will be in writing and delivered by confirmed facsimile transmission, by courier or overnight delivery service, or by certified mail, and in each instance will be deemed given upon receipt. All notices will be sent to the addresses set forth above or to such other address as may be specified by either party to the other in accordance with this Section.</w:t>
      </w:r>
    </w:p>
    <w:p>
      <w:pPr>
        <w:spacing w:after="0" w:line="192" w:lineRule="exact"/>
        <w:rPr>
          <w:sz w:val="20"/>
          <w:szCs w:val="20"/>
          <w:color w:val="auto"/>
        </w:rPr>
      </w:pPr>
    </w:p>
    <w:p>
      <w:pPr>
        <w:ind w:right="80" w:firstLine="1297"/>
        <w:spacing w:after="0" w:line="260"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Statement of Work, constitutes the complete and exclusive understanding and agreement of the parties with respect to the subject matter hereof and supersedes all prior understandings and agreements, whether written or oral, with respect to the subject matter hereof. In the event of a conflict, the terms and conditions of the Statement of Work will take precedence over the terms and conditions of this Agreement. Any waiver, modification or amendment of any provision of this Agreement will be effective only if in writing and signed by the parties hereto.</w:t>
      </w:r>
    </w:p>
    <w:p>
      <w:pPr>
        <w:spacing w:after="0" w:line="181" w:lineRule="exact"/>
        <w:rPr>
          <w:sz w:val="20"/>
          <w:szCs w:val="20"/>
          <w:color w:val="auto"/>
        </w:rPr>
      </w:pPr>
    </w:p>
    <w:p>
      <w:pPr>
        <w:ind w:right="360" w:firstLine="1297"/>
        <w:spacing w:after="0" w:line="260" w:lineRule="auto"/>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Waiver.</w:t>
      </w:r>
      <w:r>
        <w:rPr>
          <w:rFonts w:ascii="Arial" w:cs="Arial" w:eastAsia="Arial" w:hAnsi="Arial"/>
          <w:sz w:val="20"/>
          <w:szCs w:val="20"/>
          <w:color w:val="auto"/>
        </w:rPr>
        <w:t xml:space="preserve"> The waiver of any breach of any provision of this Agreement will not constitute a waiver of any subsequent breach of the same other provisions hereof.</w:t>
      </w:r>
    </w:p>
    <w:p>
      <w:pPr>
        <w:spacing w:after="0" w:line="177" w:lineRule="exact"/>
        <w:rPr>
          <w:sz w:val="20"/>
          <w:szCs w:val="20"/>
          <w:color w:val="auto"/>
        </w:rPr>
      </w:pPr>
    </w:p>
    <w:p>
      <w:pPr>
        <w:ind w:right="260" w:firstLine="1297"/>
        <w:spacing w:after="0" w:line="260"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879" w:right="35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t>IN WITNESS WHEREOF, the parties have executed this Agreement on the respective dates set forth below:</w:t>
      </w:r>
    </w:p>
    <w:p>
      <w:pPr>
        <w:sectPr>
          <w:pgSz w:w="11900" w:h="16838" w:orient="portrait"/>
          <w:cols w:equalWidth="0" w:num="1">
            <w:col w:w="10219"/>
          </w:cols>
          <w:pgMar w:left="240" w:top="6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CHRISTOPHER HALL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VERACYTE, INC.</w:t>
      </w:r>
    </w:p>
    <w:p>
      <w:pPr>
        <w:spacing w:after="0" w:line="200" w:lineRule="exact"/>
        <w:rPr>
          <w:sz w:val="20"/>
          <w:szCs w:val="20"/>
          <w:color w:val="auto"/>
        </w:rPr>
      </w:pPr>
    </w:p>
    <w:p>
      <w:pPr>
        <w:sectPr>
          <w:pgSz w:w="11900" w:h="16838" w:orient="portrait"/>
          <w:cols w:equalWidth="0" w:num="2">
            <w:col w:w="5140" w:space="720"/>
            <w:col w:w="4359"/>
          </w:cols>
          <w:pgMar w:left="240" w:top="609" w:right="1440" w:bottom="1440" w:gutter="0" w:footer="0" w:header="0"/>
          <w:type w:val="continuous"/>
        </w:sect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________________________________</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color w:val="auto"/>
        </w:rPr>
        <w:t>Bonnie H. Anderson</w:t>
      </w:r>
    </w:p>
    <w:p>
      <w:pPr>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ectPr>
          <w:pgSz w:w="11900" w:h="16838" w:orient="portrait"/>
          <w:cols w:equalWidth="0" w:num="2">
            <w:col w:w="5140" w:space="720"/>
            <w:col w:w="4359"/>
          </w:cols>
          <w:pgMar w:left="240" w:top="609" w:right="1440" w:bottom="1440" w:gutter="0" w:footer="0" w:header="0"/>
          <w:type w:val="continuous"/>
        </w:sectPr>
      </w:pPr>
    </w:p>
    <w:p>
      <w:pPr>
        <w:spacing w:after="0" w:line="243" w:lineRule="exact"/>
        <w:rPr>
          <w:sz w:val="20"/>
          <w:szCs w:val="20"/>
          <w:color w:val="auto"/>
        </w:rPr>
      </w:pPr>
    </w:p>
    <w:p>
      <w:pPr>
        <w:ind w:left="40" w:right="1940"/>
        <w:spacing w:after="0" w:line="386" w:lineRule="auto"/>
        <w:rPr>
          <w:sz w:val="20"/>
          <w:szCs w:val="20"/>
          <w:color w:val="auto"/>
        </w:rPr>
      </w:pPr>
      <w:r>
        <w:rPr>
          <w:rFonts w:ascii="Arial" w:cs="Arial" w:eastAsia="Arial" w:hAnsi="Arial"/>
          <w:sz w:val="16"/>
          <w:szCs w:val="16"/>
          <w:color w:val="auto"/>
        </w:rPr>
        <w:t>________________________________ Date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316" w:lineRule="exact"/>
        <w:rPr>
          <w:sz w:val="20"/>
          <w:szCs w:val="20"/>
          <w:color w:val="auto"/>
        </w:rPr>
      </w:pPr>
    </w:p>
    <w:p>
      <w:pPr>
        <w:sectPr>
          <w:pgSz w:w="11900" w:h="16838" w:orient="portrait"/>
          <w:cols w:equalWidth="0" w:num="2">
            <w:col w:w="5140" w:space="720"/>
            <w:col w:w="4359"/>
          </w:cols>
          <w:pgMar w:left="240" w:top="60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60"/>
        <w:spacing w:after="0"/>
        <w:rPr>
          <w:sz w:val="20"/>
          <w:szCs w:val="20"/>
          <w:color w:val="auto"/>
        </w:rPr>
      </w:pPr>
      <w:r>
        <w:rPr>
          <w:rFonts w:ascii="Arial" w:cs="Arial" w:eastAsia="Arial" w:hAnsi="Arial"/>
          <w:sz w:val="19"/>
          <w:szCs w:val="19"/>
          <w:b w:val="1"/>
          <w:bCs w:val="1"/>
          <w:color w:val="auto"/>
        </w:rPr>
        <w:t>[SIGNATURE PAGE TO CONSULTING AGREEMENT]</w:t>
      </w:r>
    </w:p>
    <w:p>
      <w:pPr>
        <w:sectPr>
          <w:pgSz w:w="11900" w:h="16838" w:orient="portrait"/>
          <w:cols w:equalWidth="0" w:num="1">
            <w:col w:w="10219"/>
          </w:cols>
          <w:pgMar w:left="240" w:top="609" w:right="1440"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AND SEVERANCE AGREEMENT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Amended and Restated Change of Control and Severance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Bonnie Anderson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Veracyte,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as of July 1,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This Agreement amends and restates the Amended and Restated Change of Control and Severance Agreement by and between the Executive and the Company, effective as of October 23, 2018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60" w:firstLine="656"/>
        <w:spacing w:after="0" w:line="259"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86" w:lineRule="exact"/>
        <w:rPr>
          <w:rFonts w:ascii="Arial" w:cs="Arial" w:eastAsia="Arial" w:hAnsi="Arial"/>
          <w:sz w:val="18"/>
          <w:szCs w:val="18"/>
          <w:color w:val="auto"/>
        </w:rPr>
      </w:pPr>
    </w:p>
    <w:p>
      <w:pPr>
        <w:jc w:val="both"/>
        <w:ind w:right="40" w:firstLine="656"/>
        <w:spacing w:after="0" w:line="264"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20" w:firstLine="656"/>
        <w:spacing w:after="0" w:line="255" w:lineRule="auto"/>
        <w:tabs>
          <w:tab w:leader="none" w:pos="96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four (4) years commencing on the May 14, 2015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On May 14, 2019, this Agreement will renew automatically for additional one (1) year terms (each an “</w:t>
      </w:r>
      <w:r>
        <w:rPr>
          <w:rFonts w:ascii="Arial" w:cs="Arial" w:eastAsia="Arial" w:hAnsi="Arial"/>
          <w:sz w:val="18"/>
          <w:szCs w:val="18"/>
          <w:b w:val="1"/>
          <w:bCs w:val="1"/>
          <w:i w:val="1"/>
          <w:iCs w:val="1"/>
          <w:color w:val="auto"/>
        </w:rPr>
        <w:t>Additional Term</w:t>
      </w:r>
      <w:r>
        <w:rPr>
          <w:rFonts w:ascii="Arial" w:cs="Arial" w:eastAsia="Arial" w:hAnsi="Arial"/>
          <w:sz w:val="18"/>
          <w:szCs w:val="18"/>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9" w:lineRule="exact"/>
        <w:rPr>
          <w:rFonts w:ascii="Arial" w:cs="Arial" w:eastAsia="Arial" w:hAnsi="Arial"/>
          <w:sz w:val="18"/>
          <w:szCs w:val="18"/>
          <w:color w:val="auto"/>
        </w:rPr>
      </w:pPr>
    </w:p>
    <w:p>
      <w:pPr>
        <w:ind w:right="160" w:firstLine="656"/>
        <w:spacing w:after="0" w:line="264" w:lineRule="auto"/>
        <w:tabs>
          <w:tab w:leader="none" w:pos="96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86" w:lineRule="auto"/>
        <w:tabs>
          <w:tab w:leader="none" w:pos="1676"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797" w:right="239" w:bottom="1440" w:gutter="0" w:footer="0" w:header="0"/>
        </w:sectPr>
      </w:pPr>
    </w:p>
    <w:bookmarkStart w:id="75" w:name="page76"/>
    <w:bookmarkEnd w:id="75"/>
    <w:p>
      <w:pPr>
        <w:ind w:left="-1200" w:right="120" w:firstLine="1953"/>
        <w:spacing w:after="0" w:line="277" w:lineRule="auto"/>
        <w:tabs>
          <w:tab w:leader="none" w:pos="10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left="-1200" w:right="60" w:firstLine="1953"/>
        <w:spacing w:after="0" w:line="264" w:lineRule="auto"/>
        <w:tabs>
          <w:tab w:leader="none" w:pos="114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Continuing Severance Payments</w:t>
      </w:r>
      <w:r>
        <w:rPr>
          <w:rFonts w:ascii="Arial" w:cs="Arial" w:eastAsia="Arial" w:hAnsi="Arial"/>
          <w:sz w:val="18"/>
          <w:szCs w:val="18"/>
          <w:color w:val="auto"/>
        </w:rPr>
        <w:t>. Executive will be paid continuing payments of severance pay at a rate equal to Executive’s base salary rate, as then in effect, for twelve (12) months from the date of such termination of employment to be paid periodically in accordance with the Company’s normal payroll policies.</w:t>
      </w:r>
    </w:p>
    <w:p>
      <w:pPr>
        <w:spacing w:after="0" w:line="181" w:lineRule="exact"/>
        <w:rPr>
          <w:rFonts w:ascii="Arial" w:cs="Arial" w:eastAsia="Arial" w:hAnsi="Arial"/>
          <w:sz w:val="18"/>
          <w:szCs w:val="18"/>
          <w:color w:val="auto"/>
        </w:rPr>
      </w:pPr>
    </w:p>
    <w:p>
      <w:pPr>
        <w:ind w:left="-1200" w:right="120" w:firstLine="1953"/>
        <w:spacing w:after="0" w:line="272" w:lineRule="auto"/>
        <w:tabs>
          <w:tab w:leader="none" w:pos="119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Executive will be entitled to receive the award Executive would have otherwise received had Executive remained employed by the Company through the end of the applicable performance period (and through the date of payment if continued employment through such date would be required to earn the bonus), but without the Board or any committee of the Board exercising any negative discretion to reduce the amount of the award, pro-rated by multiplying such bonus amount by a fraction, the numerator of which shall be the number of days from and including the first day of the relevant performance period through and including the date of Executive’s termination, and the denominator of which shall be the number of days in the performance period. The amount will be paid in a lump sum payment in cash at the same time awards are otherwise paid to other senior executives participating in that or a similar incentive plan or arrangement.</w:t>
      </w:r>
    </w:p>
    <w:p>
      <w:pPr>
        <w:spacing w:after="0" w:line="177" w:lineRule="exact"/>
        <w:rPr>
          <w:rFonts w:ascii="Arial" w:cs="Arial" w:eastAsia="Arial" w:hAnsi="Arial"/>
          <w:sz w:val="17"/>
          <w:szCs w:val="17"/>
          <w:color w:val="auto"/>
        </w:rPr>
      </w:pPr>
    </w:p>
    <w:p>
      <w:pPr>
        <w:ind w:left="-1200" w:right="20" w:firstLine="1953"/>
        <w:spacing w:after="0" w:line="286" w:lineRule="auto"/>
        <w:tabs>
          <w:tab w:leader="none" w:pos="118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twelve (12) payments. For the avoidance of doubt, the taxable payments in lieu of COBRA reimbursements may be used for any purpose, including, but not limited to continuation coverage under COBRA, and will be subject to all applicable tax withholdings.</w:t>
      </w:r>
    </w:p>
    <w:p>
      <w:pPr>
        <w:spacing w:after="0" w:line="171" w:lineRule="exact"/>
        <w:rPr>
          <w:rFonts w:ascii="Arial" w:cs="Arial" w:eastAsia="Arial" w:hAnsi="Arial"/>
          <w:sz w:val="16"/>
          <w:szCs w:val="16"/>
          <w:color w:val="auto"/>
        </w:rPr>
      </w:pPr>
    </w:p>
    <w:p>
      <w:pPr>
        <w:ind w:left="-1200" w:firstLine="1953"/>
        <w:spacing w:after="0" w:line="259" w:lineRule="auto"/>
        <w:tabs>
          <w:tab w:leader="none" w:pos="113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Fifty percent (50%)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fifty percent (50%) of the amount of the Equity Award assuming the performance criteria had been achieved at target levels for the relevant performance period(s).</w:t>
      </w:r>
    </w:p>
    <w:p>
      <w:pPr>
        <w:spacing w:after="0" w:line="186" w:lineRule="exact"/>
        <w:rPr>
          <w:rFonts w:ascii="Arial" w:cs="Arial" w:eastAsia="Arial" w:hAnsi="Arial"/>
          <w:sz w:val="18"/>
          <w:szCs w:val="18"/>
          <w:color w:val="auto"/>
        </w:rPr>
      </w:pPr>
    </w:p>
    <w:p>
      <w:pPr>
        <w:ind w:left="-1200" w:right="220" w:firstLine="1953"/>
        <w:spacing w:after="0" w:line="297" w:lineRule="auto"/>
        <w:tabs>
          <w:tab w:leader="none" w:pos="1185"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Extended Post-Termination Exercise Period</w:t>
      </w:r>
      <w:r>
        <w:rPr>
          <w:rFonts w:ascii="Arial" w:cs="Arial" w:eastAsia="Arial" w:hAnsi="Arial"/>
          <w:sz w:val="16"/>
          <w:szCs w:val="16"/>
          <w:color w:val="auto"/>
        </w:rPr>
        <w:t>. Notwithstanding any other provision in any applicable equity compensation plan and/or individual stock option agreement, Executive’s outstanding and vested stock options and/or stock appreciation rights as of the Executive’s termination of employment date that are granted on or following the Effective Date will remain exercisable until the twenty-four (24) month anniversary of the termination of employment date; provided, however, that the post-termination exercise period for any individual stock option and/or stock appreciation right will not extend beyond the earlier of its original maximum term or the tenth (10th) anniversary of the original date of grant.</w:t>
      </w:r>
    </w:p>
    <w:p>
      <w:pPr>
        <w:spacing w:after="0" w:line="200" w:lineRule="exact"/>
        <w:rPr>
          <w:sz w:val="20"/>
          <w:szCs w:val="20"/>
          <w:color w:val="auto"/>
        </w:rPr>
      </w:pPr>
    </w:p>
    <w:p>
      <w:pPr>
        <w:spacing w:after="0" w:line="208"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220"/>
          </w:cols>
          <w:pgMar w:left="1440" w:top="584" w:right="239" w:bottom="1440" w:gutter="0" w:footer="0" w:header="0"/>
        </w:sectPr>
      </w:pPr>
    </w:p>
    <w:bookmarkStart w:id="76" w:name="page77"/>
    <w:bookmarkEnd w:id="76"/>
    <w:p>
      <w:pPr>
        <w:ind w:right="180" w:firstLine="1305"/>
        <w:spacing w:after="0" w:line="312" w:lineRule="auto"/>
        <w:tabs>
          <w:tab w:leader="none" w:pos="1686"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46" w:lineRule="exact"/>
        <w:rPr>
          <w:rFonts w:ascii="Arial" w:cs="Arial" w:eastAsia="Arial" w:hAnsi="Arial"/>
          <w:sz w:val="16"/>
          <w:szCs w:val="16"/>
          <w:color w:val="auto"/>
        </w:rPr>
      </w:pPr>
    </w:p>
    <w:p>
      <w:pPr>
        <w:ind w:right="100" w:firstLine="1953"/>
        <w:spacing w:after="0" w:line="277" w:lineRule="auto"/>
        <w:tabs>
          <w:tab w:leader="none" w:pos="2295"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left="2360" w:hanging="407"/>
        <w:spacing w:after="0"/>
        <w:tabs>
          <w:tab w:leader="none" w:pos="2360" w:val="left"/>
        </w:tabs>
        <w:numPr>
          <w:ilvl w:val="2"/>
          <w:numId w:val="49"/>
        </w:numPr>
        <w:rPr>
          <w:rFonts w:ascii="Arial" w:cs="Arial" w:eastAsia="Arial" w:hAnsi="Arial"/>
          <w:sz w:val="16"/>
          <w:szCs w:val="16"/>
          <w:color w:val="auto"/>
        </w:rPr>
      </w:pPr>
      <w:r>
        <w:rPr>
          <w:rFonts w:ascii="Arial" w:cs="Arial" w:eastAsia="Arial" w:hAnsi="Arial"/>
          <w:sz w:val="16"/>
          <w:szCs w:val="16"/>
          <w:u w:val="single" w:color="auto"/>
          <w:color w:val="auto"/>
        </w:rPr>
        <w:t>Severance Payment</w:t>
      </w:r>
      <w:r>
        <w:rPr>
          <w:rFonts w:ascii="Arial" w:cs="Arial" w:eastAsia="Arial" w:hAnsi="Arial"/>
          <w:sz w:val="16"/>
          <w:szCs w:val="16"/>
          <w:color w:val="auto"/>
        </w:rPr>
        <w:t>.  Executive will receive a lump-sum payment (less applicable withholding taxes) equal to twenty-four</w:t>
      </w:r>
    </w:p>
    <w:p>
      <w:pPr>
        <w:spacing w:after="0" w:line="46" w:lineRule="exact"/>
        <w:rPr>
          <w:rFonts w:ascii="Arial" w:cs="Arial" w:eastAsia="Arial" w:hAnsi="Arial"/>
          <w:sz w:val="16"/>
          <w:szCs w:val="16"/>
          <w:color w:val="auto"/>
        </w:rPr>
      </w:pPr>
    </w:p>
    <w:p>
      <w:pPr>
        <w:ind w:right="140" w:firstLine="8"/>
        <w:spacing w:after="0" w:line="290" w:lineRule="auto"/>
        <w:tabs>
          <w:tab w:leader="none" w:pos="3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4" w:lineRule="exact"/>
        <w:rPr>
          <w:rFonts w:ascii="Arial" w:cs="Arial" w:eastAsia="Arial" w:hAnsi="Arial"/>
          <w:sz w:val="16"/>
          <w:szCs w:val="16"/>
          <w:color w:val="auto"/>
        </w:rPr>
      </w:pPr>
    </w:p>
    <w:p>
      <w:pPr>
        <w:ind w:right="100" w:firstLine="1953"/>
        <w:spacing w:after="0" w:line="291" w:lineRule="auto"/>
        <w:tabs>
          <w:tab w:leader="none" w:pos="2395" w:val="left"/>
        </w:tabs>
        <w:numPr>
          <w:ilvl w:val="2"/>
          <w:numId w:val="50"/>
        </w:numPr>
        <w:rPr>
          <w:rFonts w:ascii="Arial" w:cs="Arial" w:eastAsia="Arial" w:hAnsi="Arial"/>
          <w:sz w:val="16"/>
          <w:szCs w:val="16"/>
          <w:color w:val="auto"/>
        </w:rPr>
      </w:pPr>
      <w:r>
        <w:rPr>
          <w:rFonts w:ascii="Arial" w:cs="Arial" w:eastAsia="Arial" w:hAnsi="Arial"/>
          <w:sz w:val="16"/>
          <w:szCs w:val="16"/>
          <w:u w:val="single" w:color="auto"/>
          <w:color w:val="auto"/>
        </w:rPr>
        <w:t>Bonus Payment</w:t>
      </w:r>
      <w:r>
        <w:rPr>
          <w:rFonts w:ascii="Arial" w:cs="Arial" w:eastAsia="Arial" w:hAnsi="Arial"/>
          <w:sz w:val="16"/>
          <w:szCs w:val="16"/>
          <w:color w:val="auto"/>
        </w:rPr>
        <w:t>. Executive will receive a lump-sum payment equal to two hundred percent (200%) of the higher of (A) the greater of (x) Executive’s target bonus for the fiscal year in which the Change of Control occurs (as in effect immediately prior to the Change of Control) or</w:t>
      </w:r>
    </w:p>
    <w:p>
      <w:pPr>
        <w:ind w:right="40"/>
        <w:spacing w:after="0" w:line="273" w:lineRule="auto"/>
        <w:rPr>
          <w:rFonts w:ascii="Arial" w:cs="Arial" w:eastAsia="Arial" w:hAnsi="Arial"/>
          <w:sz w:val="16"/>
          <w:szCs w:val="16"/>
          <w:color w:val="auto"/>
        </w:rPr>
      </w:pPr>
      <w:r>
        <w:rPr>
          <w:rFonts w:ascii="Arial" w:cs="Arial" w:eastAsia="Arial" w:hAnsi="Arial"/>
          <w:sz w:val="17"/>
          <w:szCs w:val="17"/>
          <w:color w:val="auto"/>
        </w:rPr>
        <w:t>(y)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76" w:lineRule="exact"/>
        <w:rPr>
          <w:rFonts w:ascii="Arial" w:cs="Arial" w:eastAsia="Arial" w:hAnsi="Arial"/>
          <w:sz w:val="16"/>
          <w:szCs w:val="16"/>
          <w:color w:val="auto"/>
        </w:rPr>
      </w:pPr>
    </w:p>
    <w:p>
      <w:pPr>
        <w:ind w:firstLine="1953"/>
        <w:spacing w:after="0" w:line="268" w:lineRule="auto"/>
        <w:tabs>
          <w:tab w:leader="none" w:pos="2385"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twenty-four (24)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twenty-four (24) payments. For the avoidance of doubt, the taxable payments in lieu of COBRA reimbursements may be used for any purpose, including, but not limited to continuation coverage under COBRA, and will be subject to all applicable tax withholdings.</w:t>
      </w:r>
    </w:p>
    <w:p>
      <w:pPr>
        <w:spacing w:after="0" w:line="185" w:lineRule="exact"/>
        <w:rPr>
          <w:rFonts w:ascii="Arial" w:cs="Arial" w:eastAsia="Arial" w:hAnsi="Arial"/>
          <w:sz w:val="17"/>
          <w:szCs w:val="17"/>
          <w:color w:val="auto"/>
        </w:rPr>
      </w:pPr>
    </w:p>
    <w:p>
      <w:pPr>
        <w:jc w:val="both"/>
        <w:ind w:right="120" w:firstLine="1953"/>
        <w:spacing w:after="0" w:line="259" w:lineRule="auto"/>
        <w:tabs>
          <w:tab w:leader="none" w:pos="2335" w:val="left"/>
        </w:tabs>
        <w:numPr>
          <w:ilvl w:val="2"/>
          <w:numId w:val="50"/>
        </w:numPr>
        <w:rPr>
          <w:rFonts w:ascii="Arial" w:cs="Arial" w:eastAsia="Arial" w:hAnsi="Arial"/>
          <w:sz w:val="18"/>
          <w:szCs w:val="18"/>
          <w:color w:val="auto"/>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84" w:right="259" w:bottom="1440" w:gutter="0" w:footer="0" w:header="0"/>
        </w:sectPr>
      </w:pPr>
    </w:p>
    <w:bookmarkStart w:id="77" w:name="page78"/>
    <w:bookmarkEnd w:id="77"/>
    <w:p>
      <w:pPr>
        <w:ind w:left="-656" w:right="120" w:firstLine="1305"/>
        <w:spacing w:after="0" w:line="259"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left="-656" w:right="60" w:firstLine="1305"/>
        <w:spacing w:after="0" w:line="259" w:lineRule="auto"/>
        <w:tabs>
          <w:tab w:leader="none" w:pos="103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left="-656" w:right="40" w:firstLine="1305"/>
        <w:spacing w:after="0" w:line="257"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8" w:lineRule="exact"/>
        <w:rPr>
          <w:rFonts w:ascii="Arial" w:cs="Arial" w:eastAsia="Arial" w:hAnsi="Arial"/>
          <w:sz w:val="18"/>
          <w:szCs w:val="18"/>
          <w:color w:val="auto"/>
        </w:rPr>
      </w:pPr>
    </w:p>
    <w:p>
      <w:pPr>
        <w:ind w:left="324" w:hanging="324"/>
        <w:spacing w:after="0"/>
        <w:tabs>
          <w:tab w:leader="none" w:pos="32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Conditions to Receipt of Severance</w:t>
      </w:r>
    </w:p>
    <w:p>
      <w:pPr>
        <w:spacing w:after="0" w:line="225" w:lineRule="exact"/>
        <w:rPr>
          <w:rFonts w:ascii="Arial" w:cs="Arial" w:eastAsia="Arial" w:hAnsi="Arial"/>
          <w:sz w:val="18"/>
          <w:szCs w:val="18"/>
          <w:color w:val="auto"/>
        </w:rPr>
      </w:pPr>
    </w:p>
    <w:p>
      <w:pPr>
        <w:ind w:left="-656" w:right="20" w:firstLine="1305"/>
        <w:spacing w:after="0" w:line="255"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xml:space="preserve">.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93" w:lineRule="exact"/>
        <w:rPr>
          <w:rFonts w:ascii="Arial" w:cs="Arial" w:eastAsia="Arial" w:hAnsi="Arial"/>
          <w:sz w:val="18"/>
          <w:szCs w:val="18"/>
          <w:color w:val="auto"/>
        </w:rPr>
      </w:pPr>
    </w:p>
    <w:p>
      <w:pPr>
        <w:ind w:left="-656" w:right="40" w:firstLine="1305"/>
        <w:spacing w:after="0" w:line="259" w:lineRule="auto"/>
        <w:tabs>
          <w:tab w:leader="none" w:pos="103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Invention Assignment Agreements</w:t>
      </w:r>
      <w:r>
        <w:rPr>
          <w:rFonts w:ascii="Arial" w:cs="Arial" w:eastAsia="Arial" w:hAnsi="Arial"/>
          <w:sz w:val="18"/>
          <w:szCs w:val="18"/>
          <w:color w:val="auto"/>
        </w:rPr>
        <w:t>. Executive’s receipt of any payments or benefits under Section 3 (other than the accrued benefits set forth in either Sections 3(a)(i) or 3(b)(i)) will be subject to Executive continuing to comply with the terms of the At-Will Employment, Confidential Information, Invention Assignment, and Arbitration Agreement dated February 13, 2008, between the Company and Executive, as such agreement may be amended from time to time.</w:t>
      </w:r>
    </w:p>
    <w:p>
      <w:pPr>
        <w:spacing w:after="0" w:line="186" w:lineRule="exact"/>
        <w:rPr>
          <w:rFonts w:ascii="Arial" w:cs="Arial" w:eastAsia="Arial" w:hAnsi="Arial"/>
          <w:sz w:val="18"/>
          <w:szCs w:val="18"/>
          <w:color w:val="auto"/>
        </w:rPr>
      </w:pPr>
    </w:p>
    <w:p>
      <w:pPr>
        <w:ind w:left="1024" w:hanging="375"/>
        <w:spacing w:after="0"/>
        <w:tabs>
          <w:tab w:leader="none" w:pos="1024"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6" w:firstLine="1953"/>
        <w:spacing w:after="0" w:line="273" w:lineRule="auto"/>
        <w:tabs>
          <w:tab w:leader="none" w:pos="1638" w:val="left"/>
        </w:tabs>
        <w:numPr>
          <w:ilvl w:val="2"/>
          <w:numId w:val="5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(together, the “</w:t>
      </w:r>
      <w:r>
        <w:rPr>
          <w:rFonts w:ascii="Arial" w:cs="Arial" w:eastAsia="Arial" w:hAnsi="Arial"/>
          <w:sz w:val="17"/>
          <w:szCs w:val="17"/>
          <w:b w:val="1"/>
          <w:bCs w:val="1"/>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Payments</w:t>
      </w:r>
      <w:r>
        <w:rPr>
          <w:rFonts w:ascii="Arial" w:cs="Arial" w:eastAsia="Arial" w:hAnsi="Arial"/>
          <w:sz w:val="17"/>
          <w:szCs w:val="17"/>
          <w:color w:val="auto"/>
        </w:rPr>
        <w:t>”) will be paid or otherwise provided until Executive has a “separation from service” within the meaning of Section 409A. Similarly, no severance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78" w:lineRule="exact"/>
        <w:rPr>
          <w:rFonts w:ascii="Arial" w:cs="Arial" w:eastAsia="Arial" w:hAnsi="Arial"/>
          <w:sz w:val="17"/>
          <w:szCs w:val="17"/>
          <w:color w:val="auto"/>
        </w:rPr>
      </w:pPr>
    </w:p>
    <w:p>
      <w:pPr>
        <w:ind w:left="-656" w:right="80" w:firstLine="1953"/>
        <w:spacing w:after="0" w:line="235" w:lineRule="auto"/>
        <w:tabs>
          <w:tab w:leader="none" w:pos="1688" w:val="left"/>
        </w:tabs>
        <w:numPr>
          <w:ilvl w:val="2"/>
          <w:numId w:val="52"/>
        </w:numPr>
        <w:rPr>
          <w:rFonts w:ascii="Arial" w:cs="Arial" w:eastAsia="Arial" w:hAnsi="Arial"/>
          <w:sz w:val="18"/>
          <w:szCs w:val="18"/>
          <w:color w:val="auto"/>
        </w:rPr>
      </w:pPr>
      <w:r>
        <w:rPr>
          <w:rFonts w:ascii="Arial" w:cs="Arial" w:eastAsia="Arial" w:hAnsi="Arial"/>
          <w:sz w:val="18"/>
          <w:szCs w:val="18"/>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Arial" w:cs="Arial" w:eastAsia="Arial" w:hAnsi="Arial"/>
          <w:sz w:val="25"/>
          <w:szCs w:val="25"/>
          <w:color w:val="auto"/>
          <w:vertAlign w:val="superscript"/>
        </w:rPr>
        <w:t>st</w:t>
      </w:r>
      <w:r>
        <w:rPr>
          <w:rFonts w:ascii="Arial" w:cs="Arial" w:eastAsia="Arial" w:hAnsi="Arial"/>
          <w:sz w:val="18"/>
          <w:szCs w:val="18"/>
          <w:color w:val="auto"/>
        </w:rPr>
        <w:t>) day following Executive’s separation from service, or, if later, such time as required by Section 4(c)(iii). Except as required by Section 4(c)(iii), any</w:t>
      </w:r>
    </w:p>
    <w:p>
      <w:pPr>
        <w:spacing w:after="0" w:line="200" w:lineRule="exact"/>
        <w:rPr>
          <w:sz w:val="20"/>
          <w:szCs w:val="20"/>
          <w:color w:val="auto"/>
        </w:rPr>
      </w:pPr>
    </w:p>
    <w:p>
      <w:pPr>
        <w:spacing w:after="0" w:line="254"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584" w:right="239" w:bottom="1440" w:gutter="0" w:footer="0" w:header="0"/>
        </w:sectPr>
      </w:pPr>
    </w:p>
    <w:bookmarkStart w:id="78" w:name="page79"/>
    <w:bookmarkEnd w:id="78"/>
    <w:p>
      <w:pPr>
        <w:spacing w:after="0" w:line="226" w:lineRule="auto"/>
        <w:rPr>
          <w:sz w:val="20"/>
          <w:szCs w:val="20"/>
          <w:color w:val="auto"/>
        </w:rPr>
      </w:pPr>
      <w:r>
        <w:rPr>
          <w:rFonts w:ascii="Arial" w:cs="Arial" w:eastAsia="Arial" w:hAnsi="Arial"/>
          <w:sz w:val="18"/>
          <w:szCs w:val="18"/>
          <w:color w:val="auto"/>
        </w:rPr>
        <w:t>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25"/>
          <w:szCs w:val="25"/>
          <w:color w:val="auto"/>
          <w:vertAlign w:val="superscript"/>
        </w:rPr>
        <w:t>st</w:t>
      </w:r>
      <w:r>
        <w:rPr>
          <w:rFonts w:ascii="Arial" w:cs="Arial" w:eastAsia="Arial" w:hAnsi="Arial"/>
          <w:sz w:val="18"/>
          <w:szCs w:val="18"/>
          <w:color w:val="auto"/>
        </w:rPr>
        <w:t>) day following Executive’s separation from service and the remaining payments will be made as provided in this Agreement.</w:t>
      </w:r>
    </w:p>
    <w:p>
      <w:pPr>
        <w:spacing w:after="0" w:line="204" w:lineRule="exact"/>
        <w:rPr>
          <w:sz w:val="20"/>
          <w:szCs w:val="20"/>
          <w:color w:val="auto"/>
        </w:rPr>
      </w:pPr>
    </w:p>
    <w:p>
      <w:pPr>
        <w:ind w:right="220" w:firstLine="1953"/>
        <w:spacing w:after="0" w:line="291" w:lineRule="auto"/>
        <w:tabs>
          <w:tab w:leader="none" w:pos="2395" w:val="left"/>
        </w:tabs>
        <w:numPr>
          <w:ilvl w:val="1"/>
          <w:numId w:val="53"/>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60" w:firstLine="8"/>
        <w:spacing w:after="0" w:line="270"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8" w:lineRule="exact"/>
        <w:rPr>
          <w:rFonts w:ascii="Arial" w:cs="Arial" w:eastAsia="Arial" w:hAnsi="Arial"/>
          <w:sz w:val="17"/>
          <w:szCs w:val="17"/>
          <w:color w:val="auto"/>
        </w:rPr>
      </w:pPr>
    </w:p>
    <w:p>
      <w:pPr>
        <w:ind w:left="2380" w:hanging="427"/>
        <w:spacing w:after="0"/>
        <w:tabs>
          <w:tab w:leader="none" w:pos="2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1.409A-1(b)(4) of the Treasury Regulations will not constitute Deferred Payments for purposes of clause (i) above.</w:t>
      </w:r>
    </w:p>
    <w:p>
      <w:pPr>
        <w:spacing w:after="0" w:line="211" w:lineRule="exact"/>
        <w:rPr>
          <w:sz w:val="20"/>
          <w:szCs w:val="20"/>
          <w:color w:val="auto"/>
        </w:rPr>
      </w:pPr>
    </w:p>
    <w:p>
      <w:pPr>
        <w:ind w:right="40" w:firstLine="1953"/>
        <w:spacing w:after="0" w:line="264" w:lineRule="auto"/>
        <w:tabs>
          <w:tab w:leader="none" w:pos="2325" w:val="left"/>
        </w:tabs>
        <w:numPr>
          <w:ilvl w:val="3"/>
          <w:numId w:val="56"/>
        </w:numPr>
        <w:rPr>
          <w:rFonts w:ascii="Arial" w:cs="Arial" w:eastAsia="Arial" w:hAnsi="Arial"/>
          <w:sz w:val="18"/>
          <w:szCs w:val="18"/>
          <w:color w:val="auto"/>
        </w:rPr>
      </w:pPr>
      <w:r>
        <w:rPr>
          <w:rFonts w:ascii="Arial" w:cs="Arial" w:eastAsia="Arial" w:hAnsi="Arial"/>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1" w:lineRule="exact"/>
        <w:rPr>
          <w:rFonts w:ascii="Arial" w:cs="Arial" w:eastAsia="Arial" w:hAnsi="Arial"/>
          <w:sz w:val="18"/>
          <w:szCs w:val="18"/>
          <w:color w:val="auto"/>
        </w:rPr>
      </w:pPr>
    </w:p>
    <w:p>
      <w:pPr>
        <w:ind w:right="360" w:firstLine="1953"/>
        <w:spacing w:after="0" w:line="257" w:lineRule="auto"/>
        <w:tabs>
          <w:tab w:leader="none" w:pos="2381" w:val="left"/>
        </w:tabs>
        <w:numPr>
          <w:ilvl w:val="3"/>
          <w:numId w:val="56"/>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46" w:lineRule="exact"/>
        <w:rPr>
          <w:rFonts w:ascii="Arial" w:cs="Arial" w:eastAsia="Arial" w:hAnsi="Arial"/>
          <w:sz w:val="16"/>
          <w:szCs w:val="16"/>
          <w:color w:val="auto"/>
        </w:rPr>
      </w:pPr>
    </w:p>
    <w:p>
      <w:pPr>
        <w:ind w:right="620" w:firstLine="8"/>
        <w:spacing w:after="0" w:line="261"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83" w:lineRule="exact"/>
        <w:rPr>
          <w:rFonts w:ascii="Arial" w:cs="Arial" w:eastAsia="Arial" w:hAnsi="Arial"/>
          <w:sz w:val="18"/>
          <w:szCs w:val="18"/>
          <w:color w:val="auto"/>
        </w:rPr>
      </w:pPr>
    </w:p>
    <w:p>
      <w:pPr>
        <w:ind w:left="1680" w:hanging="375"/>
        <w:spacing w:after="0"/>
        <w:tabs>
          <w:tab w:leader="none" w:pos="1680" w:val="left"/>
        </w:tabs>
        <w:numPr>
          <w:ilvl w:val="2"/>
          <w:numId w:val="58"/>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right="40" w:firstLine="1305"/>
        <w:spacing w:after="0" w:line="284" w:lineRule="auto"/>
        <w:tabs>
          <w:tab w:leader="none" w:pos="1686" w:val="left"/>
        </w:tabs>
        <w:numPr>
          <w:ilvl w:val="2"/>
          <w:numId w:val="58"/>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w:t>
      </w:r>
    </w:p>
    <w:p>
      <w:pPr>
        <w:spacing w:after="0" w:line="4"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(iv) reduction of employee benefits. In the event that acceleration of vesting of equity award compensation is to be reduced, such acceleration of vesting will be cancelled in the reverse order of the date of grant of Executive’s equity awards.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84" w:right="239" w:bottom="1440" w:gutter="0" w:footer="0" w:header="0"/>
        </w:sectPr>
      </w:pPr>
    </w:p>
    <w:bookmarkStart w:id="79" w:name="page80"/>
    <w:bookmarkEnd w:id="79"/>
    <w:p>
      <w:pPr>
        <w:ind w:firstLine="648"/>
        <w:spacing w:after="0" w:line="255"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mean:</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2"/>
          <w:numId w:val="59"/>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360" w:hanging="407"/>
        <w:spacing w:after="0"/>
        <w:tabs>
          <w:tab w:leader="none" w:pos="23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Executive’s commission of a gross misconduct which is injurious to the Company;</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59"/>
        </w:numPr>
        <w:rPr>
          <w:rFonts w:ascii="Arial" w:cs="Arial" w:eastAsia="Arial" w:hAnsi="Arial"/>
          <w:sz w:val="18"/>
          <w:szCs w:val="18"/>
          <w:color w:val="auto"/>
        </w:rPr>
      </w:pPr>
      <w:r>
        <w:rPr>
          <w:rFonts w:ascii="Arial" w:cs="Arial" w:eastAsia="Arial" w:hAnsi="Arial"/>
          <w:sz w:val="18"/>
          <w:szCs w:val="18"/>
          <w:color w:val="auto"/>
        </w:rPr>
        <w:t>Executive’s breach of a material provision of any agreement between Executive and the Company;</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48" w:lineRule="exact"/>
        <w:rPr>
          <w:rFonts w:ascii="Arial" w:cs="Arial" w:eastAsia="Arial" w:hAnsi="Arial"/>
          <w:sz w:val="16"/>
          <w:szCs w:val="16"/>
          <w:color w:val="auto"/>
        </w:rPr>
      </w:pPr>
    </w:p>
    <w:p>
      <w:pPr>
        <w:ind w:left="2340" w:hanging="387"/>
        <w:spacing w:after="0"/>
        <w:tabs>
          <w:tab w:leader="none" w:pos="2340" w:val="left"/>
        </w:tabs>
        <w:numPr>
          <w:ilvl w:val="2"/>
          <w:numId w:val="59"/>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or</w:t>
      </w:r>
    </w:p>
    <w:p>
      <w:pPr>
        <w:spacing w:after="0" w:line="210" w:lineRule="exact"/>
        <w:rPr>
          <w:rFonts w:ascii="Arial" w:cs="Arial" w:eastAsia="Arial" w:hAnsi="Arial"/>
          <w:sz w:val="17"/>
          <w:szCs w:val="17"/>
          <w:color w:val="auto"/>
        </w:rPr>
      </w:pPr>
    </w:p>
    <w:p>
      <w:pPr>
        <w:ind w:right="200" w:firstLine="1953"/>
        <w:spacing w:after="0" w:line="277" w:lineRule="auto"/>
        <w:tabs>
          <w:tab w:leader="none" w:pos="2385" w:val="left"/>
        </w:tabs>
        <w:numPr>
          <w:ilvl w:val="2"/>
          <w:numId w:val="59"/>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66" w:lineRule="exact"/>
        <w:rPr>
          <w:sz w:val="20"/>
          <w:szCs w:val="20"/>
          <w:color w:val="auto"/>
        </w:rPr>
      </w:pPr>
    </w:p>
    <w:p>
      <w:pPr>
        <w:ind w:left="1700" w:hanging="395"/>
        <w:spacing w:after="0"/>
        <w:tabs>
          <w:tab w:leader="none" w:pos="17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1953"/>
        <w:spacing w:after="0" w:line="257" w:lineRule="auto"/>
        <w:tabs>
          <w:tab w:leader="none" w:pos="228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584" w:right="259" w:bottom="1440" w:gutter="0" w:footer="0" w:header="0"/>
        </w:sectPr>
      </w:pPr>
    </w:p>
    <w:bookmarkStart w:id="80" w:name="page81"/>
    <w:bookmarkEnd w:id="80"/>
    <w:p>
      <w:pPr>
        <w:ind w:right="80" w:firstLine="1953"/>
        <w:spacing w:after="0" w:line="279" w:lineRule="auto"/>
        <w:tabs>
          <w:tab w:leader="none" w:pos="23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1" w:lineRule="exact"/>
        <w:rPr>
          <w:rFonts w:ascii="Arial" w:cs="Arial" w:eastAsia="Arial" w:hAnsi="Arial"/>
          <w:sz w:val="17"/>
          <w:szCs w:val="17"/>
          <w:color w:val="auto"/>
        </w:rPr>
      </w:pPr>
    </w:p>
    <w:p>
      <w:pPr>
        <w:ind w:firstLine="1953"/>
        <w:spacing w:after="0" w:line="287" w:lineRule="auto"/>
        <w:tabs>
          <w:tab w:leader="none" w:pos="23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3" w:lineRule="exact"/>
        <w:rPr>
          <w:sz w:val="20"/>
          <w:szCs w:val="20"/>
          <w:color w:val="auto"/>
        </w:rPr>
      </w:pPr>
    </w:p>
    <w:p>
      <w:pPr>
        <w:ind w:right="280" w:firstLine="1945"/>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firstLine="1945"/>
        <w:spacing w:after="0" w:line="286"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left="1680" w:hanging="375"/>
        <w:spacing w:after="0"/>
        <w:tabs>
          <w:tab w:leader="none" w:pos="168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months following, a Change of Control.</w:t>
      </w:r>
    </w:p>
    <w:p>
      <w:pPr>
        <w:spacing w:after="0" w:line="210" w:lineRule="exact"/>
        <w:rPr>
          <w:rFonts w:ascii="Arial" w:cs="Arial" w:eastAsia="Arial" w:hAnsi="Arial"/>
          <w:sz w:val="18"/>
          <w:szCs w:val="18"/>
          <w:color w:val="auto"/>
        </w:rPr>
      </w:pPr>
    </w:p>
    <w:p>
      <w:pPr>
        <w:ind w:left="1700" w:hanging="395"/>
        <w:spacing w:after="0"/>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will mean the Internal Revenue Code of 1986, as amended.</w:t>
      </w:r>
    </w:p>
    <w:p>
      <w:pPr>
        <w:spacing w:after="0" w:line="225" w:lineRule="exact"/>
        <w:rPr>
          <w:rFonts w:ascii="Arial" w:cs="Arial" w:eastAsia="Arial" w:hAnsi="Arial"/>
          <w:sz w:val="18"/>
          <w:szCs w:val="18"/>
          <w:color w:val="auto"/>
        </w:rPr>
      </w:pPr>
    </w:p>
    <w:p>
      <w:pPr>
        <w:ind w:right="180" w:firstLine="1305"/>
        <w:spacing w:after="0" w:line="293" w:lineRule="auto"/>
        <w:tabs>
          <w:tab w:leader="none" w:pos="1676"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4" w:lineRule="exact"/>
        <w:rPr>
          <w:rFonts w:ascii="Arial" w:cs="Arial" w:eastAsia="Arial" w:hAnsi="Arial"/>
          <w:sz w:val="16"/>
          <w:szCs w:val="16"/>
          <w:color w:val="auto"/>
        </w:rPr>
      </w:pPr>
    </w:p>
    <w:p>
      <w:pPr>
        <w:ind w:right="300" w:firstLine="1305"/>
        <w:spacing w:after="0" w:line="277" w:lineRule="auto"/>
        <w:tabs>
          <w:tab w:leader="none" w:pos="1656"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will mean Executive’s outstanding stock options, stock appreciation rights, restricted stock units, performance shares, performance stock units and any other Company equity compensation awards.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84" w:right="239" w:bottom="1440" w:gutter="0" w:footer="0" w:header="0"/>
        </w:sectPr>
      </w:pPr>
    </w:p>
    <w:bookmarkStart w:id="81" w:name="page82"/>
    <w:bookmarkEnd w:id="81"/>
    <w:p>
      <w:pPr>
        <w:ind w:right="60" w:firstLine="1305"/>
        <w:spacing w:after="0" w:line="277" w:lineRule="auto"/>
        <w:tabs>
          <w:tab w:leader="none" w:pos="1686"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70" w:lineRule="exact"/>
        <w:rPr>
          <w:rFonts w:ascii="Arial" w:cs="Arial" w:eastAsia="Arial" w:hAnsi="Arial"/>
          <w:sz w:val="18"/>
          <w:szCs w:val="18"/>
          <w:color w:val="auto"/>
        </w:rPr>
      </w:pPr>
    </w:p>
    <w:p>
      <w:pPr>
        <w:ind w:right="740" w:firstLine="1953"/>
        <w:spacing w:after="0" w:line="277" w:lineRule="auto"/>
        <w:tabs>
          <w:tab w:leader="none" w:pos="229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material reduction of Executive’s authorities, duties or responsibilities relative to Executive’s authorities, duties or responsibilities in effect immediately prior to such reduction;</w:t>
      </w:r>
    </w:p>
    <w:p>
      <w:pPr>
        <w:spacing w:after="0" w:line="170" w:lineRule="exact"/>
        <w:rPr>
          <w:rFonts w:ascii="Arial" w:cs="Arial" w:eastAsia="Arial" w:hAnsi="Arial"/>
          <w:sz w:val="18"/>
          <w:szCs w:val="18"/>
          <w:color w:val="auto"/>
        </w:rPr>
      </w:pPr>
    </w:p>
    <w:p>
      <w:pPr>
        <w:ind w:right="80" w:firstLine="1953"/>
        <w:spacing w:after="0" w:line="277" w:lineRule="auto"/>
        <w:tabs>
          <w:tab w:leader="none" w:pos="2345"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fifty (50) miles; or</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successor of the Company as set forth in Section 7(a) hereof does not assume this Agreement.</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jc w:val="both"/>
        <w:ind w:firstLine="1305"/>
        <w:spacing w:after="0" w:line="257" w:lineRule="auto"/>
        <w:tabs>
          <w:tab w:leader="none" w:pos="168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Section 409A Limit</w:t>
      </w:r>
      <w:r>
        <w:rPr>
          <w:rFonts w:ascii="Arial" w:cs="Arial" w:eastAsia="Arial" w:hAnsi="Arial"/>
          <w:sz w:val="18"/>
          <w:szCs w:val="18"/>
          <w:color w:val="auto"/>
        </w:rPr>
        <w:t>. “</w:t>
      </w:r>
      <w:r>
        <w:rPr>
          <w:rFonts w:ascii="Arial" w:cs="Arial" w:eastAsia="Arial" w:hAnsi="Arial"/>
          <w:sz w:val="18"/>
          <w:szCs w:val="18"/>
          <w:b w:val="1"/>
          <w:bCs w:val="1"/>
          <w:i w:val="1"/>
          <w:iCs w:val="1"/>
          <w:color w:val="auto"/>
        </w:rPr>
        <w:t>Section 409A Limit</w:t>
      </w:r>
      <w:r>
        <w:rPr>
          <w:rFonts w:ascii="Arial" w:cs="Arial" w:eastAsia="Arial" w:hAnsi="Arial"/>
          <w:sz w:val="18"/>
          <w:szCs w:val="18"/>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55" w:lineRule="auto"/>
        <w:tabs>
          <w:tab w:leader="none" w:pos="1676"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3" w:lineRule="exact"/>
        <w:rPr>
          <w:rFonts w:ascii="Arial" w:cs="Arial" w:eastAsia="Arial" w:hAnsi="Arial"/>
          <w:sz w:val="18"/>
          <w:szCs w:val="18"/>
          <w:color w:val="auto"/>
        </w:rPr>
      </w:pPr>
    </w:p>
    <w:p>
      <w:pPr>
        <w:ind w:right="620" w:firstLine="1305"/>
        <w:spacing w:after="0" w:line="342" w:lineRule="auto"/>
        <w:tabs>
          <w:tab w:leader="none" w:pos="1686"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312" w:lineRule="auto"/>
        <w:tabs>
          <w:tab w:leader="none" w:pos="1676"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w:t>
      </w:r>
    </w:p>
    <w:p>
      <w:pPr>
        <w:spacing w:after="0" w:line="39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584" w:right="259" w:bottom="1440" w:gutter="0" w:footer="0" w:header="0"/>
        </w:sectPr>
      </w:pPr>
    </w:p>
    <w:bookmarkStart w:id="82" w:name="page83"/>
    <w:bookmarkEnd w:id="82"/>
    <w:p>
      <w:pPr>
        <w:ind w:right="60"/>
        <w:spacing w:after="0" w:line="259" w:lineRule="auto"/>
        <w:rPr>
          <w:sz w:val="20"/>
          <w:szCs w:val="20"/>
          <w:color w:val="auto"/>
        </w:rPr>
      </w:pPr>
      <w:r>
        <w:rPr>
          <w:rFonts w:ascii="Arial" w:cs="Arial" w:eastAsia="Arial" w:hAnsi="Arial"/>
          <w:sz w:val="18"/>
          <w:szCs w:val="18"/>
          <w:color w:val="auto"/>
        </w:rPr>
        <w:t>will be sent to the e-mail address or addressed to Executive at the home address, in either case which Executive most recently communicated to the Company in writing. In the case of the Company, electronic notices will be sent to the e-mail address of the Chairman of the Board of Directors and the General Counsel and mailed notices will be addressed to its corporate headquarters, and all notices will be directed to the attention of its Board of Directors and General Counsel.</w:t>
      </w:r>
    </w:p>
    <w:p>
      <w:pPr>
        <w:spacing w:after="0" w:line="187" w:lineRule="exact"/>
        <w:rPr>
          <w:sz w:val="20"/>
          <w:szCs w:val="20"/>
          <w:color w:val="auto"/>
        </w:rPr>
      </w:pPr>
    </w:p>
    <w:p>
      <w:pPr>
        <w:jc w:val="both"/>
        <w:ind w:right="300" w:firstLine="1305"/>
        <w:spacing w:after="0" w:line="302" w:lineRule="auto"/>
        <w:tabs>
          <w:tab w:leader="none" w:pos="1686" w:val="left"/>
        </w:tabs>
        <w:numPr>
          <w:ilvl w:val="1"/>
          <w:numId w:val="67"/>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4" w:lineRule="exact"/>
        <w:rPr>
          <w:rFonts w:ascii="Arial" w:cs="Arial" w:eastAsia="Arial" w:hAnsi="Arial"/>
          <w:sz w:val="16"/>
          <w:szCs w:val="16"/>
          <w:color w:val="auto"/>
        </w:rPr>
      </w:pPr>
    </w:p>
    <w:p>
      <w:pPr>
        <w:ind w:right="420" w:firstLine="656"/>
        <w:spacing w:after="0" w:line="312" w:lineRule="auto"/>
        <w:tabs>
          <w:tab w:leader="none" w:pos="96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46" w:lineRule="exact"/>
        <w:rPr>
          <w:rFonts w:ascii="Arial" w:cs="Arial" w:eastAsia="Arial" w:hAnsi="Arial"/>
          <w:sz w:val="16"/>
          <w:szCs w:val="16"/>
          <w:color w:val="auto"/>
        </w:rPr>
      </w:pPr>
    </w:p>
    <w:p>
      <w:pPr>
        <w:ind w:left="1060" w:hanging="40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100" w:firstLine="1305"/>
        <w:spacing w:after="0" w:line="273" w:lineRule="auto"/>
        <w:tabs>
          <w:tab w:leader="none" w:pos="1676"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In consideration of Executive’s employment with the Company, its promise to arbitrate all employment</w:t>
      </w:r>
      <w:r>
        <w:rPr>
          <w:rFonts w:ascii="Arial" w:cs="Arial" w:eastAsia="Arial" w:hAnsi="Arial"/>
          <w:sz w:val="17"/>
          <w:szCs w:val="17"/>
          <w:b w:val="1"/>
          <w:bCs w:val="1"/>
          <w:color w:val="auto"/>
        </w:rPr>
        <w:t>-</w:t>
      </w:r>
      <w:r>
        <w:rPr>
          <w:rFonts w:ascii="Arial" w:cs="Arial" w:eastAsia="Arial" w:hAnsi="Arial"/>
          <w:sz w:val="17"/>
          <w:szCs w:val="17"/>
          <w:color w:val="auto"/>
        </w:rPr>
        <w: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and pursuant to California law. The Federal Arbitration Act will also apply with full force and effect, notwithstanding the application of procedural rules set forth under the Act.</w:t>
      </w:r>
    </w:p>
    <w:p>
      <w:pPr>
        <w:spacing w:after="0" w:line="172" w:lineRule="exact"/>
        <w:rPr>
          <w:rFonts w:ascii="Arial" w:cs="Arial" w:eastAsia="Arial" w:hAnsi="Arial"/>
          <w:sz w:val="17"/>
          <w:szCs w:val="17"/>
          <w:color w:val="auto"/>
        </w:rPr>
      </w:pPr>
    </w:p>
    <w:p>
      <w:pPr>
        <w:ind w:firstLine="1305"/>
        <w:spacing w:after="0" w:line="295" w:lineRule="auto"/>
        <w:tabs>
          <w:tab w:leader="none" w:pos="1686"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w:t>
      </w:r>
      <w:r>
        <w:rPr>
          <w:rFonts w:ascii="Arial" w:cs="Arial" w:eastAsia="Arial" w:hAnsi="Arial"/>
          <w:sz w:val="16"/>
          <w:szCs w:val="16"/>
          <w:b w:val="1"/>
          <w:bCs w:val="1"/>
          <w:color w:val="auto"/>
        </w:rPr>
        <w:t>Disputes that Executive agrees to arbitrate, and thereby agrees to waive any right to a trial by jury, include</w:t>
      </w:r>
      <w:r>
        <w:rPr>
          <w:rFonts w:ascii="Arial" w:cs="Arial" w:eastAsia="Arial" w:hAnsi="Arial"/>
          <w:sz w:val="16"/>
          <w:szCs w:val="16"/>
          <w:color w:val="auto"/>
        </w:rPr>
        <w:t xml:space="preserve"> </w:t>
      </w:r>
      <w:r>
        <w:rPr>
          <w:rFonts w:ascii="Arial" w:cs="Arial" w:eastAsia="Arial" w:hAnsi="Arial"/>
          <w:sz w:val="16"/>
          <w:szCs w:val="16"/>
          <w:b w:val="1"/>
          <w:bCs w:val="1"/>
          <w:color w:val="auto"/>
        </w:rPr>
        <w:t>any statutory claims under local, state, or federal law</w:t>
      </w:r>
      <w:r>
        <w:rPr>
          <w:rFonts w:ascii="Arial" w:cs="Arial" w:eastAsia="Arial" w:hAnsi="Arial"/>
          <w:sz w:val="16"/>
          <w:szCs w:val="16"/>
          <w:color w:val="auto"/>
        </w:rPr>
        <w:t>, including, but not limited to, claims under Title VII of the Civil Rights Act of 1964, the Americans</w:t>
      </w:r>
      <w:r>
        <w:rPr>
          <w:rFonts w:ascii="Arial" w:cs="Arial" w:eastAsia="Arial" w:hAnsi="Arial"/>
          <w:sz w:val="16"/>
          <w:szCs w:val="16"/>
          <w:b w:val="1"/>
          <w:bCs w:val="1"/>
          <w:color w:val="auto"/>
        </w:rPr>
        <w:t xml:space="preserve"> </w:t>
      </w:r>
      <w:r>
        <w:rPr>
          <w:rFonts w:ascii="Arial" w:cs="Arial" w:eastAsia="Arial" w:hAnsi="Arial"/>
          <w:sz w:val="16"/>
          <w:szCs w:val="16"/>
          <w:color w:val="auto"/>
        </w:rPr>
        <w:t>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59" w:lineRule="exact"/>
        <w:rPr>
          <w:rFonts w:ascii="Arial" w:cs="Arial" w:eastAsia="Arial" w:hAnsi="Arial"/>
          <w:sz w:val="16"/>
          <w:szCs w:val="16"/>
          <w:color w:val="auto"/>
        </w:rPr>
      </w:pPr>
    </w:p>
    <w:p>
      <w:pPr>
        <w:ind w:left="1680" w:hanging="375"/>
        <w:spacing w:after="0"/>
        <w:tabs>
          <w:tab w:leader="none" w:pos="16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Executive agrees that any arbitration will be administered by the Judicial Arbitration &amp; Mediation Services,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b w:val="1"/>
          <w:bCs w:val="1"/>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84" w:right="239" w:bottom="1440" w:gutter="0" w:footer="0" w:header="0"/>
        </w:sectPr>
      </w:pPr>
    </w:p>
    <w:bookmarkStart w:id="83" w:name="page84"/>
    <w:bookmarkEnd w:id="83"/>
    <w:p>
      <w:pPr>
        <w:ind w:right="320"/>
        <w:spacing w:after="0" w:line="277" w:lineRule="auto"/>
        <w:rPr>
          <w:sz w:val="20"/>
          <w:szCs w:val="20"/>
          <w:color w:val="auto"/>
        </w:rPr>
      </w:pPr>
      <w:r>
        <w:rPr>
          <w:rFonts w:ascii="Arial" w:cs="Arial" w:eastAsia="Arial" w:hAnsi="Arial"/>
          <w:sz w:val="18"/>
          <w:szCs w:val="18"/>
          <w:color w:val="auto"/>
        </w:rPr>
        <w:t>law will take precedence. The decision of the arbitrator will be in writing. Any arbitration under this Agreement will be conducted in San Mateo County, California.</w:t>
      </w:r>
    </w:p>
    <w:p>
      <w:pPr>
        <w:spacing w:after="0" w:line="170" w:lineRule="exact"/>
        <w:rPr>
          <w:sz w:val="20"/>
          <w:szCs w:val="20"/>
          <w:color w:val="auto"/>
        </w:rPr>
      </w:pPr>
    </w:p>
    <w:p>
      <w:pPr>
        <w:ind w:right="80" w:firstLine="1305"/>
        <w:spacing w:after="0" w:line="257" w:lineRule="auto"/>
        <w:tabs>
          <w:tab w:leader="none" w:pos="168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xml:space="preserve">. Except as provided by the Act, arbitration will be the sole, exclusive, and final remedy for any dispute between Executive and the Company. </w:t>
      </w:r>
      <w:r>
        <w:rPr>
          <w:rFonts w:ascii="Arial" w:cs="Arial" w:eastAsia="Arial" w:hAnsi="Arial"/>
          <w:sz w:val="18"/>
          <w:szCs w:val="18"/>
          <w:b w:val="1"/>
          <w:bCs w:val="1"/>
          <w:color w:val="auto"/>
        </w:rPr>
        <w:t>Accordingly, except as provided by the Act and this Agreement, neither Executive nor the Company will be permitted to pursue</w:t>
      </w:r>
      <w:r>
        <w:rPr>
          <w:rFonts w:ascii="Arial" w:cs="Arial" w:eastAsia="Arial" w:hAnsi="Arial"/>
          <w:sz w:val="18"/>
          <w:szCs w:val="18"/>
          <w:color w:val="auto"/>
        </w:rPr>
        <w:t xml:space="preserve"> </w:t>
      </w:r>
      <w:r>
        <w:rPr>
          <w:rFonts w:ascii="Arial" w:cs="Arial" w:eastAsia="Arial" w:hAnsi="Arial"/>
          <w:sz w:val="18"/>
          <w:szCs w:val="18"/>
          <w:b w:val="1"/>
          <w:bCs w:val="1"/>
          <w:color w:val="auto"/>
        </w:rPr>
        <w:t>court action regarding claims that are subject to arbitration</w:t>
      </w:r>
      <w:r>
        <w:rPr>
          <w:rFonts w:ascii="Arial" w:cs="Arial" w:eastAsia="Arial" w:hAnsi="Arial"/>
          <w:sz w:val="18"/>
          <w:szCs w:val="18"/>
          <w:color w:val="auto"/>
        </w:rPr>
        <w:t>. Notwithstanding, the arbitrator will not have the authority to disregard or refuse to enforce</w:t>
      </w:r>
      <w:r>
        <w:rPr>
          <w:rFonts w:ascii="Arial" w:cs="Arial" w:eastAsia="Arial" w:hAnsi="Arial"/>
          <w:sz w:val="18"/>
          <w:szCs w:val="18"/>
          <w:b w:val="1"/>
          <w:bCs w:val="1"/>
          <w:color w:val="auto"/>
        </w:rPr>
        <w:t xml:space="preserve"> </w:t>
      </w:r>
      <w:r>
        <w:rPr>
          <w:rFonts w:ascii="Arial" w:cs="Arial" w:eastAsia="Arial" w:hAnsi="Arial"/>
          <w:sz w:val="18"/>
          <w:szCs w:val="18"/>
          <w:color w:val="auto"/>
        </w:rPr>
        <w:t>any lawful Company policy, and the arbitrator will not order or require the Company to adopt a policy not otherwise required by law which the Company has not adopted.</w:t>
      </w:r>
    </w:p>
    <w:p>
      <w:pPr>
        <w:spacing w:after="0" w:line="188" w:lineRule="exact"/>
        <w:rPr>
          <w:rFonts w:ascii="Arial" w:cs="Arial" w:eastAsia="Arial" w:hAnsi="Arial"/>
          <w:sz w:val="18"/>
          <w:szCs w:val="18"/>
          <w:color w:val="auto"/>
        </w:rPr>
      </w:pPr>
    </w:p>
    <w:p>
      <w:pPr>
        <w:ind w:right="120" w:firstLine="1305"/>
        <w:spacing w:after="0" w:line="259" w:lineRule="auto"/>
        <w:tabs>
          <w:tab w:leader="none" w:pos="1676"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Administrative Relief</w:t>
      </w:r>
      <w:r>
        <w:rPr>
          <w:rFonts w:ascii="Arial" w:cs="Arial" w:eastAsia="Arial" w:hAnsi="Arial"/>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86" w:lineRule="exact"/>
        <w:rPr>
          <w:rFonts w:ascii="Arial" w:cs="Arial" w:eastAsia="Arial" w:hAnsi="Arial"/>
          <w:sz w:val="18"/>
          <w:szCs w:val="18"/>
          <w:color w:val="auto"/>
        </w:rPr>
      </w:pPr>
    </w:p>
    <w:p>
      <w:pPr>
        <w:ind w:right="80" w:firstLine="1305"/>
        <w:spacing w:after="0" w:line="276" w:lineRule="auto"/>
        <w:tabs>
          <w:tab w:leader="none" w:pos="1656" w:val="left"/>
        </w:tabs>
        <w:numPr>
          <w:ilvl w:val="1"/>
          <w:numId w:val="69"/>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b w:val="1"/>
          <w:bCs w:val="1"/>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172" w:lineRule="exact"/>
        <w:rPr>
          <w:rFonts w:ascii="Arial" w:cs="Arial" w:eastAsia="Arial" w:hAnsi="Arial"/>
          <w:sz w:val="17"/>
          <w:szCs w:val="17"/>
          <w:color w:val="auto"/>
        </w:rPr>
      </w:pPr>
    </w:p>
    <w:p>
      <w:pPr>
        <w:ind w:left="1060" w:hanging="40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7" w:lineRule="auto"/>
        <w:tabs>
          <w:tab w:leader="none" w:pos="167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70" w:lineRule="exact"/>
        <w:rPr>
          <w:rFonts w:ascii="Arial" w:cs="Arial" w:eastAsia="Arial" w:hAnsi="Arial"/>
          <w:sz w:val="18"/>
          <w:szCs w:val="18"/>
          <w:color w:val="auto"/>
        </w:rPr>
      </w:pPr>
    </w:p>
    <w:p>
      <w:pPr>
        <w:ind w:firstLine="1305"/>
        <w:spacing w:after="0" w:line="259" w:lineRule="auto"/>
        <w:tabs>
          <w:tab w:leader="none" w:pos="1686"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680" w:hanging="375"/>
        <w:spacing w:after="0"/>
        <w:tabs>
          <w:tab w:leader="none" w:pos="168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1305"/>
        <w:spacing w:after="0" w:line="270" w:lineRule="auto"/>
        <w:tabs>
          <w:tab w:leader="none" w:pos="1686"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and any rights to extended post-termination exercise period, severance and/or change of control benefits set forth in Executive’s Employment Agreement dated February 15, 2008 and amendments thereto dated December 22, 2008 and March 11, 2009, Executive’s Restricted Stock Purchase Agreement under the 2008 Stock Plan dated February 15, 2008, Executive’s Stock Option Agreement — Early Exercise under the 2008 Stock Plan dated February 3, 2010 and amendment thereto dated December 6, 2010, Executive’s Stock Option Agreement — Early Exercise under the 2008 Stock Plan dated September 28, 2010, Executive’s Stock Option Agreement under the 2008 Stock Plan dated February 23, 2011, and Executive’s Stock Option Agreement under the 2008 Stock Plan dated March 10, 2012. No waiver, alteration, or modification of any of the provisions of this Agreement will be binding unless in writing and signed by duly authorized representatives of the parties hereto and which specifically mention this Agreement.</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84" w:right="239" w:bottom="1440" w:gutter="0" w:footer="0" w:header="0"/>
        </w:sectPr>
      </w:pPr>
    </w:p>
    <w:bookmarkStart w:id="84" w:name="page85"/>
    <w:bookmarkEnd w:id="84"/>
    <w:p>
      <w:pPr>
        <w:ind w:firstLine="1305"/>
        <w:spacing w:after="0" w:line="302" w:lineRule="auto"/>
        <w:tabs>
          <w:tab w:leader="none" w:pos="1676"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4" w:lineRule="exact"/>
        <w:rPr>
          <w:rFonts w:ascii="Arial" w:cs="Arial" w:eastAsia="Arial" w:hAnsi="Arial"/>
          <w:sz w:val="16"/>
          <w:szCs w:val="16"/>
          <w:color w:val="auto"/>
        </w:rPr>
      </w:pPr>
    </w:p>
    <w:p>
      <w:pPr>
        <w:ind w:right="620" w:firstLine="1305"/>
        <w:spacing w:after="0" w:line="277" w:lineRule="auto"/>
        <w:tabs>
          <w:tab w:leader="none" w:pos="165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All payments made pursuant to this Agreement will be subject to withholding of applicable income, employment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other taxes.</w:t>
      </w:r>
    </w:p>
    <w:p>
      <w:pPr>
        <w:spacing w:after="0" w:line="210" w:lineRule="exact"/>
        <w:rPr>
          <w:rFonts w:ascii="Arial" w:cs="Arial" w:eastAsia="Arial" w:hAnsi="Arial"/>
          <w:sz w:val="16"/>
          <w:szCs w:val="16"/>
          <w:color w:val="auto"/>
        </w:rPr>
      </w:pPr>
    </w:p>
    <w:p>
      <w:pPr>
        <w:ind w:right="160" w:firstLine="1305"/>
        <w:spacing w:after="0" w:line="277" w:lineRule="auto"/>
        <w:tabs>
          <w:tab w:leader="none" w:pos="1686"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584" w:right="279" w:bottom="1440" w:gutter="0" w:footer="0" w:header="0"/>
        </w:sectPr>
      </w:pPr>
    </w:p>
    <w:bookmarkStart w:id="85" w:name="page86"/>
    <w:bookmarkEnd w:id="85"/>
    <w:p>
      <w:pPr>
        <w:ind w:right="100"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director or officer, as of the day and year set forth below.</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COMPANY</w:t>
            </w:r>
          </w:p>
        </w:tc>
        <w:tc>
          <w:tcPr>
            <w:tcW w:w="9420" w:type="dxa"/>
            <w:vAlign w:val="bottom"/>
            <w:gridSpan w:val="2"/>
          </w:tcPr>
          <w:p>
            <w:pPr>
              <w:ind w:left="3700"/>
              <w:spacing w:after="0"/>
              <w:rPr>
                <w:sz w:val="20"/>
                <w:szCs w:val="20"/>
                <w:color w:val="auto"/>
              </w:rPr>
            </w:pPr>
            <w:r>
              <w:rPr>
                <w:rFonts w:ascii="Arial" w:cs="Arial" w:eastAsia="Arial" w:hAnsi="Arial"/>
                <w:sz w:val="18"/>
                <w:szCs w:val="18"/>
                <w:color w:val="auto"/>
              </w:rPr>
              <w:t>VERACYTE, INC.</w:t>
            </w:r>
          </w:p>
        </w:tc>
        <w:tc>
          <w:tcPr>
            <w:tcW w:w="0" w:type="dxa"/>
            <w:vAlign w:val="bottom"/>
          </w:tcPr>
          <w:p>
            <w:pPr>
              <w:spacing w:after="0"/>
              <w:rPr>
                <w:sz w:val="1"/>
                <w:szCs w:val="1"/>
                <w:color w:val="auto"/>
              </w:rPr>
            </w:pPr>
          </w:p>
        </w:tc>
      </w:tr>
      <w:tr>
        <w:trPr>
          <w:trHeight w:val="864"/>
        </w:trPr>
        <w:tc>
          <w:tcPr>
            <w:tcW w:w="132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By:</w:t>
            </w:r>
          </w:p>
        </w:tc>
        <w:tc>
          <w:tcPr>
            <w:tcW w:w="468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Title:</w:t>
            </w:r>
          </w:p>
        </w:tc>
        <w:tc>
          <w:tcPr>
            <w:tcW w:w="4680" w:type="dxa"/>
            <w:vAlign w:val="bottom"/>
          </w:tcPr>
          <w:p>
            <w:pPr>
              <w:ind w:left="80"/>
              <w:spacing w:after="0"/>
              <w:rPr>
                <w:sz w:val="20"/>
                <w:szCs w:val="20"/>
                <w:color w:val="auto"/>
              </w:rPr>
            </w:pPr>
            <w:r>
              <w:rPr>
                <w:rFonts w:ascii="Arial" w:cs="Arial" w:eastAsia="Arial" w:hAnsi="Arial"/>
                <w:sz w:val="18"/>
                <w:szCs w:val="18"/>
                <w:color w:val="auto"/>
              </w:rPr>
              <w:t>Chief Operating Officer and Chief Financial Officer</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Date:</w:t>
            </w:r>
          </w:p>
        </w:tc>
        <w:tc>
          <w:tcPr>
            <w:tcW w:w="4680" w:type="dxa"/>
            <w:vAlign w:val="bottom"/>
          </w:tcPr>
          <w:p>
            <w:pPr>
              <w:ind w:left="8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1320" w:type="dxa"/>
            <w:vAlign w:val="bottom"/>
          </w:tcPr>
          <w:p>
            <w:pPr>
              <w:spacing w:after="0"/>
              <w:rPr>
                <w:sz w:val="20"/>
                <w:szCs w:val="20"/>
                <w:color w:val="auto"/>
              </w:rPr>
            </w:pPr>
            <w:r>
              <w:rPr>
                <w:rFonts w:ascii="Arial" w:cs="Arial" w:eastAsia="Arial" w:hAnsi="Arial"/>
                <w:sz w:val="18"/>
                <w:szCs w:val="18"/>
                <w:color w:val="auto"/>
              </w:rPr>
              <w:t>EXECUTIVE</w:t>
            </w:r>
          </w:p>
        </w:tc>
        <w:tc>
          <w:tcPr>
            <w:tcW w:w="4740" w:type="dxa"/>
            <w:vAlign w:val="bottom"/>
          </w:tcPr>
          <w:p>
            <w:pPr>
              <w:ind w:left="3700"/>
              <w:spacing w:after="0"/>
              <w:rPr>
                <w:sz w:val="20"/>
                <w:szCs w:val="20"/>
                <w:color w:val="auto"/>
              </w:rPr>
            </w:pPr>
            <w:r>
              <w:rPr>
                <w:rFonts w:ascii="Arial" w:cs="Arial" w:eastAsia="Arial" w:hAnsi="Arial"/>
                <w:sz w:val="18"/>
                <w:szCs w:val="18"/>
                <w:color w:val="auto"/>
              </w:rPr>
              <w:t>By:</w:t>
            </w:r>
          </w:p>
        </w:tc>
        <w:tc>
          <w:tcPr>
            <w:tcW w:w="4680" w:type="dxa"/>
            <w:vAlign w:val="bottom"/>
          </w:tcPr>
          <w:p>
            <w:pPr>
              <w:ind w:left="80"/>
              <w:spacing w:after="0"/>
              <w:rPr>
                <w:sz w:val="20"/>
                <w:szCs w:val="20"/>
                <w:color w:val="auto"/>
              </w:rPr>
            </w:pPr>
            <w:r>
              <w:rPr>
                <w:rFonts w:ascii="Arial" w:cs="Arial" w:eastAsia="Arial" w:hAnsi="Arial"/>
                <w:sz w:val="18"/>
                <w:szCs w:val="18"/>
                <w:color w:val="auto"/>
              </w:rPr>
              <w:t>/s/ Bonnie Anderson</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vMerge w:val="restart"/>
          </w:tcPr>
          <w:p>
            <w:pPr>
              <w:ind w:left="370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4680" w:type="dxa"/>
            <w:vAlign w:val="bottom"/>
          </w:tcPr>
          <w:p>
            <w:pPr>
              <w:ind w:left="80"/>
              <w:spacing w:after="0"/>
              <w:rPr>
                <w:sz w:val="20"/>
                <w:szCs w:val="20"/>
                <w:color w:val="auto"/>
              </w:rPr>
            </w:pPr>
            <w:r>
              <w:rPr>
                <w:rFonts w:ascii="Arial" w:cs="Arial" w:eastAsia="Arial" w:hAnsi="Arial"/>
                <w:sz w:val="16"/>
                <w:szCs w:val="16"/>
                <w:color w:val="auto"/>
              </w:rPr>
              <w:t>Chairman of the Board and Chief Executive Officer</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4740" w:type="dxa"/>
            <w:vAlign w:val="bottom"/>
          </w:tcPr>
          <w:p>
            <w:pPr>
              <w:ind w:left="3700"/>
              <w:spacing w:after="0"/>
              <w:rPr>
                <w:sz w:val="20"/>
                <w:szCs w:val="20"/>
                <w:color w:val="auto"/>
              </w:rPr>
            </w:pPr>
            <w:r>
              <w:rPr>
                <w:rFonts w:ascii="Arial" w:cs="Arial" w:eastAsia="Arial" w:hAnsi="Arial"/>
                <w:sz w:val="18"/>
                <w:szCs w:val="18"/>
                <w:color w:val="auto"/>
              </w:rPr>
              <w:t>Date:</w:t>
            </w:r>
          </w:p>
        </w:tc>
        <w:tc>
          <w:tcPr>
            <w:tcW w:w="4680" w:type="dxa"/>
            <w:vAlign w:val="bottom"/>
          </w:tcPr>
          <w:p>
            <w:pPr>
              <w:ind w:left="8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1320" w:type="dxa"/>
            <w:vAlign w:val="bottom"/>
          </w:tcPr>
          <w:p>
            <w:pPr>
              <w:spacing w:after="0"/>
              <w:rPr>
                <w:sz w:val="24"/>
                <w:szCs w:val="24"/>
                <w:color w:val="auto"/>
              </w:rPr>
            </w:pPr>
          </w:p>
        </w:tc>
        <w:tc>
          <w:tcPr>
            <w:tcW w:w="94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[signature page of the Amended and Restated Change of Control and Severance Agreement]</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u w:val="single" w:color="auto"/>
          <w:color w:val="auto"/>
        </w:rPr>
        <w:t>EXHIBIT</w:t>
      </w:r>
      <w:r>
        <w:rPr>
          <w:rFonts w:ascii="Arial" w:cs="Arial" w:eastAsia="Arial" w:hAnsi="Arial"/>
          <w:sz w:val="18"/>
          <w:szCs w:val="18"/>
          <w:b w:val="1"/>
          <w:bCs w:val="1"/>
          <w:color w:val="auto"/>
        </w:rPr>
        <w:t xml:space="preserve">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RELEASE OF CLAIMS</w:t>
      </w:r>
    </w:p>
    <w:p>
      <w:pPr>
        <w:spacing w:after="0" w:line="229"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This release of claims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by and between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Bonnie Anderson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The Company and Executive are sometimes collectively referred to herein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individually referred to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signed an At-Will Employment, Confidential Information, Invention Assignment, and Arbitration Agreement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162" w:lineRule="exact"/>
        <w:rPr>
          <w:sz w:val="20"/>
          <w:szCs w:val="20"/>
          <w:color w:val="auto"/>
        </w:rPr>
      </w:pPr>
    </w:p>
    <w:p>
      <w:pPr>
        <w:ind w:left="660"/>
        <w:spacing w:after="0"/>
        <w:tabs>
          <w:tab w:leader="none" w:pos="10940" w:val="left"/>
        </w:tabs>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signed an Amended and Restated Change of Control and Severance Agreement with the company on</w:t>
      </w:r>
      <w:r>
        <w:rPr>
          <w:sz w:val="20"/>
          <w:szCs w:val="20"/>
          <w:color w:val="auto"/>
        </w:rPr>
        <w:tab/>
      </w:r>
      <w:r>
        <w:rPr>
          <w:rFonts w:ascii="Arial" w:cs="Arial" w:eastAsia="Arial" w:hAnsi="Arial"/>
          <w:sz w:val="16"/>
          <w:szCs w:val="16"/>
          <w:color w:val="auto"/>
        </w:rPr>
        <w:t>(the</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Severance Agreement</w:t>
      </w:r>
      <w:r>
        <w:rPr>
          <w:rFonts w:ascii="Arial" w:cs="Arial" w:eastAsia="Arial" w:hAnsi="Arial"/>
          <w:sz w:val="18"/>
          <w:szCs w:val="18"/>
          <w:color w:val="auto"/>
        </w:rPr>
        <w:t>”), which, among other things, provides for certain severance benefits to be paid to Executive by the Company upon the termination of Executive’s employment;</w:t>
      </w:r>
    </w:p>
    <w:p>
      <w:pPr>
        <w:sectPr>
          <w:pgSz w:w="11900" w:h="16838" w:orient="portrait"/>
          <w:cols w:equalWidth="0" w:num="1">
            <w:col w:w="11400"/>
          </w:cols>
          <w:pgMar w:left="240" w:top="797" w:right="259" w:bottom="1440" w:gutter="0" w:footer="0" w:header="0"/>
        </w:sectPr>
      </w:pP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Executive was employed by the Company until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when Executive’s employment was terminated (“</w:t>
      </w:r>
      <w:r>
        <w:rPr>
          <w:rFonts w:ascii="Arial" w:cs="Arial" w:eastAsia="Arial" w:hAnsi="Arial"/>
          <w:sz w:val="16"/>
          <w:szCs w:val="16"/>
          <w:b w:val="1"/>
          <w:bCs w:val="1"/>
          <w:i w:val="1"/>
          <w:iCs w:val="1"/>
          <w:color w:val="auto"/>
        </w:rPr>
        <w:t>Termination</w:t>
      </w:r>
    </w:p>
    <w:p>
      <w:pPr>
        <w:spacing w:after="0" w:line="46" w:lineRule="exact"/>
        <w:rPr>
          <w:sz w:val="20"/>
          <w:szCs w:val="20"/>
          <w:color w:val="auto"/>
        </w:rPr>
      </w:pPr>
    </w:p>
    <w:p>
      <w:pPr>
        <w:sectPr>
          <w:pgSz w:w="11900" w:h="16838" w:orient="portrait"/>
          <w:cols w:equalWidth="0" w:num="2">
            <w:col w:w="5840" w:space="720"/>
            <w:col w:w="4840"/>
          </w:cols>
          <w:pgMar w:left="240" w:top="797" w:right="259" w:bottom="1440" w:gutter="0" w:footer="0" w:header="0"/>
          <w:type w:val="continuous"/>
        </w:sectPr>
      </w:pPr>
    </w:p>
    <w:p>
      <w:pPr>
        <w:spacing w:after="0"/>
        <w:rPr>
          <w:sz w:val="20"/>
          <w:szCs w:val="20"/>
          <w:color w:val="auto"/>
        </w:rPr>
      </w:pPr>
      <w:r>
        <w:rPr>
          <w:rFonts w:ascii="Arial" w:cs="Arial" w:eastAsia="Arial" w:hAnsi="Arial"/>
          <w:sz w:val="17"/>
          <w:szCs w:val="17"/>
          <w:b w:val="1"/>
          <w:bCs w:val="1"/>
          <w:i w:val="1"/>
          <w:iCs w:val="1"/>
          <w:color w:val="auto"/>
        </w:rPr>
        <w:t>Date</w:t>
      </w:r>
      <w:r>
        <w:rPr>
          <w:rFonts w:ascii="Arial" w:cs="Arial" w:eastAsia="Arial" w:hAnsi="Arial"/>
          <w:sz w:val="17"/>
          <w:szCs w:val="17"/>
          <w:color w:val="auto"/>
        </w:rPr>
        <w:t>”);</w:t>
      </w:r>
    </w:p>
    <w:p>
      <w:pPr>
        <w:sectPr>
          <w:pgSz w:w="11900" w:h="16838" w:orient="portrait"/>
          <w:cols w:equalWidth="0" w:num="1">
            <w:col w:w="11400"/>
          </w:cols>
          <w:pgMar w:left="240" w:top="797" w:right="259" w:bottom="1440" w:gutter="0" w:footer="0" w:header="0"/>
          <w:type w:val="continuous"/>
        </w:sectPr>
      </w:pPr>
    </w:p>
    <w:p>
      <w:pPr>
        <w:spacing w:after="0" w:line="218"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accordance with Section 4 of the Severance Agreement between the Company and Executive, Executive has agreed to enter into and</w:t>
      </w:r>
      <w:r>
        <w:rPr>
          <w:rFonts w:ascii="Arial" w:cs="Arial" w:eastAsia="Arial" w:hAnsi="Arial"/>
          <w:sz w:val="16"/>
          <w:szCs w:val="16"/>
          <w:b w:val="1"/>
          <w:bCs w:val="1"/>
          <w:color w:val="auto"/>
        </w:rPr>
        <w:t xml:space="preserve"> </w:t>
      </w:r>
      <w:r>
        <w:rPr>
          <w:rFonts w:ascii="Arial" w:cs="Arial" w:eastAsia="Arial" w:hAnsi="Arial"/>
          <w:sz w:val="16"/>
          <w:szCs w:val="16"/>
          <w:color w:val="auto"/>
        </w:rPr>
        <w:t>not revoke a standard release of claims in favor of the Company as a condition to receiving the severance benefits described in the Severance Agreement; and</w:t>
      </w:r>
    </w:p>
    <w:p>
      <w:pPr>
        <w:spacing w:after="0" w:line="116"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resolve any and all disputes, claims, complaints, grievances, charges, actions, petitions and demands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6"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including the mutual promises and covenants made herein,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 the Termination Date.</w:t>
      </w:r>
    </w:p>
    <w:p>
      <w:pPr>
        <w:spacing w:after="0" w:line="225" w:lineRule="exact"/>
        <w:rPr>
          <w:rFonts w:ascii="Arial" w:cs="Arial" w:eastAsia="Arial" w:hAnsi="Arial"/>
          <w:sz w:val="18"/>
          <w:szCs w:val="18"/>
          <w:color w:val="auto"/>
        </w:rPr>
      </w:pPr>
    </w:p>
    <w:p>
      <w:pPr>
        <w:ind w:right="20" w:firstLine="656"/>
        <w:spacing w:after="0" w:line="257" w:lineRule="auto"/>
        <w:tabs>
          <w:tab w:leader="none" w:pos="963"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88" w:lineRule="exact"/>
        <w:rPr>
          <w:rFonts w:ascii="Arial" w:cs="Arial" w:eastAsia="Arial" w:hAnsi="Arial"/>
          <w:sz w:val="18"/>
          <w:szCs w:val="18"/>
          <w:color w:val="auto"/>
        </w:rPr>
      </w:pPr>
    </w:p>
    <w:p>
      <w:pPr>
        <w:ind w:right="100" w:firstLine="656"/>
        <w:spacing w:after="0" w:line="272" w:lineRule="auto"/>
        <w:tabs>
          <w:tab w:leader="none" w:pos="963"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00"/>
          </w:cols>
          <w:pgMar w:left="240" w:top="797" w:right="25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color w:val="auto"/>
        </w:rPr>
        <w:t>possess against any of the Releasees arising from any omissions, acts, facts, or damages that have occurred up until and including the Effective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 without limitation the following:</w:t>
      </w:r>
    </w:p>
    <w:p>
      <w:pPr>
        <w:spacing w:after="0" w:line="211" w:lineRule="exact"/>
        <w:rPr>
          <w:sz w:val="20"/>
          <w:szCs w:val="20"/>
          <w:color w:val="auto"/>
        </w:rPr>
      </w:pPr>
    </w:p>
    <w:p>
      <w:pPr>
        <w:ind w:left="1040" w:hanging="384"/>
        <w:spacing w:after="0"/>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 relationship;</w:t>
      </w:r>
    </w:p>
    <w:p>
      <w:pPr>
        <w:spacing w:after="0" w:line="248" w:lineRule="exact"/>
        <w:rPr>
          <w:rFonts w:ascii="Arial" w:cs="Arial" w:eastAsia="Arial" w:hAnsi="Arial"/>
          <w:sz w:val="16"/>
          <w:szCs w:val="16"/>
          <w:color w:val="auto"/>
        </w:rPr>
      </w:pPr>
    </w:p>
    <w:p>
      <w:pPr>
        <w:ind w:right="120" w:firstLine="656"/>
        <w:spacing w:after="0" w:line="264" w:lineRule="auto"/>
        <w:tabs>
          <w:tab w:leader="none" w:pos="10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1" w:lineRule="exact"/>
        <w:rPr>
          <w:rFonts w:ascii="Arial" w:cs="Arial" w:eastAsia="Arial" w:hAnsi="Arial"/>
          <w:sz w:val="18"/>
          <w:szCs w:val="18"/>
          <w:color w:val="auto"/>
        </w:rPr>
      </w:pPr>
    </w:p>
    <w:p>
      <w:pPr>
        <w:ind w:right="80" w:firstLine="656"/>
        <w:spacing w:after="0" w:line="257" w:lineRule="auto"/>
        <w:tabs>
          <w:tab w:leader="none" w:pos="102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18"/>
          <w:szCs w:val="18"/>
          <w:color w:val="auto"/>
        </w:rPr>
      </w:pPr>
    </w:p>
    <w:p>
      <w:pPr>
        <w:ind w:right="60" w:firstLine="656"/>
        <w:spacing w:after="0" w:line="258" w:lineRule="auto"/>
        <w:tabs>
          <w:tab w:leader="none" w:pos="1083"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Arial" w:cs="Arial" w:eastAsia="Arial" w:hAnsi="Arial"/>
          <w:sz w:val="25"/>
          <w:szCs w:val="25"/>
          <w:color w:val="auto"/>
          <w:vertAlign w:val="superscript"/>
        </w:rPr>
        <w:t>1</w:t>
      </w:r>
      <w:r>
        <w:rPr>
          <w:rFonts w:ascii="Arial" w:cs="Arial" w:eastAsia="Arial" w:hAnsi="Arial"/>
          <w:sz w:val="18"/>
          <w:szCs w:val="18"/>
          <w:color w:val="auto"/>
        </w:rPr>
        <w:t>;</w:t>
      </w:r>
    </w:p>
    <w:p>
      <w:pPr>
        <w:spacing w:after="0" w:line="91" w:lineRule="exact"/>
        <w:rPr>
          <w:sz w:val="20"/>
          <w:szCs w:val="20"/>
          <w:color w:val="auto"/>
        </w:rPr>
      </w:pPr>
    </w:p>
    <w:p>
      <w:pPr>
        <w:ind w:right="400" w:firstLine="648"/>
        <w:spacing w:after="0" w:line="252"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189" w:lineRule="exact"/>
        <w:rPr>
          <w:sz w:val="20"/>
          <w:szCs w:val="20"/>
          <w:color w:val="auto"/>
        </w:rPr>
      </w:pPr>
    </w:p>
    <w:p>
      <w:pPr>
        <w:ind w:left="1040" w:hanging="384"/>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580" w:firstLine="656"/>
        <w:spacing w:after="0" w:line="277" w:lineRule="auto"/>
        <w:tabs>
          <w:tab w:leader="none" w:pos="10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Executive agrees that the release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Arial" w:cs="Arial" w:eastAsia="Arial" w:hAnsi="Arial"/>
          <w:sz w:val="18"/>
          <w:szCs w:val="18"/>
          <w:u w:val="single" w:color="auto"/>
          <w:color w:val="auto"/>
        </w:rPr>
        <w:t>Section 3</w:t>
      </w:r>
      <w:r>
        <w:rPr>
          <w:rFonts w:ascii="Arial" w:cs="Arial" w:eastAsia="Arial" w:hAnsi="Arial"/>
          <w:sz w:val="18"/>
          <w:szCs w:val="18"/>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93" w:lineRule="exact"/>
        <w:rPr>
          <w:sz w:val="20"/>
          <w:szCs w:val="20"/>
          <w:color w:val="auto"/>
        </w:rPr>
      </w:pPr>
    </w:p>
    <w:p>
      <w:pPr>
        <w:ind w:right="60" w:firstLine="656"/>
        <w:spacing w:after="0" w:line="293" w:lineRule="auto"/>
        <w:tabs>
          <w:tab w:leader="none" w:pos="963"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Protected Rights</w:t>
      </w:r>
      <w:r>
        <w:rPr>
          <w:rFonts w:ascii="Arial" w:cs="Arial" w:eastAsia="Arial" w:hAnsi="Arial"/>
          <w:sz w:val="16"/>
          <w:szCs w:val="16"/>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584" w:right="239" w:bottom="1440" w:gutter="0" w:footer="0" w:header="0"/>
        </w:sectPr>
      </w:pPr>
    </w:p>
    <w:bookmarkStart w:id="88" w:name="page89"/>
    <w:bookmarkEnd w:id="88"/>
    <w:p>
      <w:pPr>
        <w:ind w:firstLine="656"/>
        <w:spacing w:after="0" w:line="270" w:lineRule="auto"/>
        <w:tabs>
          <w:tab w:leader="none" w:pos="9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Arial" w:cs="Arial" w:eastAsia="Arial" w:hAnsi="Arial"/>
          <w:sz w:val="24"/>
          <w:szCs w:val="24"/>
          <w:color w:val="auto"/>
          <w:vertAlign w:val="superscript"/>
        </w:rPr>
        <w:t>2</w:t>
      </w:r>
    </w:p>
    <w:p>
      <w:pPr>
        <w:spacing w:after="0" w:line="80" w:lineRule="exact"/>
        <w:rPr>
          <w:sz w:val="20"/>
          <w:szCs w:val="20"/>
          <w:color w:val="auto"/>
        </w:rPr>
      </w:pPr>
    </w:p>
    <w:p>
      <w:pPr>
        <w:ind w:right="820" w:firstLine="648"/>
        <w:spacing w:after="0" w:line="21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This provision will only be included in this Agreement if Executive is age 40 or older at the time Executive’s employment relationship is terminated.</w:t>
      </w:r>
    </w:p>
    <w:p>
      <w:pPr>
        <w:spacing w:after="0" w:line="203" w:lineRule="exact"/>
        <w:rPr>
          <w:sz w:val="20"/>
          <w:szCs w:val="20"/>
          <w:color w:val="auto"/>
        </w:rPr>
      </w:pPr>
    </w:p>
    <w:p>
      <w:pPr>
        <w:ind w:right="40" w:firstLine="656"/>
        <w:spacing w:after="0" w:line="308" w:lineRule="auto"/>
        <w:tabs>
          <w:tab w:leader="none" w:pos="963"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California Civil Code Section 1542</w:t>
      </w:r>
      <w:r>
        <w:rPr>
          <w:rFonts w:ascii="Arial" w:cs="Arial" w:eastAsia="Arial" w:hAnsi="Arial"/>
          <w:sz w:val="17"/>
          <w:szCs w:val="17"/>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47" w:lineRule="exact"/>
        <w:rPr>
          <w:sz w:val="20"/>
          <w:szCs w:val="20"/>
          <w:color w:val="auto"/>
        </w:rPr>
      </w:pPr>
    </w:p>
    <w:p>
      <w:pPr>
        <w:ind w:left="1300" w:right="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2"/>
          <w:szCs w:val="22"/>
          <w:color w:val="auto"/>
          <w:vertAlign w:val="superscript"/>
        </w:rPr>
        <w:t>3</w:t>
      </w:r>
    </w:p>
    <w:p>
      <w:pPr>
        <w:spacing w:after="0" w:line="54" w:lineRule="exact"/>
        <w:rPr>
          <w:sz w:val="20"/>
          <w:szCs w:val="20"/>
          <w:color w:val="auto"/>
        </w:rPr>
      </w:pPr>
    </w:p>
    <w:p>
      <w:pPr>
        <w:ind w:right="100"/>
        <w:spacing w:after="0" w:line="216"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 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03" w:lineRule="exact"/>
        <w:rPr>
          <w:sz w:val="20"/>
          <w:szCs w:val="20"/>
          <w:color w:val="auto"/>
        </w:rPr>
      </w:pPr>
    </w:p>
    <w:p>
      <w:pPr>
        <w:ind w:right="60" w:firstLine="656"/>
        <w:spacing w:after="0" w:line="286" w:lineRule="auto"/>
        <w:tabs>
          <w:tab w:leader="none" w:pos="96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65" w:lineRule="exact"/>
        <w:rPr>
          <w:rFonts w:ascii="Arial" w:cs="Arial" w:eastAsia="Arial" w:hAnsi="Arial"/>
          <w:sz w:val="17"/>
          <w:szCs w:val="17"/>
          <w:color w:val="auto"/>
        </w:rPr>
      </w:pPr>
    </w:p>
    <w:p>
      <w:pPr>
        <w:ind w:right="420" w:firstLine="656"/>
        <w:spacing w:after="0" w:line="277" w:lineRule="auto"/>
        <w:tabs>
          <w:tab w:leader="none" w:pos="96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Sufficiency of Consideration</w:t>
      </w:r>
      <w:r>
        <w:rPr>
          <w:rFonts w:ascii="Arial" w:cs="Arial" w:eastAsia="Arial" w:hAnsi="Arial"/>
          <w:sz w:val="18"/>
          <w:szCs w:val="18"/>
          <w:color w:val="auto"/>
        </w:rPr>
        <w:t>. Executive hereby acknowledges and agrees that Executive has received good and sufficient consideration for every promise, duty, release, obligation, agreement and right contained in this Release.</w:t>
      </w:r>
    </w:p>
    <w:p>
      <w:pPr>
        <w:spacing w:after="0" w:line="170" w:lineRule="exact"/>
        <w:rPr>
          <w:rFonts w:ascii="Arial" w:cs="Arial" w:eastAsia="Arial" w:hAnsi="Arial"/>
          <w:sz w:val="18"/>
          <w:szCs w:val="18"/>
          <w:color w:val="auto"/>
        </w:rPr>
      </w:pPr>
    </w:p>
    <w:p>
      <w:pPr>
        <w:ind w:right="160" w:firstLine="656"/>
        <w:spacing w:after="0" w:line="257" w:lineRule="auto"/>
        <w:tabs>
          <w:tab w:leader="none" w:pos="96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00"/>
          </w:cols>
          <w:pgMar w:left="240" w:top="584" w:right="259" w:bottom="1440" w:gutter="0" w:footer="0" w:header="0"/>
        </w:sectPr>
      </w:pPr>
    </w:p>
    <w:bookmarkStart w:id="89" w:name="page90"/>
    <w:bookmarkEnd w:id="89"/>
    <w:p>
      <w:pPr>
        <w:spacing w:after="0" w:line="277" w:lineRule="auto"/>
        <w:rPr>
          <w:sz w:val="20"/>
          <w:szCs w:val="20"/>
          <w:color w:val="auto"/>
        </w:rPr>
      </w:pPr>
      <w:r>
        <w:rPr>
          <w:rFonts w:ascii="Arial" w:cs="Arial" w:eastAsia="Arial" w:hAnsi="Arial"/>
          <w:sz w:val="18"/>
          <w:szCs w:val="18"/>
          <w:color w:val="auto"/>
        </w:rPr>
        <w:t>Confidentiality Agreement that conflict with the provisions regarding solicitation of employees contained in this Agreement, the provisions of this Agreement will control.</w:t>
      </w:r>
    </w:p>
    <w:p>
      <w:pPr>
        <w:spacing w:after="0" w:line="170" w:lineRule="exact"/>
        <w:rPr>
          <w:sz w:val="20"/>
          <w:szCs w:val="20"/>
          <w:color w:val="auto"/>
        </w:rPr>
      </w:pPr>
    </w:p>
    <w:p>
      <w:pPr>
        <w:ind w:right="40" w:firstLine="656"/>
        <w:spacing w:after="0" w:line="291" w:lineRule="auto"/>
        <w:tabs>
          <w:tab w:leader="none" w:pos="105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7" w:lineRule="exact"/>
        <w:rPr>
          <w:rFonts w:ascii="Arial" w:cs="Arial" w:eastAsia="Arial" w:hAnsi="Arial"/>
          <w:sz w:val="16"/>
          <w:szCs w:val="16"/>
          <w:color w:val="auto"/>
        </w:rPr>
      </w:pPr>
    </w:p>
    <w:p>
      <w:pPr>
        <w:ind w:firstLine="656"/>
        <w:spacing w:after="0" w:line="257" w:lineRule="auto"/>
        <w:tabs>
          <w:tab w:leader="none" w:pos="104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88" w:lineRule="exact"/>
        <w:rPr>
          <w:rFonts w:ascii="Arial" w:cs="Arial" w:eastAsia="Arial" w:hAnsi="Arial"/>
          <w:sz w:val="18"/>
          <w:szCs w:val="18"/>
          <w:color w:val="auto"/>
        </w:rPr>
      </w:pPr>
    </w:p>
    <w:p>
      <w:pPr>
        <w:ind w:right="40" w:firstLine="656"/>
        <w:spacing w:after="0" w:line="277" w:lineRule="auto"/>
        <w:tabs>
          <w:tab w:leader="none" w:pos="105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0" w:lineRule="exact"/>
        <w:rPr>
          <w:rFonts w:ascii="Arial" w:cs="Arial" w:eastAsia="Arial" w:hAnsi="Arial"/>
          <w:sz w:val="18"/>
          <w:szCs w:val="18"/>
          <w:color w:val="auto"/>
        </w:rPr>
      </w:pPr>
    </w:p>
    <w:p>
      <w:pPr>
        <w:jc w:val="both"/>
        <w:ind w:right="20" w:firstLine="656"/>
        <w:spacing w:after="0" w:line="259" w:lineRule="auto"/>
        <w:tabs>
          <w:tab w:leader="none" w:pos="105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6" w:lineRule="exact"/>
        <w:rPr>
          <w:rFonts w:ascii="Arial" w:cs="Arial" w:eastAsia="Arial" w:hAnsi="Arial"/>
          <w:sz w:val="18"/>
          <w:szCs w:val="18"/>
          <w:color w:val="auto"/>
        </w:rPr>
      </w:pPr>
    </w:p>
    <w:p>
      <w:pPr>
        <w:ind w:right="160" w:firstLine="656"/>
        <w:spacing w:after="0" w:line="259" w:lineRule="auto"/>
        <w:tabs>
          <w:tab w:leader="none" w:pos="105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Solicitation of Employees</w:t>
      </w:r>
      <w:r>
        <w:rPr>
          <w:rFonts w:ascii="Arial" w:cs="Arial" w:eastAsia="Arial" w:hAnsi="Arial"/>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6" w:lineRule="exact"/>
        <w:rPr>
          <w:rFonts w:ascii="Arial" w:cs="Arial" w:eastAsia="Arial" w:hAnsi="Arial"/>
          <w:sz w:val="18"/>
          <w:szCs w:val="18"/>
          <w:color w:val="auto"/>
        </w:rPr>
      </w:pPr>
    </w:p>
    <w:p>
      <w:pPr>
        <w:ind w:left="1060" w:hanging="404"/>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48" w:lineRule="exact"/>
        <w:rPr>
          <w:rFonts w:ascii="Arial" w:cs="Arial" w:eastAsia="Arial" w:hAnsi="Arial"/>
          <w:sz w:val="16"/>
          <w:szCs w:val="16"/>
          <w:color w:val="auto"/>
        </w:rPr>
      </w:pPr>
    </w:p>
    <w:p>
      <w:pPr>
        <w:ind w:right="60" w:firstLine="656"/>
        <w:spacing w:after="0" w:line="253" w:lineRule="auto"/>
        <w:tabs>
          <w:tab w:leader="none" w:pos="105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00"/>
          </w:cols>
          <w:pgMar w:left="240" w:top="584" w:right="259" w:bottom="1440" w:gutter="0" w:footer="0" w:header="0"/>
        </w:sectPr>
      </w:pPr>
    </w:p>
    <w:bookmarkStart w:id="90" w:name="page91"/>
    <w:bookmarkEnd w:id="90"/>
    <w:p>
      <w:pPr>
        <w:spacing w:after="0" w:line="271" w:lineRule="auto"/>
        <w:rPr>
          <w:sz w:val="20"/>
          <w:szCs w:val="20"/>
          <w:color w:val="auto"/>
        </w:rPr>
      </w:pPr>
      <w:r>
        <w:rPr>
          <w:rFonts w:ascii="Arial" w:cs="Arial" w:eastAsia="Arial" w:hAnsi="Arial"/>
          <w:sz w:val="17"/>
          <w:szCs w:val="17"/>
          <w:color w:val="auto"/>
        </w:rPr>
        <w:t>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w:t>
      </w:r>
      <w:r>
        <w:rPr>
          <w:rFonts w:ascii="Arial" w:cs="Arial" w:eastAsia="Arial" w:hAnsi="Arial"/>
          <w:sz w:val="24"/>
          <w:szCs w:val="24"/>
          <w:color w:val="auto"/>
          <w:vertAlign w:val="superscript"/>
        </w:rPr>
        <w:t>4</w:t>
      </w:r>
    </w:p>
    <w:p>
      <w:pPr>
        <w:spacing w:after="0" w:line="79" w:lineRule="exact"/>
        <w:rPr>
          <w:sz w:val="20"/>
          <w:szCs w:val="20"/>
          <w:color w:val="auto"/>
        </w:rPr>
      </w:pPr>
    </w:p>
    <w:p>
      <w:pPr>
        <w:ind w:right="560"/>
        <w:spacing w:after="0" w:line="216"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3" w:lineRule="exact"/>
        <w:rPr>
          <w:sz w:val="20"/>
          <w:szCs w:val="20"/>
          <w:color w:val="auto"/>
        </w:rPr>
      </w:pPr>
    </w:p>
    <w:p>
      <w:pPr>
        <w:ind w:right="100" w:firstLine="656"/>
        <w:spacing w:after="0" w:line="257" w:lineRule="auto"/>
        <w:tabs>
          <w:tab w:leader="none" w:pos="109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8" w:lineRule="exact"/>
        <w:rPr>
          <w:rFonts w:ascii="Arial" w:cs="Arial" w:eastAsia="Arial" w:hAnsi="Arial"/>
          <w:sz w:val="18"/>
          <w:szCs w:val="18"/>
          <w:color w:val="auto"/>
        </w:rPr>
      </w:pPr>
    </w:p>
    <w:p>
      <w:pPr>
        <w:ind w:right="100" w:firstLine="656"/>
        <w:spacing w:after="0" w:line="264" w:lineRule="auto"/>
        <w:tabs>
          <w:tab w:leader="none" w:pos="105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right="60" w:firstLine="656"/>
        <w:spacing w:after="0" w:line="264" w:lineRule="auto"/>
        <w:tabs>
          <w:tab w:leader="none" w:pos="105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1" w:lineRule="exact"/>
        <w:rPr>
          <w:rFonts w:ascii="Arial" w:cs="Arial" w:eastAsia="Arial" w:hAnsi="Arial"/>
          <w:sz w:val="18"/>
          <w:szCs w:val="18"/>
          <w:color w:val="auto"/>
        </w:rPr>
      </w:pPr>
    </w:p>
    <w:p>
      <w:pPr>
        <w:ind w:firstLine="656"/>
        <w:spacing w:after="0" w:line="257" w:lineRule="auto"/>
        <w:tabs>
          <w:tab w:leader="none" w:pos="105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right="740" w:firstLine="656"/>
        <w:spacing w:after="0" w:line="282" w:lineRule="auto"/>
        <w:tabs>
          <w:tab w:leader="none" w:pos="1053"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the laws of the State of California, without regard for choice-of-law provisions. Executive consents to personal and exclusive jurisdiction and venue in the State of California.</w:t>
      </w:r>
      <w:r>
        <w:rPr>
          <w:rFonts w:ascii="Arial" w:cs="Arial" w:eastAsia="Arial" w:hAnsi="Arial"/>
          <w:sz w:val="25"/>
          <w:szCs w:val="25"/>
          <w:color w:val="auto"/>
          <w:vertAlign w:val="superscript"/>
        </w:rPr>
        <w:t>5</w:t>
      </w:r>
    </w:p>
    <w:p>
      <w:pPr>
        <w:spacing w:after="0" w:line="67" w:lineRule="exact"/>
        <w:rPr>
          <w:sz w:val="20"/>
          <w:szCs w:val="20"/>
          <w:color w:val="auto"/>
        </w:rPr>
      </w:pPr>
    </w:p>
    <w:p>
      <w:pPr>
        <w:ind w:right="80" w:firstLine="648"/>
        <w:spacing w:after="0" w:line="216"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3" w:lineRule="exact"/>
        <w:rPr>
          <w:sz w:val="20"/>
          <w:szCs w:val="20"/>
          <w:color w:val="auto"/>
        </w:rPr>
      </w:pPr>
    </w:p>
    <w:p>
      <w:pPr>
        <w:ind w:right="180" w:firstLine="656"/>
        <w:spacing w:after="0" w:line="252" w:lineRule="auto"/>
        <w:tabs>
          <w:tab w:leader="none" w:pos="1053"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(8th)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4"/>
          <w:szCs w:val="24"/>
          <w:color w:val="auto"/>
          <w:vertAlign w:val="superscript"/>
        </w:rPr>
        <w:t>7</w:t>
      </w:r>
      <w:r>
        <w:rPr>
          <w:rFonts w:ascii="Arial" w:cs="Arial" w:eastAsia="Arial" w:hAnsi="Arial"/>
          <w:sz w:val="17"/>
          <w:szCs w:val="17"/>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6</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rPr>
          <w:sz w:val="20"/>
          <w:szCs w:val="20"/>
          <w:color w:val="auto"/>
        </w:rPr>
      </w:pPr>
      <w:r>
        <w:rPr>
          <w:rFonts w:ascii="Arial" w:cs="Arial" w:eastAsia="Arial" w:hAnsi="Arial"/>
          <w:sz w:val="24"/>
          <w:szCs w:val="24"/>
          <w:color w:val="auto"/>
          <w:vertAlign w:val="superscript"/>
        </w:rPr>
        <w:t>7</w:t>
      </w:r>
      <w:r>
        <w:rPr>
          <w:rFonts w:ascii="Arial" w:cs="Arial" w:eastAsia="Arial" w:hAnsi="Arial"/>
          <w:sz w:val="17"/>
          <w:szCs w:val="17"/>
          <w:color w:val="auto"/>
        </w:rPr>
        <w:t>This provision will only be included in this Agreement if Executive is under the age of 40 at the time Executive’s employment relationship is terminated.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584" w:right="239" w:bottom="1440" w:gutter="0" w:footer="0" w:header="0"/>
        </w:sectPr>
      </w:pPr>
    </w:p>
    <w:bookmarkStart w:id="91" w:name="page92"/>
    <w:bookmarkEnd w:id="91"/>
    <w:p>
      <w:pPr>
        <w:ind w:left="-60" w:right="100" w:firstLine="656"/>
        <w:spacing w:after="0" w:line="277" w:lineRule="auto"/>
        <w:tabs>
          <w:tab w:leader="none" w:pos="99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left="-60" w:firstLine="656"/>
        <w:spacing w:after="0" w:line="264" w:lineRule="auto"/>
        <w:tabs>
          <w:tab w:leader="none" w:pos="993"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1" w:lineRule="exact"/>
        <w:rPr>
          <w:rFonts w:ascii="Arial" w:cs="Arial" w:eastAsia="Arial" w:hAnsi="Arial"/>
          <w:sz w:val="18"/>
          <w:szCs w:val="18"/>
          <w:color w:val="auto"/>
        </w:rPr>
      </w:pPr>
    </w:p>
    <w:p>
      <w:pPr>
        <w:ind w:left="1620" w:hanging="375"/>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225" w:lineRule="exact"/>
        <w:rPr>
          <w:rFonts w:ascii="Arial" w:cs="Arial" w:eastAsia="Arial" w:hAnsi="Arial"/>
          <w:sz w:val="18"/>
          <w:szCs w:val="18"/>
          <w:color w:val="auto"/>
        </w:rPr>
      </w:pPr>
    </w:p>
    <w:p>
      <w:pPr>
        <w:ind w:left="-60" w:right="100" w:firstLine="1305"/>
        <w:spacing w:after="0" w:line="277" w:lineRule="auto"/>
        <w:tabs>
          <w:tab w:leader="none" w:pos="1626"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Executive has been represented in the preparation, negotiation, and execution of this Agreement by legal counsel of Executive’s own choice or has elected not to retain legal counsel;</w:t>
      </w:r>
    </w:p>
    <w:p>
      <w:pPr>
        <w:spacing w:after="0" w:line="170" w:lineRule="exact"/>
        <w:rPr>
          <w:rFonts w:ascii="Arial" w:cs="Arial" w:eastAsia="Arial" w:hAnsi="Arial"/>
          <w:sz w:val="18"/>
          <w:szCs w:val="18"/>
          <w:color w:val="auto"/>
        </w:rPr>
      </w:pPr>
    </w:p>
    <w:p>
      <w:pPr>
        <w:ind w:left="1620" w:hanging="375"/>
        <w:spacing w:after="0"/>
        <w:tabs>
          <w:tab w:leader="none" w:pos="16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 and</w:t>
      </w:r>
    </w:p>
    <w:p>
      <w:pPr>
        <w:spacing w:after="0" w:line="225" w:lineRule="exact"/>
        <w:rPr>
          <w:rFonts w:ascii="Arial" w:cs="Arial" w:eastAsia="Arial" w:hAnsi="Arial"/>
          <w:sz w:val="18"/>
          <w:szCs w:val="18"/>
          <w:color w:val="auto"/>
        </w:rPr>
      </w:pPr>
    </w:p>
    <w:p>
      <w:pPr>
        <w:ind w:left="1640" w:hanging="395"/>
        <w:spacing w:after="0"/>
        <w:tabs>
          <w:tab w:leader="none" w:pos="16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w:t>
      </w:r>
    </w:p>
    <w:p>
      <w:pPr>
        <w:spacing w:after="0" w:line="225" w:lineRule="exact"/>
        <w:rPr>
          <w:rFonts w:ascii="Arial" w:cs="Arial" w:eastAsia="Arial" w:hAnsi="Arial"/>
          <w:sz w:val="18"/>
          <w:szCs w:val="18"/>
          <w:color w:val="auto"/>
        </w:rPr>
      </w:pPr>
    </w:p>
    <w:p>
      <w:pPr>
        <w:ind w:left="53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300"/>
          </w:cols>
          <w:pgMar w:left="300" w:top="584" w:right="29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496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31750</wp:posOffset>
            </wp:positionV>
            <wp:extent cx="2838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31750</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31750</wp:posOffset>
            </wp:positionV>
            <wp:extent cx="2838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31750</wp:posOffset>
            </wp:positionV>
            <wp:extent cx="2838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4960" w:val="left"/>
        </w:tabs>
        <w:rPr>
          <w:sz w:val="20"/>
          <w:szCs w:val="20"/>
          <w:color w:val="auto"/>
        </w:rPr>
      </w:pPr>
      <w:r>
        <w:rPr>
          <w:rFonts w:ascii="Arial" w:cs="Arial" w:eastAsia="Arial" w:hAnsi="Arial"/>
          <w:sz w:val="18"/>
          <w:szCs w:val="18"/>
          <w:b w:val="1"/>
          <w:bCs w:val="1"/>
          <w:color w:val="auto"/>
        </w:rPr>
        <w:t>EXECUTIVE</w:t>
      </w:r>
      <w:r>
        <w:rPr>
          <w:sz w:val="20"/>
          <w:szCs w:val="20"/>
          <w:color w:val="auto"/>
        </w:rPr>
        <w:tab/>
      </w:r>
      <w:r>
        <w:rPr>
          <w:rFonts w:ascii="Arial" w:cs="Arial" w:eastAsia="Arial" w:hAnsi="Arial"/>
          <w:sz w:val="18"/>
          <w:szCs w:val="18"/>
          <w:color w:val="auto"/>
        </w:rPr>
        <w:t>BONNIE ANDERSON, an individual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31750</wp:posOffset>
            </wp:positionV>
            <wp:extent cx="2769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9559"/>
          </w:cols>
          <w:pgMar w:left="900" w:top="580"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VERACYTE,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CHANGE OF CONTROL AND SEVERANCE AGREEMENT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This Amended and Restated Change of Control and Severance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Keith Kennedy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Veracyte,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effective as of July 1,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This Agreement amends and restates the Change of Control and Severance Agreement by and between the Executive and the Company, effective as of October 23, 2018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60" w:firstLine="656"/>
        <w:spacing w:after="0" w:line="259"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believes that it is in the best interests of the Company and its stockholders (i) 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86" w:lineRule="exact"/>
        <w:rPr>
          <w:rFonts w:ascii="Arial" w:cs="Arial" w:eastAsia="Arial" w:hAnsi="Arial"/>
          <w:sz w:val="18"/>
          <w:szCs w:val="18"/>
          <w:color w:val="auto"/>
        </w:rPr>
      </w:pPr>
    </w:p>
    <w:p>
      <w:pPr>
        <w:jc w:val="both"/>
        <w:ind w:right="40" w:firstLine="656"/>
        <w:spacing w:after="0" w:line="264" w:lineRule="auto"/>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capitalized terms used in the Agreement are defined in Section 6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25" w:lineRule="exact"/>
        <w:rPr>
          <w:sz w:val="20"/>
          <w:szCs w:val="20"/>
          <w:color w:val="auto"/>
        </w:rPr>
      </w:pPr>
    </w:p>
    <w:p>
      <w:pPr>
        <w:ind w:right="20" w:firstLine="656"/>
        <w:spacing w:after="0" w:line="255" w:lineRule="auto"/>
        <w:tabs>
          <w:tab w:leader="none" w:pos="96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four (4) years commencing on the February 15, 2017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On February 15, 2021, this Agreement will renew automatically for additional one (1) year terms (each an “</w:t>
      </w:r>
      <w:r>
        <w:rPr>
          <w:rFonts w:ascii="Arial" w:cs="Arial" w:eastAsia="Arial" w:hAnsi="Arial"/>
          <w:sz w:val="18"/>
          <w:szCs w:val="18"/>
          <w:b w:val="1"/>
          <w:bCs w:val="1"/>
          <w:i w:val="1"/>
          <w:iCs w:val="1"/>
          <w:color w:val="auto"/>
        </w:rPr>
        <w:t>Additional Term</w:t>
      </w:r>
      <w:r>
        <w:rPr>
          <w:rFonts w:ascii="Arial" w:cs="Arial" w:eastAsia="Arial" w:hAnsi="Arial"/>
          <w:sz w:val="18"/>
          <w:szCs w:val="18"/>
          <w:color w:val="auto"/>
        </w:rPr>
        <w:t>”), unless 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 (12) 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89" w:lineRule="exact"/>
        <w:rPr>
          <w:rFonts w:ascii="Arial" w:cs="Arial" w:eastAsia="Arial" w:hAnsi="Arial"/>
          <w:sz w:val="18"/>
          <w:szCs w:val="18"/>
          <w:color w:val="auto"/>
        </w:rPr>
      </w:pPr>
    </w:p>
    <w:p>
      <w:pPr>
        <w:ind w:right="160" w:firstLine="656"/>
        <w:spacing w:after="0" w:line="264" w:lineRule="auto"/>
        <w:tabs>
          <w:tab w:leader="none" w:pos="963"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Company and Executive acknowledge that Executive’s employment is and will continue to be at-will, as defined under applicable law. As an at-will employee, either the Company or the Executive may terminate the employment relationship at any time, with or without Cause.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86" w:lineRule="auto"/>
        <w:tabs>
          <w:tab w:leader="none" w:pos="1676"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Resignation for Good Reason Unrelated to a Change of Control</w:t>
      </w:r>
      <w:r>
        <w:rPr>
          <w:rFonts w:ascii="Arial" w:cs="Arial" w:eastAsia="Arial" w:hAnsi="Arial"/>
          <w:sz w:val="17"/>
          <w:szCs w:val="17"/>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7" w:right="239" w:bottom="1440" w:gutter="0" w:footer="0" w:header="0"/>
        </w:sectPr>
      </w:pPr>
    </w:p>
    <w:bookmarkStart w:id="94" w:name="page95"/>
    <w:bookmarkEnd w:id="94"/>
    <w:p>
      <w:pPr>
        <w:ind w:right="60" w:firstLine="1953"/>
        <w:spacing w:after="0" w:line="277" w:lineRule="auto"/>
        <w:tabs>
          <w:tab w:leader="none" w:pos="2295"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firstLine="1953"/>
        <w:spacing w:after="0" w:line="264" w:lineRule="auto"/>
        <w:tabs>
          <w:tab w:leader="none" w:pos="2345"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Continuing Severance Payments</w:t>
      </w:r>
      <w:r>
        <w:rPr>
          <w:rFonts w:ascii="Arial" w:cs="Arial" w:eastAsia="Arial" w:hAnsi="Arial"/>
          <w:sz w:val="18"/>
          <w:szCs w:val="18"/>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1" w:lineRule="exact"/>
        <w:rPr>
          <w:rFonts w:ascii="Arial" w:cs="Arial" w:eastAsia="Arial" w:hAnsi="Arial"/>
          <w:sz w:val="18"/>
          <w:szCs w:val="18"/>
          <w:color w:val="auto"/>
        </w:rPr>
      </w:pPr>
    </w:p>
    <w:p>
      <w:pPr>
        <w:ind w:firstLine="1953"/>
        <w:spacing w:after="0" w:line="286" w:lineRule="auto"/>
        <w:tabs>
          <w:tab w:leader="none" w:pos="2395" w:val="left"/>
        </w:tabs>
        <w:numPr>
          <w:ilvl w:val="2"/>
          <w:numId w:val="85"/>
        </w:numPr>
        <w:rPr>
          <w:rFonts w:ascii="Arial" w:cs="Arial" w:eastAsia="Arial" w:hAnsi="Arial"/>
          <w:sz w:val="16"/>
          <w:szCs w:val="16"/>
          <w:color w:val="auto"/>
        </w:rPr>
      </w:pPr>
      <w:r>
        <w:rPr>
          <w:rFonts w:ascii="Arial" w:cs="Arial" w:eastAsia="Arial" w:hAnsi="Arial"/>
          <w:sz w:val="16"/>
          <w:szCs w:val="16"/>
          <w:u w:val="single" w:color="auto"/>
          <w:color w:val="auto"/>
        </w:rPr>
        <w:t>Continuation Coverage</w:t>
      </w:r>
      <w:r>
        <w:rPr>
          <w:rFonts w:ascii="Arial" w:cs="Arial" w:eastAsia="Arial" w:hAnsi="Arial"/>
          <w:sz w:val="16"/>
          <w:szCs w:val="16"/>
          <w:color w:val="auto"/>
        </w:rPr>
        <w:t>. If Executive elects continuation coverage pursuant to the Consolidated Omnibus Budget Reconciliation Act of 1985, as amended (“</w:t>
      </w:r>
      <w:r>
        <w:rPr>
          <w:rFonts w:ascii="Arial" w:cs="Arial" w:eastAsia="Arial" w:hAnsi="Arial"/>
          <w:sz w:val="16"/>
          <w:szCs w:val="16"/>
          <w:b w:val="1"/>
          <w:bCs w:val="1"/>
          <w:i w:val="1"/>
          <w:iCs w:val="1"/>
          <w:color w:val="auto"/>
        </w:rPr>
        <w:t>COBRA</w:t>
      </w:r>
      <w:r>
        <w:rPr>
          <w:rFonts w:ascii="Arial" w:cs="Arial" w:eastAsia="Arial" w:hAnsi="Arial"/>
          <w:sz w:val="16"/>
          <w:szCs w:val="16"/>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1" w:lineRule="exact"/>
        <w:rPr>
          <w:rFonts w:ascii="Arial" w:cs="Arial" w:eastAsia="Arial" w:hAnsi="Arial"/>
          <w:sz w:val="16"/>
          <w:szCs w:val="16"/>
          <w:color w:val="auto"/>
        </w:rPr>
      </w:pPr>
    </w:p>
    <w:p>
      <w:pPr>
        <w:ind w:right="140" w:firstLine="1305"/>
        <w:spacing w:after="0" w:line="312" w:lineRule="auto"/>
        <w:tabs>
          <w:tab w:leader="none" w:pos="168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Resignation for Good Reason in Connection with a Change of Control</w:t>
      </w:r>
      <w:r>
        <w:rPr>
          <w:rFonts w:ascii="Arial" w:cs="Arial" w:eastAsia="Arial" w:hAnsi="Arial"/>
          <w:sz w:val="16"/>
          <w:szCs w:val="16"/>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p>
    <w:p>
      <w:pPr>
        <w:spacing w:after="0" w:line="146" w:lineRule="exact"/>
        <w:rPr>
          <w:rFonts w:ascii="Arial" w:cs="Arial" w:eastAsia="Arial" w:hAnsi="Arial"/>
          <w:sz w:val="16"/>
          <w:szCs w:val="16"/>
          <w:color w:val="auto"/>
        </w:rPr>
      </w:pPr>
    </w:p>
    <w:p>
      <w:pPr>
        <w:ind w:right="60" w:firstLine="1953"/>
        <w:spacing w:after="0" w:line="277" w:lineRule="auto"/>
        <w:tabs>
          <w:tab w:leader="none" w:pos="2295" w:val="left"/>
        </w:tabs>
        <w:numPr>
          <w:ilvl w:val="2"/>
          <w:numId w:val="86"/>
        </w:numPr>
        <w:rPr>
          <w:rFonts w:ascii="Arial" w:cs="Arial" w:eastAsia="Arial" w:hAnsi="Arial"/>
          <w:sz w:val="18"/>
          <w:szCs w:val="18"/>
          <w:color w:val="auto"/>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70" w:lineRule="exact"/>
        <w:rPr>
          <w:rFonts w:ascii="Arial" w:cs="Arial" w:eastAsia="Arial" w:hAnsi="Arial"/>
          <w:sz w:val="18"/>
          <w:szCs w:val="18"/>
          <w:color w:val="auto"/>
        </w:rPr>
      </w:pPr>
    </w:p>
    <w:p>
      <w:pPr>
        <w:ind w:left="2360" w:hanging="407"/>
        <w:spacing w:after="0"/>
        <w:tabs>
          <w:tab w:leader="none" w:pos="2360" w:val="left"/>
        </w:tabs>
        <w:numPr>
          <w:ilvl w:val="2"/>
          <w:numId w:val="86"/>
        </w:numPr>
        <w:rPr>
          <w:rFonts w:ascii="Arial" w:cs="Arial" w:eastAsia="Arial" w:hAnsi="Arial"/>
          <w:sz w:val="17"/>
          <w:szCs w:val="17"/>
          <w:color w:val="auto"/>
        </w:rPr>
      </w:pPr>
      <w:r>
        <w:rPr>
          <w:rFonts w:ascii="Arial" w:cs="Arial" w:eastAsia="Arial" w:hAnsi="Arial"/>
          <w:sz w:val="17"/>
          <w:szCs w:val="17"/>
          <w:u w:val="single" w:color="auto"/>
          <w:color w:val="auto"/>
        </w:rPr>
        <w:t>Severance Payment</w:t>
      </w:r>
      <w:r>
        <w:rPr>
          <w:rFonts w:ascii="Arial" w:cs="Arial" w:eastAsia="Arial" w:hAnsi="Arial"/>
          <w:sz w:val="17"/>
          <w:szCs w:val="17"/>
          <w:color w:val="auto"/>
        </w:rPr>
        <w:t>.  Executive will receive a lump-sum payment (less applicable withholding taxes) equal to eighteen</w:t>
      </w:r>
    </w:p>
    <w:p>
      <w:pPr>
        <w:spacing w:after="0" w:line="34" w:lineRule="exact"/>
        <w:rPr>
          <w:rFonts w:ascii="Arial" w:cs="Arial" w:eastAsia="Arial" w:hAnsi="Arial"/>
          <w:sz w:val="17"/>
          <w:szCs w:val="17"/>
          <w:color w:val="auto"/>
        </w:rPr>
      </w:pPr>
    </w:p>
    <w:p>
      <w:pPr>
        <w:ind w:right="100" w:firstLine="8"/>
        <w:spacing w:after="0" w:line="290" w:lineRule="auto"/>
        <w:tabs>
          <w:tab w:leader="none" w:pos="34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months of Executive’s annual base salary as in effect immediately prior to Executive’s termination date or, if greater, at the level in effect immediately prior to the Change of Control. For the avoidance of doubt, if (x) Executive incurred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w:t>
      </w:r>
      <w:r>
        <w:rPr>
          <w:rFonts w:ascii="Arial" w:cs="Arial" w:eastAsia="Arial" w:hAnsi="Arial"/>
          <w:sz w:val="16"/>
          <w:szCs w:val="16"/>
          <w:i w:val="1"/>
          <w:iCs w:val="1"/>
          <w:color w:val="auto"/>
        </w:rPr>
        <w:t>less</w:t>
      </w:r>
      <w:r>
        <w:rPr>
          <w:rFonts w:ascii="Arial" w:cs="Arial" w:eastAsia="Arial" w:hAnsi="Arial"/>
          <w:sz w:val="16"/>
          <w:szCs w:val="16"/>
          <w:color w:val="auto"/>
        </w:rPr>
        <w:t xml:space="preserve">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64" w:lineRule="exact"/>
        <w:rPr>
          <w:rFonts w:ascii="Arial" w:cs="Arial" w:eastAsia="Arial" w:hAnsi="Arial"/>
          <w:sz w:val="16"/>
          <w:szCs w:val="16"/>
          <w:color w:val="auto"/>
        </w:rPr>
      </w:pPr>
    </w:p>
    <w:p>
      <w:pPr>
        <w:ind w:left="2400" w:hanging="447"/>
        <w:spacing w:after="0"/>
        <w:tabs>
          <w:tab w:leader="none" w:pos="2400" w:val="left"/>
        </w:tabs>
        <w:numPr>
          <w:ilvl w:val="2"/>
          <w:numId w:val="87"/>
        </w:numPr>
        <w:rPr>
          <w:rFonts w:ascii="Arial" w:cs="Arial" w:eastAsia="Arial" w:hAnsi="Arial"/>
          <w:sz w:val="17"/>
          <w:szCs w:val="17"/>
          <w:color w:val="auto"/>
        </w:rPr>
      </w:pPr>
      <w:r>
        <w:rPr>
          <w:rFonts w:ascii="Arial" w:cs="Arial" w:eastAsia="Arial" w:hAnsi="Arial"/>
          <w:sz w:val="17"/>
          <w:szCs w:val="17"/>
          <w:u w:val="single" w:color="auto"/>
          <w:color w:val="auto"/>
        </w:rPr>
        <w:t>Bonus Payment</w:t>
      </w:r>
      <w:r>
        <w:rPr>
          <w:rFonts w:ascii="Arial" w:cs="Arial" w:eastAsia="Arial" w:hAnsi="Arial"/>
          <w:sz w:val="17"/>
          <w:szCs w:val="17"/>
          <w:color w:val="auto"/>
        </w:rPr>
        <w:t>.  Executive will receive a lump-sum payment equal to one hundred fifty percent (150%) of the higher of</w:t>
      </w:r>
    </w:p>
    <w:p>
      <w:pPr>
        <w:spacing w:after="0" w:line="34" w:lineRule="exact"/>
        <w:rPr>
          <w:rFonts w:ascii="Arial" w:cs="Arial" w:eastAsia="Arial" w:hAnsi="Arial"/>
          <w:sz w:val="17"/>
          <w:szCs w:val="17"/>
          <w:color w:val="auto"/>
        </w:rPr>
      </w:pPr>
    </w:p>
    <w:p>
      <w:pPr>
        <w:ind w:right="160"/>
        <w:spacing w:after="0" w:line="254" w:lineRule="auto"/>
        <w:rPr>
          <w:rFonts w:ascii="Arial" w:cs="Arial" w:eastAsia="Arial" w:hAnsi="Arial"/>
          <w:sz w:val="17"/>
          <w:szCs w:val="17"/>
          <w:color w:val="auto"/>
        </w:rPr>
      </w:pPr>
      <w:r>
        <w:rPr>
          <w:rFonts w:ascii="Arial" w:cs="Arial" w:eastAsia="Arial" w:hAnsi="Arial"/>
          <w:sz w:val="18"/>
          <w:szCs w:val="18"/>
          <w:color w:val="auto"/>
        </w:rPr>
        <w:t>(A)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625" w:right="299" w:bottom="1440" w:gutter="0" w:footer="0" w:header="0"/>
        </w:sectPr>
      </w:pPr>
    </w:p>
    <w:bookmarkStart w:id="95" w:name="page96"/>
    <w:bookmarkEnd w:id="95"/>
    <w:p>
      <w:pPr>
        <w:ind w:right="580"/>
        <w:spacing w:after="0" w:line="277" w:lineRule="auto"/>
        <w:rPr>
          <w:sz w:val="20"/>
          <w:szCs w:val="20"/>
          <w:color w:val="auto"/>
        </w:rPr>
      </w:pPr>
      <w:r>
        <w:rPr>
          <w:rFonts w:ascii="Arial" w:cs="Arial" w:eastAsia="Arial" w:hAnsi="Arial"/>
          <w:sz w:val="18"/>
          <w:szCs w:val="18"/>
          <w:color w:val="auto"/>
        </w:rPr>
        <w:t>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70" w:lineRule="exact"/>
        <w:rPr>
          <w:sz w:val="20"/>
          <w:szCs w:val="20"/>
          <w:color w:val="auto"/>
        </w:rPr>
      </w:pPr>
    </w:p>
    <w:p>
      <w:pPr>
        <w:ind w:firstLine="1953"/>
        <w:spacing w:after="0" w:line="268" w:lineRule="auto"/>
        <w:tabs>
          <w:tab w:leader="none" w:pos="2385" w:val="left"/>
        </w:tabs>
        <w:numPr>
          <w:ilvl w:val="1"/>
          <w:numId w:val="88"/>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 payments. For the avoidance of doubt, the taxable payments in lieu of COBRA reimbursements may be used for any purpose, including, but not limited to continuation coverage under COBRA, and will be subject to all applicable tax withholdings.</w:t>
      </w:r>
    </w:p>
    <w:p>
      <w:pPr>
        <w:spacing w:after="0" w:line="185" w:lineRule="exact"/>
        <w:rPr>
          <w:rFonts w:ascii="Arial" w:cs="Arial" w:eastAsia="Arial" w:hAnsi="Arial"/>
          <w:sz w:val="17"/>
          <w:szCs w:val="17"/>
          <w:color w:val="auto"/>
        </w:rPr>
      </w:pPr>
    </w:p>
    <w:p>
      <w:pPr>
        <w:jc w:val="both"/>
        <w:ind w:right="120" w:firstLine="1953"/>
        <w:spacing w:after="0" w:line="259" w:lineRule="auto"/>
        <w:tabs>
          <w:tab w:leader="none" w:pos="2335"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186" w:lineRule="exact"/>
        <w:rPr>
          <w:rFonts w:ascii="Arial" w:cs="Arial" w:eastAsia="Arial" w:hAnsi="Arial"/>
          <w:sz w:val="18"/>
          <w:szCs w:val="18"/>
          <w:color w:val="auto"/>
        </w:rPr>
      </w:pPr>
    </w:p>
    <w:p>
      <w:pPr>
        <w:ind w:right="100" w:firstLine="1305"/>
        <w:spacing w:after="0" w:line="259" w:lineRule="auto"/>
        <w:tabs>
          <w:tab w:leader="none" w:pos="167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40" w:firstLine="1305"/>
        <w:spacing w:after="0" w:line="259" w:lineRule="auto"/>
        <w:tabs>
          <w:tab w:leader="none" w:pos="168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86" w:lineRule="exact"/>
        <w:rPr>
          <w:rFonts w:ascii="Arial" w:cs="Arial" w:eastAsia="Arial" w:hAnsi="Arial"/>
          <w:sz w:val="18"/>
          <w:szCs w:val="18"/>
          <w:color w:val="auto"/>
        </w:rPr>
      </w:pPr>
    </w:p>
    <w:p>
      <w:pPr>
        <w:ind w:right="20" w:firstLine="1305"/>
        <w:spacing w:after="0" w:line="257" w:lineRule="auto"/>
        <w:tabs>
          <w:tab w:leader="none" w:pos="1676"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8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u w:val="single" w:color="auto"/>
          <w:color w:val="auto"/>
        </w:rPr>
        <w:t>Conditions to Receipt of Severance</w:t>
      </w:r>
    </w:p>
    <w:p>
      <w:pPr>
        <w:spacing w:after="0" w:line="225" w:lineRule="exact"/>
        <w:rPr>
          <w:sz w:val="20"/>
          <w:szCs w:val="20"/>
          <w:color w:val="auto"/>
        </w:rPr>
      </w:pPr>
    </w:p>
    <w:p>
      <w:pPr>
        <w:ind w:right="220" w:firstLine="1305"/>
        <w:spacing w:after="0" w:line="277" w:lineRule="auto"/>
        <w:tabs>
          <w:tab w:leader="none" w:pos="167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The receipt of any severance payments or benefits (other than the accrued benefits set forth in either Sections 3(a)(i) or 3(b)(i)) pursuant to this Agreement is subject to</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625" w:right="259" w:bottom="1440" w:gutter="0" w:footer="0" w:header="0"/>
        </w:sectPr>
      </w:pPr>
    </w:p>
    <w:bookmarkStart w:id="96" w:name="page97"/>
    <w:bookmarkEnd w:id="96"/>
    <w:p>
      <w:pPr>
        <w:ind w:right="20"/>
        <w:spacing w:after="0" w:line="302" w:lineRule="auto"/>
        <w:rPr>
          <w:sz w:val="20"/>
          <w:szCs w:val="20"/>
          <w:color w:val="auto"/>
        </w:rPr>
      </w:pPr>
      <w:r>
        <w:rPr>
          <w:rFonts w:ascii="Arial" w:cs="Arial" w:eastAsia="Arial" w:hAnsi="Arial"/>
          <w:sz w:val="16"/>
          <w:szCs w:val="16"/>
          <w:color w:val="auto"/>
        </w:rPr>
        <w:t xml:space="preserve">Executive signing and not revoking a separation agreement and release of claims in substantially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which must become effective and irrevocable no later than the sixtieth (60th) day following Executive’s termination of employment (the “</w:t>
      </w:r>
      <w:r>
        <w:rPr>
          <w:rFonts w:ascii="Arial" w:cs="Arial" w:eastAsia="Arial" w:hAnsi="Arial"/>
          <w:sz w:val="16"/>
          <w:szCs w:val="16"/>
          <w:b w:val="1"/>
          <w:bCs w:val="1"/>
          <w:i w:val="1"/>
          <w:iCs w:val="1"/>
          <w:color w:val="auto"/>
        </w:rPr>
        <w:t>Release Deadline</w:t>
      </w:r>
      <w:r>
        <w:rPr>
          <w:rFonts w:ascii="Arial" w:cs="Arial" w:eastAsia="Arial" w:hAnsi="Arial"/>
          <w:sz w:val="16"/>
          <w:szCs w:val="16"/>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54" w:lineRule="exact"/>
        <w:rPr>
          <w:sz w:val="20"/>
          <w:szCs w:val="20"/>
          <w:color w:val="auto"/>
        </w:rPr>
      </w:pPr>
    </w:p>
    <w:p>
      <w:pPr>
        <w:ind w:right="340" w:firstLine="1305"/>
        <w:spacing w:after="0" w:line="312" w:lineRule="auto"/>
        <w:tabs>
          <w:tab w:leader="none" w:pos="1686"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Confidential Information and Invention Assignment Agreements</w:t>
      </w:r>
      <w:r>
        <w:rPr>
          <w:rFonts w:ascii="Arial" w:cs="Arial" w:eastAsia="Arial" w:hAnsi="Arial"/>
          <w:sz w:val="16"/>
          <w:szCs w:val="16"/>
          <w:color w:val="auto"/>
        </w:rPr>
        <w:t>. Executive’s receipt of any payments or benefits under Section 3 (other than the accrued benefits set forth in either Sections 3(a)(i) or 3(b)(i)) will be subject to Executive continuing to comply with the terms of the Confidentiality Agreement dated November 28, 2016, between the Company and Executive, as such agreement may be amended from time to time.</w:t>
      </w:r>
    </w:p>
    <w:p>
      <w:pPr>
        <w:spacing w:after="0" w:line="146" w:lineRule="exact"/>
        <w:rPr>
          <w:rFonts w:ascii="Arial" w:cs="Arial" w:eastAsia="Arial" w:hAnsi="Arial"/>
          <w:sz w:val="16"/>
          <w:szCs w:val="16"/>
          <w:color w:val="auto"/>
        </w:rPr>
      </w:pPr>
    </w:p>
    <w:p>
      <w:pPr>
        <w:ind w:left="1680" w:hanging="375"/>
        <w:spacing w:after="0"/>
        <w:tabs>
          <w:tab w:leader="none" w:pos="168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53"/>
        <w:spacing w:after="0" w:line="273" w:lineRule="auto"/>
        <w:tabs>
          <w:tab w:leader="none" w:pos="2295" w:val="left"/>
        </w:tabs>
        <w:numPr>
          <w:ilvl w:val="2"/>
          <w:numId w:val="91"/>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(together, the “</w:t>
      </w:r>
      <w:r>
        <w:rPr>
          <w:rFonts w:ascii="Arial" w:cs="Arial" w:eastAsia="Arial" w:hAnsi="Arial"/>
          <w:sz w:val="17"/>
          <w:szCs w:val="17"/>
          <w:b w:val="1"/>
          <w:bCs w:val="1"/>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Payments</w:t>
      </w:r>
      <w:r>
        <w:rPr>
          <w:rFonts w:ascii="Arial" w:cs="Arial" w:eastAsia="Arial" w:hAnsi="Arial"/>
          <w:sz w:val="17"/>
          <w:szCs w:val="17"/>
          <w:color w:val="auto"/>
        </w:rPr>
        <w:t>”) will be paid or otherwise provided until Executive has a “separation from service” within the meaning of Section 409A. Similarly, no severance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78" w:lineRule="exact"/>
        <w:rPr>
          <w:rFonts w:ascii="Arial" w:cs="Arial" w:eastAsia="Arial" w:hAnsi="Arial"/>
          <w:sz w:val="17"/>
          <w:szCs w:val="17"/>
          <w:color w:val="auto"/>
        </w:rPr>
      </w:pPr>
    </w:p>
    <w:p>
      <w:pPr>
        <w:ind w:right="80" w:firstLine="1953"/>
        <w:spacing w:after="0" w:line="239" w:lineRule="auto"/>
        <w:tabs>
          <w:tab w:leader="none" w:pos="2345" w:val="left"/>
        </w:tabs>
        <w:numPr>
          <w:ilvl w:val="2"/>
          <w:numId w:val="91"/>
        </w:numPr>
        <w:rPr>
          <w:rFonts w:ascii="Arial" w:cs="Arial" w:eastAsia="Arial" w:hAnsi="Arial"/>
          <w:sz w:val="17"/>
          <w:szCs w:val="17"/>
          <w:color w:val="auto"/>
        </w:rPr>
      </w:pPr>
      <w:r>
        <w:rPr>
          <w:rFonts w:ascii="Arial" w:cs="Arial" w:eastAsia="Arial" w:hAnsi="Arial"/>
          <w:sz w:val="17"/>
          <w:szCs w:val="17"/>
          <w:color w:val="auto"/>
        </w:rPr>
        <w:t>It is intended that none of the severance payments under this Agreement will constitute Deferred Payments but rather will be exempt from Section 409A as a payment that would fall within the “short-term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Arial" w:cs="Arial" w:eastAsia="Arial" w:hAnsi="Arial"/>
          <w:sz w:val="24"/>
          <w:szCs w:val="24"/>
          <w:color w:val="auto"/>
          <w:vertAlign w:val="superscript"/>
        </w:rPr>
        <w:t>st</w:t>
      </w:r>
      <w:r>
        <w:rPr>
          <w:rFonts w:ascii="Arial" w:cs="Arial" w:eastAsia="Arial" w:hAnsi="Arial"/>
          <w:sz w:val="17"/>
          <w:szCs w:val="17"/>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24"/>
          <w:szCs w:val="24"/>
          <w:color w:val="auto"/>
          <w:vertAlign w:val="superscript"/>
        </w:rPr>
        <w:t>st</w:t>
      </w:r>
      <w:r>
        <w:rPr>
          <w:rFonts w:ascii="Arial" w:cs="Arial" w:eastAsia="Arial" w:hAnsi="Arial"/>
          <w:sz w:val="17"/>
          <w:szCs w:val="17"/>
          <w:color w:val="auto"/>
        </w:rPr>
        <w:t>) day following Executive’s separation from service and the remaining payments will be made as provided in this Agreement.</w:t>
      </w:r>
    </w:p>
    <w:p>
      <w:pPr>
        <w:spacing w:after="0" w:line="205" w:lineRule="exact"/>
        <w:rPr>
          <w:rFonts w:ascii="Arial" w:cs="Arial" w:eastAsia="Arial" w:hAnsi="Arial"/>
          <w:sz w:val="17"/>
          <w:szCs w:val="17"/>
          <w:color w:val="auto"/>
        </w:rPr>
      </w:pPr>
    </w:p>
    <w:p>
      <w:pPr>
        <w:ind w:right="220" w:firstLine="1953"/>
        <w:spacing w:after="0" w:line="291" w:lineRule="auto"/>
        <w:tabs>
          <w:tab w:leader="none" w:pos="2395" w:val="left"/>
        </w:tabs>
        <w:numPr>
          <w:ilvl w:val="2"/>
          <w:numId w:val="9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w:t>
      </w:r>
    </w:p>
    <w:p>
      <w:pPr>
        <w:ind w:left="260" w:hanging="252"/>
        <w:spacing w:after="0"/>
        <w:tabs>
          <w:tab w:leader="none" w:pos="2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months following Executive’s separation from service, will become payable on the first payroll date that occurs on or after the date six (6) months and one</w:t>
      </w:r>
    </w:p>
    <w:p>
      <w:pPr>
        <w:spacing w:after="0" w:line="32" w:lineRule="exact"/>
        <w:rPr>
          <w:rFonts w:ascii="Arial" w:cs="Arial" w:eastAsia="Arial" w:hAnsi="Arial"/>
          <w:sz w:val="16"/>
          <w:szCs w:val="16"/>
          <w:color w:val="auto"/>
        </w:rPr>
      </w:pPr>
    </w:p>
    <w:p>
      <w:pPr>
        <w:ind w:right="60" w:firstLine="8"/>
        <w:spacing w:after="0" w:line="270" w:lineRule="auto"/>
        <w:tabs>
          <w:tab w:leader="none" w:pos="2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78" w:lineRule="exact"/>
        <w:rPr>
          <w:rFonts w:ascii="Arial" w:cs="Arial" w:eastAsia="Arial" w:hAnsi="Arial"/>
          <w:sz w:val="17"/>
          <w:szCs w:val="17"/>
          <w:color w:val="auto"/>
        </w:rPr>
      </w:pPr>
    </w:p>
    <w:p>
      <w:pPr>
        <w:ind w:left="2380" w:hanging="427"/>
        <w:spacing w:after="0"/>
        <w:tabs>
          <w:tab w:leader="none" w:pos="2380" w:val="left"/>
        </w:tabs>
        <w:numPr>
          <w:ilvl w:val="2"/>
          <w:numId w:val="93"/>
        </w:numPr>
        <w:rPr>
          <w:rFonts w:ascii="Arial" w:cs="Arial" w:eastAsia="Arial" w:hAnsi="Arial"/>
          <w:sz w:val="18"/>
          <w:szCs w:val="18"/>
          <w:color w:val="auto"/>
        </w:rPr>
      </w:pPr>
      <w:r>
        <w:rPr>
          <w:rFonts w:ascii="Arial" w:cs="Arial" w:eastAsia="Arial" w:hAnsi="Arial"/>
          <w:sz w:val="18"/>
          <w:szCs w:val="18"/>
          <w:color w:val="auto"/>
        </w:rPr>
        <w:t>Any amount paid under this Agreement that satisfies the requirements of the “short-term deferral” rule set forth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1.409A-1(b)(4) of the Treasury Regulations will not constitute Deferred Payments for purposes of clause (i) above.</w:t>
      </w:r>
    </w:p>
    <w:p>
      <w:pPr>
        <w:spacing w:after="0" w:line="211" w:lineRule="exact"/>
        <w:rPr>
          <w:sz w:val="20"/>
          <w:szCs w:val="20"/>
          <w:color w:val="auto"/>
        </w:rPr>
      </w:pPr>
    </w:p>
    <w:p>
      <w:pPr>
        <w:ind w:right="40" w:firstLine="1953"/>
        <w:spacing w:after="0" w:line="277" w:lineRule="auto"/>
        <w:tabs>
          <w:tab w:leader="none" w:pos="23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amount paid under this Agreement that qualifies as a payment made as a result of an involuntary separation from service pursuant to Section 1.409A-1(b)(9)(iii) of the Treasury Regulations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that does not exceed the Section 409A Limit (as defined below) will not constitute Deferred Payments for purposes of clause (i) above.</w:t>
      </w:r>
    </w:p>
    <w:p>
      <w:pPr>
        <w:spacing w:after="0" w:line="225" w:lineRule="exact"/>
        <w:rPr>
          <w:sz w:val="20"/>
          <w:szCs w:val="20"/>
          <w:color w:val="auto"/>
        </w:rPr>
      </w:pPr>
    </w:p>
    <w:p>
      <w:pPr>
        <w:ind w:right="340" w:firstLine="1953"/>
        <w:spacing w:after="0" w:line="257" w:lineRule="auto"/>
        <w:tabs>
          <w:tab w:leader="none" w:pos="2381" w:val="left"/>
        </w:tabs>
        <w:numPr>
          <w:ilvl w:val="3"/>
          <w:numId w:val="95"/>
        </w:numPr>
        <w:rPr>
          <w:rFonts w:ascii="Arial" w:cs="Arial" w:eastAsia="Arial" w:hAnsi="Arial"/>
          <w:sz w:val="18"/>
          <w:szCs w:val="18"/>
          <w:color w:val="auto"/>
        </w:rPr>
      </w:pPr>
      <w:r>
        <w:rPr>
          <w:rFonts w:ascii="Arial" w:cs="Arial" w:eastAsia="Arial" w:hAnsi="Arial"/>
          <w:sz w:val="18"/>
          <w:szCs w:val="18"/>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Limitation on Payments</w:t>
      </w:r>
      <w:r>
        <w:rPr>
          <w:rFonts w:ascii="Arial" w:cs="Arial" w:eastAsia="Arial" w:hAnsi="Arial"/>
          <w:sz w:val="16"/>
          <w:szCs w:val="16"/>
          <w:color w:val="auto"/>
        </w:rPr>
        <w:t>.  In the event that the severance and other benefits provided for in this Agreement or otherwise payable to Executive</w:t>
      </w:r>
    </w:p>
    <w:p>
      <w:pPr>
        <w:spacing w:after="0" w:line="46" w:lineRule="exact"/>
        <w:rPr>
          <w:rFonts w:ascii="Arial" w:cs="Arial" w:eastAsia="Arial" w:hAnsi="Arial"/>
          <w:sz w:val="16"/>
          <w:szCs w:val="16"/>
          <w:color w:val="auto"/>
        </w:rPr>
      </w:pPr>
    </w:p>
    <w:p>
      <w:pPr>
        <w:ind w:right="600" w:firstLine="8"/>
        <w:spacing w:after="0" w:line="261" w:lineRule="auto"/>
        <w:tabs>
          <w:tab w:leader="none" w:pos="2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constitute “parachute payments” within the meaning of Section 280G of the Code, and (ii) but for this Section 5, would be subject to the excise tax imposed by Section 4999 of the Code, then Executive’s benefits under Section 3 will be either:</w:t>
      </w:r>
    </w:p>
    <w:p>
      <w:pPr>
        <w:spacing w:after="0" w:line="183" w:lineRule="exact"/>
        <w:rPr>
          <w:rFonts w:ascii="Arial" w:cs="Arial" w:eastAsia="Arial" w:hAnsi="Arial"/>
          <w:sz w:val="18"/>
          <w:szCs w:val="18"/>
          <w:color w:val="auto"/>
        </w:rPr>
      </w:pPr>
    </w:p>
    <w:p>
      <w:pPr>
        <w:ind w:left="1680" w:hanging="375"/>
        <w:spacing w:after="0"/>
        <w:tabs>
          <w:tab w:leader="none" w:pos="1680" w:val="left"/>
        </w:tabs>
        <w:numPr>
          <w:ilvl w:val="2"/>
          <w:numId w:val="97"/>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2"/>
          <w:numId w:val="97"/>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benefits being subject to excise tax under Section 4999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89"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mean:</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2"/>
          <w:numId w:val="98"/>
        </w:numPr>
        <w:rPr>
          <w:rFonts w:ascii="Arial" w:cs="Arial" w:eastAsia="Arial" w:hAnsi="Arial"/>
          <w:sz w:val="17"/>
          <w:szCs w:val="17"/>
          <w:color w:val="auto"/>
        </w:rPr>
      </w:pPr>
      <w:r>
        <w:rPr>
          <w:rFonts w:ascii="Arial" w:cs="Arial" w:eastAsia="Arial" w:hAnsi="Arial"/>
          <w:sz w:val="17"/>
          <w:szCs w:val="17"/>
          <w:color w:val="auto"/>
        </w:rPr>
        <w:t>The willful or grossly negligent failure of the Executive to substantially perform his or her duties as an employee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360" w:hanging="407"/>
        <w:spacing w:after="0"/>
        <w:tabs>
          <w:tab w:leader="none" w:pos="2360" w:val="left"/>
        </w:tabs>
        <w:numPr>
          <w:ilvl w:val="2"/>
          <w:numId w:val="98"/>
        </w:numPr>
        <w:rPr>
          <w:rFonts w:ascii="Arial" w:cs="Arial" w:eastAsia="Arial" w:hAnsi="Arial"/>
          <w:sz w:val="18"/>
          <w:szCs w:val="18"/>
          <w:color w:val="auto"/>
        </w:rPr>
      </w:pPr>
      <w:r>
        <w:rPr>
          <w:rFonts w:ascii="Arial" w:cs="Arial" w:eastAsia="Arial" w:hAnsi="Arial"/>
          <w:sz w:val="18"/>
          <w:szCs w:val="18"/>
          <w:color w:val="auto"/>
        </w:rPr>
        <w:t>Executive’s commission of a gross misconduct which is injurious to the Company;</w:t>
      </w:r>
    </w:p>
    <w:p>
      <w:pPr>
        <w:spacing w:after="0" w:line="225" w:lineRule="exact"/>
        <w:rPr>
          <w:rFonts w:ascii="Arial" w:cs="Arial" w:eastAsia="Arial" w:hAnsi="Arial"/>
          <w:sz w:val="18"/>
          <w:szCs w:val="18"/>
          <w:color w:val="auto"/>
        </w:rPr>
      </w:pPr>
    </w:p>
    <w:p>
      <w:pPr>
        <w:ind w:left="2400" w:hanging="447"/>
        <w:spacing w:after="0"/>
        <w:tabs>
          <w:tab w:leader="none" w:pos="2400" w:val="left"/>
        </w:tabs>
        <w:numPr>
          <w:ilvl w:val="2"/>
          <w:numId w:val="98"/>
        </w:numPr>
        <w:rPr>
          <w:rFonts w:ascii="Arial" w:cs="Arial" w:eastAsia="Arial" w:hAnsi="Arial"/>
          <w:sz w:val="18"/>
          <w:szCs w:val="18"/>
          <w:color w:val="auto"/>
        </w:rPr>
      </w:pPr>
      <w:r>
        <w:rPr>
          <w:rFonts w:ascii="Arial" w:cs="Arial" w:eastAsia="Arial" w:hAnsi="Arial"/>
          <w:sz w:val="18"/>
          <w:szCs w:val="18"/>
          <w:color w:val="auto"/>
        </w:rPr>
        <w:t>Executive’s breach of a material provision of any agreement between Executive and the Company;</w:t>
      </w: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625" w:right="259" w:bottom="1440" w:gutter="0" w:footer="0" w:header="0"/>
        </w:sectPr>
      </w:pPr>
    </w:p>
    <w:bookmarkStart w:id="98" w:name="page99"/>
    <w:bookmarkEnd w:id="98"/>
    <w:p>
      <w:pPr>
        <w:ind w:left="2400" w:hanging="447"/>
        <w:spacing w:after="0"/>
        <w:tabs>
          <w:tab w:leader="none" w:pos="24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Executive’s material and willful violation of a federal or state law or regulation applicable to the business of the Company;</w:t>
      </w:r>
    </w:p>
    <w:p>
      <w:pPr>
        <w:spacing w:after="0" w:line="248" w:lineRule="exact"/>
        <w:rPr>
          <w:rFonts w:ascii="Arial" w:cs="Arial" w:eastAsia="Arial" w:hAnsi="Arial"/>
          <w:sz w:val="16"/>
          <w:szCs w:val="16"/>
          <w:color w:val="auto"/>
        </w:rPr>
      </w:pPr>
    </w:p>
    <w:p>
      <w:pPr>
        <w:ind w:left="2340" w:hanging="387"/>
        <w:spacing w:after="0"/>
        <w:tabs>
          <w:tab w:leader="none" w:pos="2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Executive’s misappropriation or embezzlement of Company funds or Executive’s act of fraud or dishonesty upon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or</w:t>
      </w:r>
    </w:p>
    <w:p>
      <w:pPr>
        <w:spacing w:after="0" w:line="211" w:lineRule="exact"/>
        <w:rPr>
          <w:sz w:val="20"/>
          <w:szCs w:val="20"/>
          <w:color w:val="auto"/>
        </w:rPr>
      </w:pPr>
    </w:p>
    <w:p>
      <w:pPr>
        <w:ind w:right="220" w:firstLine="1953"/>
        <w:spacing w:after="0" w:line="277" w:lineRule="auto"/>
        <w:tabs>
          <w:tab w:leader="none" w:pos="238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Executive’s conviction of, or plea of nolo contendere, to a felony (other than motor vehicle offenses the effect of which do not materially impair Executive’s performance of Executive’s duties for the Company).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66" w:lineRule="exact"/>
        <w:rPr>
          <w:sz w:val="20"/>
          <w:szCs w:val="20"/>
          <w:color w:val="auto"/>
        </w:rPr>
      </w:pPr>
    </w:p>
    <w:p>
      <w:pPr>
        <w:ind w:left="1700" w:hanging="395"/>
        <w:spacing w:after="0"/>
        <w:tabs>
          <w:tab w:leader="none" w:pos="170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60" w:firstLine="1953"/>
        <w:spacing w:after="0" w:line="291" w:lineRule="auto"/>
        <w:tabs>
          <w:tab w:leader="none" w:pos="228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 change in the ownership of the Company which occurs on the date that any one person, or more than one person acting as a group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acquires ownership of the stock of the Company that, together with the stock held by such Person, constitutes more than fifty percent</w:t>
      </w:r>
    </w:p>
    <w:p>
      <w:pPr>
        <w:ind w:right="260"/>
        <w:spacing w:after="0" w:line="255" w:lineRule="auto"/>
        <w:rPr>
          <w:rFonts w:ascii="Arial" w:cs="Arial" w:eastAsia="Arial" w:hAnsi="Arial"/>
          <w:sz w:val="16"/>
          <w:szCs w:val="16"/>
          <w:color w:val="auto"/>
        </w:rPr>
      </w:pPr>
      <w:r>
        <w:rPr>
          <w:rFonts w:ascii="Arial" w:cs="Arial" w:eastAsia="Arial" w:hAnsi="Arial"/>
          <w:sz w:val="18"/>
          <w:szCs w:val="18"/>
          <w:color w:val="auto"/>
        </w:rPr>
        <w:t>(50%)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90" w:lineRule="exact"/>
        <w:rPr>
          <w:rFonts w:ascii="Arial" w:cs="Arial" w:eastAsia="Arial" w:hAnsi="Arial"/>
          <w:sz w:val="16"/>
          <w:szCs w:val="16"/>
          <w:color w:val="auto"/>
        </w:rPr>
      </w:pPr>
    </w:p>
    <w:p>
      <w:pPr>
        <w:ind w:right="80" w:firstLine="1953"/>
        <w:spacing w:after="0" w:line="279" w:lineRule="auto"/>
        <w:tabs>
          <w:tab w:leader="none" w:pos="233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71" w:lineRule="exact"/>
        <w:rPr>
          <w:rFonts w:ascii="Arial" w:cs="Arial" w:eastAsia="Arial" w:hAnsi="Arial"/>
          <w:sz w:val="17"/>
          <w:szCs w:val="17"/>
          <w:color w:val="auto"/>
        </w:rPr>
      </w:pPr>
    </w:p>
    <w:p>
      <w:pPr>
        <w:ind w:firstLine="1953"/>
        <w:spacing w:after="0" w:line="287" w:lineRule="auto"/>
        <w:tabs>
          <w:tab w:leader="none" w:pos="2385"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99" w:name="page100"/>
    <w:bookmarkEnd w:id="99"/>
    <w:p>
      <w:pPr>
        <w:ind w:right="280" w:firstLine="1945"/>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firstLine="1945"/>
        <w:spacing w:after="0" w:line="286" w:lineRule="auto"/>
        <w:rPr>
          <w:sz w:val="20"/>
          <w:szCs w:val="20"/>
          <w:color w:val="auto"/>
        </w:rPr>
      </w:pPr>
      <w:r>
        <w:rPr>
          <w:rFonts w:ascii="Arial" w:cs="Arial" w:eastAsia="Arial" w:hAnsi="Arial"/>
          <w:sz w:val="17"/>
          <w:szCs w:val="17"/>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66" w:lineRule="exact"/>
        <w:rPr>
          <w:sz w:val="20"/>
          <w:szCs w:val="20"/>
          <w:color w:val="auto"/>
        </w:rPr>
      </w:pPr>
    </w:p>
    <w:p>
      <w:pPr>
        <w:ind w:right="80" w:firstLine="1945"/>
        <w:spacing w:after="0" w:line="264" w:lineRule="auto"/>
        <w:rPr>
          <w:sz w:val="20"/>
          <w:szCs w:val="20"/>
          <w:color w:val="auto"/>
        </w:rPr>
      </w:pPr>
      <w:r>
        <w:rPr>
          <w:rFonts w:ascii="Arial" w:cs="Arial" w:eastAsia="Arial" w:hAnsi="Arial"/>
          <w:sz w:val="18"/>
          <w:szCs w:val="18"/>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1" w:lineRule="exact"/>
        <w:rPr>
          <w:sz w:val="20"/>
          <w:szCs w:val="20"/>
          <w:color w:val="auto"/>
        </w:rPr>
      </w:pPr>
    </w:p>
    <w:p>
      <w:pPr>
        <w:ind w:left="1680" w:hanging="375"/>
        <w:spacing w:after="0"/>
        <w:tabs>
          <w:tab w:leader="none" w:pos="1680"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Change of Control Period</w:t>
      </w:r>
      <w:r>
        <w:rPr>
          <w:rFonts w:ascii="Arial" w:cs="Arial" w:eastAsia="Arial" w:hAnsi="Arial"/>
          <w:sz w:val="16"/>
          <w:szCs w:val="16"/>
          <w:color w:val="auto"/>
        </w:rPr>
        <w:t>.  “</w:t>
      </w:r>
      <w:r>
        <w:rPr>
          <w:rFonts w:ascii="Arial" w:cs="Arial" w:eastAsia="Arial" w:hAnsi="Arial"/>
          <w:sz w:val="16"/>
          <w:szCs w:val="16"/>
          <w:b w:val="1"/>
          <w:bCs w:val="1"/>
          <w:i w:val="1"/>
          <w:iCs w:val="1"/>
          <w:color w:val="auto"/>
        </w:rPr>
        <w:t>Change of Control Period</w:t>
      </w:r>
      <w:r>
        <w:rPr>
          <w:rFonts w:ascii="Arial" w:cs="Arial" w:eastAsia="Arial" w:hAnsi="Arial"/>
          <w:sz w:val="16"/>
          <w:szCs w:val="16"/>
          <w:color w:val="auto"/>
        </w:rPr>
        <w:t>” will mean the period beginning two (2) months prior to, and ending twelve</w:t>
      </w:r>
    </w:p>
    <w:p>
      <w:pPr>
        <w:spacing w:after="0" w:line="46" w:lineRule="exact"/>
        <w:rPr>
          <w:rFonts w:ascii="Arial" w:cs="Arial" w:eastAsia="Arial" w:hAnsi="Arial"/>
          <w:sz w:val="16"/>
          <w:szCs w:val="16"/>
          <w:color w:val="auto"/>
        </w:rPr>
      </w:pPr>
    </w:p>
    <w:p>
      <w:pPr>
        <w:ind w:left="360" w:hanging="352"/>
        <w:spacing w:after="0"/>
        <w:tabs>
          <w:tab w:leader="none" w:pos="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months following, a Change of Control.</w:t>
      </w:r>
    </w:p>
    <w:p>
      <w:pPr>
        <w:spacing w:after="0" w:line="210" w:lineRule="exact"/>
        <w:rPr>
          <w:rFonts w:ascii="Arial" w:cs="Arial" w:eastAsia="Arial" w:hAnsi="Arial"/>
          <w:sz w:val="18"/>
          <w:szCs w:val="18"/>
          <w:color w:val="auto"/>
        </w:rPr>
      </w:pPr>
    </w:p>
    <w:p>
      <w:pPr>
        <w:ind w:left="1700" w:hanging="395"/>
        <w:spacing w:after="0"/>
        <w:tabs>
          <w:tab w:leader="none" w:pos="1700"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will mean the Internal Revenue Code of 1986, as amended.</w:t>
      </w:r>
    </w:p>
    <w:p>
      <w:pPr>
        <w:spacing w:after="0" w:line="225" w:lineRule="exact"/>
        <w:rPr>
          <w:rFonts w:ascii="Arial" w:cs="Arial" w:eastAsia="Arial" w:hAnsi="Arial"/>
          <w:sz w:val="18"/>
          <w:szCs w:val="18"/>
          <w:color w:val="auto"/>
        </w:rPr>
      </w:pPr>
    </w:p>
    <w:p>
      <w:pPr>
        <w:ind w:right="180" w:firstLine="1305"/>
        <w:spacing w:after="0" w:line="293" w:lineRule="auto"/>
        <w:tabs>
          <w:tab w:leader="none" w:pos="1676"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64" w:lineRule="exact"/>
        <w:rPr>
          <w:rFonts w:ascii="Arial" w:cs="Arial" w:eastAsia="Arial" w:hAnsi="Arial"/>
          <w:sz w:val="16"/>
          <w:szCs w:val="16"/>
          <w:color w:val="auto"/>
        </w:rPr>
      </w:pPr>
    </w:p>
    <w:p>
      <w:pPr>
        <w:ind w:right="300" w:firstLine="1305"/>
        <w:spacing w:after="0" w:line="277" w:lineRule="auto"/>
        <w:tabs>
          <w:tab w:leader="none" w:pos="1656"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will mean Executive’s outstanding stock options, stock appreciation rights, restricted stock units, performance shares, performance stock units and any other Company equity compensation awards.</w:t>
      </w:r>
    </w:p>
    <w:p>
      <w:pPr>
        <w:spacing w:after="0" w:line="170" w:lineRule="exact"/>
        <w:rPr>
          <w:rFonts w:ascii="Arial" w:cs="Arial" w:eastAsia="Arial" w:hAnsi="Arial"/>
          <w:sz w:val="18"/>
          <w:szCs w:val="18"/>
          <w:color w:val="auto"/>
        </w:rPr>
      </w:pPr>
    </w:p>
    <w:p>
      <w:pPr>
        <w:ind w:right="80" w:firstLine="1305"/>
        <w:spacing w:after="0" w:line="277" w:lineRule="auto"/>
        <w:tabs>
          <w:tab w:leader="none" w:pos="1686"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70" w:lineRule="exact"/>
        <w:rPr>
          <w:rFonts w:ascii="Arial" w:cs="Arial" w:eastAsia="Arial" w:hAnsi="Arial"/>
          <w:sz w:val="18"/>
          <w:szCs w:val="18"/>
          <w:color w:val="auto"/>
        </w:rPr>
      </w:pPr>
    </w:p>
    <w:p>
      <w:pPr>
        <w:ind w:right="760" w:firstLine="1953"/>
        <w:spacing w:after="0" w:line="277" w:lineRule="auto"/>
        <w:tabs>
          <w:tab w:leader="none" w:pos="229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 material reduction of Executive’s authorities, duties or responsibilities relative to Executive’s authorities, duties or responsibilities in effect immediately prior to such reduction;</w:t>
      </w:r>
    </w:p>
    <w:p>
      <w:pPr>
        <w:spacing w:after="0" w:line="170" w:lineRule="exact"/>
        <w:rPr>
          <w:rFonts w:ascii="Arial" w:cs="Arial" w:eastAsia="Arial" w:hAnsi="Arial"/>
          <w:sz w:val="18"/>
          <w:szCs w:val="18"/>
          <w:color w:val="auto"/>
        </w:rPr>
      </w:pPr>
    </w:p>
    <w:p>
      <w:pPr>
        <w:ind w:right="100" w:firstLine="1953"/>
        <w:spacing w:after="0" w:line="277" w:lineRule="auto"/>
        <w:tabs>
          <w:tab w:leader="none" w:pos="2345"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170" w:lineRule="exact"/>
        <w:rPr>
          <w:rFonts w:ascii="Arial" w:cs="Arial" w:eastAsia="Arial" w:hAnsi="Arial"/>
          <w:sz w:val="18"/>
          <w:szCs w:val="18"/>
          <w:color w:val="auto"/>
        </w:rPr>
      </w:pPr>
    </w:p>
    <w:p>
      <w:pPr>
        <w:ind w:left="2400" w:hanging="447"/>
        <w:spacing w:after="0"/>
        <w:tabs>
          <w:tab w:leader="none" w:pos="24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the relocation of Executive’s principal place of performing his or her duties as an employee of the Company by more than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fifty (50) miles; or</w:t>
      </w:r>
    </w:p>
    <w:p>
      <w:pPr>
        <w:spacing w:after="0" w:line="210" w:lineRule="exact"/>
        <w:rPr>
          <w:rFonts w:ascii="Arial" w:cs="Arial" w:eastAsia="Arial" w:hAnsi="Arial"/>
          <w:sz w:val="16"/>
          <w:szCs w:val="16"/>
          <w:color w:val="auto"/>
        </w:rPr>
      </w:pPr>
    </w:p>
    <w:p>
      <w:pPr>
        <w:ind w:left="2400" w:hanging="447"/>
        <w:spacing w:after="0"/>
        <w:tabs>
          <w:tab w:leader="none" w:pos="24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 successor of the Company as set forth in Section 7(a) hereof does not assume this Agreement.</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5" w:right="239" w:bottom="1440" w:gutter="0" w:footer="0" w:header="0"/>
        </w:sectPr>
      </w:pPr>
    </w:p>
    <w:bookmarkStart w:id="100" w:name="page101"/>
    <w:bookmarkEnd w:id="100"/>
    <w:p>
      <w:pPr>
        <w:ind w:right="440"/>
        <w:spacing w:after="0" w:line="277" w:lineRule="auto"/>
        <w:rPr>
          <w:sz w:val="20"/>
          <w:szCs w:val="20"/>
          <w:color w:val="auto"/>
        </w:rPr>
      </w:pPr>
      <w:r>
        <w:rPr>
          <w:rFonts w:ascii="Arial" w:cs="Arial" w:eastAsia="Arial" w:hAnsi="Arial"/>
          <w:sz w:val="18"/>
          <w:szCs w:val="18"/>
          <w:color w:val="auto"/>
        </w:rPr>
        <w:t>For purposes of the “Good Reason” definition, the term “Company” will be interpreted to include any subsidiary, parent, affiliate or successor thereto, if applicable.</w:t>
      </w:r>
    </w:p>
    <w:p>
      <w:pPr>
        <w:spacing w:after="0" w:line="170" w:lineRule="exact"/>
        <w:rPr>
          <w:sz w:val="20"/>
          <w:szCs w:val="20"/>
          <w:color w:val="auto"/>
        </w:rPr>
      </w:pPr>
    </w:p>
    <w:p>
      <w:pPr>
        <w:jc w:val="both"/>
        <w:ind w:right="20" w:firstLine="1305"/>
        <w:spacing w:after="0" w:line="257" w:lineRule="auto"/>
        <w:tabs>
          <w:tab w:leader="none" w:pos="1686"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Section 409A Limit</w:t>
      </w:r>
      <w:r>
        <w:rPr>
          <w:rFonts w:ascii="Arial" w:cs="Arial" w:eastAsia="Arial" w:hAnsi="Arial"/>
          <w:sz w:val="18"/>
          <w:szCs w:val="18"/>
          <w:color w:val="auto"/>
        </w:rPr>
        <w:t>. “</w:t>
      </w:r>
      <w:r>
        <w:rPr>
          <w:rFonts w:ascii="Arial" w:cs="Arial" w:eastAsia="Arial" w:hAnsi="Arial"/>
          <w:sz w:val="18"/>
          <w:szCs w:val="18"/>
          <w:b w:val="1"/>
          <w:bCs w:val="1"/>
          <w:i w:val="1"/>
          <w:iCs w:val="1"/>
          <w:color w:val="auto"/>
        </w:rPr>
        <w:t>Section 409A Limit</w:t>
      </w:r>
      <w:r>
        <w:rPr>
          <w:rFonts w:ascii="Arial" w:cs="Arial" w:eastAsia="Arial" w:hAnsi="Arial"/>
          <w:sz w:val="18"/>
          <w:szCs w:val="18"/>
          <w:color w:val="auto"/>
        </w:rPr>
        <w:t>”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5" w:lineRule="auto"/>
        <w:tabs>
          <w:tab w:leader="none" w:pos="167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93" w:lineRule="exact"/>
        <w:rPr>
          <w:rFonts w:ascii="Arial" w:cs="Arial" w:eastAsia="Arial" w:hAnsi="Arial"/>
          <w:sz w:val="18"/>
          <w:szCs w:val="18"/>
          <w:color w:val="auto"/>
        </w:rPr>
      </w:pPr>
    </w:p>
    <w:p>
      <w:pPr>
        <w:ind w:right="640" w:firstLine="1305"/>
        <w:spacing w:after="0" w:line="342" w:lineRule="auto"/>
        <w:tabs>
          <w:tab w:leader="none" w:pos="168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93" w:lineRule="auto"/>
        <w:tabs>
          <w:tab w:leader="none" w:pos="167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64" w:lineRule="exact"/>
        <w:rPr>
          <w:rFonts w:ascii="Arial" w:cs="Arial" w:eastAsia="Arial" w:hAnsi="Arial"/>
          <w:sz w:val="16"/>
          <w:szCs w:val="16"/>
          <w:color w:val="auto"/>
        </w:rPr>
      </w:pPr>
    </w:p>
    <w:p>
      <w:pPr>
        <w:jc w:val="both"/>
        <w:ind w:right="300" w:firstLine="1305"/>
        <w:spacing w:after="0" w:line="302" w:lineRule="auto"/>
        <w:tabs>
          <w:tab w:leader="none" w:pos="1686"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 (90) days after the giving of such notice).</w:t>
      </w:r>
    </w:p>
    <w:p>
      <w:pPr>
        <w:spacing w:after="0" w:line="154" w:lineRule="exact"/>
        <w:rPr>
          <w:rFonts w:ascii="Arial" w:cs="Arial" w:eastAsia="Arial" w:hAnsi="Arial"/>
          <w:sz w:val="16"/>
          <w:szCs w:val="16"/>
          <w:color w:val="auto"/>
        </w:rPr>
      </w:pPr>
    </w:p>
    <w:p>
      <w:pPr>
        <w:ind w:right="420" w:firstLine="656"/>
        <w:spacing w:after="0" w:line="312" w:lineRule="auto"/>
        <w:tabs>
          <w:tab w:leader="none" w:pos="963"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Resignation</w:t>
      </w:r>
      <w:r>
        <w:rPr>
          <w:rFonts w:ascii="Arial" w:cs="Arial" w:eastAsia="Arial" w:hAnsi="Arial"/>
          <w:sz w:val="16"/>
          <w:szCs w:val="16"/>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46" w:lineRule="exact"/>
        <w:rPr>
          <w:rFonts w:ascii="Arial" w:cs="Arial" w:eastAsia="Arial" w:hAnsi="Arial"/>
          <w:sz w:val="16"/>
          <w:szCs w:val="16"/>
          <w:color w:val="auto"/>
        </w:rPr>
      </w:pPr>
    </w:p>
    <w:p>
      <w:pPr>
        <w:ind w:left="1060" w:hanging="40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right="140" w:firstLine="1305"/>
        <w:spacing w:after="0" w:line="282" w:lineRule="auto"/>
        <w:tabs>
          <w:tab w:leader="none" w:pos="1676" w:val="left"/>
        </w:tabs>
        <w:numPr>
          <w:ilvl w:val="1"/>
          <w:numId w:val="10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In consideration of Executive’s employment with the Company, its promise to arbitrate all employment</w:t>
      </w:r>
      <w:r>
        <w:rPr>
          <w:rFonts w:ascii="Arial" w:cs="Arial" w:eastAsia="Arial" w:hAnsi="Arial"/>
          <w:sz w:val="18"/>
          <w:szCs w:val="18"/>
          <w:b w:val="1"/>
          <w:bCs w:val="1"/>
          <w:color w:val="auto"/>
        </w:rPr>
        <w:t>-</w:t>
      </w:r>
      <w:r>
        <w:rPr>
          <w:rFonts w:ascii="Arial" w:cs="Arial" w:eastAsia="Arial" w:hAnsi="Arial"/>
          <w:sz w:val="18"/>
          <w:szCs w:val="18"/>
          <w:color w:val="auto"/>
        </w:rPr>
        <w:t>related disputes, and Executive’s receipt of the compensation, pay raises and other</w:t>
      </w: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101" w:name="page102"/>
    <w:bookmarkEnd w:id="101"/>
    <w:p>
      <w:pPr>
        <w:ind w:right="60"/>
        <w:spacing w:after="0" w:line="255" w:lineRule="auto"/>
        <w:rPr>
          <w:sz w:val="20"/>
          <w:szCs w:val="20"/>
          <w:color w:val="auto"/>
        </w:rPr>
      </w:pPr>
      <w:r>
        <w:rPr>
          <w:rFonts w:ascii="Arial" w:cs="Arial" w:eastAsia="Arial" w:hAnsi="Arial"/>
          <w:sz w:val="18"/>
          <w:szCs w:val="18"/>
          <w:color w:val="auto"/>
        </w:rPr>
        <w:t>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pursuant to California law. The Federal Arbitration Act will also apply with full force and effect, notwithstanding the application of procedural rules set forth under the Act.</w:t>
      </w:r>
    </w:p>
    <w:p>
      <w:pPr>
        <w:spacing w:after="0" w:line="193" w:lineRule="exact"/>
        <w:rPr>
          <w:sz w:val="20"/>
          <w:szCs w:val="20"/>
          <w:color w:val="auto"/>
        </w:rPr>
      </w:pPr>
    </w:p>
    <w:p>
      <w:pPr>
        <w:ind w:right="80" w:firstLine="1305"/>
        <w:spacing w:after="0" w:line="273" w:lineRule="auto"/>
        <w:tabs>
          <w:tab w:leader="none" w:pos="168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78" w:lineRule="exact"/>
        <w:rPr>
          <w:rFonts w:ascii="Arial" w:cs="Arial" w:eastAsia="Arial" w:hAnsi="Arial"/>
          <w:sz w:val="17"/>
          <w:szCs w:val="17"/>
          <w:color w:val="auto"/>
        </w:rPr>
      </w:pPr>
    </w:p>
    <w:p>
      <w:pPr>
        <w:ind w:left="1680" w:hanging="375"/>
        <w:spacing w:after="0"/>
        <w:tabs>
          <w:tab w:leader="none" w:pos="16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Executive agrees that any arbitration will be administered by the Judicial Arbitration &amp; Mediation Services, Inc.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JAMS</w:t>
      </w:r>
      <w:r>
        <w:rPr>
          <w:rFonts w:ascii="Arial" w:cs="Arial" w:eastAsia="Arial" w:hAnsi="Arial"/>
          <w:sz w:val="17"/>
          <w:szCs w:val="17"/>
          <w:color w:val="auto"/>
        </w:rPr>
        <w:t>”), pursuant to its Employment Arbitration Rules &amp; Procedures (the “</w:t>
      </w:r>
      <w:r>
        <w:rPr>
          <w:rFonts w:ascii="Arial" w:cs="Arial" w:eastAsia="Arial" w:hAnsi="Arial"/>
          <w:sz w:val="17"/>
          <w:szCs w:val="17"/>
          <w:i w:val="1"/>
          <w:iCs w:val="1"/>
          <w:color w:val="auto"/>
        </w:rPr>
        <w:t>JAMS Rules</w:t>
      </w:r>
      <w:r>
        <w:rPr>
          <w:rFonts w:ascii="Arial" w:cs="Arial" w:eastAsia="Arial" w:hAnsi="Arial"/>
          <w:sz w:val="17"/>
          <w:szCs w:val="17"/>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80" w:lineRule="exact"/>
        <w:rPr>
          <w:sz w:val="20"/>
          <w:szCs w:val="20"/>
          <w:color w:val="auto"/>
        </w:rPr>
      </w:pPr>
    </w:p>
    <w:p>
      <w:pPr>
        <w:ind w:right="140" w:firstLine="1305"/>
        <w:spacing w:after="0" w:line="257" w:lineRule="auto"/>
        <w:tabs>
          <w:tab w:leader="none" w:pos="168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188" w:lineRule="exact"/>
        <w:rPr>
          <w:rFonts w:ascii="Arial" w:cs="Arial" w:eastAsia="Arial" w:hAnsi="Arial"/>
          <w:sz w:val="18"/>
          <w:szCs w:val="18"/>
          <w:color w:val="auto"/>
        </w:rPr>
      </w:pPr>
    </w:p>
    <w:p>
      <w:pPr>
        <w:ind w:right="120" w:firstLine="1305"/>
        <w:spacing w:after="0" w:line="259" w:lineRule="auto"/>
        <w:tabs>
          <w:tab w:leader="none" w:pos="167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Administrative Relief</w:t>
      </w:r>
      <w:r>
        <w:rPr>
          <w:rFonts w:ascii="Arial" w:cs="Arial" w:eastAsia="Arial" w:hAnsi="Arial"/>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86" w:lineRule="exact"/>
        <w:rPr>
          <w:rFonts w:ascii="Arial" w:cs="Arial" w:eastAsia="Arial" w:hAnsi="Arial"/>
          <w:sz w:val="18"/>
          <w:szCs w:val="18"/>
          <w:color w:val="auto"/>
        </w:rPr>
      </w:pPr>
    </w:p>
    <w:p>
      <w:pPr>
        <w:ind w:right="80" w:firstLine="1305"/>
        <w:spacing w:after="0" w:line="276" w:lineRule="auto"/>
        <w:tabs>
          <w:tab w:leader="none" w:pos="1656"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Voluntary Nature of Agreement</w:t>
      </w:r>
      <w:r>
        <w:rPr>
          <w:rFonts w:ascii="Arial" w:cs="Arial" w:eastAsia="Arial" w:hAnsi="Arial"/>
          <w:sz w:val="17"/>
          <w:szCs w:val="17"/>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17"/>
          <w:szCs w:val="17"/>
          <w:i w:val="1"/>
          <w:iCs w:val="1"/>
          <w:color w:val="auto"/>
        </w:rPr>
        <w:t>EXECUTIVE IS WAIVING EXECUTIVE’S RIGHT TO A JURY TRIAL</w:t>
      </w:r>
      <w:r>
        <w:rPr>
          <w:rFonts w:ascii="Arial" w:cs="Arial" w:eastAsia="Arial" w:hAnsi="Arial"/>
          <w:sz w:val="17"/>
          <w:szCs w:val="17"/>
          <w:color w:val="auto"/>
        </w:rPr>
        <w:t>. Finally, Executive agrees that Executive has been provided an opportunity to seek the advice of an attorney of Executive’s choice before signing this Agreement.</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102" w:name="page103"/>
    <w:bookmarkEnd w:id="102"/>
    <w:p>
      <w:pPr>
        <w:ind w:left="1060" w:hanging="404"/>
        <w:spacing w:after="0"/>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305"/>
        <w:spacing w:after="0" w:line="277" w:lineRule="auto"/>
        <w:tabs>
          <w:tab w:leader="none" w:pos="167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70" w:lineRule="exact"/>
        <w:rPr>
          <w:rFonts w:ascii="Arial" w:cs="Arial" w:eastAsia="Arial" w:hAnsi="Arial"/>
          <w:sz w:val="18"/>
          <w:szCs w:val="18"/>
          <w:color w:val="auto"/>
        </w:rPr>
      </w:pPr>
    </w:p>
    <w:p>
      <w:pPr>
        <w:ind w:firstLine="1305"/>
        <w:spacing w:after="0" w:line="259" w:lineRule="auto"/>
        <w:tabs>
          <w:tab w:leader="none" w:pos="168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1680" w:hanging="375"/>
        <w:spacing w:after="0"/>
        <w:tabs>
          <w:tab w:leader="none" w:pos="1680"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120" w:firstLine="1305"/>
        <w:spacing w:after="0" w:line="255" w:lineRule="auto"/>
        <w:tabs>
          <w:tab w:leader="none" w:pos="168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and any rights to extended post-termination exercise period, severance and/or change of control benefits set forth in Executive’s offer letter dated August 4, 2015. No waiver, alteration, or modification of any of the provisions of this Agreement will be binding unless in writing and signed by duly authorized representatives of the parties hereto and which specifically mention this Agreement.</w:t>
      </w:r>
    </w:p>
    <w:p>
      <w:pPr>
        <w:spacing w:after="0" w:line="193" w:lineRule="exact"/>
        <w:rPr>
          <w:rFonts w:ascii="Arial" w:cs="Arial" w:eastAsia="Arial" w:hAnsi="Arial"/>
          <w:sz w:val="18"/>
          <w:szCs w:val="18"/>
          <w:color w:val="auto"/>
        </w:rPr>
      </w:pPr>
    </w:p>
    <w:p>
      <w:pPr>
        <w:ind w:right="40" w:firstLine="1305"/>
        <w:spacing w:after="0" w:line="302" w:lineRule="auto"/>
        <w:tabs>
          <w:tab w:leader="none" w:pos="1676"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Choice of Law</w:t>
      </w:r>
      <w:r>
        <w:rPr>
          <w:rFonts w:ascii="Arial" w:cs="Arial" w:eastAsia="Arial" w:hAnsi="Arial"/>
          <w:sz w:val="16"/>
          <w:szCs w:val="16"/>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54" w:lineRule="exact"/>
        <w:rPr>
          <w:rFonts w:ascii="Arial" w:cs="Arial" w:eastAsia="Arial" w:hAnsi="Arial"/>
          <w:sz w:val="16"/>
          <w:szCs w:val="16"/>
          <w:color w:val="auto"/>
        </w:rPr>
      </w:pPr>
    </w:p>
    <w:p>
      <w:pPr>
        <w:ind w:right="660" w:firstLine="1305"/>
        <w:spacing w:after="0" w:line="277" w:lineRule="auto"/>
        <w:tabs>
          <w:tab w:leader="none" w:pos="165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payments made pursuant to this Agreement will be subject to withholding of applicable income, employment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other taxes.</w:t>
      </w:r>
    </w:p>
    <w:p>
      <w:pPr>
        <w:spacing w:after="0" w:line="210" w:lineRule="exact"/>
        <w:rPr>
          <w:rFonts w:ascii="Arial" w:cs="Arial" w:eastAsia="Arial" w:hAnsi="Arial"/>
          <w:sz w:val="17"/>
          <w:szCs w:val="17"/>
          <w:color w:val="auto"/>
        </w:rPr>
      </w:pPr>
    </w:p>
    <w:p>
      <w:pPr>
        <w:ind w:right="200" w:firstLine="1305"/>
        <w:spacing w:after="0" w:line="277" w:lineRule="auto"/>
        <w:tabs>
          <w:tab w:leader="none" w:pos="1686"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5" w:right="239" w:bottom="1440" w:gutter="0" w:footer="0" w:header="0"/>
        </w:sectPr>
      </w:pPr>
    </w:p>
    <w:bookmarkStart w:id="103" w:name="page104"/>
    <w:bookmarkEnd w:id="103"/>
    <w:p>
      <w:pPr>
        <w:ind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COMPANY</w:t>
            </w:r>
          </w:p>
        </w:tc>
        <w:tc>
          <w:tcPr>
            <w:tcW w:w="6960" w:type="dxa"/>
            <w:vAlign w:val="bottom"/>
            <w:gridSpan w:val="2"/>
          </w:tcPr>
          <w:p>
            <w:pPr>
              <w:ind w:left="1680"/>
              <w:spacing w:after="0"/>
              <w:rPr>
                <w:sz w:val="20"/>
                <w:szCs w:val="20"/>
                <w:color w:val="auto"/>
              </w:rPr>
            </w:pPr>
            <w:r>
              <w:rPr>
                <w:rFonts w:ascii="Arial" w:cs="Arial" w:eastAsia="Arial" w:hAnsi="Arial"/>
                <w:sz w:val="18"/>
                <w:szCs w:val="18"/>
                <w:color w:val="auto"/>
              </w:rPr>
              <w:t>VERACYTE, INC.</w:t>
            </w:r>
          </w:p>
        </w:tc>
        <w:tc>
          <w:tcPr>
            <w:tcW w:w="0" w:type="dxa"/>
            <w:vAlign w:val="bottom"/>
          </w:tcPr>
          <w:p>
            <w:pPr>
              <w:spacing w:after="0"/>
              <w:rPr>
                <w:sz w:val="1"/>
                <w:szCs w:val="1"/>
                <w:color w:val="auto"/>
              </w:rPr>
            </w:pPr>
          </w:p>
        </w:tc>
      </w:tr>
      <w:tr>
        <w:trPr>
          <w:trHeight w:val="567"/>
        </w:trPr>
        <w:tc>
          <w:tcPr>
            <w:tcW w:w="2660" w:type="dxa"/>
            <w:vAlign w:val="bottom"/>
          </w:tcPr>
          <w:p>
            <w:pPr>
              <w:spacing w:after="0"/>
              <w:rPr>
                <w:sz w:val="24"/>
                <w:szCs w:val="24"/>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60"/>
              <w:spacing w:after="0"/>
              <w:rPr>
                <w:sz w:val="20"/>
                <w:szCs w:val="20"/>
                <w:color w:val="auto"/>
              </w:rPr>
            </w:pPr>
            <w:r>
              <w:rPr>
                <w:rFonts w:ascii="Arial" w:cs="Arial" w:eastAsia="Arial" w:hAnsi="Arial"/>
                <w:sz w:val="18"/>
                <w:szCs w:val="18"/>
                <w:color w:val="auto"/>
              </w:rPr>
              <w:t>/s/ Bonnie Anderson</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26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Chairman of the Board and Chief Executive Officer</w:t>
            </w:r>
          </w:p>
        </w:tc>
        <w:tc>
          <w:tcPr>
            <w:tcW w:w="0" w:type="dxa"/>
            <w:vAlign w:val="bottom"/>
          </w:tcPr>
          <w:p>
            <w:pPr>
              <w:spacing w:after="0"/>
              <w:rPr>
                <w:sz w:val="1"/>
                <w:szCs w:val="1"/>
                <w:color w:val="auto"/>
              </w:rPr>
            </w:pPr>
          </w:p>
        </w:tc>
      </w:tr>
      <w:tr>
        <w:trPr>
          <w:trHeight w:val="540"/>
        </w:trPr>
        <w:tc>
          <w:tcPr>
            <w:tcW w:w="2660" w:type="dxa"/>
            <w:vAlign w:val="bottom"/>
          </w:tcPr>
          <w:p>
            <w:pPr>
              <w:spacing w:after="0"/>
              <w:rPr>
                <w:sz w:val="24"/>
                <w:szCs w:val="24"/>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Date:</w:t>
            </w:r>
          </w:p>
        </w:tc>
        <w:tc>
          <w:tcPr>
            <w:tcW w:w="4340" w:type="dxa"/>
            <w:vAlign w:val="bottom"/>
          </w:tcPr>
          <w:p>
            <w:pPr>
              <w:ind w:left="6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2660" w:type="dxa"/>
            <w:vAlign w:val="bottom"/>
          </w:tcPr>
          <w:p>
            <w:pPr>
              <w:spacing w:after="0"/>
              <w:rPr>
                <w:sz w:val="20"/>
                <w:szCs w:val="20"/>
                <w:color w:val="auto"/>
              </w:rPr>
            </w:pPr>
            <w:r>
              <w:rPr>
                <w:rFonts w:ascii="Arial" w:cs="Arial" w:eastAsia="Arial" w:hAnsi="Arial"/>
                <w:sz w:val="18"/>
                <w:szCs w:val="18"/>
                <w:color w:val="auto"/>
              </w:rPr>
              <w:t>EXECUTIVE</w:t>
            </w:r>
          </w:p>
        </w:tc>
        <w:tc>
          <w:tcPr>
            <w:tcW w:w="2620" w:type="dxa"/>
            <w:vAlign w:val="bottom"/>
          </w:tcPr>
          <w:p>
            <w:pPr>
              <w:ind w:left="1680"/>
              <w:spacing w:after="0"/>
              <w:rPr>
                <w:sz w:val="20"/>
                <w:szCs w:val="20"/>
                <w:color w:val="auto"/>
              </w:rPr>
            </w:pPr>
            <w:r>
              <w:rPr>
                <w:rFonts w:ascii="Arial" w:cs="Arial" w:eastAsia="Arial" w:hAnsi="Arial"/>
                <w:sz w:val="18"/>
                <w:szCs w:val="18"/>
                <w:color w:val="auto"/>
              </w:rPr>
              <w:t>By:</w:t>
            </w:r>
          </w:p>
        </w:tc>
        <w:tc>
          <w:tcPr>
            <w:tcW w:w="4340" w:type="dxa"/>
            <w:vAlign w:val="bottom"/>
          </w:tcPr>
          <w:p>
            <w:pPr>
              <w:ind w:left="6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20" w:type="dxa"/>
            <w:vAlign w:val="bottom"/>
            <w:vMerge w:val="restart"/>
          </w:tcPr>
          <w:p>
            <w:pPr>
              <w:ind w:left="1680"/>
              <w:spacing w:after="0"/>
              <w:rPr>
                <w:sz w:val="20"/>
                <w:szCs w:val="20"/>
                <w:color w:val="auto"/>
              </w:rPr>
            </w:pPr>
            <w:r>
              <w:rPr>
                <w:rFonts w:ascii="Arial" w:cs="Arial" w:eastAsia="Arial" w:hAnsi="Arial"/>
                <w:sz w:val="18"/>
                <w:szCs w:val="18"/>
                <w:color w:val="auto"/>
              </w:rPr>
              <w:t>Title: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55"/>
        </w:trPr>
        <w:tc>
          <w:tcPr>
            <w:tcW w:w="26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4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Chief Operating Officer and Chief Financial Officer</w:t>
            </w:r>
          </w:p>
        </w:tc>
        <w:tc>
          <w:tcPr>
            <w:tcW w:w="0" w:type="dxa"/>
            <w:vAlign w:val="bottom"/>
          </w:tcPr>
          <w:p>
            <w:pPr>
              <w:spacing w:after="0"/>
              <w:rPr>
                <w:sz w:val="1"/>
                <w:szCs w:val="1"/>
                <w:color w:val="auto"/>
              </w:rPr>
            </w:pPr>
          </w:p>
        </w:tc>
      </w:tr>
      <w:tr>
        <w:trPr>
          <w:trHeight w:val="540"/>
        </w:trPr>
        <w:tc>
          <w:tcPr>
            <w:tcW w:w="2660" w:type="dxa"/>
            <w:vAlign w:val="bottom"/>
          </w:tcPr>
          <w:p>
            <w:pPr>
              <w:spacing w:after="0"/>
              <w:rPr>
                <w:sz w:val="24"/>
                <w:szCs w:val="24"/>
                <w:color w:val="auto"/>
              </w:rPr>
            </w:pPr>
          </w:p>
        </w:tc>
        <w:tc>
          <w:tcPr>
            <w:tcW w:w="2620" w:type="dxa"/>
            <w:vAlign w:val="bottom"/>
          </w:tcPr>
          <w:p>
            <w:pPr>
              <w:ind w:left="1680"/>
              <w:spacing w:after="0"/>
              <w:rPr>
                <w:sz w:val="20"/>
                <w:szCs w:val="20"/>
                <w:color w:val="auto"/>
              </w:rPr>
            </w:pPr>
            <w:r>
              <w:rPr>
                <w:rFonts w:ascii="Arial" w:cs="Arial" w:eastAsia="Arial" w:hAnsi="Arial"/>
                <w:sz w:val="18"/>
                <w:szCs w:val="18"/>
                <w:color w:val="auto"/>
              </w:rPr>
              <w:t>Date:</w:t>
            </w:r>
          </w:p>
        </w:tc>
        <w:tc>
          <w:tcPr>
            <w:tcW w:w="4340" w:type="dxa"/>
            <w:vAlign w:val="bottom"/>
          </w:tcPr>
          <w:p>
            <w:pPr>
              <w:ind w:left="6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[signature page of the Amended and Restated Change of Control and Severance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80"/>
          </w:cols>
          <w:pgMar w:left="240" w:top="625" w:right="37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b w:val="1"/>
          <w:bCs w:val="1"/>
          <w:u w:val="single" w:color="auto"/>
          <w:color w:val="auto"/>
        </w:rPr>
        <w:t>EXHIBIT</w:t>
      </w:r>
      <w:r>
        <w:rPr>
          <w:rFonts w:ascii="Arial" w:cs="Arial" w:eastAsia="Arial" w:hAnsi="Arial"/>
          <w:sz w:val="18"/>
          <w:szCs w:val="18"/>
          <w:b w:val="1"/>
          <w:bCs w:val="1"/>
          <w:color w:val="auto"/>
        </w:rPr>
        <w:t xml:space="preserve"> 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RELEASE OF CLAIMS</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This release of claims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by and between Veracyte,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Keith Kennedy (“</w:t>
      </w:r>
      <w:r>
        <w:rPr>
          <w:rFonts w:ascii="Arial" w:cs="Arial" w:eastAsia="Arial" w:hAnsi="Arial"/>
          <w:sz w:val="16"/>
          <w:szCs w:val="16"/>
          <w:b w:val="1"/>
          <w:bCs w:val="1"/>
          <w:i w:val="1"/>
          <w:iCs w:val="1"/>
          <w:color w:val="auto"/>
        </w:rPr>
        <w:t>Executive</w:t>
      </w:r>
      <w:r>
        <w:rPr>
          <w:rFonts w:ascii="Arial" w:cs="Arial" w:eastAsia="Arial" w:hAnsi="Arial"/>
          <w:sz w:val="16"/>
          <w:szCs w:val="16"/>
          <w:color w:val="auto"/>
        </w:rPr>
        <w:t>”). The Company and Executive are sometimes collectively referred to herein as 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and individually referred to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signed a [Confidential Information and Invention Assignment Agreement] with the Company on February 17, 2017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signed an Amended and Restated Change of Control and Severance Agreement with the company on</w:t>
      </w:r>
    </w:p>
    <w:p>
      <w:pPr>
        <w:spacing w:after="0" w:line="2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Severance Agreement</w:t>
      </w:r>
      <w:r>
        <w:rPr>
          <w:rFonts w:ascii="Arial" w:cs="Arial" w:eastAsia="Arial" w:hAnsi="Arial"/>
          <w:sz w:val="18"/>
          <w:szCs w:val="18"/>
          <w:color w:val="auto"/>
        </w:rPr>
        <w:t>”), which, among other things, provides for certain severance benefits to be paid to Executive by the Company upon the termination of Executive’s employment;</w:t>
      </w:r>
    </w:p>
    <w:p>
      <w:pPr>
        <w:spacing w:after="0" w:line="180" w:lineRule="exact"/>
        <w:rPr>
          <w:sz w:val="20"/>
          <w:szCs w:val="20"/>
          <w:color w:val="auto"/>
        </w:rPr>
      </w:pPr>
    </w:p>
    <w:p>
      <w:pPr>
        <w:ind w:left="660"/>
        <w:spacing w:after="0"/>
        <w:tabs>
          <w:tab w:leader="none" w:pos="6540" w:val="left"/>
        </w:tabs>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was employed by the Company until</w:t>
      </w:r>
      <w:r>
        <w:rPr>
          <w:sz w:val="20"/>
          <w:szCs w:val="20"/>
          <w:color w:val="auto"/>
        </w:rPr>
        <w:tab/>
      </w:r>
      <w:r>
        <w:rPr>
          <w:rFonts w:ascii="Arial" w:cs="Arial" w:eastAsia="Arial" w:hAnsi="Arial"/>
          <w:sz w:val="16"/>
          <w:szCs w:val="16"/>
          <w:color w:val="auto"/>
        </w:rPr>
        <w:t>, when Executive’s employment was terminated (“</w:t>
      </w:r>
      <w:r>
        <w:rPr>
          <w:rFonts w:ascii="Arial" w:cs="Arial" w:eastAsia="Arial" w:hAnsi="Arial"/>
          <w:sz w:val="16"/>
          <w:szCs w:val="16"/>
          <w:b w:val="1"/>
          <w:bCs w:val="1"/>
          <w:i w:val="1"/>
          <w:iCs w:val="1"/>
          <w:color w:val="auto"/>
        </w:rPr>
        <w:t>Termination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Date</w:t>
      </w:r>
      <w:r>
        <w:rPr>
          <w:rFonts w:ascii="Arial" w:cs="Arial" w:eastAsia="Arial" w:hAnsi="Arial"/>
          <w:sz w:val="18"/>
          <w:szCs w:val="18"/>
          <w:color w:val="auto"/>
        </w:rPr>
        <w:t>”);</w:t>
      </w:r>
    </w:p>
    <w:p>
      <w:pPr>
        <w:spacing w:after="0" w:line="20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accordance with Section 4 of the Change of Control and Severance Agreement between the Company and Executive, Executive has</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enter into and not revoke a standard release of claims in favor of the Company as a condition to receiving the severance benefits described in the Severance Agreement; and</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wish to resolve any and all disputes, claims, complaints, grievances, charges, actions, petitions and demands that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7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including the mutual promises and covenants made herein, the Company and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980" w:hanging="324"/>
        <w:spacing w:after="0"/>
        <w:tabs>
          <w:tab w:leader="none" w:pos="9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Executive’s employment with the Company terminated on the Termination Date.</w:t>
      </w:r>
    </w:p>
    <w:p>
      <w:pPr>
        <w:spacing w:after="0" w:line="225" w:lineRule="exact"/>
        <w:rPr>
          <w:rFonts w:ascii="Arial" w:cs="Arial" w:eastAsia="Arial" w:hAnsi="Arial"/>
          <w:sz w:val="18"/>
          <w:szCs w:val="18"/>
          <w:color w:val="auto"/>
        </w:rPr>
      </w:pPr>
    </w:p>
    <w:p>
      <w:pPr>
        <w:ind w:firstLine="656"/>
        <w:spacing w:after="0" w:line="257" w:lineRule="auto"/>
        <w:tabs>
          <w:tab w:leader="none" w:pos="963"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88" w:lineRule="exact"/>
        <w:rPr>
          <w:rFonts w:ascii="Arial" w:cs="Arial" w:eastAsia="Arial" w:hAnsi="Arial"/>
          <w:sz w:val="18"/>
          <w:szCs w:val="18"/>
          <w:color w:val="auto"/>
        </w:rPr>
      </w:pPr>
    </w:p>
    <w:p>
      <w:pPr>
        <w:ind w:right="80" w:firstLine="656"/>
        <w:spacing w:after="0" w:line="272" w:lineRule="auto"/>
        <w:tabs>
          <w:tab w:leader="none" w:pos="96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Executive agrees that the consideration to be paid in accordance with the terms and conditions of the Severance Agreement represents settlement in full of all outstanding 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7"/>
          <w:szCs w:val="17"/>
          <w:b w:val="1"/>
          <w:bCs w:val="1"/>
          <w:i w:val="1"/>
          <w:iCs w:val="1"/>
          <w:color w:val="auto"/>
        </w:rPr>
        <w:t>Releasees</w:t>
      </w:r>
      <w:r>
        <w:rPr>
          <w:rFonts w:ascii="Arial" w:cs="Arial" w:eastAsia="Arial" w:hAnsi="Arial"/>
          <w:sz w:val="17"/>
          <w:szCs w:val="17"/>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80"/>
          </w:cols>
          <w:pgMar w:left="240" w:top="837" w:right="27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color w:val="auto"/>
        </w:rPr>
        <w:t>possess against any of the Releasees arising from any omissions, acts, facts, or damages that have occurred up until and including the Effective Date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including, without limitation the following:</w:t>
      </w:r>
    </w:p>
    <w:p>
      <w:pPr>
        <w:spacing w:after="0" w:line="211" w:lineRule="exact"/>
        <w:rPr>
          <w:sz w:val="20"/>
          <w:szCs w:val="20"/>
          <w:color w:val="auto"/>
        </w:rPr>
      </w:pPr>
    </w:p>
    <w:p>
      <w:pPr>
        <w:ind w:left="1040" w:hanging="384"/>
        <w:spacing w:after="0"/>
        <w:tabs>
          <w:tab w:leader="none" w:pos="10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and all claims relating to or arising from Executive’s employment relationship with the Company and the termination of that relationship;</w:t>
      </w:r>
    </w:p>
    <w:p>
      <w:pPr>
        <w:spacing w:after="0" w:line="248" w:lineRule="exact"/>
        <w:rPr>
          <w:rFonts w:ascii="Arial" w:cs="Arial" w:eastAsia="Arial" w:hAnsi="Arial"/>
          <w:sz w:val="16"/>
          <w:szCs w:val="16"/>
          <w:color w:val="auto"/>
        </w:rPr>
      </w:pPr>
    </w:p>
    <w:p>
      <w:pPr>
        <w:ind w:right="120" w:firstLine="656"/>
        <w:spacing w:after="0" w:line="264" w:lineRule="auto"/>
        <w:tabs>
          <w:tab w:leader="none" w:pos="10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1" w:lineRule="exact"/>
        <w:rPr>
          <w:rFonts w:ascii="Arial" w:cs="Arial" w:eastAsia="Arial" w:hAnsi="Arial"/>
          <w:sz w:val="18"/>
          <w:szCs w:val="18"/>
          <w:color w:val="auto"/>
        </w:rPr>
      </w:pPr>
    </w:p>
    <w:p>
      <w:pPr>
        <w:ind w:right="80" w:firstLine="656"/>
        <w:spacing w:after="0" w:line="257" w:lineRule="auto"/>
        <w:tabs>
          <w:tab w:leader="none" w:pos="102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18"/>
          <w:szCs w:val="18"/>
          <w:color w:val="auto"/>
        </w:rPr>
      </w:pPr>
    </w:p>
    <w:p>
      <w:pPr>
        <w:ind w:right="60" w:firstLine="656"/>
        <w:spacing w:after="0" w:line="258" w:lineRule="auto"/>
        <w:tabs>
          <w:tab w:leader="none" w:pos="10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California Family Rights Act]; [the California Labor Code]; [the California Workers’ Compensation Act]; and [the California Fair Employment and Housing Act];</w:t>
      </w:r>
      <w:r>
        <w:rPr>
          <w:rFonts w:ascii="Arial" w:cs="Arial" w:eastAsia="Arial" w:hAnsi="Arial"/>
          <w:sz w:val="25"/>
          <w:szCs w:val="25"/>
          <w:color w:val="auto"/>
          <w:vertAlign w:val="superscript"/>
        </w:rPr>
        <w:t>1</w:t>
      </w:r>
    </w:p>
    <w:p>
      <w:pPr>
        <w:spacing w:after="0" w:line="91" w:lineRule="exact"/>
        <w:rPr>
          <w:sz w:val="20"/>
          <w:szCs w:val="20"/>
          <w:color w:val="auto"/>
        </w:rPr>
      </w:pPr>
    </w:p>
    <w:p>
      <w:pPr>
        <w:ind w:right="14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2" w:lineRule="exact"/>
        <w:rPr>
          <w:sz w:val="20"/>
          <w:szCs w:val="20"/>
          <w:color w:val="auto"/>
        </w:rPr>
      </w:pPr>
    </w:p>
    <w:p>
      <w:pPr>
        <w:ind w:left="1040" w:hanging="384"/>
        <w:spacing w:after="0"/>
        <w:tabs>
          <w:tab w:leader="none" w:pos="10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and all claims for violation of the federal, or any state, constitution;</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225" w:lineRule="exact"/>
        <w:rPr>
          <w:rFonts w:ascii="Arial" w:cs="Arial" w:eastAsia="Arial" w:hAnsi="Arial"/>
          <w:sz w:val="18"/>
          <w:szCs w:val="18"/>
          <w:color w:val="auto"/>
        </w:rPr>
      </w:pPr>
    </w:p>
    <w:p>
      <w:pPr>
        <w:ind w:right="580" w:firstLine="656"/>
        <w:spacing w:after="0" w:line="277" w:lineRule="auto"/>
        <w:tabs>
          <w:tab w:leader="none" w:pos="10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claim for any loss, cost, damage, or expense arising out of any dispute over the non-withholding or other tax treatment of any of the proceeds received by Executive as a result of this Agreement;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and all claims for attorneys’ fees and costs.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Executive agrees that the release set forth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xml:space="preserve">”) will be and remain in effect in all respects as a complete general release as to the matters released. The Release does not extend to any severance obligations due Executive under the Severance Agreement. The Release does not release claims that cannot be released as a matter of law. Executive represents that Executive has made no assignment or transfer of any right, claim, complaint, charge, duty, obligation, demand, cause of action, or other matter waived or released by this </w:t>
      </w:r>
      <w:r>
        <w:rPr>
          <w:rFonts w:ascii="Arial" w:cs="Arial" w:eastAsia="Arial" w:hAnsi="Arial"/>
          <w:sz w:val="18"/>
          <w:szCs w:val="18"/>
          <w:u w:val="single" w:color="auto"/>
          <w:color w:val="auto"/>
        </w:rPr>
        <w:t>Section 3</w:t>
      </w:r>
      <w:r>
        <w:rPr>
          <w:rFonts w:ascii="Arial" w:cs="Arial" w:eastAsia="Arial" w:hAnsi="Arial"/>
          <w:sz w:val="18"/>
          <w:szCs w:val="18"/>
          <w:color w:val="auto"/>
        </w:rPr>
        <w:t>. Nothing in this Agreement waives Executive’s rights to indemnification or any payments under any fiduciary insurance policy, if any, provided by any act or agreement of the Company, state or federal law or policy of insurance.</w:t>
      </w:r>
    </w:p>
    <w:p>
      <w:pPr>
        <w:spacing w:after="0" w:line="193" w:lineRule="exact"/>
        <w:rPr>
          <w:sz w:val="20"/>
          <w:szCs w:val="20"/>
          <w:color w:val="auto"/>
        </w:rPr>
      </w:pPr>
    </w:p>
    <w:p>
      <w:pPr>
        <w:ind w:right="60" w:firstLine="656"/>
        <w:spacing w:after="0" w:line="293" w:lineRule="auto"/>
        <w:tabs>
          <w:tab w:leader="none" w:pos="96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Protected Rights</w:t>
      </w:r>
      <w:r>
        <w:rPr>
          <w:rFonts w:ascii="Arial" w:cs="Arial" w:eastAsia="Arial" w:hAnsi="Arial"/>
          <w:sz w:val="16"/>
          <w:szCs w:val="16"/>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6"/>
          <w:szCs w:val="16"/>
          <w:b w:val="1"/>
          <w:bCs w:val="1"/>
          <w:i w:val="1"/>
          <w:iCs w:val="1"/>
          <w:color w:val="auto"/>
        </w:rPr>
        <w:t>Government Agencies</w:t>
      </w:r>
      <w:r>
        <w:rPr>
          <w:rFonts w:ascii="Arial" w:cs="Arial" w:eastAsia="Arial" w:hAnsi="Arial"/>
          <w:sz w:val="16"/>
          <w:szCs w:val="16"/>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625" w:right="239" w:bottom="1440" w:gutter="0" w:footer="0" w:header="0"/>
        </w:sectPr>
      </w:pPr>
    </w:p>
    <w:bookmarkStart w:id="106" w:name="page107"/>
    <w:bookmarkEnd w:id="106"/>
    <w:p>
      <w:pPr>
        <w:ind w:firstLine="656"/>
        <w:spacing w:after="0" w:line="270" w:lineRule="auto"/>
        <w:tabs>
          <w:tab w:leader="none" w:pos="963"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Executive acknowledges that Executive is waiving and releasing any rights Executive may have under the Age Discrimination in Employment Act of 1967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xml:space="preserve">”)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 (a) Executive should consult with an attorney </w:t>
      </w:r>
      <w:r>
        <w:rPr>
          <w:rFonts w:ascii="Arial" w:cs="Arial" w:eastAsia="Arial" w:hAnsi="Arial"/>
          <w:sz w:val="17"/>
          <w:szCs w:val="17"/>
          <w:b w:val="1"/>
          <w:bCs w:val="1"/>
          <w:i w:val="1"/>
          <w:iCs w:val="1"/>
          <w:color w:val="auto"/>
        </w:rPr>
        <w:t>prior</w:t>
      </w:r>
      <w:r>
        <w:rPr>
          <w:rFonts w:ascii="Arial" w:cs="Arial" w:eastAsia="Arial" w:hAnsi="Arial"/>
          <w:sz w:val="17"/>
          <w:szCs w:val="17"/>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Arial" w:cs="Arial" w:eastAsia="Arial" w:hAnsi="Arial"/>
          <w:sz w:val="24"/>
          <w:szCs w:val="24"/>
          <w:color w:val="auto"/>
          <w:vertAlign w:val="superscript"/>
        </w:rPr>
        <w:t>2</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156" w:lineRule="exact"/>
        <w:rPr>
          <w:sz w:val="20"/>
          <w:szCs w:val="20"/>
          <w:color w:val="auto"/>
        </w:rPr>
      </w:pPr>
    </w:p>
    <w:p>
      <w:pPr>
        <w:ind w:right="40" w:firstLine="656"/>
        <w:spacing w:after="0" w:line="308" w:lineRule="auto"/>
        <w:tabs>
          <w:tab w:leader="none" w:pos="96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California Civil Code Section 1542</w:t>
      </w:r>
      <w:r>
        <w:rPr>
          <w:rFonts w:ascii="Arial" w:cs="Arial" w:eastAsia="Arial" w:hAnsi="Arial"/>
          <w:sz w:val="17"/>
          <w:szCs w:val="17"/>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47" w:lineRule="exact"/>
        <w:rPr>
          <w:sz w:val="20"/>
          <w:szCs w:val="20"/>
          <w:color w:val="auto"/>
        </w:rPr>
      </w:pPr>
    </w:p>
    <w:p>
      <w:pPr>
        <w:ind w:left="1300" w:right="80"/>
        <w:spacing w:after="0" w:line="264"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Executive, being aware of California Civil Code Section 1542, agrees to expressly waive any rights Executive may have thereunder, as well as under any other statute or common law principles of similar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u w:val="single" w:color="auto"/>
          <w:color w:val="auto"/>
        </w:rPr>
        <w:t>Unknown Claims</w:t>
      </w:r>
      <w:r>
        <w:rPr>
          <w:rFonts w:ascii="Arial" w:cs="Arial" w:eastAsia="Arial" w:hAnsi="Arial"/>
          <w:sz w:val="16"/>
          <w:szCs w:val="16"/>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2"/>
          <w:szCs w:val="22"/>
          <w:color w:val="auto"/>
          <w:vertAlign w:val="superscript"/>
        </w:rPr>
        <w:t>3</w:t>
      </w:r>
    </w:p>
    <w:p>
      <w:pPr>
        <w:spacing w:after="0" w:line="54" w:lineRule="exact"/>
        <w:rPr>
          <w:sz w:val="20"/>
          <w:szCs w:val="20"/>
          <w:color w:val="auto"/>
        </w:rPr>
      </w:pPr>
    </w:p>
    <w:p>
      <w:pPr>
        <w:ind w:right="100"/>
        <w:spacing w:after="0" w:line="216"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 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03" w:lineRule="exact"/>
        <w:rPr>
          <w:sz w:val="20"/>
          <w:szCs w:val="20"/>
          <w:color w:val="auto"/>
        </w:rPr>
      </w:pPr>
    </w:p>
    <w:p>
      <w:pPr>
        <w:ind w:right="60" w:firstLine="656"/>
        <w:spacing w:after="0" w:line="286" w:lineRule="auto"/>
        <w:tabs>
          <w:tab w:leader="none" w:pos="963"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No Pending or Future Lawsuits</w:t>
      </w:r>
      <w:r>
        <w:rPr>
          <w:rFonts w:ascii="Arial" w:cs="Arial" w:eastAsia="Arial" w:hAnsi="Arial"/>
          <w:sz w:val="17"/>
          <w:szCs w:val="17"/>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65" w:lineRule="exact"/>
        <w:rPr>
          <w:rFonts w:ascii="Arial" w:cs="Arial" w:eastAsia="Arial" w:hAnsi="Arial"/>
          <w:sz w:val="17"/>
          <w:szCs w:val="17"/>
          <w:color w:val="auto"/>
        </w:rPr>
      </w:pPr>
    </w:p>
    <w:p>
      <w:pPr>
        <w:ind w:right="420" w:firstLine="656"/>
        <w:spacing w:after="0" w:line="277" w:lineRule="auto"/>
        <w:tabs>
          <w:tab w:leader="none" w:pos="96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Sufficiency of Consideration</w:t>
      </w:r>
      <w:r>
        <w:rPr>
          <w:rFonts w:ascii="Arial" w:cs="Arial" w:eastAsia="Arial" w:hAnsi="Arial"/>
          <w:sz w:val="18"/>
          <w:szCs w:val="18"/>
          <w:color w:val="auto"/>
        </w:rPr>
        <w:t>. Executive hereby acknowledges and agrees that Executive has received good and sufficient consideration for every promise, duty, release, obligation, agreement and right contained in this Release.</w:t>
      </w:r>
    </w:p>
    <w:p>
      <w:pPr>
        <w:spacing w:after="0" w:line="170" w:lineRule="exact"/>
        <w:rPr>
          <w:rFonts w:ascii="Arial" w:cs="Arial" w:eastAsia="Arial" w:hAnsi="Arial"/>
          <w:sz w:val="18"/>
          <w:szCs w:val="18"/>
          <w:color w:val="auto"/>
        </w:rPr>
      </w:pPr>
    </w:p>
    <w:p>
      <w:pPr>
        <w:ind w:right="160" w:firstLine="656"/>
        <w:spacing w:after="0" w:line="257" w:lineRule="auto"/>
        <w:tabs>
          <w:tab w:leader="none" w:pos="96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00"/>
          </w:cols>
          <w:pgMar w:left="240" w:top="625" w:right="259" w:bottom="1440" w:gutter="0" w:footer="0" w:header="0"/>
        </w:sectPr>
      </w:pPr>
    </w:p>
    <w:bookmarkStart w:id="107" w:name="page108"/>
    <w:bookmarkEnd w:id="107"/>
    <w:p>
      <w:pPr>
        <w:spacing w:after="0" w:line="277" w:lineRule="auto"/>
        <w:rPr>
          <w:sz w:val="20"/>
          <w:szCs w:val="20"/>
          <w:color w:val="auto"/>
        </w:rPr>
      </w:pPr>
      <w:r>
        <w:rPr>
          <w:rFonts w:ascii="Arial" w:cs="Arial" w:eastAsia="Arial" w:hAnsi="Arial"/>
          <w:sz w:val="18"/>
          <w:szCs w:val="18"/>
          <w:color w:val="auto"/>
        </w:rPr>
        <w:t>Confidentiality Agreement that conflict with the provisions regarding solicitation of employees contained in this Agreement, the provisions of this Agreement will control.</w:t>
      </w:r>
    </w:p>
    <w:p>
      <w:pPr>
        <w:spacing w:after="0" w:line="170" w:lineRule="exact"/>
        <w:rPr>
          <w:sz w:val="20"/>
          <w:szCs w:val="20"/>
          <w:color w:val="auto"/>
        </w:rPr>
      </w:pPr>
    </w:p>
    <w:p>
      <w:pPr>
        <w:ind w:right="40" w:firstLine="656"/>
        <w:spacing w:after="0" w:line="291" w:lineRule="auto"/>
        <w:tabs>
          <w:tab w:leader="none" w:pos="1053"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Return of Company Property; Passwords and Password-protected Documents</w:t>
      </w:r>
      <w:r>
        <w:rPr>
          <w:rFonts w:ascii="Arial" w:cs="Arial" w:eastAsia="Arial" w:hAnsi="Arial"/>
          <w:sz w:val="16"/>
          <w:szCs w:val="16"/>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7" w:lineRule="exact"/>
        <w:rPr>
          <w:rFonts w:ascii="Arial" w:cs="Arial" w:eastAsia="Arial" w:hAnsi="Arial"/>
          <w:sz w:val="16"/>
          <w:szCs w:val="16"/>
          <w:color w:val="auto"/>
        </w:rPr>
      </w:pPr>
    </w:p>
    <w:p>
      <w:pPr>
        <w:ind w:firstLine="656"/>
        <w:spacing w:after="0" w:line="257" w:lineRule="auto"/>
        <w:tabs>
          <w:tab w:leader="none" w:pos="1046"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188" w:lineRule="exact"/>
        <w:rPr>
          <w:rFonts w:ascii="Arial" w:cs="Arial" w:eastAsia="Arial" w:hAnsi="Arial"/>
          <w:sz w:val="18"/>
          <w:szCs w:val="18"/>
          <w:color w:val="auto"/>
        </w:rPr>
      </w:pPr>
    </w:p>
    <w:p>
      <w:pPr>
        <w:ind w:right="40" w:firstLine="656"/>
        <w:spacing w:after="0" w:line="277" w:lineRule="auto"/>
        <w:tabs>
          <w:tab w:leader="none" w:pos="105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0" w:lineRule="exact"/>
        <w:rPr>
          <w:rFonts w:ascii="Arial" w:cs="Arial" w:eastAsia="Arial" w:hAnsi="Arial"/>
          <w:sz w:val="18"/>
          <w:szCs w:val="18"/>
          <w:color w:val="auto"/>
        </w:rPr>
      </w:pPr>
    </w:p>
    <w:p>
      <w:pPr>
        <w:jc w:val="both"/>
        <w:ind w:right="20" w:firstLine="656"/>
        <w:spacing w:after="0" w:line="259" w:lineRule="auto"/>
        <w:tabs>
          <w:tab w:leader="none" w:pos="105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 (b) an acknowledgment or admission by the Company of any fault or liability whatsoever to Executive or to any third party.</w:t>
      </w:r>
    </w:p>
    <w:p>
      <w:pPr>
        <w:spacing w:after="0" w:line="186" w:lineRule="exact"/>
        <w:rPr>
          <w:rFonts w:ascii="Arial" w:cs="Arial" w:eastAsia="Arial" w:hAnsi="Arial"/>
          <w:sz w:val="18"/>
          <w:szCs w:val="18"/>
          <w:color w:val="auto"/>
        </w:rPr>
      </w:pPr>
    </w:p>
    <w:p>
      <w:pPr>
        <w:ind w:right="160" w:firstLine="656"/>
        <w:spacing w:after="0" w:line="259" w:lineRule="auto"/>
        <w:tabs>
          <w:tab w:leader="none" w:pos="105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Solicitation of Employees</w:t>
      </w:r>
      <w:r>
        <w:rPr>
          <w:rFonts w:ascii="Arial" w:cs="Arial" w:eastAsia="Arial" w:hAnsi="Arial"/>
          <w:sz w:val="18"/>
          <w:szCs w:val="18"/>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86" w:lineRule="exact"/>
        <w:rPr>
          <w:rFonts w:ascii="Arial" w:cs="Arial" w:eastAsia="Arial" w:hAnsi="Arial"/>
          <w:sz w:val="18"/>
          <w:szCs w:val="18"/>
          <w:color w:val="auto"/>
        </w:rPr>
      </w:pPr>
    </w:p>
    <w:p>
      <w:pPr>
        <w:ind w:left="1060" w:hanging="404"/>
        <w:spacing w:after="0"/>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 Agreement.</w:t>
      </w:r>
    </w:p>
    <w:p>
      <w:pPr>
        <w:spacing w:after="0" w:line="248" w:lineRule="exact"/>
        <w:rPr>
          <w:rFonts w:ascii="Arial" w:cs="Arial" w:eastAsia="Arial" w:hAnsi="Arial"/>
          <w:sz w:val="16"/>
          <w:szCs w:val="16"/>
          <w:color w:val="auto"/>
        </w:rPr>
      </w:pPr>
    </w:p>
    <w:p>
      <w:pPr>
        <w:ind w:right="60" w:firstLine="656"/>
        <w:spacing w:after="0" w:line="253" w:lineRule="auto"/>
        <w:tabs>
          <w:tab w:leader="none" w:pos="1053"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400"/>
          </w:cols>
          <w:pgMar w:left="240" w:top="625" w:right="259" w:bottom="1440" w:gutter="0" w:footer="0" w:header="0"/>
        </w:sectPr>
      </w:pPr>
    </w:p>
    <w:bookmarkStart w:id="108" w:name="page109"/>
    <w:bookmarkEnd w:id="108"/>
    <w:p>
      <w:pPr>
        <w:spacing w:after="0" w:line="271" w:lineRule="auto"/>
        <w:rPr>
          <w:sz w:val="20"/>
          <w:szCs w:val="20"/>
          <w:color w:val="auto"/>
        </w:rPr>
      </w:pPr>
      <w:r>
        <w:rPr>
          <w:rFonts w:ascii="Arial" w:cs="Arial" w:eastAsia="Arial" w:hAnsi="Arial"/>
          <w:sz w:val="17"/>
          <w:szCs w:val="17"/>
          <w:color w:val="auto"/>
        </w:rPr>
        <w:t xml:space="preserve">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Arial" w:cs="Arial" w:eastAsia="Arial" w:hAnsi="Arial"/>
          <w:sz w:val="24"/>
          <w:szCs w:val="24"/>
          <w:color w:val="auto"/>
          <w:vertAlign w:val="superscript"/>
        </w:rPr>
        <w:t>4</w:t>
      </w:r>
    </w:p>
    <w:p>
      <w:pPr>
        <w:spacing w:after="0" w:line="79" w:lineRule="exact"/>
        <w:rPr>
          <w:sz w:val="20"/>
          <w:szCs w:val="20"/>
          <w:color w:val="auto"/>
        </w:rPr>
      </w:pPr>
    </w:p>
    <w:p>
      <w:pPr>
        <w:ind w:right="560"/>
        <w:spacing w:after="0" w:line="216"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3" w:lineRule="exact"/>
        <w:rPr>
          <w:sz w:val="20"/>
          <w:szCs w:val="20"/>
          <w:color w:val="auto"/>
        </w:rPr>
      </w:pPr>
    </w:p>
    <w:p>
      <w:pPr>
        <w:ind w:right="100" w:firstLine="656"/>
        <w:spacing w:after="0" w:line="257"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Authority</w:t>
      </w:r>
      <w:r>
        <w:rPr>
          <w:rFonts w:ascii="Arial" w:cs="Arial" w:eastAsia="Arial" w:hAnsi="Arial"/>
          <w:sz w:val="18"/>
          <w:szCs w:val="18"/>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8" w:lineRule="exact"/>
        <w:rPr>
          <w:rFonts w:ascii="Arial" w:cs="Arial" w:eastAsia="Arial" w:hAnsi="Arial"/>
          <w:sz w:val="18"/>
          <w:szCs w:val="18"/>
          <w:color w:val="auto"/>
        </w:rPr>
      </w:pPr>
    </w:p>
    <w:p>
      <w:pPr>
        <w:ind w:right="100" w:firstLine="656"/>
        <w:spacing w:after="0" w:line="264"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right="60" w:firstLine="656"/>
        <w:spacing w:after="0" w:line="264"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1" w:lineRule="exact"/>
        <w:rPr>
          <w:rFonts w:ascii="Arial" w:cs="Arial" w:eastAsia="Arial" w:hAnsi="Arial"/>
          <w:sz w:val="18"/>
          <w:szCs w:val="18"/>
          <w:color w:val="auto"/>
        </w:rPr>
      </w:pPr>
    </w:p>
    <w:p>
      <w:pPr>
        <w:ind w:firstLine="656"/>
        <w:spacing w:after="0" w:line="257"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No Oral Modification</w:t>
      </w:r>
      <w:r>
        <w:rPr>
          <w:rFonts w:ascii="Arial" w:cs="Arial" w:eastAsia="Arial" w:hAnsi="Arial"/>
          <w:sz w:val="16"/>
          <w:szCs w:val="16"/>
          <w:color w:val="auto"/>
        </w:rPr>
        <w:t>. This Agreement may only be amended in writing signed by Executive and the Chairman of the Board of Directors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right="740" w:firstLine="656"/>
        <w:spacing w:after="0" w:line="282" w:lineRule="auto"/>
        <w:tabs>
          <w:tab w:leader="none" w:pos="105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will be governed by the laws of the State of California, without regard for choice-of-law provisions. Executive consents to personal and exclusive jurisdiction and venue in the State of California. </w:t>
      </w:r>
      <w:r>
        <w:rPr>
          <w:rFonts w:ascii="Arial" w:cs="Arial" w:eastAsia="Arial" w:hAnsi="Arial"/>
          <w:sz w:val="25"/>
          <w:szCs w:val="25"/>
          <w:color w:val="auto"/>
          <w:vertAlign w:val="superscript"/>
        </w:rPr>
        <w:t>5</w:t>
      </w:r>
    </w:p>
    <w:p>
      <w:pPr>
        <w:spacing w:after="0" w:line="67" w:lineRule="exact"/>
        <w:rPr>
          <w:sz w:val="20"/>
          <w:szCs w:val="20"/>
          <w:color w:val="auto"/>
        </w:rPr>
      </w:pPr>
    </w:p>
    <w:p>
      <w:pPr>
        <w:ind w:right="560"/>
        <w:spacing w:after="0" w:line="216"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3" w:lineRule="exact"/>
        <w:rPr>
          <w:sz w:val="20"/>
          <w:szCs w:val="20"/>
          <w:color w:val="auto"/>
        </w:rPr>
      </w:pPr>
    </w:p>
    <w:p>
      <w:pPr>
        <w:ind w:right="180" w:firstLine="656"/>
        <w:spacing w:after="0" w:line="229" w:lineRule="auto"/>
        <w:tabs>
          <w:tab w:leader="none" w:pos="1053"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4"/>
          <w:szCs w:val="24"/>
          <w:color w:val="auto"/>
          <w:vertAlign w:val="superscript"/>
        </w:rPr>
        <w:t>th</w:t>
      </w:r>
      <w:r>
        <w:rPr>
          <w:rFonts w:ascii="Arial" w:cs="Arial" w:eastAsia="Arial" w:hAnsi="Arial"/>
          <w:sz w:val="17"/>
          <w:szCs w:val="17"/>
          <w:color w:val="auto"/>
        </w:rPr>
        <w:t>) day after Executive signed this Agreement, so long as it has been signed by the Parties and has not been revoked by either Party before that date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OR</w:t>
      </w:r>
      <w:r>
        <w:rPr>
          <w:rFonts w:ascii="Arial" w:cs="Arial" w:eastAsia="Arial" w:hAnsi="Arial"/>
          <w:sz w:val="17"/>
          <w:szCs w:val="17"/>
          <w:color w:val="auto"/>
        </w:rPr>
        <w:t xml:space="preserve"> [This Agreement will be effective after it has been signed or executed by both Parties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w:t>
      </w:r>
      <w:r>
        <w:rPr>
          <w:rFonts w:ascii="Arial" w:cs="Arial" w:eastAsia="Arial" w:hAnsi="Arial"/>
          <w:sz w:val="24"/>
          <w:szCs w:val="24"/>
          <w:color w:val="auto"/>
          <w:vertAlign w:val="superscript"/>
        </w:rPr>
        <w:t>7</w:t>
      </w:r>
    </w:p>
    <w:p>
      <w:pPr>
        <w:spacing w:after="0" w:line="54"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6</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rPr>
          <w:sz w:val="20"/>
          <w:szCs w:val="20"/>
          <w:color w:val="auto"/>
        </w:rPr>
      </w:pPr>
      <w:r>
        <w:rPr>
          <w:rFonts w:ascii="Arial" w:cs="Arial" w:eastAsia="Arial" w:hAnsi="Arial"/>
          <w:sz w:val="24"/>
          <w:szCs w:val="24"/>
          <w:color w:val="auto"/>
          <w:vertAlign w:val="superscript"/>
        </w:rPr>
        <w:t>7</w:t>
      </w:r>
      <w:r>
        <w:rPr>
          <w:rFonts w:ascii="Arial" w:cs="Arial" w:eastAsia="Arial" w:hAnsi="Arial"/>
          <w:sz w:val="17"/>
          <w:szCs w:val="17"/>
          <w:color w:val="auto"/>
        </w:rPr>
        <w:t>This provision will only be included in this Agreement if Executive is under the age of 40 at the time Executive’s employment relationship is terminated.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20"/>
          </w:cols>
          <w:pgMar w:left="240" w:top="625" w:right="239" w:bottom="1440" w:gutter="0" w:footer="0" w:header="0"/>
        </w:sectPr>
      </w:pPr>
    </w:p>
    <w:bookmarkStart w:id="109" w:name="page110"/>
    <w:bookmarkEnd w:id="109"/>
    <w:p>
      <w:pPr>
        <w:ind w:left="-60" w:right="100" w:firstLine="656"/>
        <w:spacing w:after="0" w:line="277" w:lineRule="auto"/>
        <w:tabs>
          <w:tab w:leader="none" w:pos="99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70" w:lineRule="exact"/>
        <w:rPr>
          <w:rFonts w:ascii="Arial" w:cs="Arial" w:eastAsia="Arial" w:hAnsi="Arial"/>
          <w:sz w:val="18"/>
          <w:szCs w:val="18"/>
          <w:color w:val="auto"/>
        </w:rPr>
      </w:pPr>
    </w:p>
    <w:p>
      <w:pPr>
        <w:ind w:left="-60" w:firstLine="656"/>
        <w:spacing w:after="0" w:line="264" w:lineRule="auto"/>
        <w:tabs>
          <w:tab w:leader="none" w:pos="993"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Voluntary Execution of Agreement</w:t>
      </w:r>
      <w:r>
        <w:rPr>
          <w:rFonts w:ascii="Arial" w:cs="Arial" w:eastAsia="Arial" w:hAnsi="Arial"/>
          <w:sz w:val="18"/>
          <w:szCs w:val="18"/>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1" w:lineRule="exact"/>
        <w:rPr>
          <w:rFonts w:ascii="Arial" w:cs="Arial" w:eastAsia="Arial" w:hAnsi="Arial"/>
          <w:sz w:val="18"/>
          <w:szCs w:val="18"/>
          <w:color w:val="auto"/>
        </w:rPr>
      </w:pPr>
    </w:p>
    <w:p>
      <w:pPr>
        <w:ind w:left="1900" w:hanging="655"/>
        <w:spacing w:after="0"/>
        <w:tabs>
          <w:tab w:leader="none" w:pos="1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Executive has read this Agreement;</w:t>
      </w:r>
    </w:p>
    <w:p>
      <w:pPr>
        <w:spacing w:after="0" w:line="225" w:lineRule="exact"/>
        <w:rPr>
          <w:rFonts w:ascii="Arial" w:cs="Arial" w:eastAsia="Arial" w:hAnsi="Arial"/>
          <w:sz w:val="18"/>
          <w:szCs w:val="18"/>
          <w:color w:val="auto"/>
        </w:rPr>
      </w:pPr>
    </w:p>
    <w:p>
      <w:pPr>
        <w:ind w:left="1900" w:right="200" w:hanging="655"/>
        <w:spacing w:after="0" w:line="277" w:lineRule="auto"/>
        <w:tabs>
          <w:tab w:leader="none" w:pos="1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Executive has been represented in the preparation, negotiation, and execution of this Agreement by legal counsel of Executive’s own choice or has elected not to retain legal counsel;</w:t>
      </w:r>
    </w:p>
    <w:p>
      <w:pPr>
        <w:spacing w:after="0" w:line="170" w:lineRule="exact"/>
        <w:rPr>
          <w:rFonts w:ascii="Arial" w:cs="Arial" w:eastAsia="Arial" w:hAnsi="Arial"/>
          <w:sz w:val="18"/>
          <w:szCs w:val="18"/>
          <w:color w:val="auto"/>
        </w:rPr>
      </w:pPr>
    </w:p>
    <w:p>
      <w:pPr>
        <w:ind w:left="1900" w:hanging="655"/>
        <w:spacing w:after="0"/>
        <w:tabs>
          <w:tab w:leader="none" w:pos="1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Executive understands the terms and consequences of this Agreement and of the releases it contains; and</w:t>
      </w:r>
    </w:p>
    <w:p>
      <w:pPr>
        <w:spacing w:after="0" w:line="225" w:lineRule="exact"/>
        <w:rPr>
          <w:rFonts w:ascii="Arial" w:cs="Arial" w:eastAsia="Arial" w:hAnsi="Arial"/>
          <w:sz w:val="18"/>
          <w:szCs w:val="18"/>
          <w:color w:val="auto"/>
        </w:rPr>
      </w:pPr>
    </w:p>
    <w:p>
      <w:pPr>
        <w:ind w:left="1900" w:hanging="655"/>
        <w:spacing w:after="0"/>
        <w:tabs>
          <w:tab w:leader="none" w:pos="19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Executive is fully aware of the legal and binding effect of this Agreement.</w:t>
      </w:r>
    </w:p>
    <w:p>
      <w:pPr>
        <w:spacing w:after="0" w:line="225" w:lineRule="exact"/>
        <w:rPr>
          <w:rFonts w:ascii="Arial" w:cs="Arial" w:eastAsia="Arial" w:hAnsi="Arial"/>
          <w:sz w:val="18"/>
          <w:szCs w:val="18"/>
          <w:color w:val="auto"/>
        </w:rPr>
      </w:pPr>
    </w:p>
    <w:p>
      <w:pPr>
        <w:ind w:left="53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follow</w:t>
      </w:r>
      <w:r>
        <w:rPr>
          <w:rFonts w:ascii="Arial" w:cs="Arial" w:eastAsia="Arial" w:hAnsi="Arial"/>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300"/>
          </w:cols>
          <w:pgMar w:left="300" w:top="625" w:right="29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Arial" w:cs="Arial" w:eastAsia="Arial" w:hAnsi="Arial"/>
                <w:sz w:val="18"/>
                <w:szCs w:val="18"/>
                <w:b w:val="1"/>
                <w:bCs w:val="1"/>
                <w:color w:val="auto"/>
              </w:rPr>
              <w:t>COMPANY</w:t>
            </w: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VERACYTE, INC.</w:t>
            </w:r>
          </w:p>
        </w:tc>
        <w:tc>
          <w:tcPr>
            <w:tcW w:w="0" w:type="dxa"/>
            <w:vAlign w:val="bottom"/>
          </w:tcPr>
          <w:p>
            <w:pPr>
              <w:spacing w:after="0"/>
              <w:rPr>
                <w:sz w:val="1"/>
                <w:szCs w:val="1"/>
                <w:color w:val="auto"/>
              </w:rPr>
            </w:pPr>
          </w:p>
        </w:tc>
      </w:tr>
      <w:tr>
        <w:trPr>
          <w:trHeight w:val="864"/>
        </w:trPr>
        <w:tc>
          <w:tcPr>
            <w:tcW w:w="2740" w:type="dxa"/>
            <w:vAlign w:val="bottom"/>
          </w:tcPr>
          <w:p>
            <w:pPr>
              <w:spacing w:after="0"/>
              <w:rPr>
                <w:sz w:val="24"/>
                <w:szCs w:val="24"/>
                <w:color w:val="auto"/>
              </w:rPr>
            </w:pP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2740" w:type="dxa"/>
            <w:vAlign w:val="bottom"/>
          </w:tcPr>
          <w:p>
            <w:pPr>
              <w:spacing w:after="0"/>
              <w:rPr>
                <w:sz w:val="24"/>
                <w:szCs w:val="24"/>
                <w:color w:val="auto"/>
              </w:rPr>
            </w:pP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2740" w:type="dxa"/>
            <w:vAlign w:val="bottom"/>
          </w:tcPr>
          <w:p>
            <w:pPr>
              <w:spacing w:after="0"/>
              <w:rPr>
                <w:sz w:val="24"/>
                <w:szCs w:val="24"/>
                <w:color w:val="auto"/>
              </w:rPr>
            </w:pP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920" w:type="dxa"/>
            <w:vAlign w:val="bottom"/>
            <w:gridSpan w:val="2"/>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2740" w:type="dxa"/>
            <w:vAlign w:val="bottom"/>
          </w:tcPr>
          <w:p>
            <w:pPr>
              <w:spacing w:after="0"/>
              <w:rPr>
                <w:sz w:val="24"/>
                <w:szCs w:val="24"/>
                <w:color w:val="auto"/>
              </w:rPr>
            </w:pP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Dated:</w:t>
            </w:r>
          </w:p>
        </w:tc>
        <w:tc>
          <w:tcPr>
            <w:tcW w:w="0" w:type="dxa"/>
            <w:vAlign w:val="bottom"/>
          </w:tcPr>
          <w:p>
            <w:pPr>
              <w:spacing w:after="0"/>
              <w:rPr>
                <w:sz w:val="1"/>
                <w:szCs w:val="1"/>
                <w:color w:val="auto"/>
              </w:rPr>
            </w:pPr>
          </w:p>
        </w:tc>
      </w:tr>
      <w:tr>
        <w:trPr>
          <w:trHeight w:val="27"/>
        </w:trPr>
        <w:tc>
          <w:tcPr>
            <w:tcW w:w="2740" w:type="dxa"/>
            <w:vAlign w:val="bottom"/>
            <w:vMerge w:val="restart"/>
          </w:tcPr>
          <w:p>
            <w:pPr>
              <w:spacing w:after="0"/>
              <w:rPr>
                <w:sz w:val="20"/>
                <w:szCs w:val="20"/>
                <w:color w:val="auto"/>
              </w:rPr>
            </w:pPr>
            <w:r>
              <w:rPr>
                <w:rFonts w:ascii="Arial" w:cs="Arial" w:eastAsia="Arial" w:hAnsi="Arial"/>
                <w:sz w:val="18"/>
                <w:szCs w:val="18"/>
                <w:b w:val="1"/>
                <w:bCs w:val="1"/>
                <w:color w:val="auto"/>
              </w:rPr>
              <w:t>EXECUTIVE</w:t>
            </w:r>
          </w:p>
        </w:tc>
        <w:tc>
          <w:tcPr>
            <w:tcW w:w="2920" w:type="dxa"/>
            <w:vAlign w:val="bottom"/>
            <w:gridSpan w:val="2"/>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2740" w:type="dxa"/>
            <w:vAlign w:val="bottom"/>
            <w:vMerge w:val="continue"/>
          </w:tcPr>
          <w:p>
            <w:pPr>
              <w:spacing w:after="0"/>
              <w:rPr>
                <w:sz w:val="24"/>
                <w:szCs w:val="24"/>
                <w:color w:val="auto"/>
              </w:rPr>
            </w:pPr>
          </w:p>
        </w:tc>
        <w:tc>
          <w:tcPr>
            <w:tcW w:w="7160" w:type="dxa"/>
            <w:vAlign w:val="bottom"/>
            <w:gridSpan w:val="3"/>
          </w:tcPr>
          <w:p>
            <w:pPr>
              <w:ind w:left="1760"/>
              <w:spacing w:after="0"/>
              <w:rPr>
                <w:sz w:val="20"/>
                <w:szCs w:val="20"/>
                <w:color w:val="auto"/>
              </w:rPr>
            </w:pPr>
            <w:r>
              <w:rPr>
                <w:rFonts w:ascii="Arial" w:cs="Arial" w:eastAsia="Arial" w:hAnsi="Arial"/>
                <w:sz w:val="18"/>
                <w:szCs w:val="18"/>
                <w:color w:val="auto"/>
              </w:rPr>
              <w:t>KEITH KENNEDY, an individual</w:t>
            </w:r>
          </w:p>
        </w:tc>
        <w:tc>
          <w:tcPr>
            <w:tcW w:w="0" w:type="dxa"/>
            <w:vAlign w:val="bottom"/>
          </w:tcPr>
          <w:p>
            <w:pPr>
              <w:spacing w:after="0"/>
              <w:rPr>
                <w:sz w:val="1"/>
                <w:szCs w:val="1"/>
                <w:color w:val="auto"/>
              </w:rPr>
            </w:pPr>
          </w:p>
        </w:tc>
      </w:tr>
      <w:tr>
        <w:trPr>
          <w:trHeight w:val="918"/>
        </w:trPr>
        <w:tc>
          <w:tcPr>
            <w:tcW w:w="2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2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864"/>
        </w:trPr>
        <w:tc>
          <w:tcPr>
            <w:tcW w:w="2740" w:type="dxa"/>
            <w:vAlign w:val="bottom"/>
          </w:tcPr>
          <w:p>
            <w:pPr>
              <w:spacing w:after="0"/>
              <w:rPr>
                <w:sz w:val="24"/>
                <w:szCs w:val="24"/>
                <w:color w:val="auto"/>
              </w:rPr>
            </w:pPr>
          </w:p>
        </w:tc>
        <w:tc>
          <w:tcPr>
            <w:tcW w:w="7160" w:type="dxa"/>
            <w:vAlign w:val="bottom"/>
            <w:gridSpan w:val="3"/>
          </w:tcPr>
          <w:p>
            <w:pPr>
              <w:ind w:left="1720"/>
              <w:spacing w:after="0"/>
              <w:rPr>
                <w:sz w:val="20"/>
                <w:szCs w:val="20"/>
                <w:color w:val="auto"/>
              </w:rPr>
            </w:pPr>
            <w:r>
              <w:rPr>
                <w:rFonts w:ascii="Arial" w:cs="Arial" w:eastAsia="Arial" w:hAnsi="Arial"/>
                <w:sz w:val="18"/>
                <w:szCs w:val="18"/>
                <w:color w:val="auto"/>
              </w:rPr>
              <w:t>Dated:</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6"/>
        </w:trPr>
        <w:tc>
          <w:tcPr>
            <w:tcW w:w="2740" w:type="dxa"/>
            <w:vAlign w:val="bottom"/>
          </w:tcPr>
          <w:p>
            <w:pPr>
              <w:spacing w:after="0"/>
              <w:rPr>
                <w:sz w:val="24"/>
                <w:szCs w:val="24"/>
                <w:color w:val="auto"/>
              </w:rPr>
            </w:pPr>
          </w:p>
        </w:tc>
        <w:tc>
          <w:tcPr>
            <w:tcW w:w="7160" w:type="dxa"/>
            <w:vAlign w:val="bottom"/>
            <w:gridSpan w:val="3"/>
          </w:tcPr>
          <w:p>
            <w:pPr>
              <w:ind w:left="1680"/>
              <w:spacing w:after="0"/>
              <w:rPr>
                <w:sz w:val="20"/>
                <w:szCs w:val="20"/>
                <w:color w:val="auto"/>
              </w:rPr>
            </w:pPr>
            <w:r>
              <w:rPr>
                <w:rFonts w:ascii="Arial" w:cs="Arial" w:eastAsia="Arial" w:hAnsi="Arial"/>
                <w:sz w:val="22"/>
                <w:szCs w:val="22"/>
                <w:color w:val="auto"/>
              </w:rPr>
              <w:t>A-7</w:t>
            </w:r>
          </w:p>
        </w:tc>
        <w:tc>
          <w:tcPr>
            <w:tcW w:w="0" w:type="dxa"/>
            <w:vAlign w:val="bottom"/>
          </w:tcPr>
          <w:p>
            <w:pPr>
              <w:spacing w:after="0"/>
              <w:rPr>
                <w:sz w:val="1"/>
                <w:szCs w:val="1"/>
                <w:color w:val="auto"/>
              </w:rPr>
            </w:pPr>
          </w:p>
        </w:tc>
      </w:tr>
    </w:tbl>
    <w:p>
      <w:pPr>
        <w:sectPr>
          <w:pgSz w:w="11900" w:h="16838" w:orient="portrait"/>
          <w:cols w:equalWidth="0" w:num="1">
            <w:col w:w="10360"/>
          </w:cols>
          <w:pgMar w:left="900" w:top="1053" w:right="6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VERACYTE,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CHANGE OF CONTROL AND SEVERANCE AGREEMENT</w:t>
      </w:r>
    </w:p>
    <w:p>
      <w:pPr>
        <w:spacing w:after="0" w:line="22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This Amended and Restated Change of Control and Severance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and between Giulia Kennedy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Veracyte,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effective as of July 1, 2019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This Agreement amends and restates the Change of Control and Severance Agreement by and between the Executive and the Company, effective as of October 23, 2018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ind w:left="1000" w:hanging="344"/>
        <w:spacing w:after="0"/>
        <w:tabs>
          <w:tab w:leader="none" w:pos="10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believes that it is in the best interests of the Company and its stockholders</w:t>
      </w:r>
    </w:p>
    <w:p>
      <w:pPr>
        <w:spacing w:after="0" w:line="38" w:lineRule="exact"/>
        <w:rPr>
          <w:rFonts w:ascii="Arial" w:cs="Arial" w:eastAsia="Arial" w:hAnsi="Arial"/>
          <w:sz w:val="18"/>
          <w:szCs w:val="18"/>
          <w:color w:val="auto"/>
        </w:rPr>
      </w:pPr>
    </w:p>
    <w:p>
      <w:pPr>
        <w:ind w:right="340" w:firstLine="8"/>
        <w:spacing w:after="0" w:line="282" w:lineRule="auto"/>
        <w:tabs>
          <w:tab w:leader="none" w:pos="2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59" w:lineRule="exact"/>
        <w:rPr>
          <w:rFonts w:ascii="Arial" w:cs="Arial" w:eastAsia="Arial" w:hAnsi="Arial"/>
          <w:sz w:val="18"/>
          <w:szCs w:val="18"/>
          <w:color w:val="auto"/>
        </w:rPr>
      </w:pPr>
    </w:p>
    <w:p>
      <w:pPr>
        <w:ind w:right="520" w:firstLine="656"/>
        <w:spacing w:after="0" w:line="269" w:lineRule="auto"/>
        <w:tabs>
          <w:tab w:leader="none" w:pos="991"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0" w:lineRule="exact"/>
        <w:rPr>
          <w:rFonts w:ascii="Arial" w:cs="Arial" w:eastAsia="Arial" w:hAnsi="Arial"/>
          <w:sz w:val="19"/>
          <w:szCs w:val="19"/>
          <w:color w:val="auto"/>
        </w:rPr>
      </w:pPr>
    </w:p>
    <w:p>
      <w:pPr>
        <w:ind w:left="1000" w:hanging="344"/>
        <w:spacing w:after="0"/>
        <w:tabs>
          <w:tab w:leader="none" w:pos="1000" w:val="left"/>
        </w:tabs>
        <w:numPr>
          <w:ilvl w:val="1"/>
          <w:numId w:val="121"/>
        </w:numPr>
        <w:rPr>
          <w:rFonts w:ascii="Arial" w:cs="Arial" w:eastAsia="Arial" w:hAnsi="Arial"/>
          <w:sz w:val="20"/>
          <w:szCs w:val="20"/>
          <w:color w:val="auto"/>
        </w:rPr>
      </w:pPr>
      <w:r>
        <w:rPr>
          <w:rFonts w:ascii="Arial" w:cs="Arial" w:eastAsia="Arial" w:hAnsi="Arial"/>
          <w:sz w:val="20"/>
          <w:szCs w:val="20"/>
          <w:color w:val="auto"/>
        </w:rPr>
        <w:t>Certain capitalized terms used in the Agreement are defined in Section 6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NOW, THEREFORE, in consideration of the mutual covenants contained herein, the parties hereto agree as </w:t>
      </w:r>
      <w:r>
        <w:rPr>
          <w:rFonts w:ascii="Arial" w:cs="Arial" w:eastAsia="Arial" w:hAnsi="Arial"/>
          <w:sz w:val="20"/>
          <w:szCs w:val="20"/>
          <w:color w:val="1F1F24"/>
        </w:rPr>
        <w:t>follows:</w:t>
      </w:r>
    </w:p>
    <w:p>
      <w:pPr>
        <w:spacing w:after="0" w:line="229" w:lineRule="exact"/>
        <w:rPr>
          <w:sz w:val="20"/>
          <w:szCs w:val="20"/>
          <w:color w:val="auto"/>
        </w:rPr>
      </w:pPr>
    </w:p>
    <w:p>
      <w:pPr>
        <w:ind w:right="220" w:firstLine="656"/>
        <w:spacing w:after="0" w:line="297" w:lineRule="auto"/>
        <w:tabs>
          <w:tab w:leader="none" w:pos="1445" w:val="left"/>
        </w:tabs>
        <w:numPr>
          <w:ilvl w:val="1"/>
          <w:numId w:val="122"/>
        </w:numPr>
        <w:rPr>
          <w:rFonts w:ascii="Arial" w:cs="Arial" w:eastAsia="Arial" w:hAnsi="Arial"/>
          <w:sz w:val="18"/>
          <w:szCs w:val="18"/>
          <w:color w:val="010000"/>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four (4) years commencing on May 14, 2015 (the “</w:t>
      </w:r>
      <w:r>
        <w:rPr>
          <w:rFonts w:ascii="Arial" w:cs="Arial" w:eastAsia="Arial" w:hAnsi="Arial"/>
          <w:sz w:val="18"/>
          <w:szCs w:val="18"/>
          <w:b w:val="1"/>
          <w:bCs w:val="1"/>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On May 14, 2019, this Agreement will renew automatically for additional one (1) year terms (each an “</w:t>
      </w:r>
      <w:r>
        <w:rPr>
          <w:rFonts w:ascii="Arial" w:cs="Arial" w:eastAsia="Arial" w:hAnsi="Arial"/>
          <w:sz w:val="18"/>
          <w:szCs w:val="18"/>
          <w:b w:val="1"/>
          <w:bCs w:val="1"/>
          <w:i w:val="1"/>
          <w:iCs w:val="1"/>
          <w:color w:val="auto"/>
        </w:rPr>
        <w:t>Additional Term</w:t>
      </w:r>
      <w:r>
        <w:rPr>
          <w:rFonts w:ascii="Arial" w:cs="Arial" w:eastAsia="Arial" w:hAnsi="Arial"/>
          <w:sz w:val="18"/>
          <w:szCs w:val="18"/>
          <w:color w:val="auto"/>
        </w:rPr>
        <w:t>”),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w:t>
      </w:r>
    </w:p>
    <w:p>
      <w:pPr>
        <w:spacing w:after="0" w:line="2" w:lineRule="exact"/>
        <w:rPr>
          <w:rFonts w:ascii="Arial" w:cs="Arial" w:eastAsia="Arial" w:hAnsi="Arial"/>
          <w:sz w:val="18"/>
          <w:szCs w:val="18"/>
          <w:color w:val="010000"/>
        </w:rPr>
      </w:pPr>
    </w:p>
    <w:p>
      <w:pPr>
        <w:ind w:right="80" w:firstLine="8"/>
        <w:spacing w:after="0" w:line="278" w:lineRule="auto"/>
        <w:tabs>
          <w:tab w:leader="none" w:pos="379"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73" w:lineRule="exact"/>
        <w:rPr>
          <w:rFonts w:ascii="Arial" w:cs="Arial" w:eastAsia="Arial" w:hAnsi="Arial"/>
          <w:sz w:val="20"/>
          <w:szCs w:val="20"/>
          <w:color w:val="auto"/>
        </w:rPr>
      </w:pPr>
    </w:p>
    <w:p>
      <w:pPr>
        <w:ind w:right="20" w:firstLine="656"/>
        <w:spacing w:after="0" w:line="250" w:lineRule="auto"/>
        <w:tabs>
          <w:tab w:leader="none" w:pos="977"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The Company and Executive acknowledge that Executive’s employment is and will continue to be at-will, as defined under applicable law</w:t>
      </w:r>
      <w:r>
        <w:rPr>
          <w:rFonts w:ascii="Arial" w:cs="Arial" w:eastAsia="Arial" w:hAnsi="Arial"/>
          <w:sz w:val="20"/>
          <w:szCs w:val="20"/>
          <w:color w:val="4B4B4B"/>
        </w:rPr>
        <w:t>.</w:t>
      </w:r>
      <w:r>
        <w:rPr>
          <w:rFonts w:ascii="Arial" w:cs="Arial" w:eastAsia="Arial" w:hAnsi="Arial"/>
          <w:sz w:val="20"/>
          <w:szCs w:val="20"/>
          <w:color w:val="auto"/>
        </w:rPr>
        <w:t xml:space="preserve"> As an at-will employee, either the Company or the Executive may terminate the employment relationship at any time, with or without Cause.</w:t>
      </w:r>
    </w:p>
    <w:p>
      <w:pPr>
        <w:spacing w:after="0" w:line="186" w:lineRule="exact"/>
        <w:rPr>
          <w:rFonts w:ascii="Arial" w:cs="Arial" w:eastAsia="Arial" w:hAnsi="Arial"/>
          <w:sz w:val="20"/>
          <w:szCs w:val="20"/>
          <w:color w:val="010000"/>
        </w:rPr>
      </w:pPr>
    </w:p>
    <w:p>
      <w:pPr>
        <w:ind w:left="980" w:hanging="324"/>
        <w:spacing w:after="0"/>
        <w:tabs>
          <w:tab w:leader="none" w:pos="980" w:val="left"/>
        </w:tabs>
        <w:numPr>
          <w:ilvl w:val="1"/>
          <w:numId w:val="123"/>
        </w:numPr>
        <w:rPr>
          <w:rFonts w:ascii="Arial" w:cs="Arial" w:eastAsia="Arial" w:hAnsi="Arial"/>
          <w:sz w:val="20"/>
          <w:szCs w:val="20"/>
          <w:color w:val="010000"/>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ectPr>
          <w:pgSz w:w="11900" w:h="16838" w:orient="portrait"/>
          <w:cols w:equalWidth="0" w:num="1">
            <w:col w:w="11420"/>
          </w:cols>
          <w:pgMar w:left="240" w:top="805" w:right="239" w:bottom="1440" w:gutter="0" w:footer="0" w:header="0"/>
        </w:sectPr>
      </w:pPr>
    </w:p>
    <w:bookmarkStart w:id="112" w:name="page113"/>
    <w:bookmarkEnd w:id="112"/>
    <w:p>
      <w:pPr>
        <w:ind w:left="-1200" w:firstLine="1305"/>
        <w:spacing w:after="0" w:line="246" w:lineRule="auto"/>
        <w:tabs>
          <w:tab w:leader="none" w:pos="496" w:val="left"/>
        </w:tabs>
        <w:numPr>
          <w:ilvl w:val="0"/>
          <w:numId w:val="124"/>
        </w:numPr>
        <w:rPr>
          <w:rFonts w:ascii="Arial" w:cs="Arial" w:eastAsia="Arial" w:hAnsi="Arial"/>
          <w:sz w:val="20"/>
          <w:szCs w:val="20"/>
          <w:color w:val="010000"/>
        </w:rPr>
      </w:pPr>
      <w:r>
        <w:rPr>
          <w:rFonts w:ascii="Arial" w:cs="Arial" w:eastAsia="Arial" w:hAnsi="Arial"/>
          <w:sz w:val="20"/>
          <w:szCs w:val="20"/>
          <w:u w:val="single" w:color="auto"/>
          <w:color w:val="auto"/>
        </w:rPr>
        <w:t>Termination without Cause or Resignation for Good Reason Unrelated to a Change of Control</w:t>
      </w:r>
      <w:r>
        <w:rPr>
          <w:rFonts w:ascii="Arial" w:cs="Arial" w:eastAsia="Arial" w:hAnsi="Arial"/>
          <w:sz w:val="20"/>
          <w:szCs w:val="20"/>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91" w:lineRule="exact"/>
        <w:rPr>
          <w:rFonts w:ascii="Arial" w:cs="Arial" w:eastAsia="Arial" w:hAnsi="Arial"/>
          <w:sz w:val="20"/>
          <w:szCs w:val="20"/>
          <w:color w:val="010000"/>
        </w:rPr>
      </w:pPr>
    </w:p>
    <w:p>
      <w:pPr>
        <w:ind w:left="-1200" w:right="1180" w:firstLine="1953"/>
        <w:spacing w:after="0" w:line="316" w:lineRule="auto"/>
        <w:tabs>
          <w:tab w:leader="none" w:pos="1112" w:val="left"/>
        </w:tabs>
        <w:numPr>
          <w:ilvl w:val="1"/>
          <w:numId w:val="124"/>
        </w:numPr>
        <w:rPr>
          <w:rFonts w:ascii="Arial" w:cs="Arial" w:eastAsia="Arial" w:hAnsi="Arial"/>
          <w:sz w:val="18"/>
          <w:szCs w:val="18"/>
          <w:color w:val="010000"/>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30" w:lineRule="exact"/>
        <w:rPr>
          <w:rFonts w:ascii="Arial" w:cs="Arial" w:eastAsia="Arial" w:hAnsi="Arial"/>
          <w:sz w:val="18"/>
          <w:szCs w:val="18"/>
          <w:color w:val="010000"/>
        </w:rPr>
      </w:pPr>
    </w:p>
    <w:p>
      <w:pPr>
        <w:ind w:left="-1200" w:right="120" w:firstLine="1953"/>
        <w:spacing w:after="0" w:line="250" w:lineRule="auto"/>
        <w:tabs>
          <w:tab w:leader="none" w:pos="1166" w:val="left"/>
        </w:tabs>
        <w:numPr>
          <w:ilvl w:val="1"/>
          <w:numId w:val="124"/>
        </w:numPr>
        <w:rPr>
          <w:rFonts w:ascii="Arial" w:cs="Arial" w:eastAsia="Arial" w:hAnsi="Arial"/>
          <w:sz w:val="20"/>
          <w:szCs w:val="20"/>
          <w:color w:val="010000"/>
        </w:rPr>
      </w:pPr>
      <w:r>
        <w:rPr>
          <w:rFonts w:ascii="Arial" w:cs="Arial" w:eastAsia="Arial" w:hAnsi="Arial"/>
          <w:sz w:val="20"/>
          <w:szCs w:val="20"/>
          <w:u w:val="single" w:color="auto"/>
          <w:color w:val="auto"/>
        </w:rPr>
        <w:t>Continuing Severance Payments</w:t>
      </w:r>
      <w:r>
        <w:rPr>
          <w:rFonts w:ascii="Arial" w:cs="Arial" w:eastAsia="Arial" w:hAnsi="Arial"/>
          <w:sz w:val="20"/>
          <w:szCs w:val="20"/>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6" w:lineRule="exact"/>
        <w:rPr>
          <w:rFonts w:ascii="Arial" w:cs="Arial" w:eastAsia="Arial" w:hAnsi="Arial"/>
          <w:sz w:val="20"/>
          <w:szCs w:val="20"/>
          <w:color w:val="010000"/>
        </w:rPr>
      </w:pPr>
    </w:p>
    <w:p>
      <w:pPr>
        <w:ind w:left="-1200" w:firstLine="1953"/>
        <w:spacing w:after="0" w:line="269" w:lineRule="auto"/>
        <w:tabs>
          <w:tab w:leader="none" w:pos="1221" w:val="left"/>
        </w:tabs>
        <w:numPr>
          <w:ilvl w:val="1"/>
          <w:numId w:val="124"/>
        </w:numPr>
        <w:rPr>
          <w:rFonts w:ascii="Arial" w:cs="Arial" w:eastAsia="Arial" w:hAnsi="Arial"/>
          <w:sz w:val="18"/>
          <w:szCs w:val="18"/>
          <w:color w:val="010000"/>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xml:space="preserve">. If Executive elects continuation coverage pursuant to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9" w:lineRule="exact"/>
        <w:rPr>
          <w:rFonts w:ascii="Arial" w:cs="Arial" w:eastAsia="Arial" w:hAnsi="Arial"/>
          <w:sz w:val="18"/>
          <w:szCs w:val="18"/>
          <w:color w:val="010000"/>
        </w:rPr>
      </w:pPr>
    </w:p>
    <w:p>
      <w:pPr>
        <w:ind w:left="-1200" w:right="340" w:firstLine="1305"/>
        <w:spacing w:after="0" w:line="246" w:lineRule="auto"/>
        <w:tabs>
          <w:tab w:leader="none" w:pos="507" w:val="left"/>
        </w:tabs>
        <w:numPr>
          <w:ilvl w:val="0"/>
          <w:numId w:val="124"/>
        </w:numPr>
        <w:rPr>
          <w:rFonts w:ascii="Arial" w:cs="Arial" w:eastAsia="Arial" w:hAnsi="Arial"/>
          <w:sz w:val="20"/>
          <w:szCs w:val="20"/>
          <w:color w:val="010000"/>
        </w:rPr>
      </w:pPr>
      <w:r>
        <w:rPr>
          <w:rFonts w:ascii="Arial" w:cs="Arial" w:eastAsia="Arial" w:hAnsi="Arial"/>
          <w:sz w:val="20"/>
          <w:szCs w:val="20"/>
          <w:u w:val="single" w:color="auto"/>
          <w:color w:val="auto"/>
        </w:rPr>
        <w:t>Termination without Cause or Resignation for Good Reason in Connection with a Change of Control</w:t>
      </w:r>
      <w:r>
        <w:rPr>
          <w:rFonts w:ascii="Arial" w:cs="Arial" w:eastAsia="Arial" w:hAnsi="Arial"/>
          <w:sz w:val="20"/>
          <w:szCs w:val="20"/>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r>
        <w:rPr>
          <w:rFonts w:ascii="Arial" w:cs="Arial" w:eastAsia="Arial" w:hAnsi="Arial"/>
          <w:sz w:val="20"/>
          <w:szCs w:val="20"/>
          <w:color w:val="444444"/>
        </w:rPr>
        <w:t>:</w:t>
      </w:r>
    </w:p>
    <w:p>
      <w:pPr>
        <w:spacing w:after="0" w:line="191" w:lineRule="exact"/>
        <w:rPr>
          <w:rFonts w:ascii="Arial" w:cs="Arial" w:eastAsia="Arial" w:hAnsi="Arial"/>
          <w:sz w:val="20"/>
          <w:szCs w:val="20"/>
          <w:color w:val="010000"/>
        </w:rPr>
      </w:pPr>
    </w:p>
    <w:p>
      <w:pPr>
        <w:ind w:left="-1200" w:right="1180" w:firstLine="1953"/>
        <w:spacing w:after="0" w:line="316" w:lineRule="auto"/>
        <w:tabs>
          <w:tab w:leader="none" w:pos="1112" w:val="left"/>
        </w:tabs>
        <w:numPr>
          <w:ilvl w:val="1"/>
          <w:numId w:val="124"/>
        </w:numPr>
        <w:rPr>
          <w:rFonts w:ascii="Arial" w:cs="Arial" w:eastAsia="Arial" w:hAnsi="Arial"/>
          <w:sz w:val="18"/>
          <w:szCs w:val="18"/>
          <w:color w:val="010000"/>
        </w:rPr>
      </w:pPr>
      <w:r>
        <w:rPr>
          <w:rFonts w:ascii="Arial" w:cs="Arial" w:eastAsia="Arial" w:hAnsi="Arial"/>
          <w:sz w:val="18"/>
          <w:szCs w:val="18"/>
          <w:u w:val="single" w:color="auto"/>
          <w:color w:val="auto"/>
        </w:rPr>
        <w:t>Accrued Compensation</w:t>
      </w:r>
      <w:r>
        <w:rPr>
          <w:rFonts w:ascii="Arial" w:cs="Arial" w:eastAsia="Arial" w:hAnsi="Arial"/>
          <w:sz w:val="18"/>
          <w:szCs w:val="18"/>
          <w:color w:val="444444"/>
        </w:rPr>
        <w:t>.</w:t>
      </w:r>
      <w:r>
        <w:rPr>
          <w:rFonts w:ascii="Arial" w:cs="Arial" w:eastAsia="Arial" w:hAnsi="Arial"/>
          <w:sz w:val="18"/>
          <w:szCs w:val="18"/>
          <w:color w:val="auto"/>
        </w:rPr>
        <w:t xml:space="preserve"> The Company will pay Executive all accrued but unpaid vacation, expense reimbursements, wages, and other benefits due to Executive under any Company-provided plans, policies, and arrangements.</w:t>
      </w:r>
    </w:p>
    <w:p>
      <w:pPr>
        <w:spacing w:after="0" w:line="130" w:lineRule="exact"/>
        <w:rPr>
          <w:rFonts w:ascii="Arial" w:cs="Arial" w:eastAsia="Arial" w:hAnsi="Arial"/>
          <w:sz w:val="18"/>
          <w:szCs w:val="18"/>
          <w:color w:val="010000"/>
        </w:rPr>
      </w:pPr>
    </w:p>
    <w:p>
      <w:pPr>
        <w:ind w:left="-1200" w:right="380" w:firstLine="1953"/>
        <w:spacing w:after="0" w:line="260" w:lineRule="auto"/>
        <w:tabs>
          <w:tab w:leader="none" w:pos="1166" w:val="left"/>
        </w:tabs>
        <w:numPr>
          <w:ilvl w:val="1"/>
          <w:numId w:val="124"/>
        </w:numPr>
        <w:rPr>
          <w:rFonts w:ascii="Arial" w:cs="Arial" w:eastAsia="Arial" w:hAnsi="Arial"/>
          <w:sz w:val="20"/>
          <w:szCs w:val="20"/>
          <w:color w:val="010000"/>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Executive will receive a lump-sum payment (less applicable withholding taxes) equal to eighteen (18) months of Executive’s annual base salary as in effect</w:t>
      </w:r>
    </w:p>
    <w:p>
      <w:pPr>
        <w:spacing w:after="0" w:line="200" w:lineRule="exact"/>
        <w:rPr>
          <w:sz w:val="20"/>
          <w:szCs w:val="20"/>
          <w:color w:val="auto"/>
        </w:rPr>
      </w:pPr>
    </w:p>
    <w:p>
      <w:pPr>
        <w:spacing w:after="0" w:line="220"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80"/>
          </w:cols>
          <w:pgMar w:left="1440" w:top="609" w:right="279" w:bottom="1440" w:gutter="0" w:footer="0" w:header="0"/>
        </w:sectPr>
      </w:pPr>
    </w:p>
    <w:bookmarkStart w:id="113" w:name="page114"/>
    <w:bookmarkEnd w:id="113"/>
    <w:p>
      <w:pPr>
        <w:ind w:right="100"/>
        <w:spacing w:after="0" w:line="243" w:lineRule="auto"/>
        <w:rPr>
          <w:sz w:val="20"/>
          <w:szCs w:val="20"/>
          <w:color w:val="auto"/>
        </w:rPr>
      </w:pPr>
      <w:r>
        <w:rPr>
          <w:rFonts w:ascii="Arial" w:cs="Arial" w:eastAsia="Arial" w:hAnsi="Arial"/>
          <w:sz w:val="20"/>
          <w:szCs w:val="20"/>
          <w:color w:val="auto"/>
        </w:rPr>
        <w:t xml:space="preserve">immediately prior to Executive’s termination date or, if greater, at the level in effect immediately prior to the Change of Control. For the avoidance of doubt, if (x) Executive </w:t>
      </w:r>
      <w:r>
        <w:rPr>
          <w:rFonts w:ascii="Arial" w:cs="Arial" w:eastAsia="Arial" w:hAnsi="Arial"/>
          <w:sz w:val="20"/>
          <w:szCs w:val="20"/>
          <w:color w:val="343436"/>
        </w:rPr>
        <w:t>incurred</w:t>
      </w:r>
      <w:r>
        <w:rPr>
          <w:rFonts w:ascii="Arial" w:cs="Arial" w:eastAsia="Arial" w:hAnsi="Arial"/>
          <w:sz w:val="20"/>
          <w:szCs w:val="20"/>
          <w:color w:val="auto"/>
        </w:rPr>
        <w:t xml:space="preserve">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less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93" w:lineRule="exact"/>
        <w:rPr>
          <w:sz w:val="20"/>
          <w:szCs w:val="20"/>
          <w:color w:val="auto"/>
        </w:rPr>
      </w:pPr>
    </w:p>
    <w:p>
      <w:pPr>
        <w:ind w:right="80" w:firstLine="1953"/>
        <w:spacing w:after="0" w:line="258" w:lineRule="auto"/>
        <w:tabs>
          <w:tab w:leader="none" w:pos="2421" w:val="left"/>
        </w:tabs>
        <w:numPr>
          <w:ilvl w:val="0"/>
          <w:numId w:val="125"/>
        </w:numPr>
        <w:rPr>
          <w:rFonts w:ascii="Arial" w:cs="Arial" w:eastAsia="Arial" w:hAnsi="Arial"/>
          <w:sz w:val="19"/>
          <w:szCs w:val="19"/>
          <w:color w:val="010000"/>
        </w:rPr>
      </w:pPr>
      <w:r>
        <w:rPr>
          <w:rFonts w:ascii="Arial" w:cs="Arial" w:eastAsia="Arial" w:hAnsi="Arial"/>
          <w:sz w:val="19"/>
          <w:szCs w:val="19"/>
          <w:u w:val="single" w:color="auto"/>
          <w:color w:val="auto"/>
        </w:rPr>
        <w:t>Bonus Payment</w:t>
      </w:r>
      <w:r>
        <w:rPr>
          <w:rFonts w:ascii="Arial" w:cs="Arial" w:eastAsia="Arial" w:hAnsi="Arial"/>
          <w:sz w:val="19"/>
          <w:szCs w:val="19"/>
          <w:color w:val="auto"/>
        </w:rPr>
        <w:t>.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79" w:lineRule="exact"/>
        <w:rPr>
          <w:rFonts w:ascii="Arial" w:cs="Arial" w:eastAsia="Arial" w:hAnsi="Arial"/>
          <w:sz w:val="19"/>
          <w:szCs w:val="19"/>
          <w:color w:val="010000"/>
        </w:rPr>
      </w:pPr>
    </w:p>
    <w:p>
      <w:pPr>
        <w:ind w:firstLine="1953"/>
        <w:spacing w:after="0" w:line="269" w:lineRule="auto"/>
        <w:tabs>
          <w:tab w:leader="none" w:pos="2411" w:val="left"/>
        </w:tabs>
        <w:numPr>
          <w:ilvl w:val="0"/>
          <w:numId w:val="125"/>
        </w:numPr>
        <w:rPr>
          <w:rFonts w:ascii="Arial" w:cs="Arial" w:eastAsia="Arial" w:hAnsi="Arial"/>
          <w:sz w:val="18"/>
          <w:szCs w:val="18"/>
          <w:color w:val="010000"/>
        </w:rPr>
      </w:pPr>
      <w:r>
        <w:rPr>
          <w:rFonts w:ascii="Arial" w:cs="Arial" w:eastAsia="Arial" w:hAnsi="Arial"/>
          <w:sz w:val="18"/>
          <w:szCs w:val="18"/>
          <w:u w:val="single" w:color="auto"/>
          <w:color w:val="auto"/>
        </w:rPr>
        <w:t>Continuation Coverage</w:t>
      </w:r>
      <w:r>
        <w:rPr>
          <w:rFonts w:ascii="Arial" w:cs="Arial" w:eastAsia="Arial" w:hAnsi="Arial"/>
          <w:sz w:val="18"/>
          <w:szCs w:val="18"/>
          <w:color w:val="595959"/>
        </w:rPr>
        <w:t>.</w:t>
      </w:r>
      <w:r>
        <w:rPr>
          <w:rFonts w:ascii="Arial" w:cs="Arial" w:eastAsia="Arial" w:hAnsi="Arial"/>
          <w:sz w:val="18"/>
          <w:szCs w:val="18"/>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 payments. For the avoidance of doubt, the taxable payments in lieu of COBRA reimbursements may be used for any purpose, including, but not limited to continuation coverage under COBRA, and will be subject to all applicable tax withholdings.</w:t>
      </w:r>
    </w:p>
    <w:p>
      <w:pPr>
        <w:spacing w:after="0" w:line="179" w:lineRule="exact"/>
        <w:rPr>
          <w:rFonts w:ascii="Arial" w:cs="Arial" w:eastAsia="Arial" w:hAnsi="Arial"/>
          <w:sz w:val="18"/>
          <w:szCs w:val="18"/>
          <w:color w:val="010000"/>
        </w:rPr>
      </w:pPr>
    </w:p>
    <w:p>
      <w:pPr>
        <w:ind w:right="80" w:firstLine="1953"/>
        <w:spacing w:after="0" w:line="282" w:lineRule="auto"/>
        <w:tabs>
          <w:tab w:leader="none" w:pos="2355" w:val="left"/>
        </w:tabs>
        <w:numPr>
          <w:ilvl w:val="0"/>
          <w:numId w:val="125"/>
        </w:numPr>
        <w:rPr>
          <w:rFonts w:ascii="Arial" w:cs="Arial" w:eastAsia="Arial" w:hAnsi="Arial"/>
          <w:sz w:val="18"/>
          <w:szCs w:val="18"/>
          <w:color w:val="010000"/>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595" w:right="259" w:bottom="1440" w:gutter="0" w:footer="0" w:header="0"/>
        </w:sectPr>
      </w:pPr>
    </w:p>
    <w:bookmarkStart w:id="114" w:name="page115"/>
    <w:bookmarkEnd w:id="114"/>
    <w:p>
      <w:pPr>
        <w:ind w:left="-656" w:right="40" w:firstLine="1305"/>
        <w:spacing w:after="0" w:line="246" w:lineRule="auto"/>
        <w:tabs>
          <w:tab w:leader="none" w:pos="1040" w:val="left"/>
        </w:tabs>
        <w:numPr>
          <w:ilvl w:val="1"/>
          <w:numId w:val="126"/>
        </w:numPr>
        <w:rPr>
          <w:rFonts w:ascii="Arial" w:cs="Arial" w:eastAsia="Arial" w:hAnsi="Arial"/>
          <w:sz w:val="20"/>
          <w:szCs w:val="20"/>
          <w:color w:val="010000"/>
        </w:rPr>
      </w:pPr>
      <w:r>
        <w:rPr>
          <w:rFonts w:ascii="Arial" w:cs="Arial" w:eastAsia="Arial" w:hAnsi="Arial"/>
          <w:sz w:val="20"/>
          <w:szCs w:val="20"/>
          <w:u w:val="single" w:color="auto"/>
          <w:color w:val="auto"/>
        </w:rPr>
        <w:t>Voluntary Resignation; Termination for Cause</w:t>
      </w:r>
      <w:r>
        <w:rPr>
          <w:rFonts w:ascii="Arial" w:cs="Arial" w:eastAsia="Arial" w:hAnsi="Arial"/>
          <w:sz w:val="20"/>
          <w:szCs w:val="20"/>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91" w:lineRule="exact"/>
        <w:rPr>
          <w:rFonts w:ascii="Arial" w:cs="Arial" w:eastAsia="Arial" w:hAnsi="Arial"/>
          <w:sz w:val="20"/>
          <w:szCs w:val="20"/>
          <w:color w:val="010000"/>
        </w:rPr>
      </w:pPr>
    </w:p>
    <w:p>
      <w:pPr>
        <w:jc w:val="both"/>
        <w:ind w:left="-656" w:right="40" w:firstLine="1305"/>
        <w:spacing w:after="0" w:line="246" w:lineRule="auto"/>
        <w:tabs>
          <w:tab w:leader="none" w:pos="1051" w:val="left"/>
        </w:tabs>
        <w:numPr>
          <w:ilvl w:val="1"/>
          <w:numId w:val="126"/>
        </w:numPr>
        <w:rPr>
          <w:rFonts w:ascii="Arial" w:cs="Arial" w:eastAsia="Arial" w:hAnsi="Arial"/>
          <w:sz w:val="20"/>
          <w:szCs w:val="20"/>
          <w:color w:val="010000"/>
        </w:rPr>
      </w:pPr>
      <w:r>
        <w:rPr>
          <w:rFonts w:ascii="Arial" w:cs="Arial" w:eastAsia="Arial" w:hAnsi="Arial"/>
          <w:sz w:val="20"/>
          <w:szCs w:val="20"/>
          <w:u w:val="single" w:color="auto"/>
          <w:color w:val="auto"/>
        </w:rPr>
        <w:t>Disability; Death</w:t>
      </w:r>
      <w:r>
        <w:rPr>
          <w:rFonts w:ascii="Arial" w:cs="Arial" w:eastAsia="Arial" w:hAnsi="Arial"/>
          <w:sz w:val="20"/>
          <w:szCs w:val="20"/>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91" w:lineRule="exact"/>
        <w:rPr>
          <w:rFonts w:ascii="Arial" w:cs="Arial" w:eastAsia="Arial" w:hAnsi="Arial"/>
          <w:sz w:val="20"/>
          <w:szCs w:val="20"/>
          <w:color w:val="010000"/>
        </w:rPr>
      </w:pPr>
    </w:p>
    <w:p>
      <w:pPr>
        <w:ind w:left="-656" w:right="40" w:firstLine="1305"/>
        <w:spacing w:after="0" w:line="278" w:lineRule="auto"/>
        <w:tabs>
          <w:tab w:leader="none" w:pos="1040" w:val="left"/>
        </w:tabs>
        <w:numPr>
          <w:ilvl w:val="1"/>
          <w:numId w:val="126"/>
        </w:numPr>
        <w:rPr>
          <w:rFonts w:ascii="Arial" w:cs="Arial" w:eastAsia="Arial" w:hAnsi="Arial"/>
          <w:sz w:val="18"/>
          <w:szCs w:val="18"/>
          <w:color w:val="010000"/>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65" w:lineRule="exact"/>
        <w:rPr>
          <w:rFonts w:ascii="Arial" w:cs="Arial" w:eastAsia="Arial" w:hAnsi="Arial"/>
          <w:sz w:val="18"/>
          <w:szCs w:val="18"/>
          <w:color w:val="010000"/>
        </w:rPr>
      </w:pPr>
    </w:p>
    <w:p>
      <w:pPr>
        <w:ind w:left="324" w:hanging="324"/>
        <w:spacing w:after="0"/>
        <w:tabs>
          <w:tab w:leader="none" w:pos="324" w:val="left"/>
        </w:tabs>
        <w:numPr>
          <w:ilvl w:val="0"/>
          <w:numId w:val="127"/>
        </w:numPr>
        <w:rPr>
          <w:rFonts w:ascii="Arial" w:cs="Arial" w:eastAsia="Arial" w:hAnsi="Arial"/>
          <w:sz w:val="20"/>
          <w:szCs w:val="20"/>
          <w:color w:val="010000"/>
        </w:rPr>
      </w:pPr>
      <w:r>
        <w:rPr>
          <w:rFonts w:ascii="Arial" w:cs="Arial" w:eastAsia="Arial" w:hAnsi="Arial"/>
          <w:sz w:val="20"/>
          <w:szCs w:val="20"/>
          <w:u w:val="single" w:color="auto"/>
          <w:color w:val="auto"/>
        </w:rPr>
        <w:t>Conditions to Receipt of Severance</w:t>
      </w:r>
    </w:p>
    <w:p>
      <w:pPr>
        <w:spacing w:after="0" w:line="215" w:lineRule="exact"/>
        <w:rPr>
          <w:rFonts w:ascii="Arial" w:cs="Arial" w:eastAsia="Arial" w:hAnsi="Arial"/>
          <w:sz w:val="20"/>
          <w:szCs w:val="20"/>
          <w:color w:val="010000"/>
        </w:rPr>
      </w:pPr>
    </w:p>
    <w:p>
      <w:pPr>
        <w:ind w:left="-656" w:right="20" w:firstLine="1305"/>
        <w:spacing w:after="0" w:line="276" w:lineRule="auto"/>
        <w:tabs>
          <w:tab w:leader="none" w:pos="1040" w:val="left"/>
        </w:tabs>
        <w:numPr>
          <w:ilvl w:val="1"/>
          <w:numId w:val="127"/>
        </w:numPr>
        <w:rPr>
          <w:rFonts w:ascii="Arial" w:cs="Arial" w:eastAsia="Arial" w:hAnsi="Arial"/>
          <w:sz w:val="18"/>
          <w:szCs w:val="18"/>
          <w:color w:val="010000"/>
        </w:rPr>
      </w:pPr>
      <w:r>
        <w:rPr>
          <w:rFonts w:ascii="Arial" w:cs="Arial" w:eastAsia="Arial" w:hAnsi="Arial"/>
          <w:sz w:val="18"/>
          <w:szCs w:val="18"/>
          <w:color w:val="auto"/>
        </w:rPr>
        <w:t>Release of Claims Agreement.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Exhibit A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65" w:lineRule="exact"/>
        <w:rPr>
          <w:rFonts w:ascii="Arial" w:cs="Arial" w:eastAsia="Arial" w:hAnsi="Arial"/>
          <w:sz w:val="18"/>
          <w:szCs w:val="18"/>
          <w:color w:val="010000"/>
        </w:rPr>
      </w:pPr>
    </w:p>
    <w:p>
      <w:pPr>
        <w:jc w:val="both"/>
        <w:ind w:left="-656" w:firstLine="1305"/>
        <w:spacing w:after="0" w:line="246" w:lineRule="auto"/>
        <w:tabs>
          <w:tab w:leader="none" w:pos="1051" w:val="left"/>
        </w:tabs>
        <w:numPr>
          <w:ilvl w:val="1"/>
          <w:numId w:val="127"/>
        </w:numPr>
        <w:rPr>
          <w:rFonts w:ascii="Arial" w:cs="Arial" w:eastAsia="Arial" w:hAnsi="Arial"/>
          <w:sz w:val="20"/>
          <w:szCs w:val="20"/>
          <w:color w:val="010000"/>
        </w:rPr>
      </w:pPr>
      <w:r>
        <w:rPr>
          <w:rFonts w:ascii="Arial" w:cs="Arial" w:eastAsia="Arial" w:hAnsi="Arial"/>
          <w:sz w:val="20"/>
          <w:szCs w:val="20"/>
          <w:u w:val="single" w:color="auto"/>
          <w:color w:val="auto"/>
        </w:rPr>
        <w:t>Confidential Information and Invention Assignment Agreements</w:t>
      </w:r>
      <w:r>
        <w:rPr>
          <w:rFonts w:ascii="Arial" w:cs="Arial" w:eastAsia="Arial" w:hAnsi="Arial"/>
          <w:sz w:val="20"/>
          <w:szCs w:val="20"/>
          <w:color w:val="auto"/>
        </w:rPr>
        <w:t>. Executive’s receipt of any payments or benefits under Section 3 (other than the accrued benefits set forth in either Sections 3(a)(i) or 3(b)(i)) will be subject to Executive continuing to comply with the terms of the Confidentiality Agreement dated November 2, 2012, between the Company and Executive, as such agreement may be amended from time to time.</w:t>
      </w:r>
    </w:p>
    <w:p>
      <w:pPr>
        <w:spacing w:after="0" w:line="191" w:lineRule="exact"/>
        <w:rPr>
          <w:rFonts w:ascii="Arial" w:cs="Arial" w:eastAsia="Arial" w:hAnsi="Arial"/>
          <w:sz w:val="20"/>
          <w:szCs w:val="20"/>
          <w:color w:val="010000"/>
        </w:rPr>
      </w:pPr>
    </w:p>
    <w:p>
      <w:pPr>
        <w:ind w:left="1044" w:hanging="395"/>
        <w:spacing w:after="0"/>
        <w:tabs>
          <w:tab w:leader="none" w:pos="1044" w:val="left"/>
        </w:tabs>
        <w:numPr>
          <w:ilvl w:val="1"/>
          <w:numId w:val="127"/>
        </w:numPr>
        <w:rPr>
          <w:rFonts w:ascii="Arial" w:cs="Arial" w:eastAsia="Arial" w:hAnsi="Arial"/>
          <w:sz w:val="20"/>
          <w:szCs w:val="20"/>
          <w:color w:val="010000"/>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656" w:right="20" w:firstLine="1953"/>
        <w:spacing w:after="0" w:line="243" w:lineRule="auto"/>
        <w:tabs>
          <w:tab w:leader="none" w:pos="1655" w:val="left"/>
        </w:tabs>
        <w:numPr>
          <w:ilvl w:val="2"/>
          <w:numId w:val="127"/>
        </w:numPr>
        <w:rPr>
          <w:rFonts w:ascii="Arial" w:cs="Arial" w:eastAsia="Arial" w:hAnsi="Arial"/>
          <w:sz w:val="20"/>
          <w:szCs w:val="20"/>
          <w:color w:val="010000"/>
        </w:rPr>
      </w:pPr>
      <w:r>
        <w:rPr>
          <w:rFonts w:ascii="Arial" w:cs="Arial" w:eastAsia="Arial" w:hAnsi="Arial"/>
          <w:sz w:val="20"/>
          <w:szCs w:val="20"/>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(together, the “</w:t>
      </w:r>
      <w:r>
        <w:rPr>
          <w:rFonts w:ascii="Arial" w:cs="Arial" w:eastAsia="Arial" w:hAnsi="Arial"/>
          <w:sz w:val="20"/>
          <w:szCs w:val="20"/>
          <w:b w:val="1"/>
          <w:bCs w:val="1"/>
          <w:i w:val="1"/>
          <w:iCs w:val="1"/>
          <w:color w:val="auto"/>
        </w:rPr>
        <w:t>Deferred Payments</w:t>
      </w:r>
      <w:r>
        <w:rPr>
          <w:rFonts w:ascii="Arial" w:cs="Arial" w:eastAsia="Arial" w:hAnsi="Arial"/>
          <w:sz w:val="20"/>
          <w:szCs w:val="20"/>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200" w:lineRule="exact"/>
        <w:rPr>
          <w:sz w:val="20"/>
          <w:szCs w:val="20"/>
          <w:color w:val="auto"/>
        </w:rPr>
      </w:pPr>
    </w:p>
    <w:p>
      <w:pPr>
        <w:spacing w:after="0" w:line="236"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64"/>
          </w:cols>
          <w:pgMar w:left="896" w:top="595" w:right="239" w:bottom="1440" w:gutter="0" w:footer="0" w:header="0"/>
        </w:sectPr>
      </w:pPr>
    </w:p>
    <w:bookmarkStart w:id="115" w:name="page116"/>
    <w:bookmarkEnd w:id="115"/>
    <w:p>
      <w:pPr>
        <w:ind w:left="-656" w:firstLine="1953"/>
        <w:spacing w:after="0" w:line="239" w:lineRule="auto"/>
        <w:tabs>
          <w:tab w:leader="none" w:pos="1710" w:val="left"/>
        </w:tabs>
        <w:numPr>
          <w:ilvl w:val="2"/>
          <w:numId w:val="128"/>
        </w:numPr>
        <w:rPr>
          <w:rFonts w:ascii="Arial" w:cs="Arial" w:eastAsia="Arial" w:hAnsi="Arial"/>
          <w:sz w:val="19"/>
          <w:szCs w:val="19"/>
          <w:color w:val="010000"/>
        </w:rPr>
      </w:pPr>
      <w:r>
        <w:rPr>
          <w:rFonts w:ascii="Arial" w:cs="Arial" w:eastAsia="Arial" w:hAnsi="Arial"/>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Arial" w:cs="Arial" w:eastAsia="Arial" w:hAnsi="Arial"/>
          <w:sz w:val="19"/>
          <w:szCs w:val="19"/>
          <w:color w:val="343436"/>
        </w:rPr>
        <w:t>“short-term</w:t>
      </w:r>
      <w:r>
        <w:rPr>
          <w:rFonts w:ascii="Arial" w:cs="Arial" w:eastAsia="Arial" w:hAnsi="Arial"/>
          <w:sz w:val="19"/>
          <w:szCs w:val="19"/>
          <w:color w:val="auto"/>
        </w:rPr>
        <w:t xml:space="preserve">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Arial" w:cs="Arial" w:eastAsia="Arial" w:hAnsi="Arial"/>
          <w:sz w:val="24"/>
          <w:szCs w:val="24"/>
          <w:color w:val="auto"/>
          <w:vertAlign w:val="superscript"/>
        </w:rPr>
        <w:t>st</w:t>
      </w:r>
      <w:r>
        <w:rPr>
          <w:rFonts w:ascii="Arial" w:cs="Arial" w:eastAsia="Arial" w:hAnsi="Arial"/>
          <w:sz w:val="19"/>
          <w:szCs w:val="19"/>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24"/>
          <w:szCs w:val="24"/>
          <w:color w:val="auto"/>
          <w:vertAlign w:val="superscript"/>
        </w:rPr>
        <w:t>st</w:t>
      </w:r>
      <w:r>
        <w:rPr>
          <w:rFonts w:ascii="Arial" w:cs="Arial" w:eastAsia="Arial" w:hAnsi="Arial"/>
          <w:sz w:val="19"/>
          <w:szCs w:val="19"/>
          <w:color w:val="auto"/>
        </w:rPr>
        <w:t>) day following Executive’s separation from service and the remaining payments will be made as provided in this Agreement.</w:t>
      </w:r>
    </w:p>
    <w:p>
      <w:pPr>
        <w:spacing w:after="0" w:line="197" w:lineRule="exact"/>
        <w:rPr>
          <w:rFonts w:ascii="Arial" w:cs="Arial" w:eastAsia="Arial" w:hAnsi="Arial"/>
          <w:sz w:val="19"/>
          <w:szCs w:val="19"/>
          <w:color w:val="010000"/>
        </w:rPr>
      </w:pPr>
    </w:p>
    <w:p>
      <w:pPr>
        <w:ind w:left="-656" w:right="40" w:firstLine="1953"/>
        <w:spacing w:after="0" w:line="256" w:lineRule="auto"/>
        <w:tabs>
          <w:tab w:leader="none" w:pos="1765" w:val="left"/>
        </w:tabs>
        <w:numPr>
          <w:ilvl w:val="2"/>
          <w:numId w:val="128"/>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81" w:lineRule="exact"/>
        <w:rPr>
          <w:rFonts w:ascii="Arial" w:cs="Arial" w:eastAsia="Arial" w:hAnsi="Arial"/>
          <w:sz w:val="19"/>
          <w:szCs w:val="19"/>
          <w:color w:val="010000"/>
        </w:rPr>
      </w:pPr>
    </w:p>
    <w:p>
      <w:pPr>
        <w:ind w:left="-656" w:right="160" w:firstLine="1953"/>
        <w:spacing w:after="0" w:line="287" w:lineRule="auto"/>
        <w:tabs>
          <w:tab w:leader="none" w:pos="1754" w:val="left"/>
        </w:tabs>
        <w:numPr>
          <w:ilvl w:val="2"/>
          <w:numId w:val="128"/>
        </w:numPr>
        <w:rPr>
          <w:rFonts w:ascii="Arial" w:cs="Arial" w:eastAsia="Arial" w:hAnsi="Arial"/>
          <w:sz w:val="19"/>
          <w:szCs w:val="19"/>
          <w:color w:val="010000"/>
        </w:rPr>
      </w:pPr>
      <w:r>
        <w:rPr>
          <w:rFonts w:ascii="Arial" w:cs="Arial" w:eastAsia="Arial" w:hAnsi="Arial"/>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52" w:lineRule="exact"/>
        <w:rPr>
          <w:rFonts w:ascii="Arial" w:cs="Arial" w:eastAsia="Arial" w:hAnsi="Arial"/>
          <w:sz w:val="19"/>
          <w:szCs w:val="19"/>
          <w:color w:val="010000"/>
        </w:rPr>
      </w:pPr>
    </w:p>
    <w:p>
      <w:pPr>
        <w:ind w:left="-656" w:right="140" w:firstLine="1953"/>
        <w:spacing w:after="0" w:line="250" w:lineRule="auto"/>
        <w:tabs>
          <w:tab w:leader="none" w:pos="1699" w:val="left"/>
        </w:tabs>
        <w:numPr>
          <w:ilvl w:val="2"/>
          <w:numId w:val="128"/>
        </w:numPr>
        <w:rPr>
          <w:rFonts w:ascii="Arial" w:cs="Arial" w:eastAsia="Arial" w:hAnsi="Arial"/>
          <w:sz w:val="20"/>
          <w:szCs w:val="20"/>
          <w:color w:val="010000"/>
        </w:rPr>
      </w:pPr>
      <w:r>
        <w:rPr>
          <w:rFonts w:ascii="Arial" w:cs="Arial" w:eastAsia="Arial" w:hAnsi="Arial"/>
          <w:sz w:val="20"/>
          <w:szCs w:val="20"/>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6" w:lineRule="exact"/>
        <w:rPr>
          <w:rFonts w:ascii="Arial" w:cs="Arial" w:eastAsia="Arial" w:hAnsi="Arial"/>
          <w:sz w:val="20"/>
          <w:szCs w:val="20"/>
          <w:color w:val="010000"/>
        </w:rPr>
      </w:pPr>
    </w:p>
    <w:p>
      <w:pPr>
        <w:ind w:left="-656" w:right="40" w:firstLine="1953"/>
        <w:spacing w:after="0" w:line="260" w:lineRule="auto"/>
        <w:tabs>
          <w:tab w:leader="none" w:pos="1754" w:val="left"/>
        </w:tabs>
        <w:numPr>
          <w:ilvl w:val="2"/>
          <w:numId w:val="128"/>
        </w:numPr>
        <w:rPr>
          <w:rFonts w:ascii="Arial" w:cs="Arial" w:eastAsia="Arial" w:hAnsi="Arial"/>
          <w:sz w:val="19"/>
          <w:szCs w:val="19"/>
          <w:color w:val="010000"/>
        </w:rPr>
      </w:pPr>
      <w:r>
        <w:rPr>
          <w:rFonts w:ascii="Arial" w:cs="Arial" w:eastAsia="Arial" w:hAnsi="Arial"/>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0" w:lineRule="exact"/>
        <w:rPr>
          <w:rFonts w:ascii="Arial" w:cs="Arial" w:eastAsia="Arial" w:hAnsi="Arial"/>
          <w:sz w:val="19"/>
          <w:szCs w:val="19"/>
          <w:color w:val="010000"/>
        </w:rPr>
      </w:pPr>
    </w:p>
    <w:p>
      <w:pPr>
        <w:ind w:left="-656" w:right="20" w:firstLine="656"/>
        <w:spacing w:after="0" w:line="269" w:lineRule="auto"/>
        <w:tabs>
          <w:tab w:leader="none" w:pos="320" w:val="left"/>
        </w:tabs>
        <w:numPr>
          <w:ilvl w:val="0"/>
          <w:numId w:val="129"/>
        </w:numPr>
        <w:rPr>
          <w:rFonts w:ascii="Arial" w:cs="Arial" w:eastAsia="Arial" w:hAnsi="Arial"/>
          <w:sz w:val="19"/>
          <w:szCs w:val="19"/>
          <w:color w:val="010000"/>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70" w:lineRule="exact"/>
        <w:rPr>
          <w:rFonts w:ascii="Arial" w:cs="Arial" w:eastAsia="Arial" w:hAnsi="Arial"/>
          <w:sz w:val="19"/>
          <w:szCs w:val="19"/>
          <w:color w:val="010000"/>
        </w:rPr>
      </w:pPr>
    </w:p>
    <w:p>
      <w:pPr>
        <w:ind w:left="1044" w:hanging="395"/>
        <w:spacing w:after="0"/>
        <w:tabs>
          <w:tab w:leader="none" w:pos="1044" w:val="left"/>
        </w:tabs>
        <w:numPr>
          <w:ilvl w:val="1"/>
          <w:numId w:val="129"/>
        </w:numPr>
        <w:rPr>
          <w:rFonts w:ascii="Arial" w:cs="Arial" w:eastAsia="Arial" w:hAnsi="Arial"/>
          <w:sz w:val="20"/>
          <w:szCs w:val="20"/>
          <w:color w:val="010000"/>
        </w:rPr>
      </w:pPr>
      <w:r>
        <w:rPr>
          <w:rFonts w:ascii="Arial" w:cs="Arial" w:eastAsia="Arial" w:hAnsi="Arial"/>
          <w:sz w:val="20"/>
          <w:szCs w:val="20"/>
          <w:color w:val="auto"/>
        </w:rPr>
        <w:t>delivered in full, or</w:t>
      </w:r>
    </w:p>
    <w:p>
      <w:pPr>
        <w:spacing w:after="0" w:line="200" w:lineRule="exact"/>
        <w:rPr>
          <w:sz w:val="20"/>
          <w:szCs w:val="20"/>
          <w:color w:val="auto"/>
        </w:rPr>
      </w:pPr>
    </w:p>
    <w:p>
      <w:pPr>
        <w:spacing w:after="0" w:line="259"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44"/>
          </w:cols>
          <w:pgMar w:left="896" w:top="595" w:right="259" w:bottom="1440" w:gutter="0" w:footer="0" w:header="0"/>
        </w:sectPr>
      </w:pPr>
    </w:p>
    <w:bookmarkStart w:id="116" w:name="page117"/>
    <w:bookmarkEnd w:id="116"/>
    <w:p>
      <w:pPr>
        <w:ind w:right="460" w:firstLine="1305"/>
        <w:spacing w:after="0" w:line="260" w:lineRule="auto"/>
        <w:tabs>
          <w:tab w:leader="none" w:pos="1707" w:val="left"/>
        </w:tabs>
        <w:numPr>
          <w:ilvl w:val="0"/>
          <w:numId w:val="130"/>
        </w:numPr>
        <w:rPr>
          <w:rFonts w:ascii="Arial" w:cs="Arial" w:eastAsia="Arial" w:hAnsi="Arial"/>
          <w:sz w:val="20"/>
          <w:szCs w:val="20"/>
          <w:color w:val="010000"/>
        </w:rPr>
      </w:pPr>
      <w:r>
        <w:rPr>
          <w:rFonts w:ascii="Arial" w:cs="Arial" w:eastAsia="Arial" w:hAnsi="Arial"/>
          <w:sz w:val="20"/>
          <w:szCs w:val="20"/>
          <w:color w:val="auto"/>
        </w:rPr>
        <w:t>delivered as to such lesser extent which would result in no portion of such benefits being subject to excise tax under Section 4999 of the Code,</w:t>
      </w:r>
    </w:p>
    <w:p>
      <w:pPr>
        <w:spacing w:after="0" w:line="177"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color w:val="auto"/>
        </w:rPr>
        <w:t>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w:t>
      </w:r>
    </w:p>
    <w:p>
      <w:pPr>
        <w:spacing w:after="0" w:line="3" w:lineRule="exact"/>
        <w:rPr>
          <w:sz w:val="20"/>
          <w:szCs w:val="20"/>
          <w:color w:val="auto"/>
        </w:rPr>
      </w:pPr>
    </w:p>
    <w:p>
      <w:pPr>
        <w:ind w:right="40" w:firstLine="8"/>
        <w:spacing w:after="0" w:line="241" w:lineRule="auto"/>
        <w:tabs>
          <w:tab w:leader="none" w:pos="34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96"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69" w:lineRule="exact"/>
        <w:rPr>
          <w:sz w:val="20"/>
          <w:szCs w:val="20"/>
          <w:color w:val="auto"/>
        </w:rPr>
      </w:pPr>
    </w:p>
    <w:p>
      <w:pPr>
        <w:ind w:left="980" w:hanging="324"/>
        <w:spacing w:after="0"/>
        <w:tabs>
          <w:tab w:leader="none" w:pos="980" w:val="left"/>
        </w:tabs>
        <w:numPr>
          <w:ilvl w:val="0"/>
          <w:numId w:val="132"/>
        </w:numPr>
        <w:rPr>
          <w:rFonts w:ascii="Arial" w:cs="Arial" w:eastAsia="Arial" w:hAnsi="Arial"/>
          <w:sz w:val="20"/>
          <w:szCs w:val="20"/>
          <w:color w:val="010000"/>
        </w:rPr>
      </w:pPr>
      <w:r>
        <w:rPr>
          <w:rFonts w:ascii="Arial" w:cs="Arial" w:eastAsia="Arial" w:hAnsi="Arial"/>
          <w:sz w:val="20"/>
          <w:szCs w:val="20"/>
          <w:u w:val="single" w:color="auto"/>
          <w:color w:val="auto"/>
        </w:rPr>
        <w:t>Definition of Terms</w:t>
      </w:r>
      <w:r>
        <w:rPr>
          <w:rFonts w:ascii="Arial" w:cs="Arial" w:eastAsia="Arial" w:hAnsi="Arial"/>
          <w:sz w:val="20"/>
          <w:szCs w:val="20"/>
          <w:color w:val="auto"/>
        </w:rPr>
        <w:t>. The following terms referred to in this Agreement will have the following meanings:</w:t>
      </w:r>
    </w:p>
    <w:p>
      <w:pPr>
        <w:spacing w:after="0" w:line="215" w:lineRule="exact"/>
        <w:rPr>
          <w:rFonts w:ascii="Arial" w:cs="Arial" w:eastAsia="Arial" w:hAnsi="Arial"/>
          <w:sz w:val="20"/>
          <w:szCs w:val="20"/>
          <w:color w:val="010000"/>
        </w:rPr>
      </w:pPr>
    </w:p>
    <w:p>
      <w:pPr>
        <w:ind w:left="1700" w:hanging="395"/>
        <w:spacing w:after="0"/>
        <w:tabs>
          <w:tab w:leader="none" w:pos="1700" w:val="left"/>
        </w:tabs>
        <w:numPr>
          <w:ilvl w:val="1"/>
          <w:numId w:val="132"/>
        </w:numPr>
        <w:rPr>
          <w:rFonts w:ascii="Arial" w:cs="Arial" w:eastAsia="Arial" w:hAnsi="Arial"/>
          <w:sz w:val="20"/>
          <w:szCs w:val="20"/>
          <w:color w:val="010000"/>
        </w:rPr>
      </w:pPr>
      <w:r>
        <w:rPr>
          <w:rFonts w:ascii="Arial" w:cs="Arial" w:eastAsia="Arial" w:hAnsi="Arial"/>
          <w:sz w:val="20"/>
          <w:szCs w:val="20"/>
          <w:u w:val="single" w:color="auto"/>
          <w:color w:val="auto"/>
        </w:rPr>
        <w:t>Cause</w:t>
      </w:r>
      <w:r>
        <w:rPr>
          <w:rFonts w:ascii="Arial" w:cs="Arial" w:eastAsia="Arial" w:hAnsi="Arial"/>
          <w:sz w:val="20"/>
          <w:szCs w:val="20"/>
          <w:color w:val="auto"/>
        </w:rPr>
        <w:t>.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will mean:</w:t>
      </w:r>
    </w:p>
    <w:p>
      <w:pPr>
        <w:spacing w:after="0" w:line="215" w:lineRule="exact"/>
        <w:rPr>
          <w:rFonts w:ascii="Arial" w:cs="Arial" w:eastAsia="Arial" w:hAnsi="Arial"/>
          <w:sz w:val="20"/>
          <w:szCs w:val="20"/>
          <w:color w:val="010000"/>
        </w:rPr>
      </w:pPr>
    </w:p>
    <w:p>
      <w:pPr>
        <w:ind w:left="2320" w:hanging="367"/>
        <w:spacing w:after="0"/>
        <w:tabs>
          <w:tab w:leader="none" w:pos="2320" w:val="left"/>
        </w:tabs>
        <w:numPr>
          <w:ilvl w:val="2"/>
          <w:numId w:val="132"/>
        </w:numPr>
        <w:rPr>
          <w:rFonts w:ascii="Arial" w:cs="Arial" w:eastAsia="Arial" w:hAnsi="Arial"/>
          <w:sz w:val="18"/>
          <w:szCs w:val="18"/>
          <w:color w:val="010000"/>
        </w:rPr>
      </w:pPr>
      <w:r>
        <w:rPr>
          <w:rFonts w:ascii="Arial" w:cs="Arial" w:eastAsia="Arial" w:hAnsi="Arial"/>
          <w:sz w:val="18"/>
          <w:szCs w:val="18"/>
          <w:color w:val="auto"/>
        </w:rPr>
        <w:t>The willful or grossly negligent failure of the Executive to substantially perform his or her duties as an employee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of the Company;</w:t>
      </w:r>
    </w:p>
    <w:p>
      <w:pPr>
        <w:spacing w:after="0" w:line="199" w:lineRule="exact"/>
        <w:rPr>
          <w:rFonts w:ascii="Arial" w:cs="Arial" w:eastAsia="Arial" w:hAnsi="Arial"/>
          <w:sz w:val="18"/>
          <w:szCs w:val="18"/>
          <w:color w:val="010000"/>
        </w:rPr>
      </w:pPr>
    </w:p>
    <w:p>
      <w:pPr>
        <w:ind w:left="2380" w:hanging="427"/>
        <w:spacing w:after="0"/>
        <w:tabs>
          <w:tab w:leader="none" w:pos="2380" w:val="left"/>
        </w:tabs>
        <w:numPr>
          <w:ilvl w:val="2"/>
          <w:numId w:val="132"/>
        </w:numPr>
        <w:rPr>
          <w:rFonts w:ascii="Arial" w:cs="Arial" w:eastAsia="Arial" w:hAnsi="Arial"/>
          <w:sz w:val="20"/>
          <w:szCs w:val="20"/>
          <w:color w:val="010000"/>
        </w:rPr>
      </w:pPr>
      <w:r>
        <w:rPr>
          <w:rFonts w:ascii="Arial" w:cs="Arial" w:eastAsia="Arial" w:hAnsi="Arial"/>
          <w:sz w:val="20"/>
          <w:szCs w:val="20"/>
          <w:color w:val="auto"/>
        </w:rPr>
        <w:t>Executive’s commission of a gross misconduct which is injurious to the Company;</w:t>
      </w:r>
    </w:p>
    <w:p>
      <w:pPr>
        <w:spacing w:after="0" w:line="215" w:lineRule="exact"/>
        <w:rPr>
          <w:rFonts w:ascii="Arial" w:cs="Arial" w:eastAsia="Arial" w:hAnsi="Arial"/>
          <w:sz w:val="20"/>
          <w:szCs w:val="20"/>
          <w:color w:val="010000"/>
        </w:rPr>
      </w:pPr>
    </w:p>
    <w:p>
      <w:pPr>
        <w:ind w:left="2420" w:hanging="467"/>
        <w:spacing w:after="0"/>
        <w:tabs>
          <w:tab w:leader="none" w:pos="2420" w:val="left"/>
        </w:tabs>
        <w:numPr>
          <w:ilvl w:val="2"/>
          <w:numId w:val="132"/>
        </w:numPr>
        <w:rPr>
          <w:rFonts w:ascii="Arial" w:cs="Arial" w:eastAsia="Arial" w:hAnsi="Arial"/>
          <w:sz w:val="20"/>
          <w:szCs w:val="20"/>
          <w:color w:val="010000"/>
        </w:rPr>
      </w:pPr>
      <w:r>
        <w:rPr>
          <w:rFonts w:ascii="Arial" w:cs="Arial" w:eastAsia="Arial" w:hAnsi="Arial"/>
          <w:sz w:val="20"/>
          <w:szCs w:val="20"/>
          <w:color w:val="auto"/>
        </w:rPr>
        <w:t>Executive’s breach of a material provision of any agreement between Executive and the Company;</w:t>
      </w:r>
    </w:p>
    <w:p>
      <w:pPr>
        <w:spacing w:after="0" w:line="215" w:lineRule="exact"/>
        <w:rPr>
          <w:rFonts w:ascii="Arial" w:cs="Arial" w:eastAsia="Arial" w:hAnsi="Arial"/>
          <w:sz w:val="20"/>
          <w:szCs w:val="20"/>
          <w:color w:val="010000"/>
        </w:rPr>
      </w:pPr>
    </w:p>
    <w:p>
      <w:pPr>
        <w:ind w:left="2420" w:hanging="467"/>
        <w:spacing w:after="0"/>
        <w:tabs>
          <w:tab w:leader="none" w:pos="2420" w:val="left"/>
        </w:tabs>
        <w:numPr>
          <w:ilvl w:val="2"/>
          <w:numId w:val="132"/>
        </w:numPr>
        <w:rPr>
          <w:rFonts w:ascii="Arial" w:cs="Arial" w:eastAsia="Arial" w:hAnsi="Arial"/>
          <w:sz w:val="18"/>
          <w:szCs w:val="18"/>
          <w:color w:val="010000"/>
        </w:rPr>
      </w:pPr>
      <w:r>
        <w:rPr>
          <w:rFonts w:ascii="Arial" w:cs="Arial" w:eastAsia="Arial" w:hAnsi="Arial"/>
          <w:sz w:val="18"/>
          <w:szCs w:val="18"/>
          <w:color w:val="auto"/>
        </w:rPr>
        <w:t>Executive’s material and willful violation of a federal or state law or regulation applicable to the business of the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Company;</w:t>
      </w:r>
    </w:p>
    <w:p>
      <w:pPr>
        <w:spacing w:after="0" w:line="199" w:lineRule="exact"/>
        <w:rPr>
          <w:rFonts w:ascii="Arial" w:cs="Arial" w:eastAsia="Arial" w:hAnsi="Arial"/>
          <w:sz w:val="18"/>
          <w:szCs w:val="18"/>
          <w:color w:val="010000"/>
        </w:rPr>
      </w:pPr>
    </w:p>
    <w:p>
      <w:pPr>
        <w:ind w:left="2360" w:hanging="407"/>
        <w:spacing w:after="0"/>
        <w:tabs>
          <w:tab w:leader="none" w:pos="2360" w:val="left"/>
        </w:tabs>
        <w:numPr>
          <w:ilvl w:val="2"/>
          <w:numId w:val="132"/>
        </w:numPr>
        <w:rPr>
          <w:rFonts w:ascii="Arial" w:cs="Arial" w:eastAsia="Arial" w:hAnsi="Arial"/>
          <w:sz w:val="18"/>
          <w:szCs w:val="18"/>
          <w:color w:val="010000"/>
        </w:rPr>
      </w:pPr>
      <w:r>
        <w:rPr>
          <w:rFonts w:ascii="Arial" w:cs="Arial" w:eastAsia="Arial" w:hAnsi="Arial"/>
          <w:sz w:val="18"/>
          <w:szCs w:val="18"/>
          <w:color w:val="auto"/>
        </w:rPr>
        <w:t>Executive’s misappropriation or embezzlement of Company funds or Executive’s act of fraud or dishonesty upon</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the Company; or</w:t>
      </w:r>
    </w:p>
    <w:p>
      <w:pPr>
        <w:spacing w:after="0" w:line="199" w:lineRule="exact"/>
        <w:rPr>
          <w:rFonts w:ascii="Arial" w:cs="Arial" w:eastAsia="Arial" w:hAnsi="Arial"/>
          <w:sz w:val="18"/>
          <w:szCs w:val="18"/>
          <w:color w:val="010000"/>
        </w:rPr>
      </w:pPr>
    </w:p>
    <w:p>
      <w:pPr>
        <w:ind w:right="40" w:firstLine="1953"/>
        <w:spacing w:after="0" w:line="260" w:lineRule="auto"/>
        <w:tabs>
          <w:tab w:leader="none" w:pos="2411" w:val="left"/>
        </w:tabs>
        <w:numPr>
          <w:ilvl w:val="2"/>
          <w:numId w:val="132"/>
        </w:numPr>
        <w:rPr>
          <w:rFonts w:ascii="Arial" w:cs="Arial" w:eastAsia="Arial" w:hAnsi="Arial"/>
          <w:sz w:val="20"/>
          <w:szCs w:val="20"/>
          <w:color w:val="010000"/>
        </w:rPr>
      </w:pPr>
      <w:r>
        <w:rPr>
          <w:rFonts w:ascii="Arial" w:cs="Arial" w:eastAsia="Arial" w:hAnsi="Arial"/>
          <w:sz w:val="20"/>
          <w:szCs w:val="20"/>
          <w:color w:val="auto"/>
        </w:rPr>
        <w:t>Executive’s conviction of, or plea of nolo contendere, to a felony (other than motor vehicle offenses the effect of which do not materially impair Executive’s performance of Executive’s duties for the Company).</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60"/>
          </w:cols>
          <w:pgMar w:left="240" w:top="595" w:right="299" w:bottom="1440" w:gutter="0" w:footer="0" w:header="0"/>
        </w:sectPr>
      </w:pPr>
    </w:p>
    <w:bookmarkStart w:id="117" w:name="page118"/>
    <w:bookmarkEnd w:id="117"/>
    <w:p>
      <w:pPr>
        <w:ind w:right="360"/>
        <w:spacing w:after="0" w:line="269" w:lineRule="auto"/>
        <w:rPr>
          <w:sz w:val="20"/>
          <w:szCs w:val="20"/>
          <w:color w:val="auto"/>
        </w:rPr>
      </w:pPr>
      <w:r>
        <w:rPr>
          <w:rFonts w:ascii="Arial" w:cs="Arial" w:eastAsia="Arial" w:hAnsi="Arial"/>
          <w:sz w:val="19"/>
          <w:szCs w:val="19"/>
          <w:color w:val="auto"/>
        </w:rPr>
        <w:t>The Company will not terminate Executive’s employment for Cause without first providing Executive with written notice specifically identifying the acts or omissions constituting the grounds for a Cause termination and, with respect to clauses (i), (iii) and (iv), a reasonable opportunity to cure (to the extent curable) for a period of not less than ten (10) business days following such notice.</w:t>
      </w:r>
    </w:p>
    <w:p>
      <w:pPr>
        <w:spacing w:after="0" w:line="170"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20" w:hanging="415"/>
        <w:spacing w:after="0"/>
        <w:tabs>
          <w:tab w:leader="none" w:pos="1720" w:val="left"/>
        </w:tabs>
        <w:numPr>
          <w:ilvl w:val="0"/>
          <w:numId w:val="133"/>
        </w:numPr>
        <w:rPr>
          <w:rFonts w:ascii="Arial" w:cs="Arial" w:eastAsia="Arial" w:hAnsi="Arial"/>
          <w:sz w:val="20"/>
          <w:szCs w:val="20"/>
          <w:color w:val="010000"/>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w:t>
      </w: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 means the occurrence of any of the following events:</w:t>
      </w:r>
    </w:p>
    <w:p>
      <w:pPr>
        <w:spacing w:after="0" w:line="215" w:lineRule="exact"/>
        <w:rPr>
          <w:rFonts w:ascii="Arial" w:cs="Arial" w:eastAsia="Arial" w:hAnsi="Arial"/>
          <w:sz w:val="20"/>
          <w:szCs w:val="20"/>
          <w:color w:val="010000"/>
        </w:rPr>
      </w:pPr>
    </w:p>
    <w:p>
      <w:pPr>
        <w:ind w:right="20" w:firstLine="1953"/>
        <w:spacing w:after="0" w:line="260" w:lineRule="auto"/>
        <w:tabs>
          <w:tab w:leader="none" w:pos="2312" w:val="left"/>
        </w:tabs>
        <w:numPr>
          <w:ilvl w:val="1"/>
          <w:numId w:val="133"/>
        </w:numPr>
        <w:rPr>
          <w:rFonts w:ascii="Arial" w:cs="Arial" w:eastAsia="Arial" w:hAnsi="Arial"/>
          <w:sz w:val="19"/>
          <w:szCs w:val="19"/>
          <w:color w:val="010000"/>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0" w:lineRule="exact"/>
        <w:rPr>
          <w:rFonts w:ascii="Arial" w:cs="Arial" w:eastAsia="Arial" w:hAnsi="Arial"/>
          <w:sz w:val="19"/>
          <w:szCs w:val="19"/>
          <w:color w:val="010000"/>
        </w:rPr>
      </w:pPr>
    </w:p>
    <w:p>
      <w:pPr>
        <w:ind w:right="160" w:firstLine="1953"/>
        <w:spacing w:after="0" w:line="244" w:lineRule="auto"/>
        <w:tabs>
          <w:tab w:leader="none" w:pos="2366" w:val="left"/>
        </w:tabs>
        <w:numPr>
          <w:ilvl w:val="1"/>
          <w:numId w:val="133"/>
        </w:numPr>
        <w:rPr>
          <w:rFonts w:ascii="Arial" w:cs="Arial" w:eastAsia="Arial" w:hAnsi="Arial"/>
          <w:sz w:val="20"/>
          <w:szCs w:val="20"/>
          <w:color w:val="010000"/>
        </w:rPr>
      </w:pPr>
      <w:r>
        <w:rPr>
          <w:rFonts w:ascii="Arial" w:cs="Arial" w:eastAsia="Arial" w:hAnsi="Arial"/>
          <w:sz w:val="20"/>
          <w:szCs w:val="20"/>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94" w:lineRule="exact"/>
        <w:rPr>
          <w:rFonts w:ascii="Arial" w:cs="Arial" w:eastAsia="Arial" w:hAnsi="Arial"/>
          <w:sz w:val="20"/>
          <w:szCs w:val="20"/>
          <w:color w:val="010000"/>
        </w:rPr>
      </w:pPr>
    </w:p>
    <w:p>
      <w:pPr>
        <w:ind w:firstLine="1953"/>
        <w:spacing w:after="0" w:line="270" w:lineRule="auto"/>
        <w:tabs>
          <w:tab w:leader="none" w:pos="2421" w:val="left"/>
        </w:tabs>
        <w:numPr>
          <w:ilvl w:val="1"/>
          <w:numId w:val="133"/>
        </w:numPr>
        <w:rPr>
          <w:rFonts w:ascii="Arial" w:cs="Arial" w:eastAsia="Arial" w:hAnsi="Arial"/>
          <w:sz w:val="18"/>
          <w:szCs w:val="18"/>
          <w:color w:val="010000"/>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5" w:right="239" w:bottom="1440" w:gutter="0" w:footer="0" w:header="0"/>
        </w:sectPr>
      </w:pPr>
    </w:p>
    <w:bookmarkStart w:id="118" w:name="page119"/>
    <w:bookmarkEnd w:id="118"/>
    <w:p>
      <w:pPr>
        <w:ind w:right="160" w:firstLine="648"/>
        <w:spacing w:after="0" w:line="260" w:lineRule="auto"/>
        <w:rPr>
          <w:sz w:val="20"/>
          <w:szCs w:val="20"/>
          <w:color w:val="auto"/>
        </w:rPr>
      </w:pPr>
      <w:r>
        <w:rPr>
          <w:rFonts w:ascii="Arial" w:cs="Arial" w:eastAsia="Arial" w:hAnsi="Arial"/>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18"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6" w:lineRule="exact"/>
        <w:rPr>
          <w:sz w:val="20"/>
          <w:szCs w:val="20"/>
          <w:color w:val="auto"/>
        </w:rPr>
      </w:pPr>
    </w:p>
    <w:p>
      <w:pPr>
        <w:ind w:right="440" w:firstLine="1305"/>
        <w:spacing w:after="0" w:line="260" w:lineRule="auto"/>
        <w:tabs>
          <w:tab w:leader="none" w:pos="1696" w:val="left"/>
        </w:tabs>
        <w:numPr>
          <w:ilvl w:val="0"/>
          <w:numId w:val="134"/>
        </w:numPr>
        <w:rPr>
          <w:rFonts w:ascii="Arial" w:cs="Arial" w:eastAsia="Arial" w:hAnsi="Arial"/>
          <w:sz w:val="20"/>
          <w:szCs w:val="20"/>
          <w:color w:val="010000"/>
        </w:rPr>
      </w:pPr>
      <w:r>
        <w:rPr>
          <w:rFonts w:ascii="Arial" w:cs="Arial" w:eastAsia="Arial" w:hAnsi="Arial"/>
          <w:sz w:val="20"/>
          <w:szCs w:val="20"/>
          <w:u w:val="single" w:color="auto"/>
          <w:color w:val="auto"/>
        </w:rPr>
        <w:t>Change of Control Period</w:t>
      </w:r>
      <w:r>
        <w:rPr>
          <w:rFonts w:ascii="Arial" w:cs="Arial" w:eastAsia="Arial" w:hAnsi="Arial"/>
          <w:sz w:val="20"/>
          <w:szCs w:val="20"/>
          <w:color w:val="auto"/>
        </w:rPr>
        <w:t>. “</w:t>
      </w:r>
      <w:r>
        <w:rPr>
          <w:rFonts w:ascii="Arial" w:cs="Arial" w:eastAsia="Arial" w:hAnsi="Arial"/>
          <w:sz w:val="20"/>
          <w:szCs w:val="20"/>
          <w:b w:val="1"/>
          <w:bCs w:val="1"/>
          <w:i w:val="1"/>
          <w:iCs w:val="1"/>
          <w:color w:val="auto"/>
        </w:rPr>
        <w:t>Change of Control Period</w:t>
      </w:r>
      <w:r>
        <w:rPr>
          <w:rFonts w:ascii="Arial" w:cs="Arial" w:eastAsia="Arial" w:hAnsi="Arial"/>
          <w:sz w:val="20"/>
          <w:szCs w:val="20"/>
          <w:color w:val="auto"/>
        </w:rPr>
        <w:t>’’ will mean the period beginning two (2) months prior to, and ending twelve (12) months following, a Change of Control.</w:t>
      </w:r>
    </w:p>
    <w:p>
      <w:pPr>
        <w:spacing w:after="0" w:line="176" w:lineRule="exact"/>
        <w:rPr>
          <w:rFonts w:ascii="Arial" w:cs="Arial" w:eastAsia="Arial" w:hAnsi="Arial"/>
          <w:sz w:val="20"/>
          <w:szCs w:val="20"/>
          <w:color w:val="010000"/>
        </w:rPr>
      </w:pPr>
    </w:p>
    <w:p>
      <w:pPr>
        <w:ind w:left="1760" w:hanging="455"/>
        <w:spacing w:after="0"/>
        <w:tabs>
          <w:tab w:leader="none" w:pos="1760" w:val="left"/>
        </w:tabs>
        <w:numPr>
          <w:ilvl w:val="0"/>
          <w:numId w:val="134"/>
        </w:numPr>
        <w:rPr>
          <w:rFonts w:ascii="Arial" w:cs="Arial" w:eastAsia="Arial" w:hAnsi="Arial"/>
          <w:sz w:val="20"/>
          <w:szCs w:val="20"/>
          <w:color w:val="010000"/>
        </w:rPr>
      </w:pPr>
      <w:r>
        <w:rPr>
          <w:rFonts w:ascii="Arial" w:cs="Arial" w:eastAsia="Arial" w:hAnsi="Arial"/>
          <w:sz w:val="20"/>
          <w:szCs w:val="20"/>
          <w:u w:val="single" w:color="auto"/>
          <w:color w:val="auto"/>
        </w:rPr>
        <w:t>Code</w:t>
      </w:r>
      <w:r>
        <w:rPr>
          <w:rFonts w:ascii="Arial" w:cs="Arial" w:eastAsia="Arial" w:hAnsi="Arial"/>
          <w:sz w:val="20"/>
          <w:szCs w:val="20"/>
          <w:color w:val="auto"/>
        </w:rPr>
        <w:t>.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will mean the Internal Revenue Code of 1986, as amended.</w:t>
      </w:r>
    </w:p>
    <w:p>
      <w:pPr>
        <w:spacing w:after="0" w:line="215" w:lineRule="exact"/>
        <w:rPr>
          <w:rFonts w:ascii="Arial" w:cs="Arial" w:eastAsia="Arial" w:hAnsi="Arial"/>
          <w:sz w:val="20"/>
          <w:szCs w:val="20"/>
          <w:color w:val="010000"/>
        </w:rPr>
      </w:pPr>
    </w:p>
    <w:p>
      <w:pPr>
        <w:ind w:firstLine="1305"/>
        <w:spacing w:after="0" w:line="258" w:lineRule="auto"/>
        <w:tabs>
          <w:tab w:leader="none" w:pos="1696" w:val="left"/>
        </w:tabs>
        <w:numPr>
          <w:ilvl w:val="0"/>
          <w:numId w:val="134"/>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79" w:lineRule="exact"/>
        <w:rPr>
          <w:rFonts w:ascii="Arial" w:cs="Arial" w:eastAsia="Arial" w:hAnsi="Arial"/>
          <w:sz w:val="19"/>
          <w:szCs w:val="19"/>
          <w:color w:val="010000"/>
        </w:rPr>
      </w:pPr>
    </w:p>
    <w:p>
      <w:pPr>
        <w:ind w:right="320" w:firstLine="1305"/>
        <w:spacing w:after="0" w:line="287" w:lineRule="auto"/>
        <w:tabs>
          <w:tab w:leader="none" w:pos="1674" w:val="left"/>
        </w:tabs>
        <w:numPr>
          <w:ilvl w:val="0"/>
          <w:numId w:val="134"/>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will mean Executive’s outstanding stock options, stock appreciation rights, restricted stock units, performance shares, performance stock units and any other Company equity compensation awards.</w:t>
      </w:r>
    </w:p>
    <w:p>
      <w:pPr>
        <w:spacing w:after="0" w:line="152" w:lineRule="exact"/>
        <w:rPr>
          <w:rFonts w:ascii="Arial" w:cs="Arial" w:eastAsia="Arial" w:hAnsi="Arial"/>
          <w:sz w:val="19"/>
          <w:szCs w:val="19"/>
          <w:color w:val="010000"/>
        </w:rPr>
      </w:pPr>
    </w:p>
    <w:p>
      <w:pPr>
        <w:ind w:right="80" w:firstLine="1305"/>
        <w:spacing w:after="0" w:line="316" w:lineRule="auto"/>
        <w:tabs>
          <w:tab w:leader="none" w:pos="1707" w:val="left"/>
        </w:tabs>
        <w:numPr>
          <w:ilvl w:val="0"/>
          <w:numId w:val="134"/>
        </w:numPr>
        <w:rPr>
          <w:rFonts w:ascii="Arial" w:cs="Arial" w:eastAsia="Arial" w:hAnsi="Arial"/>
          <w:sz w:val="18"/>
          <w:szCs w:val="18"/>
          <w:color w:val="010000"/>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30" w:lineRule="exact"/>
        <w:rPr>
          <w:rFonts w:ascii="Arial" w:cs="Arial" w:eastAsia="Arial" w:hAnsi="Arial"/>
          <w:sz w:val="18"/>
          <w:szCs w:val="18"/>
          <w:color w:val="010000"/>
        </w:rPr>
      </w:pPr>
    </w:p>
    <w:p>
      <w:pPr>
        <w:ind w:right="140" w:firstLine="1953"/>
        <w:spacing w:after="0" w:line="260" w:lineRule="auto"/>
        <w:tabs>
          <w:tab w:leader="none" w:pos="2295" w:val="left"/>
        </w:tabs>
        <w:numPr>
          <w:ilvl w:val="1"/>
          <w:numId w:val="134"/>
        </w:numPr>
        <w:rPr>
          <w:rFonts w:ascii="Arial" w:cs="Arial" w:eastAsia="Arial" w:hAnsi="Arial"/>
          <w:sz w:val="18"/>
          <w:szCs w:val="18"/>
          <w:color w:val="auto"/>
        </w:rPr>
      </w:pPr>
      <w:r>
        <w:rPr>
          <w:rFonts w:ascii="Arial" w:cs="Arial" w:eastAsia="Arial" w:hAnsi="Arial"/>
          <w:sz w:val="20"/>
          <w:szCs w:val="20"/>
          <w:color w:val="auto"/>
        </w:rPr>
        <w:t>a material reduction of Executive’s authorities, duties or responsibilities relative to Executive’s authorities, duties or responsibilities in effect immediately prior to such reduction;</w:t>
      </w:r>
    </w:p>
    <w:p>
      <w:pPr>
        <w:spacing w:after="0" w:line="176" w:lineRule="exact"/>
        <w:rPr>
          <w:rFonts w:ascii="Arial" w:cs="Arial" w:eastAsia="Arial" w:hAnsi="Arial"/>
          <w:sz w:val="18"/>
          <w:szCs w:val="18"/>
          <w:color w:val="auto"/>
        </w:rPr>
      </w:pPr>
    </w:p>
    <w:p>
      <w:pPr>
        <w:ind w:right="140" w:firstLine="1953"/>
        <w:spacing w:after="0" w:line="386" w:lineRule="auto"/>
        <w:tabs>
          <w:tab w:leader="none" w:pos="2345" w:val="left"/>
        </w:tabs>
        <w:numPr>
          <w:ilvl w:val="1"/>
          <w:numId w:val="134"/>
        </w:numPr>
        <w:rPr>
          <w:rFonts w:ascii="Arial" w:cs="Arial" w:eastAsia="Arial" w:hAnsi="Arial"/>
          <w:sz w:val="15"/>
          <w:szCs w:val="15"/>
          <w:color w:val="auto"/>
        </w:rPr>
      </w:pPr>
      <w:r>
        <w:rPr>
          <w:rFonts w:ascii="Arial" w:cs="Arial" w:eastAsia="Arial" w:hAnsi="Arial"/>
          <w:sz w:val="16"/>
          <w:szCs w:val="16"/>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83" w:lineRule="exact"/>
        <w:rPr>
          <w:rFonts w:ascii="Arial" w:cs="Arial" w:eastAsia="Arial" w:hAnsi="Arial"/>
          <w:sz w:val="15"/>
          <w:szCs w:val="15"/>
          <w:color w:val="auto"/>
        </w:rPr>
      </w:pPr>
    </w:p>
    <w:p>
      <w:pPr>
        <w:ind w:left="2400" w:hanging="447"/>
        <w:spacing w:after="0"/>
        <w:tabs>
          <w:tab w:leader="none" w:pos="2400" w:val="left"/>
        </w:tabs>
        <w:numPr>
          <w:ilvl w:val="1"/>
          <w:numId w:val="134"/>
        </w:numPr>
        <w:rPr>
          <w:rFonts w:ascii="Arial" w:cs="Arial" w:eastAsia="Arial" w:hAnsi="Arial"/>
          <w:sz w:val="16"/>
          <w:szCs w:val="16"/>
          <w:color w:val="auto"/>
        </w:rPr>
      </w:pPr>
      <w:r>
        <w:rPr>
          <w:rFonts w:ascii="Arial" w:cs="Arial" w:eastAsia="Arial" w:hAnsi="Arial"/>
          <w:sz w:val="18"/>
          <w:szCs w:val="18"/>
          <w:color w:val="auto"/>
        </w:rPr>
        <w:t>the relocation of Executive’s principal place of performing his or her duties as an employee of the Company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more than fifty (50) miles; or</w:t>
      </w:r>
    </w:p>
    <w:p>
      <w:pPr>
        <w:spacing w:after="0" w:line="199" w:lineRule="exact"/>
        <w:rPr>
          <w:rFonts w:ascii="Arial" w:cs="Arial" w:eastAsia="Arial" w:hAnsi="Arial"/>
          <w:sz w:val="16"/>
          <w:szCs w:val="16"/>
          <w:color w:val="auto"/>
        </w:rPr>
      </w:pPr>
    </w:p>
    <w:p>
      <w:pPr>
        <w:ind w:left="2400" w:hanging="447"/>
        <w:spacing w:after="0"/>
        <w:tabs>
          <w:tab w:leader="none" w:pos="2400" w:val="left"/>
        </w:tabs>
        <w:numPr>
          <w:ilvl w:val="1"/>
          <w:numId w:val="134"/>
        </w:numPr>
        <w:rPr>
          <w:rFonts w:ascii="Arial" w:cs="Arial" w:eastAsia="Arial" w:hAnsi="Arial"/>
          <w:sz w:val="18"/>
          <w:szCs w:val="18"/>
          <w:color w:val="auto"/>
        </w:rPr>
      </w:pPr>
      <w:r>
        <w:rPr>
          <w:rFonts w:ascii="Arial" w:cs="Arial" w:eastAsia="Arial" w:hAnsi="Arial"/>
          <w:sz w:val="20"/>
          <w:szCs w:val="20"/>
          <w:color w:val="auto"/>
        </w:rPr>
        <w:t>a successor of the Company as set forth in Section 7(a) hereof does not assume this Agreement.</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595" w:right="259" w:bottom="1440" w:gutter="0" w:footer="0" w:header="0"/>
        </w:sectPr>
      </w:pPr>
    </w:p>
    <w:bookmarkStart w:id="119" w:name="page120"/>
    <w:bookmarkEnd w:id="119"/>
    <w:p>
      <w:pPr>
        <w:ind w:right="420"/>
        <w:spacing w:after="0" w:line="342" w:lineRule="auto"/>
        <w:rPr>
          <w:sz w:val="20"/>
          <w:szCs w:val="20"/>
          <w:color w:val="auto"/>
        </w:rPr>
      </w:pPr>
      <w:r>
        <w:rPr>
          <w:rFonts w:ascii="Arial" w:cs="Arial" w:eastAsia="Arial" w:hAnsi="Arial"/>
          <w:sz w:val="16"/>
          <w:szCs w:val="16"/>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11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For purposes of the “Good Reason” definition, the term “Company” will be interpreted to include any subsidiary, parent, affiliate or successor thereto, if applicable.</w:t>
      </w:r>
    </w:p>
    <w:p>
      <w:pPr>
        <w:spacing w:after="0" w:line="177" w:lineRule="exact"/>
        <w:rPr>
          <w:sz w:val="20"/>
          <w:szCs w:val="20"/>
          <w:color w:val="auto"/>
        </w:rPr>
      </w:pPr>
    </w:p>
    <w:p>
      <w:pPr>
        <w:ind w:firstLine="1305"/>
        <w:spacing w:after="0" w:line="278" w:lineRule="auto"/>
        <w:tabs>
          <w:tab w:leader="none" w:pos="1707" w:val="left"/>
        </w:tabs>
        <w:numPr>
          <w:ilvl w:val="2"/>
          <w:numId w:val="135"/>
        </w:numPr>
        <w:rPr>
          <w:rFonts w:ascii="Arial" w:cs="Arial" w:eastAsia="Arial" w:hAnsi="Arial"/>
          <w:sz w:val="18"/>
          <w:szCs w:val="18"/>
          <w:color w:val="010000"/>
        </w:rPr>
      </w:pPr>
      <w:r>
        <w:rPr>
          <w:rFonts w:ascii="Arial" w:cs="Arial" w:eastAsia="Arial" w:hAnsi="Arial"/>
          <w:sz w:val="18"/>
          <w:szCs w:val="18"/>
          <w:u w:val="single" w:color="auto"/>
          <w:color w:val="auto"/>
        </w:rPr>
        <w:t>Section 409A Limit</w:t>
      </w:r>
      <w:r>
        <w:rPr>
          <w:rFonts w:ascii="Arial" w:cs="Arial" w:eastAsia="Arial" w:hAnsi="Arial"/>
          <w:sz w:val="18"/>
          <w:szCs w:val="18"/>
          <w:color w:val="auto"/>
        </w:rPr>
        <w:t>. “</w:t>
      </w:r>
      <w:r>
        <w:rPr>
          <w:rFonts w:ascii="Arial" w:cs="Arial" w:eastAsia="Arial" w:hAnsi="Arial"/>
          <w:sz w:val="18"/>
          <w:szCs w:val="18"/>
          <w:b w:val="1"/>
          <w:bCs w:val="1"/>
          <w:i w:val="1"/>
          <w:iCs w:val="1"/>
          <w:color w:val="auto"/>
        </w:rPr>
        <w:t>Section 409A Limit”</w:t>
      </w:r>
      <w:r>
        <w:rPr>
          <w:rFonts w:ascii="Arial" w:cs="Arial" w:eastAsia="Arial" w:hAnsi="Arial"/>
          <w:sz w:val="18"/>
          <w:szCs w:val="18"/>
          <w:color w:val="auto"/>
        </w:rPr>
        <w:t xml:space="preserve"> will mean two (2) times the lesser of: (i)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65" w:lineRule="exact"/>
        <w:rPr>
          <w:rFonts w:ascii="Arial" w:cs="Arial" w:eastAsia="Arial" w:hAnsi="Arial"/>
          <w:sz w:val="18"/>
          <w:szCs w:val="18"/>
          <w:color w:val="010000"/>
        </w:rPr>
      </w:pPr>
    </w:p>
    <w:p>
      <w:pPr>
        <w:ind w:left="980" w:hanging="324"/>
        <w:spacing w:after="0"/>
        <w:tabs>
          <w:tab w:leader="none" w:pos="980" w:val="left"/>
        </w:tabs>
        <w:numPr>
          <w:ilvl w:val="1"/>
          <w:numId w:val="136"/>
        </w:numPr>
        <w:rPr>
          <w:rFonts w:ascii="Arial" w:cs="Arial" w:eastAsia="Arial" w:hAnsi="Arial"/>
          <w:sz w:val="20"/>
          <w:szCs w:val="20"/>
          <w:color w:val="010000"/>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right="40" w:firstLine="1305"/>
        <w:spacing w:after="0" w:line="259" w:lineRule="auto"/>
        <w:tabs>
          <w:tab w:leader="none" w:pos="1696" w:val="left"/>
        </w:tabs>
        <w:numPr>
          <w:ilvl w:val="2"/>
          <w:numId w:val="136"/>
        </w:numPr>
        <w:rPr>
          <w:rFonts w:ascii="Arial" w:cs="Arial" w:eastAsia="Arial" w:hAnsi="Arial"/>
          <w:sz w:val="19"/>
          <w:szCs w:val="19"/>
          <w:color w:val="010000"/>
        </w:rPr>
      </w:pPr>
      <w:r>
        <w:rPr>
          <w:rFonts w:ascii="Arial" w:cs="Arial" w:eastAsia="Arial" w:hAnsi="Arial"/>
          <w:sz w:val="19"/>
          <w:szCs w:val="19"/>
          <w:u w:val="single" w:color="auto"/>
          <w:color w:val="auto"/>
        </w:rPr>
        <w:t>The Company’s Successors</w:t>
      </w:r>
      <w:r>
        <w:rPr>
          <w:rFonts w:ascii="Arial" w:cs="Arial" w:eastAsia="Arial" w:hAnsi="Arial"/>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78" w:lineRule="exact"/>
        <w:rPr>
          <w:rFonts w:ascii="Arial" w:cs="Arial" w:eastAsia="Arial" w:hAnsi="Arial"/>
          <w:sz w:val="19"/>
          <w:szCs w:val="19"/>
          <w:color w:val="010000"/>
        </w:rPr>
      </w:pPr>
    </w:p>
    <w:p>
      <w:pPr>
        <w:jc w:val="both"/>
        <w:ind w:firstLine="1305"/>
        <w:spacing w:after="0" w:line="386" w:lineRule="auto"/>
        <w:tabs>
          <w:tab w:leader="none" w:pos="1707" w:val="left"/>
        </w:tabs>
        <w:numPr>
          <w:ilvl w:val="2"/>
          <w:numId w:val="136"/>
        </w:numPr>
        <w:rPr>
          <w:rFonts w:ascii="Arial" w:cs="Arial" w:eastAsia="Arial" w:hAnsi="Arial"/>
          <w:sz w:val="16"/>
          <w:szCs w:val="16"/>
          <w:color w:val="010000"/>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83" w:lineRule="exact"/>
        <w:rPr>
          <w:rFonts w:ascii="Arial" w:cs="Arial" w:eastAsia="Arial" w:hAnsi="Arial"/>
          <w:sz w:val="16"/>
          <w:szCs w:val="16"/>
          <w:color w:val="010000"/>
        </w:rPr>
      </w:pPr>
    </w:p>
    <w:p>
      <w:pPr>
        <w:ind w:left="980" w:hanging="324"/>
        <w:spacing w:after="0"/>
        <w:tabs>
          <w:tab w:leader="none" w:pos="980" w:val="left"/>
        </w:tabs>
        <w:numPr>
          <w:ilvl w:val="1"/>
          <w:numId w:val="136"/>
        </w:numPr>
        <w:rPr>
          <w:rFonts w:ascii="Arial" w:cs="Arial" w:eastAsia="Arial" w:hAnsi="Arial"/>
          <w:sz w:val="20"/>
          <w:szCs w:val="20"/>
          <w:color w:val="010000"/>
        </w:rPr>
      </w:pPr>
      <w:r>
        <w:rPr>
          <w:rFonts w:ascii="Arial" w:cs="Arial" w:eastAsia="Arial" w:hAnsi="Arial"/>
          <w:sz w:val="20"/>
          <w:szCs w:val="20"/>
          <w:u w:val="single" w:color="auto"/>
          <w:color w:val="auto"/>
        </w:rPr>
        <w:t>Notice</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right="20" w:firstLine="1305"/>
        <w:spacing w:after="0" w:line="258" w:lineRule="auto"/>
        <w:tabs>
          <w:tab w:leader="none" w:pos="1696" w:val="left"/>
        </w:tabs>
        <w:numPr>
          <w:ilvl w:val="2"/>
          <w:numId w:val="136"/>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9" w:lineRule="exact"/>
        <w:rPr>
          <w:rFonts w:ascii="Arial" w:cs="Arial" w:eastAsia="Arial" w:hAnsi="Arial"/>
          <w:sz w:val="19"/>
          <w:szCs w:val="19"/>
          <w:color w:val="010000"/>
        </w:rPr>
      </w:pPr>
    </w:p>
    <w:p>
      <w:pPr>
        <w:ind w:right="60" w:firstLine="1305"/>
        <w:spacing w:after="0" w:line="270" w:lineRule="auto"/>
        <w:tabs>
          <w:tab w:leader="none" w:pos="1707" w:val="left"/>
        </w:tabs>
        <w:numPr>
          <w:ilvl w:val="2"/>
          <w:numId w:val="136"/>
        </w:numPr>
        <w:rPr>
          <w:rFonts w:ascii="Arial" w:cs="Arial" w:eastAsia="Arial" w:hAnsi="Arial"/>
          <w:sz w:val="18"/>
          <w:szCs w:val="18"/>
          <w:color w:val="010000"/>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w:t>
      </w:r>
    </w:p>
    <w:p>
      <w:pPr>
        <w:spacing w:after="0" w:line="2" w:lineRule="exact"/>
        <w:rPr>
          <w:rFonts w:ascii="Arial" w:cs="Arial" w:eastAsia="Arial" w:hAnsi="Arial"/>
          <w:sz w:val="18"/>
          <w:szCs w:val="18"/>
          <w:color w:val="010000"/>
        </w:rPr>
      </w:pPr>
    </w:p>
    <w:p>
      <w:pPr>
        <w:ind w:left="380" w:hanging="372"/>
        <w:spacing w:after="0"/>
        <w:tabs>
          <w:tab w:leader="none" w:pos="3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days after the giving of such notice).</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95" w:right="239" w:bottom="1440" w:gutter="0" w:footer="0" w:header="0"/>
        </w:sectPr>
      </w:pPr>
    </w:p>
    <w:bookmarkStart w:id="120" w:name="page121"/>
    <w:bookmarkEnd w:id="120"/>
    <w:p>
      <w:pPr>
        <w:ind w:left="-656" w:right="100" w:firstLine="656"/>
        <w:spacing w:after="0" w:line="246" w:lineRule="auto"/>
        <w:tabs>
          <w:tab w:leader="none" w:pos="320" w:val="left"/>
        </w:tabs>
        <w:numPr>
          <w:ilvl w:val="0"/>
          <w:numId w:val="138"/>
        </w:numPr>
        <w:rPr>
          <w:rFonts w:ascii="Arial" w:cs="Arial" w:eastAsia="Arial" w:hAnsi="Arial"/>
          <w:sz w:val="20"/>
          <w:szCs w:val="20"/>
          <w:color w:val="010000"/>
        </w:rPr>
      </w:pPr>
      <w:r>
        <w:rPr>
          <w:rFonts w:ascii="Arial" w:cs="Arial" w:eastAsia="Arial" w:hAnsi="Arial"/>
          <w:sz w:val="20"/>
          <w:szCs w:val="20"/>
          <w:u w:val="single" w:color="auto"/>
          <w:color w:val="auto"/>
        </w:rPr>
        <w:t>Resignation</w:t>
      </w:r>
      <w:r>
        <w:rPr>
          <w:rFonts w:ascii="Arial" w:cs="Arial" w:eastAsia="Arial" w:hAnsi="Arial"/>
          <w:sz w:val="20"/>
          <w:szCs w:val="20"/>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191" w:lineRule="exact"/>
        <w:rPr>
          <w:rFonts w:ascii="Arial" w:cs="Arial" w:eastAsia="Arial" w:hAnsi="Arial"/>
          <w:sz w:val="20"/>
          <w:szCs w:val="20"/>
          <w:color w:val="010000"/>
        </w:rPr>
      </w:pPr>
    </w:p>
    <w:p>
      <w:pPr>
        <w:ind w:left="424" w:hanging="424"/>
        <w:spacing w:after="0"/>
        <w:tabs>
          <w:tab w:leader="none" w:pos="424" w:val="left"/>
        </w:tabs>
        <w:numPr>
          <w:ilvl w:val="0"/>
          <w:numId w:val="138"/>
        </w:numPr>
        <w:rPr>
          <w:rFonts w:ascii="Arial" w:cs="Arial" w:eastAsia="Arial" w:hAnsi="Arial"/>
          <w:sz w:val="20"/>
          <w:szCs w:val="20"/>
          <w:color w:val="010000"/>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656" w:right="20" w:firstLine="1305"/>
        <w:spacing w:after="0" w:line="257" w:lineRule="auto"/>
        <w:tabs>
          <w:tab w:leader="none" w:pos="1040" w:val="left"/>
        </w:tabs>
        <w:numPr>
          <w:ilvl w:val="1"/>
          <w:numId w:val="138"/>
        </w:numPr>
        <w:rPr>
          <w:rFonts w:ascii="Arial" w:cs="Arial" w:eastAsia="Arial" w:hAnsi="Arial"/>
          <w:sz w:val="19"/>
          <w:szCs w:val="19"/>
          <w:color w:val="010000"/>
        </w:rPr>
      </w:pPr>
      <w:r>
        <w:rPr>
          <w:rFonts w:ascii="Arial" w:cs="Arial" w:eastAsia="Arial" w:hAnsi="Arial"/>
          <w:sz w:val="19"/>
          <w:szCs w:val="19"/>
          <w:u w:val="single" w:color="auto"/>
          <w:color w:val="auto"/>
        </w:rPr>
        <w:t>Arbitration</w:t>
      </w:r>
      <w:r>
        <w:rPr>
          <w:rFonts w:ascii="Arial" w:cs="Arial" w:eastAsia="Arial" w:hAnsi="Arial"/>
          <w:sz w:val="19"/>
          <w:szCs w:val="19"/>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 and pursuant to California law . The Federal Arbitration Act will also apply with full force and effect, notwithstanding the application of procedural rules set forth under the Act.</w:t>
      </w:r>
    </w:p>
    <w:p>
      <w:pPr>
        <w:spacing w:after="0" w:line="175" w:lineRule="exact"/>
        <w:rPr>
          <w:rFonts w:ascii="Arial" w:cs="Arial" w:eastAsia="Arial" w:hAnsi="Arial"/>
          <w:sz w:val="19"/>
          <w:szCs w:val="19"/>
          <w:color w:val="010000"/>
        </w:rPr>
      </w:pPr>
    </w:p>
    <w:p>
      <w:pPr>
        <w:ind w:left="-636" w:right="60" w:firstLine="1298"/>
        <w:spacing w:after="0" w:line="259" w:lineRule="auto"/>
        <w:tabs>
          <w:tab w:leader="none" w:pos="1071" w:val="left"/>
        </w:tabs>
        <w:numPr>
          <w:ilvl w:val="2"/>
          <w:numId w:val="138"/>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xml:space="preserve">. </w:t>
      </w:r>
      <w:r>
        <w:rPr>
          <w:rFonts w:ascii="Arial" w:cs="Arial" w:eastAsia="Arial" w:hAnsi="Arial"/>
          <w:sz w:val="19"/>
          <w:szCs w:val="19"/>
          <w:b w:val="1"/>
          <w:bCs w:val="1"/>
          <w:color w:val="auto"/>
        </w:rPr>
        <w:t>Disputes that Executive agrees to arbitrate, and thereby agrees to waive any right to a trial by</w:t>
      </w:r>
      <w:r>
        <w:rPr>
          <w:rFonts w:ascii="Arial" w:cs="Arial" w:eastAsia="Arial" w:hAnsi="Arial"/>
          <w:sz w:val="19"/>
          <w:szCs w:val="19"/>
          <w:color w:val="auto"/>
        </w:rPr>
        <w:t xml:space="preserve"> </w:t>
      </w:r>
      <w:r>
        <w:rPr>
          <w:rFonts w:ascii="Arial" w:cs="Arial" w:eastAsia="Arial" w:hAnsi="Arial"/>
          <w:sz w:val="19"/>
          <w:szCs w:val="19"/>
          <w:b w:val="1"/>
          <w:bCs w:val="1"/>
          <w:color w:val="auto"/>
        </w:rPr>
        <w:t>jury, include any statutory claims under local, state, or federal law</w:t>
      </w:r>
      <w:r>
        <w:rPr>
          <w:rFonts w:ascii="Arial" w:cs="Arial" w:eastAsia="Arial" w:hAnsi="Arial"/>
          <w:sz w:val="19"/>
          <w:szCs w:val="19"/>
          <w:color w:val="auto"/>
        </w:rPr>
        <w:t>, including, but not limited to, claims under Title VII of the Civil Rights</w:t>
      </w:r>
      <w:r>
        <w:rPr>
          <w:rFonts w:ascii="Arial" w:cs="Arial" w:eastAsia="Arial" w:hAnsi="Arial"/>
          <w:sz w:val="19"/>
          <w:szCs w:val="19"/>
          <w:b w:val="1"/>
          <w:bCs w:val="1"/>
          <w:color w:val="auto"/>
        </w:rPr>
        <w:t xml:space="preserve"> </w:t>
      </w:r>
      <w:r>
        <w:rPr>
          <w:rFonts w:ascii="Arial" w:cs="Arial" w:eastAsia="Arial" w:hAnsi="Arial"/>
          <w:sz w:val="19"/>
          <w:szCs w:val="19"/>
          <w:color w:val="auto"/>
        </w:rPr>
        <w:t>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79" w:lineRule="exact"/>
        <w:rPr>
          <w:sz w:val="20"/>
          <w:szCs w:val="20"/>
          <w:color w:val="auto"/>
        </w:rPr>
      </w:pPr>
    </w:p>
    <w:p>
      <w:pPr>
        <w:ind w:left="-656" w:firstLine="1305"/>
        <w:spacing w:after="0" w:line="270" w:lineRule="auto"/>
        <w:tabs>
          <w:tab w:leader="none" w:pos="1040" w:val="left"/>
        </w:tabs>
        <w:numPr>
          <w:ilvl w:val="0"/>
          <w:numId w:val="139"/>
        </w:numPr>
        <w:rPr>
          <w:rFonts w:ascii="Arial" w:cs="Arial" w:eastAsia="Arial" w:hAnsi="Arial"/>
          <w:sz w:val="18"/>
          <w:szCs w:val="18"/>
          <w:color w:val="010000"/>
        </w:rPr>
      </w:pPr>
      <w:r>
        <w:rPr>
          <w:rFonts w:ascii="Arial" w:cs="Arial" w:eastAsia="Arial" w:hAnsi="Arial"/>
          <w:sz w:val="18"/>
          <w:szCs w:val="18"/>
          <w:u w:val="single" w:color="auto"/>
          <w:color w:val="auto"/>
        </w:rPr>
        <w:t>Procedure</w:t>
      </w:r>
      <w:r>
        <w:rPr>
          <w:rFonts w:ascii="Arial" w:cs="Arial" w:eastAsia="Arial" w:hAnsi="Arial"/>
          <w:sz w:val="18"/>
          <w:szCs w:val="18"/>
          <w:color w:val="auto"/>
        </w:rPr>
        <w:t>. Executive agrees that any arbitration will be administered by the Judicial Arbitration &amp; 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76" w:lineRule="exact"/>
        <w:rPr>
          <w:rFonts w:ascii="Arial" w:cs="Arial" w:eastAsia="Arial" w:hAnsi="Arial"/>
          <w:sz w:val="18"/>
          <w:szCs w:val="18"/>
          <w:color w:val="010000"/>
        </w:rPr>
      </w:pPr>
    </w:p>
    <w:p>
      <w:pPr>
        <w:ind w:left="-656" w:right="120" w:firstLine="1305"/>
        <w:spacing w:after="0" w:line="260" w:lineRule="auto"/>
        <w:tabs>
          <w:tab w:leader="none" w:pos="1051" w:val="left"/>
        </w:tabs>
        <w:numPr>
          <w:ilvl w:val="0"/>
          <w:numId w:val="139"/>
        </w:numPr>
        <w:rPr>
          <w:rFonts w:ascii="Arial" w:cs="Arial" w:eastAsia="Arial" w:hAnsi="Arial"/>
          <w:sz w:val="20"/>
          <w:szCs w:val="20"/>
          <w:color w:val="010000"/>
        </w:rPr>
      </w:pPr>
      <w:r>
        <w:rPr>
          <w:rFonts w:ascii="Arial" w:cs="Arial" w:eastAsia="Arial" w:hAnsi="Arial"/>
          <w:sz w:val="20"/>
          <w:szCs w:val="20"/>
          <w:u w:val="single" w:color="auto"/>
          <w:color w:val="auto"/>
        </w:rPr>
        <w:t>Remedy</w:t>
      </w:r>
      <w:r>
        <w:rPr>
          <w:rFonts w:ascii="Arial" w:cs="Arial" w:eastAsia="Arial" w:hAnsi="Arial"/>
          <w:sz w:val="20"/>
          <w:szCs w:val="20"/>
          <w:color w:val="auto"/>
        </w:rPr>
        <w:t xml:space="preserve">. Except as provided by the Act, arbitration will be the sole, exclusive, and final remedy for any dispute between Executive and the Company. </w:t>
      </w:r>
      <w:r>
        <w:rPr>
          <w:rFonts w:ascii="Arial" w:cs="Arial" w:eastAsia="Arial" w:hAnsi="Arial"/>
          <w:sz w:val="20"/>
          <w:szCs w:val="20"/>
          <w:b w:val="1"/>
          <w:bCs w:val="1"/>
          <w:color w:val="auto"/>
        </w:rPr>
        <w:t>Accordingly, except as provided</w:t>
      </w:r>
    </w:p>
    <w:p>
      <w:pPr>
        <w:spacing w:after="0" w:line="200" w:lineRule="exact"/>
        <w:rPr>
          <w:sz w:val="20"/>
          <w:szCs w:val="20"/>
          <w:color w:val="auto"/>
        </w:rPr>
      </w:pPr>
    </w:p>
    <w:p>
      <w:pPr>
        <w:spacing w:after="0" w:line="220"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44"/>
          </w:cols>
          <w:pgMar w:left="896" w:top="595" w:right="259" w:bottom="1440" w:gutter="0" w:footer="0" w:header="0"/>
        </w:sectPr>
      </w:pPr>
    </w:p>
    <w:bookmarkStart w:id="121" w:name="page122"/>
    <w:bookmarkEnd w:id="121"/>
    <w:p>
      <w:pPr>
        <w:jc w:val="both"/>
        <w:ind w:right="60"/>
        <w:spacing w:after="0" w:line="294" w:lineRule="auto"/>
        <w:rPr>
          <w:sz w:val="20"/>
          <w:szCs w:val="20"/>
          <w:color w:val="auto"/>
        </w:rPr>
      </w:pPr>
      <w:r>
        <w:rPr>
          <w:rFonts w:ascii="Arial" w:cs="Arial" w:eastAsia="Arial" w:hAnsi="Arial"/>
          <w:sz w:val="18"/>
          <w:szCs w:val="18"/>
          <w:b w:val="1"/>
          <w:bCs w:val="1"/>
          <w:color w:val="auto"/>
        </w:rPr>
        <w:t>by the Act and this Agreement, neither Executive nor the Company will be permitted to pursue court action regarding claims that are subject to arbitration</w:t>
      </w:r>
      <w:r>
        <w:rPr>
          <w:rFonts w:ascii="Arial" w:cs="Arial" w:eastAsia="Arial" w:hAnsi="Arial"/>
          <w:sz w:val="18"/>
          <w:szCs w:val="18"/>
          <w:color w:val="auto"/>
        </w:rPr>
        <w:t>. Notwithstanding, the arbitrator will not have the authority to disregard or refuse to enforce any lawful Company policy,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arbitrator will not order or require the Company to adopt a policy not otherwise required by law which the Company has not adopted.</w:t>
      </w:r>
    </w:p>
    <w:p>
      <w:pPr>
        <w:spacing w:after="0" w:line="150" w:lineRule="exact"/>
        <w:rPr>
          <w:sz w:val="20"/>
          <w:szCs w:val="20"/>
          <w:color w:val="auto"/>
        </w:rPr>
      </w:pPr>
    </w:p>
    <w:p>
      <w:pPr>
        <w:ind w:firstLine="1305"/>
        <w:spacing w:after="0" w:line="282" w:lineRule="auto"/>
        <w:tabs>
          <w:tab w:leader="none" w:pos="1696" w:val="left"/>
        </w:tabs>
        <w:numPr>
          <w:ilvl w:val="1"/>
          <w:numId w:val="140"/>
        </w:numPr>
        <w:rPr>
          <w:rFonts w:ascii="Arial" w:cs="Arial" w:eastAsia="Arial" w:hAnsi="Arial"/>
          <w:sz w:val="18"/>
          <w:szCs w:val="18"/>
          <w:color w:val="010000"/>
        </w:rPr>
      </w:pPr>
      <w:r>
        <w:rPr>
          <w:rFonts w:ascii="Arial" w:cs="Arial" w:eastAsia="Arial" w:hAnsi="Arial"/>
          <w:sz w:val="18"/>
          <w:szCs w:val="18"/>
          <w:u w:val="single" w:color="auto"/>
          <w:color w:val="auto"/>
        </w:rPr>
        <w:t>Administrative Relief</w:t>
      </w:r>
      <w:r>
        <w:rPr>
          <w:rFonts w:ascii="Arial" w:cs="Arial" w:eastAsia="Arial" w:hAnsi="Arial"/>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61" w:lineRule="exact"/>
        <w:rPr>
          <w:rFonts w:ascii="Arial" w:cs="Arial" w:eastAsia="Arial" w:hAnsi="Arial"/>
          <w:sz w:val="18"/>
          <w:szCs w:val="18"/>
          <w:color w:val="010000"/>
        </w:rPr>
      </w:pPr>
    </w:p>
    <w:p>
      <w:pPr>
        <w:ind w:right="320" w:firstLine="1305"/>
        <w:spacing w:after="0" w:line="243" w:lineRule="auto"/>
        <w:tabs>
          <w:tab w:leader="none" w:pos="1674" w:val="left"/>
        </w:tabs>
        <w:numPr>
          <w:ilvl w:val="1"/>
          <w:numId w:val="140"/>
        </w:numPr>
        <w:rPr>
          <w:rFonts w:ascii="Arial" w:cs="Arial" w:eastAsia="Arial" w:hAnsi="Arial"/>
          <w:sz w:val="20"/>
          <w:szCs w:val="20"/>
          <w:color w:val="010000"/>
        </w:rPr>
      </w:pPr>
      <w:r>
        <w:rPr>
          <w:rFonts w:ascii="Arial" w:cs="Arial" w:eastAsia="Arial" w:hAnsi="Arial"/>
          <w:sz w:val="20"/>
          <w:szCs w:val="20"/>
          <w:u w:val="single" w:color="auto"/>
          <w:color w:val="auto"/>
        </w:rPr>
        <w:t>Voluntary Nature of Agreement</w:t>
      </w:r>
      <w:r>
        <w:rPr>
          <w:rFonts w:ascii="Arial" w:cs="Arial" w:eastAsia="Arial" w:hAnsi="Arial"/>
          <w:sz w:val="20"/>
          <w:szCs w:val="20"/>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20"/>
          <w:szCs w:val="20"/>
          <w:b w:val="1"/>
          <w:bCs w:val="1"/>
          <w:i w:val="1"/>
          <w:iCs w:val="1"/>
          <w:color w:val="auto"/>
        </w:rPr>
        <w:t>EXECUTIVE IS WAIVING EXECUTIVE’S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RIGHT TO A JURY TRIAL</w:t>
      </w:r>
      <w:r>
        <w:rPr>
          <w:rFonts w:ascii="Arial" w:cs="Arial" w:eastAsia="Arial" w:hAnsi="Arial"/>
          <w:sz w:val="20"/>
          <w:szCs w:val="20"/>
          <w:color w:val="auto"/>
        </w:rPr>
        <w:t>. Finally, Executive agrees that Executive has been provided an opportunity to seek the advice of an attorney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Executive’s choice before signing this Agreement.</w:t>
      </w:r>
    </w:p>
    <w:p>
      <w:pPr>
        <w:spacing w:after="0" w:line="196" w:lineRule="exact"/>
        <w:rPr>
          <w:rFonts w:ascii="Arial" w:cs="Arial" w:eastAsia="Arial" w:hAnsi="Arial"/>
          <w:sz w:val="20"/>
          <w:szCs w:val="20"/>
          <w:color w:val="010000"/>
        </w:rPr>
      </w:pPr>
    </w:p>
    <w:p>
      <w:pPr>
        <w:ind w:left="1080" w:hanging="424"/>
        <w:spacing w:after="0"/>
        <w:tabs>
          <w:tab w:leader="none" w:pos="1080" w:val="left"/>
        </w:tabs>
        <w:numPr>
          <w:ilvl w:val="0"/>
          <w:numId w:val="141"/>
        </w:numPr>
        <w:rPr>
          <w:rFonts w:ascii="Arial" w:cs="Arial" w:eastAsia="Arial" w:hAnsi="Arial"/>
          <w:sz w:val="20"/>
          <w:szCs w:val="20"/>
          <w:color w:val="010000"/>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right="800" w:firstLine="1305"/>
        <w:spacing w:after="0" w:line="287" w:lineRule="auto"/>
        <w:tabs>
          <w:tab w:leader="none" w:pos="1696" w:val="left"/>
        </w:tabs>
        <w:numPr>
          <w:ilvl w:val="1"/>
          <w:numId w:val="141"/>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152" w:lineRule="exact"/>
        <w:rPr>
          <w:rFonts w:ascii="Arial" w:cs="Arial" w:eastAsia="Arial" w:hAnsi="Arial"/>
          <w:sz w:val="19"/>
          <w:szCs w:val="19"/>
          <w:color w:val="010000"/>
        </w:rPr>
      </w:pPr>
    </w:p>
    <w:p>
      <w:pPr>
        <w:ind w:right="280" w:firstLine="1305"/>
        <w:spacing w:after="0" w:line="263" w:lineRule="auto"/>
        <w:tabs>
          <w:tab w:leader="none" w:pos="1707" w:val="left"/>
        </w:tabs>
        <w:numPr>
          <w:ilvl w:val="1"/>
          <w:numId w:val="141"/>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6" w:lineRule="exact"/>
        <w:rPr>
          <w:rFonts w:ascii="Arial" w:cs="Arial" w:eastAsia="Arial" w:hAnsi="Arial"/>
          <w:sz w:val="19"/>
          <w:szCs w:val="19"/>
          <w:color w:val="010000"/>
        </w:rPr>
      </w:pPr>
    </w:p>
    <w:p>
      <w:pPr>
        <w:ind w:right="200" w:firstLine="1305"/>
        <w:spacing w:after="0" w:line="260" w:lineRule="auto"/>
        <w:tabs>
          <w:tab w:leader="none" w:pos="1696" w:val="left"/>
        </w:tabs>
        <w:numPr>
          <w:ilvl w:val="1"/>
          <w:numId w:val="141"/>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All captions and section headings used in this Agreement are for convenient reference only and do not form a part of this Agreement.</w:t>
      </w:r>
    </w:p>
    <w:p>
      <w:pPr>
        <w:spacing w:after="0" w:line="176" w:lineRule="exact"/>
        <w:rPr>
          <w:rFonts w:ascii="Arial" w:cs="Arial" w:eastAsia="Arial" w:hAnsi="Arial"/>
          <w:sz w:val="20"/>
          <w:szCs w:val="20"/>
          <w:color w:val="010000"/>
        </w:rPr>
      </w:pPr>
    </w:p>
    <w:p>
      <w:pPr>
        <w:ind w:right="140" w:firstLine="1305"/>
        <w:spacing w:after="0" w:line="259" w:lineRule="auto"/>
        <w:tabs>
          <w:tab w:leader="none" w:pos="1707" w:val="left"/>
        </w:tabs>
        <w:numPr>
          <w:ilvl w:val="1"/>
          <w:numId w:val="141"/>
        </w:numPr>
        <w:rPr>
          <w:rFonts w:ascii="Arial" w:cs="Arial" w:eastAsia="Arial" w:hAnsi="Arial"/>
          <w:sz w:val="19"/>
          <w:szCs w:val="19"/>
          <w:color w:val="010000"/>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and any rights to extended post-termination exercise period, severance and/or change of control benefits set forth in Executive’s offer letter dated March 10, 2008. No waiver, alteration, or modification of any of the provisions of this Agreement will be binding unless in writing and signed by duly authorized representatives of the parties hereto and which specifically mention this Agreement.</w:t>
      </w:r>
    </w:p>
    <w:p>
      <w:pPr>
        <w:spacing w:after="0" w:line="178" w:lineRule="exact"/>
        <w:rPr>
          <w:rFonts w:ascii="Arial" w:cs="Arial" w:eastAsia="Arial" w:hAnsi="Arial"/>
          <w:sz w:val="19"/>
          <w:szCs w:val="19"/>
          <w:color w:val="010000"/>
        </w:rPr>
      </w:pPr>
    </w:p>
    <w:p>
      <w:pPr>
        <w:ind w:right="60" w:firstLine="1305"/>
        <w:spacing w:after="0" w:line="269" w:lineRule="auto"/>
        <w:tabs>
          <w:tab w:leader="none" w:pos="1696" w:val="left"/>
        </w:tabs>
        <w:numPr>
          <w:ilvl w:val="1"/>
          <w:numId w:val="141"/>
        </w:numPr>
        <w:rPr>
          <w:rFonts w:ascii="Arial" w:cs="Arial" w:eastAsia="Arial" w:hAnsi="Arial"/>
          <w:sz w:val="19"/>
          <w:szCs w:val="19"/>
          <w:color w:val="010000"/>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89" w:right="239" w:bottom="1440" w:gutter="0" w:footer="0" w:header="0"/>
        </w:sectPr>
      </w:pPr>
    </w:p>
    <w:bookmarkStart w:id="122" w:name="page123"/>
    <w:bookmarkEnd w:id="122"/>
    <w:p>
      <w:pPr>
        <w:spacing w:after="0" w:line="260" w:lineRule="auto"/>
        <w:rPr>
          <w:sz w:val="20"/>
          <w:szCs w:val="20"/>
          <w:color w:val="auto"/>
        </w:rPr>
      </w:pPr>
      <w:r>
        <w:rPr>
          <w:rFonts w:ascii="Arial" w:cs="Arial" w:eastAsia="Arial" w:hAnsi="Arial"/>
          <w:sz w:val="20"/>
          <w:szCs w:val="20"/>
          <w:color w:val="auto"/>
        </w:rPr>
        <w:t>commenced or maintained in any state or federal court located in the jurisdiction where Executive -resides, and Executive and the Company hereby submit to the jurisdiction and venue of any such court.</w:t>
      </w:r>
    </w:p>
    <w:p>
      <w:pPr>
        <w:spacing w:after="0" w:line="177" w:lineRule="exact"/>
        <w:rPr>
          <w:sz w:val="20"/>
          <w:szCs w:val="20"/>
          <w:color w:val="auto"/>
        </w:rPr>
      </w:pPr>
    </w:p>
    <w:p>
      <w:pPr>
        <w:ind w:right="320" w:firstLine="1305"/>
        <w:spacing w:after="0" w:line="260" w:lineRule="auto"/>
        <w:tabs>
          <w:tab w:leader="none" w:pos="1674" w:val="left"/>
        </w:tabs>
        <w:numPr>
          <w:ilvl w:val="0"/>
          <w:numId w:val="142"/>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or provisions of this Agreement will not affect the validity or enforceability of any other provision hereof, which will remain in full force and effect.</w:t>
      </w:r>
    </w:p>
    <w:p>
      <w:pPr>
        <w:spacing w:after="0" w:line="176" w:lineRule="exact"/>
        <w:rPr>
          <w:rFonts w:ascii="Arial" w:cs="Arial" w:eastAsia="Arial" w:hAnsi="Arial"/>
          <w:sz w:val="20"/>
          <w:szCs w:val="20"/>
          <w:color w:val="010000"/>
        </w:rPr>
      </w:pPr>
    </w:p>
    <w:p>
      <w:pPr>
        <w:ind w:right="380" w:firstLine="1305"/>
        <w:spacing w:after="0" w:line="260" w:lineRule="auto"/>
        <w:tabs>
          <w:tab w:leader="none" w:pos="1707" w:val="left"/>
        </w:tabs>
        <w:numPr>
          <w:ilvl w:val="0"/>
          <w:numId w:val="142"/>
        </w:numPr>
        <w:rPr>
          <w:rFonts w:ascii="Arial" w:cs="Arial" w:eastAsia="Arial" w:hAnsi="Arial"/>
          <w:sz w:val="20"/>
          <w:szCs w:val="20"/>
          <w:color w:val="010000"/>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pursuant to this Agreement will be subject to withholding of applicable income, employment and other taxes.</w:t>
      </w:r>
    </w:p>
    <w:p>
      <w:pPr>
        <w:spacing w:after="0" w:line="176" w:lineRule="exact"/>
        <w:rPr>
          <w:rFonts w:ascii="Arial" w:cs="Arial" w:eastAsia="Arial" w:hAnsi="Arial"/>
          <w:sz w:val="20"/>
          <w:szCs w:val="20"/>
          <w:color w:val="010000"/>
        </w:rPr>
      </w:pPr>
    </w:p>
    <w:p>
      <w:pPr>
        <w:ind w:right="180" w:firstLine="1305"/>
        <w:spacing w:after="0" w:line="260" w:lineRule="auto"/>
        <w:tabs>
          <w:tab w:leader="none" w:pos="1707" w:val="left"/>
        </w:tabs>
        <w:numPr>
          <w:ilvl w:val="0"/>
          <w:numId w:val="142"/>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00"/>
        <w:spacing w:after="0"/>
        <w:rPr>
          <w:sz w:val="20"/>
          <w:szCs w:val="20"/>
          <w:color w:val="auto"/>
        </w:rPr>
      </w:pPr>
      <w:r>
        <w:rPr>
          <w:rFonts w:ascii="Arial" w:cs="Arial" w:eastAsia="Arial" w:hAnsi="Arial"/>
          <w:sz w:val="20"/>
          <w:szCs w:val="20"/>
          <w:b w:val="1"/>
          <w:bCs w:val="1"/>
          <w:i w:val="1"/>
          <w:iCs w:val="1"/>
          <w:color w:val="auto"/>
        </w:rPr>
        <w:t>[Signature Page to Follow]</w:t>
      </w: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100"/>
          </w:cols>
          <w:pgMar w:left="240" w:top="595" w:right="559" w:bottom="1440" w:gutter="0" w:footer="0" w:header="0"/>
        </w:sectPr>
      </w:pPr>
    </w:p>
    <w:bookmarkStart w:id="123" w:name="page124"/>
    <w:bookmarkEnd w:id="123"/>
    <w:p>
      <w:pPr>
        <w:ind w:right="140" w:firstLine="648"/>
        <w:spacing w:after="0" w:line="260" w:lineRule="auto"/>
        <w:rPr>
          <w:sz w:val="20"/>
          <w:szCs w:val="20"/>
          <w:color w:val="auto"/>
        </w:rPr>
      </w:pPr>
      <w:r>
        <w:rPr>
          <w:rFonts w:ascii="Arial" w:cs="Arial" w:eastAsia="Arial" w:hAnsi="Arial"/>
          <w:sz w:val="20"/>
          <w:szCs w:val="20"/>
          <w:color w:val="auto"/>
        </w:rPr>
        <w:t>IN WITNESS WHEREOF, each of the parties has executed this Agreement, in the case of the Company by its duly authorized officer, as of the day and year set forth below.</w:t>
      </w:r>
    </w:p>
    <w:p>
      <w:pPr>
        <w:spacing w:after="0" w:line="34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COMPANY</w:t>
            </w:r>
          </w:p>
        </w:tc>
        <w:tc>
          <w:tcPr>
            <w:tcW w:w="7720" w:type="dxa"/>
            <w:vAlign w:val="bottom"/>
            <w:gridSpan w:val="2"/>
          </w:tcPr>
          <w:p>
            <w:pPr>
              <w:ind w:left="2000"/>
              <w:spacing w:after="0"/>
              <w:rPr>
                <w:sz w:val="20"/>
                <w:szCs w:val="20"/>
                <w:color w:val="auto"/>
              </w:rPr>
            </w:pPr>
            <w:r>
              <w:rPr>
                <w:rFonts w:ascii="Arial" w:cs="Arial" w:eastAsia="Arial" w:hAnsi="Arial"/>
                <w:sz w:val="18"/>
                <w:szCs w:val="18"/>
                <w:color w:val="auto"/>
              </w:rPr>
              <w:t>VERACYTE, INC.</w:t>
            </w:r>
          </w:p>
        </w:tc>
        <w:tc>
          <w:tcPr>
            <w:tcW w:w="0" w:type="dxa"/>
            <w:vAlign w:val="bottom"/>
          </w:tcPr>
          <w:p>
            <w:pPr>
              <w:spacing w:after="0"/>
              <w:rPr>
                <w:sz w:val="1"/>
                <w:szCs w:val="1"/>
                <w:color w:val="auto"/>
              </w:rPr>
            </w:pPr>
          </w:p>
        </w:tc>
      </w:tr>
      <w:tr>
        <w:trPr>
          <w:trHeight w:val="864"/>
        </w:trPr>
        <w:tc>
          <w:tcPr>
            <w:tcW w:w="3020" w:type="dxa"/>
            <w:vAlign w:val="bottom"/>
          </w:tcPr>
          <w:p>
            <w:pPr>
              <w:spacing w:after="0"/>
              <w:rPr>
                <w:sz w:val="24"/>
                <w:szCs w:val="24"/>
                <w:color w:val="auto"/>
              </w:rPr>
            </w:pPr>
          </w:p>
        </w:tc>
        <w:tc>
          <w:tcPr>
            <w:tcW w:w="3040" w:type="dxa"/>
            <w:vAlign w:val="bottom"/>
          </w:tcPr>
          <w:p>
            <w:pPr>
              <w:ind w:left="2000"/>
              <w:spacing w:after="0"/>
              <w:rPr>
                <w:sz w:val="20"/>
                <w:szCs w:val="20"/>
                <w:color w:val="auto"/>
              </w:rPr>
            </w:pPr>
            <w:r>
              <w:rPr>
                <w:rFonts w:ascii="Arial" w:cs="Arial" w:eastAsia="Arial" w:hAnsi="Arial"/>
                <w:sz w:val="18"/>
                <w:szCs w:val="18"/>
                <w:color w:val="auto"/>
              </w:rPr>
              <w:t>By:</w:t>
            </w:r>
          </w:p>
        </w:tc>
        <w:tc>
          <w:tcPr>
            <w:tcW w:w="4680" w:type="dxa"/>
            <w:vAlign w:val="bottom"/>
          </w:tcPr>
          <w:p>
            <w:pPr>
              <w:ind w:left="80"/>
              <w:spacing w:after="0"/>
              <w:rPr>
                <w:sz w:val="20"/>
                <w:szCs w:val="20"/>
                <w:color w:val="auto"/>
              </w:rPr>
            </w:pPr>
            <w:r>
              <w:rPr>
                <w:rFonts w:ascii="Arial" w:cs="Arial" w:eastAsia="Arial" w:hAnsi="Arial"/>
                <w:sz w:val="18"/>
                <w:szCs w:val="18"/>
                <w:color w:val="auto"/>
              </w:rPr>
              <w:t>/s/ Bonnie Anderson</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020" w:type="dxa"/>
            <w:vAlign w:val="bottom"/>
          </w:tcPr>
          <w:p>
            <w:pPr>
              <w:spacing w:after="0"/>
              <w:rPr>
                <w:sz w:val="24"/>
                <w:szCs w:val="24"/>
                <w:color w:val="auto"/>
              </w:rPr>
            </w:pPr>
          </w:p>
        </w:tc>
        <w:tc>
          <w:tcPr>
            <w:tcW w:w="3040" w:type="dxa"/>
            <w:vAlign w:val="bottom"/>
          </w:tcPr>
          <w:p>
            <w:pPr>
              <w:ind w:left="2000"/>
              <w:spacing w:after="0"/>
              <w:rPr>
                <w:sz w:val="20"/>
                <w:szCs w:val="20"/>
                <w:color w:val="auto"/>
              </w:rPr>
            </w:pPr>
            <w:r>
              <w:rPr>
                <w:rFonts w:ascii="Arial" w:cs="Arial" w:eastAsia="Arial" w:hAnsi="Arial"/>
                <w:sz w:val="18"/>
                <w:szCs w:val="18"/>
                <w:color w:val="auto"/>
              </w:rPr>
              <w:t>Title:</w:t>
            </w:r>
          </w:p>
        </w:tc>
        <w:tc>
          <w:tcPr>
            <w:tcW w:w="4680" w:type="dxa"/>
            <w:vAlign w:val="bottom"/>
          </w:tcPr>
          <w:p>
            <w:pPr>
              <w:ind w:left="8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020" w:type="dxa"/>
            <w:vAlign w:val="bottom"/>
          </w:tcPr>
          <w:p>
            <w:pPr>
              <w:spacing w:after="0"/>
              <w:rPr>
                <w:sz w:val="24"/>
                <w:szCs w:val="24"/>
                <w:color w:val="auto"/>
              </w:rPr>
            </w:pPr>
          </w:p>
        </w:tc>
        <w:tc>
          <w:tcPr>
            <w:tcW w:w="3040" w:type="dxa"/>
            <w:vAlign w:val="bottom"/>
          </w:tcPr>
          <w:p>
            <w:pPr>
              <w:ind w:left="2000"/>
              <w:spacing w:after="0"/>
              <w:rPr>
                <w:sz w:val="20"/>
                <w:szCs w:val="20"/>
                <w:color w:val="auto"/>
              </w:rPr>
            </w:pPr>
            <w:r>
              <w:rPr>
                <w:rFonts w:ascii="Arial" w:cs="Arial" w:eastAsia="Arial" w:hAnsi="Arial"/>
                <w:sz w:val="18"/>
                <w:szCs w:val="18"/>
                <w:color w:val="auto"/>
              </w:rPr>
              <w:t>Date:</w:t>
            </w:r>
          </w:p>
        </w:tc>
        <w:tc>
          <w:tcPr>
            <w:tcW w:w="4680" w:type="dxa"/>
            <w:vAlign w:val="bottom"/>
          </w:tcPr>
          <w:p>
            <w:pPr>
              <w:ind w:left="8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1"/>
        </w:trPr>
        <w:tc>
          <w:tcPr>
            <w:tcW w:w="3020" w:type="dxa"/>
            <w:vAlign w:val="bottom"/>
          </w:tcPr>
          <w:p>
            <w:pPr>
              <w:spacing w:after="0"/>
              <w:rPr>
                <w:sz w:val="20"/>
                <w:szCs w:val="20"/>
                <w:color w:val="auto"/>
              </w:rPr>
            </w:pPr>
            <w:r>
              <w:rPr>
                <w:rFonts w:ascii="Arial" w:cs="Arial" w:eastAsia="Arial" w:hAnsi="Arial"/>
                <w:sz w:val="18"/>
                <w:szCs w:val="18"/>
                <w:color w:val="auto"/>
              </w:rPr>
              <w:t>EXECUTIVE</w:t>
            </w:r>
          </w:p>
        </w:tc>
        <w:tc>
          <w:tcPr>
            <w:tcW w:w="3040" w:type="dxa"/>
            <w:vAlign w:val="bottom"/>
          </w:tcPr>
          <w:p>
            <w:pPr>
              <w:ind w:left="2000"/>
              <w:spacing w:after="0"/>
              <w:rPr>
                <w:sz w:val="20"/>
                <w:szCs w:val="20"/>
                <w:color w:val="auto"/>
              </w:rPr>
            </w:pPr>
            <w:r>
              <w:rPr>
                <w:rFonts w:ascii="Arial" w:cs="Arial" w:eastAsia="Arial" w:hAnsi="Arial"/>
                <w:sz w:val="18"/>
                <w:szCs w:val="18"/>
                <w:color w:val="auto"/>
              </w:rPr>
              <w:t>By:</w:t>
            </w:r>
          </w:p>
        </w:tc>
        <w:tc>
          <w:tcPr>
            <w:tcW w:w="4680" w:type="dxa"/>
            <w:vAlign w:val="bottom"/>
          </w:tcPr>
          <w:p>
            <w:pPr>
              <w:ind w:left="80"/>
              <w:spacing w:after="0"/>
              <w:rPr>
                <w:sz w:val="20"/>
                <w:szCs w:val="20"/>
                <w:color w:val="auto"/>
              </w:rPr>
            </w:pPr>
            <w:r>
              <w:rPr>
                <w:rFonts w:ascii="Arial" w:cs="Arial" w:eastAsia="Arial" w:hAnsi="Arial"/>
                <w:sz w:val="18"/>
                <w:szCs w:val="18"/>
                <w:color w:val="auto"/>
              </w:rPr>
              <w:t>/s/ Giulia Kennedy</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040" w:type="dxa"/>
            <w:vAlign w:val="bottom"/>
            <w:vMerge w:val="restart"/>
          </w:tcPr>
          <w:p>
            <w:pPr>
              <w:ind w:left="2000"/>
              <w:spacing w:after="0"/>
              <w:rPr>
                <w:sz w:val="20"/>
                <w:szCs w:val="20"/>
                <w:color w:val="auto"/>
              </w:rPr>
            </w:pPr>
            <w:r>
              <w:rPr>
                <w:rFonts w:ascii="Arial" w:cs="Arial" w:eastAsia="Arial" w:hAnsi="Arial"/>
                <w:sz w:val="18"/>
                <w:szCs w:val="18"/>
                <w:color w:val="auto"/>
              </w:rPr>
              <w:t>Title:</w:t>
            </w: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0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4680" w:type="dxa"/>
            <w:vAlign w:val="bottom"/>
          </w:tcPr>
          <w:p>
            <w:pPr>
              <w:ind w:left="80"/>
              <w:spacing w:after="0"/>
              <w:rPr>
                <w:sz w:val="20"/>
                <w:szCs w:val="20"/>
                <w:color w:val="auto"/>
              </w:rPr>
            </w:pPr>
            <w:r>
              <w:rPr>
                <w:rFonts w:ascii="Arial" w:cs="Arial" w:eastAsia="Arial" w:hAnsi="Arial"/>
                <w:sz w:val="16"/>
                <w:szCs w:val="16"/>
                <w:color w:val="auto"/>
              </w:rPr>
              <w:t>Chief Scientific and Medical Officer</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020" w:type="dxa"/>
            <w:vAlign w:val="bottom"/>
          </w:tcPr>
          <w:p>
            <w:pPr>
              <w:spacing w:after="0"/>
              <w:rPr>
                <w:sz w:val="24"/>
                <w:szCs w:val="24"/>
                <w:color w:val="auto"/>
              </w:rPr>
            </w:pPr>
          </w:p>
        </w:tc>
        <w:tc>
          <w:tcPr>
            <w:tcW w:w="3040" w:type="dxa"/>
            <w:vAlign w:val="bottom"/>
          </w:tcPr>
          <w:p>
            <w:pPr>
              <w:ind w:left="2000"/>
              <w:spacing w:after="0"/>
              <w:rPr>
                <w:sz w:val="20"/>
                <w:szCs w:val="20"/>
                <w:color w:val="auto"/>
              </w:rPr>
            </w:pPr>
            <w:r>
              <w:rPr>
                <w:rFonts w:ascii="Arial" w:cs="Arial" w:eastAsia="Arial" w:hAnsi="Arial"/>
                <w:sz w:val="18"/>
                <w:szCs w:val="18"/>
                <w:color w:val="auto"/>
              </w:rPr>
              <w:t>Date:</w:t>
            </w:r>
          </w:p>
        </w:tc>
        <w:tc>
          <w:tcPr>
            <w:tcW w:w="4680" w:type="dxa"/>
            <w:vAlign w:val="bottom"/>
          </w:tcPr>
          <w:p>
            <w:pPr>
              <w:ind w:left="80"/>
              <w:spacing w:after="0"/>
              <w:rPr>
                <w:sz w:val="20"/>
                <w:szCs w:val="20"/>
                <w:color w:val="auto"/>
              </w:rPr>
            </w:pPr>
            <w:r>
              <w:rPr>
                <w:rFonts w:ascii="Arial" w:cs="Arial" w:eastAsia="Arial" w:hAnsi="Arial"/>
                <w:sz w:val="18"/>
                <w:szCs w:val="18"/>
                <w:color w:val="auto"/>
              </w:rPr>
              <w:t>July 8, 2019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F1D23"/>
        </w:rPr>
        <w:t>[</w:t>
      </w:r>
      <w:r>
        <w:rPr>
          <w:rFonts w:ascii="Arial" w:cs="Arial" w:eastAsia="Arial" w:hAnsi="Arial"/>
          <w:sz w:val="20"/>
          <w:szCs w:val="20"/>
          <w:b w:val="1"/>
          <w:bCs w:val="1"/>
          <w:i w:val="1"/>
          <w:iCs w:val="1"/>
          <w:color w:val="1F1D23"/>
        </w:rPr>
        <w:t>signature page of the Change of Control and Severance Agreement]</w:t>
      </w:r>
    </w:p>
    <w:p>
      <w:pPr>
        <w:sectPr>
          <w:pgSz w:w="11900" w:h="16838" w:orient="portrait"/>
          <w:cols w:equalWidth="0" w:num="1">
            <w:col w:w="11420"/>
          </w:cols>
          <w:pgMar w:left="240" w:top="595" w:right="23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FORM OF RELEASE OF CLAIMS</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Giulia Kennedy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The Company and Executive are sometimes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right="7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WHEREAS</w:t>
      </w:r>
      <w:r>
        <w:rPr>
          <w:rFonts w:ascii="Arial" w:cs="Arial" w:eastAsia="Arial" w:hAnsi="Arial"/>
          <w:sz w:val="20"/>
          <w:szCs w:val="20"/>
          <w:color w:val="auto"/>
        </w:rPr>
        <w:t>, Executive signed a [Confidential Information and Invention Assignment Agreement] with the Company on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w:t>
      </w:r>
    </w:p>
    <w:p>
      <w:pPr>
        <w:spacing w:after="0" w:line="164"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signed an Amended and Restated Change of Control and Severance Agreement with the company 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 (the “</w:t>
      </w:r>
      <w:r>
        <w:rPr>
          <w:rFonts w:ascii="Arial" w:cs="Arial" w:eastAsia="Arial" w:hAnsi="Arial"/>
          <w:sz w:val="18"/>
          <w:szCs w:val="18"/>
          <w:b w:val="1"/>
          <w:bCs w:val="1"/>
          <w:i w:val="1"/>
          <w:iCs w:val="1"/>
          <w:color w:val="auto"/>
        </w:rPr>
        <w:t>Severance Agreement</w:t>
      </w:r>
      <w:r>
        <w:rPr>
          <w:rFonts w:ascii="Arial" w:cs="Arial" w:eastAsia="Arial" w:hAnsi="Arial"/>
          <w:sz w:val="18"/>
          <w:szCs w:val="18"/>
          <w:color w:val="auto"/>
        </w:rPr>
        <w:t>”), which, among other things, provides for certain severance benefits to be paid to Executive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by the Company upon the termination of Executive’s employment;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was employed by the Company until __________________, when Executive’s employment was terminated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w:t>
      </w:r>
    </w:p>
    <w:p>
      <w:pPr>
        <w:spacing w:after="0" w:line="194" w:lineRule="exact"/>
        <w:rPr>
          <w:sz w:val="20"/>
          <w:szCs w:val="20"/>
          <w:color w:val="auto"/>
        </w:rPr>
      </w:pPr>
    </w:p>
    <w:p>
      <w:pPr>
        <w:ind w:right="4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accordance with Section 4 of the Severance Agreement between the Company and Executive, Executive has agreed to</w:t>
      </w:r>
      <w:r>
        <w:rPr>
          <w:rFonts w:ascii="Arial" w:cs="Arial" w:eastAsia="Arial" w:hAnsi="Arial"/>
          <w:sz w:val="20"/>
          <w:szCs w:val="20"/>
          <w:b w:val="1"/>
          <w:bCs w:val="1"/>
          <w:color w:val="auto"/>
        </w:rPr>
        <w:t xml:space="preserve"> </w:t>
      </w:r>
      <w:r>
        <w:rPr>
          <w:rFonts w:ascii="Arial" w:cs="Arial" w:eastAsia="Arial" w:hAnsi="Arial"/>
          <w:sz w:val="20"/>
          <w:szCs w:val="20"/>
          <w:color w:val="auto"/>
        </w:rPr>
        <w:t>enter into and not revoke a standard release of claims in favor of the Company as a condition to receiving the severance benefits described in the Severance Agreement; and</w:t>
      </w:r>
    </w:p>
    <w:p>
      <w:pPr>
        <w:spacing w:after="0" w:line="178" w:lineRule="exact"/>
        <w:rPr>
          <w:sz w:val="20"/>
          <w:szCs w:val="20"/>
          <w:color w:val="auto"/>
        </w:rPr>
      </w:pPr>
    </w:p>
    <w:p>
      <w:pPr>
        <w:ind w:right="160" w:firstLine="648"/>
        <w:spacing w:after="0" w:line="34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wish to resolve any and all disputes, claims, complaints, grievances, charges, actions, petitions and demands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09" w:lineRule="exact"/>
        <w:rPr>
          <w:sz w:val="20"/>
          <w:szCs w:val="20"/>
          <w:color w:val="auto"/>
        </w:rPr>
      </w:pPr>
    </w:p>
    <w:p>
      <w:pPr>
        <w:ind w:right="14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including the mutual promises and covenants made herein,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Executive hereby agree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w:t>
      </w:r>
    </w:p>
    <w:p>
      <w:pPr>
        <w:spacing w:after="0" w:line="222" w:lineRule="exact"/>
        <w:rPr>
          <w:sz w:val="20"/>
          <w:szCs w:val="20"/>
          <w:color w:val="auto"/>
        </w:rPr>
      </w:pPr>
    </w:p>
    <w:p>
      <w:pPr>
        <w:ind w:left="980" w:hanging="324"/>
        <w:spacing w:after="0"/>
        <w:tabs>
          <w:tab w:leader="none" w:pos="980" w:val="left"/>
        </w:tabs>
        <w:numPr>
          <w:ilvl w:val="0"/>
          <w:numId w:val="143"/>
        </w:numPr>
        <w:rPr>
          <w:rFonts w:ascii="Arial" w:cs="Arial" w:eastAsia="Arial" w:hAnsi="Arial"/>
          <w:sz w:val="20"/>
          <w:szCs w:val="20"/>
          <w:color w:val="010000"/>
        </w:rPr>
      </w:pPr>
      <w:r>
        <w:rPr>
          <w:rFonts w:ascii="Arial" w:cs="Arial" w:eastAsia="Arial" w:hAnsi="Arial"/>
          <w:sz w:val="20"/>
          <w:szCs w:val="20"/>
          <w:u w:val="single" w:color="auto"/>
          <w:color w:val="auto"/>
        </w:rPr>
        <w:t>Termination</w:t>
      </w:r>
      <w:r>
        <w:rPr>
          <w:rFonts w:ascii="Arial" w:cs="Arial" w:eastAsia="Arial" w:hAnsi="Arial"/>
          <w:sz w:val="20"/>
          <w:szCs w:val="20"/>
          <w:color w:val="auto"/>
        </w:rPr>
        <w:t>. Executive’s employment with the Company terminated on the Termination Date.</w:t>
      </w:r>
    </w:p>
    <w:p>
      <w:pPr>
        <w:spacing w:after="0" w:line="215" w:lineRule="exact"/>
        <w:rPr>
          <w:rFonts w:ascii="Arial" w:cs="Arial" w:eastAsia="Arial" w:hAnsi="Arial"/>
          <w:sz w:val="20"/>
          <w:szCs w:val="20"/>
          <w:color w:val="010000"/>
        </w:rPr>
      </w:pPr>
    </w:p>
    <w:p>
      <w:pPr>
        <w:ind w:firstLine="656"/>
        <w:spacing w:after="0" w:line="278" w:lineRule="auto"/>
        <w:tabs>
          <w:tab w:leader="none" w:pos="977" w:val="left"/>
        </w:tabs>
        <w:numPr>
          <w:ilvl w:val="0"/>
          <w:numId w:val="143"/>
        </w:numPr>
        <w:rPr>
          <w:rFonts w:ascii="Arial" w:cs="Arial" w:eastAsia="Arial" w:hAnsi="Arial"/>
          <w:sz w:val="18"/>
          <w:szCs w:val="18"/>
          <w:color w:val="010000"/>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65" w:lineRule="exact"/>
        <w:rPr>
          <w:rFonts w:ascii="Arial" w:cs="Arial" w:eastAsia="Arial" w:hAnsi="Arial"/>
          <w:sz w:val="18"/>
          <w:szCs w:val="18"/>
          <w:color w:val="010000"/>
        </w:rPr>
      </w:pPr>
    </w:p>
    <w:p>
      <w:pPr>
        <w:ind w:right="20" w:firstLine="656"/>
        <w:spacing w:after="0" w:line="260" w:lineRule="auto"/>
        <w:tabs>
          <w:tab w:leader="none" w:pos="977" w:val="left"/>
        </w:tabs>
        <w:numPr>
          <w:ilvl w:val="0"/>
          <w:numId w:val="143"/>
        </w:numPr>
        <w:rPr>
          <w:rFonts w:ascii="Arial" w:cs="Arial" w:eastAsia="Arial" w:hAnsi="Arial"/>
          <w:sz w:val="20"/>
          <w:szCs w:val="20"/>
          <w:color w:val="010000"/>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Executive agrees that the consideration to be paid in accordance with the terms and conditions of the Severance Agreement represents settlement in full of all outstanding</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1F1D23"/>
        </w:rPr>
        <w:t>A-1</w:t>
      </w:r>
    </w:p>
    <w:p>
      <w:pPr>
        <w:sectPr>
          <w:pgSz w:w="11900" w:h="16838" w:orient="portrait"/>
          <w:cols w:equalWidth="0" w:num="1">
            <w:col w:w="11380"/>
          </w:cols>
          <w:pgMar w:left="240" w:top="805" w:right="279" w:bottom="1440" w:gutter="0" w:footer="0" w:header="0"/>
        </w:sectPr>
      </w:pPr>
    </w:p>
    <w:bookmarkStart w:id="125" w:name="page126"/>
    <w:bookmarkEnd w:id="125"/>
    <w:p>
      <w:pPr>
        <w:spacing w:after="0" w:line="257" w:lineRule="auto"/>
        <w:rPr>
          <w:sz w:val="20"/>
          <w:szCs w:val="20"/>
          <w:color w:val="auto"/>
        </w:rPr>
      </w:pPr>
      <w:r>
        <w:rPr>
          <w:rFonts w:ascii="Arial" w:cs="Arial" w:eastAsia="Arial" w:hAnsi="Arial"/>
          <w:sz w:val="19"/>
          <w:szCs w:val="19"/>
          <w:color w:val="auto"/>
        </w:rPr>
        <w:t>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81" w:lineRule="exact"/>
        <w:rPr>
          <w:sz w:val="20"/>
          <w:szCs w:val="20"/>
          <w:color w:val="auto"/>
        </w:rPr>
      </w:pPr>
    </w:p>
    <w:p>
      <w:pPr>
        <w:ind w:left="1700" w:hanging="395"/>
        <w:spacing w:after="0"/>
        <w:tabs>
          <w:tab w:leader="none" w:pos="1700"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any and all claims relating to or arising from Executive’s employment relationship with the Company and the termination</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of that relationship;</w:t>
      </w:r>
    </w:p>
    <w:p>
      <w:pPr>
        <w:spacing w:after="0" w:line="199" w:lineRule="exact"/>
        <w:rPr>
          <w:rFonts w:ascii="Arial" w:cs="Arial" w:eastAsia="Arial" w:hAnsi="Arial"/>
          <w:sz w:val="18"/>
          <w:szCs w:val="18"/>
          <w:color w:val="010000"/>
        </w:rPr>
      </w:pPr>
    </w:p>
    <w:p>
      <w:pPr>
        <w:ind w:right="20" w:firstLine="1305"/>
        <w:spacing w:after="0" w:line="250" w:lineRule="auto"/>
        <w:tabs>
          <w:tab w:leader="none" w:pos="1707" w:val="left"/>
        </w:tabs>
        <w:numPr>
          <w:ilvl w:val="0"/>
          <w:numId w:val="144"/>
        </w:numPr>
        <w:rPr>
          <w:rFonts w:ascii="Arial" w:cs="Arial" w:eastAsia="Arial" w:hAnsi="Arial"/>
          <w:sz w:val="20"/>
          <w:szCs w:val="20"/>
          <w:color w:val="010000"/>
        </w:rPr>
      </w:pPr>
      <w:r>
        <w:rPr>
          <w:rFonts w:ascii="Arial" w:cs="Arial" w:eastAsia="Arial" w:hAnsi="Arial"/>
          <w:sz w:val="20"/>
          <w:szCs w:val="20"/>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6" w:lineRule="exact"/>
        <w:rPr>
          <w:rFonts w:ascii="Arial" w:cs="Arial" w:eastAsia="Arial" w:hAnsi="Arial"/>
          <w:sz w:val="20"/>
          <w:szCs w:val="20"/>
          <w:color w:val="010000"/>
        </w:rPr>
      </w:pPr>
    </w:p>
    <w:p>
      <w:pPr>
        <w:ind w:right="340" w:firstLine="1305"/>
        <w:spacing w:after="0" w:line="278" w:lineRule="auto"/>
        <w:tabs>
          <w:tab w:leader="none" w:pos="1696"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010000"/>
        </w:rPr>
      </w:pPr>
    </w:p>
    <w:p>
      <w:pPr>
        <w:ind w:right="80" w:firstLine="1305"/>
        <w:spacing w:after="0" w:line="263" w:lineRule="auto"/>
        <w:tabs>
          <w:tab w:leader="none" w:pos="1707" w:val="left"/>
        </w:tabs>
        <w:numPr>
          <w:ilvl w:val="0"/>
          <w:numId w:val="144"/>
        </w:numPr>
        <w:rPr>
          <w:rFonts w:ascii="Arial" w:cs="Arial" w:eastAsia="Arial" w:hAnsi="Arial"/>
          <w:sz w:val="19"/>
          <w:szCs w:val="19"/>
          <w:color w:val="010000"/>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of2002; [the California Family Rights Act]; [the California Labor Code]; [the California Workers’ Compensation Act]; and [the California Fair Employment and Housing Act];</w:t>
      </w:r>
      <w:r>
        <w:rPr>
          <w:rFonts w:ascii="Arial" w:cs="Arial" w:eastAsia="Arial" w:hAnsi="Arial"/>
          <w:sz w:val="24"/>
          <w:szCs w:val="24"/>
          <w:color w:val="auto"/>
          <w:vertAlign w:val="superscript"/>
        </w:rPr>
        <w:t>1</w:t>
      </w:r>
    </w:p>
    <w:p>
      <w:pPr>
        <w:spacing w:after="0" w:line="97" w:lineRule="exact"/>
        <w:rPr>
          <w:sz w:val="20"/>
          <w:szCs w:val="20"/>
          <w:color w:val="auto"/>
        </w:rPr>
      </w:pPr>
    </w:p>
    <w:p>
      <w:pPr>
        <w:ind w:right="8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ind w:left="1700" w:hanging="395"/>
        <w:spacing w:after="0"/>
        <w:tabs>
          <w:tab w:leader="none" w:pos="1700"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010000"/>
        </w:rPr>
      </w:pPr>
    </w:p>
    <w:p>
      <w:pPr>
        <w:ind w:left="1680" w:hanging="375"/>
        <w:spacing w:after="0"/>
        <w:tabs>
          <w:tab w:leader="none" w:pos="1680"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010000"/>
        </w:rPr>
      </w:pPr>
    </w:p>
    <w:p>
      <w:pPr>
        <w:ind w:right="680" w:firstLine="1305"/>
        <w:spacing w:after="0" w:line="260" w:lineRule="auto"/>
        <w:tabs>
          <w:tab w:leader="none" w:pos="1707"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any claim for any loss, cost, damage, or expense arising out of any dispute over the non- withholding or other tax treatment of any of the proceeds received by Executive as a result of this Agreement; and</w:t>
      </w:r>
    </w:p>
    <w:p>
      <w:pPr>
        <w:spacing w:after="0" w:line="176" w:lineRule="exact"/>
        <w:rPr>
          <w:rFonts w:ascii="Arial" w:cs="Arial" w:eastAsia="Arial" w:hAnsi="Arial"/>
          <w:sz w:val="20"/>
          <w:szCs w:val="20"/>
          <w:color w:val="010000"/>
        </w:rPr>
      </w:pPr>
    </w:p>
    <w:p>
      <w:pPr>
        <w:ind w:left="1720" w:hanging="415"/>
        <w:spacing w:after="0"/>
        <w:tabs>
          <w:tab w:leader="none" w:pos="1720"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 xml:space="preserve">Executive agrees that the release set forth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will be and remain in effect in all respects as a complete general release as to the matters released. The Release does not extend to any severance obligations due Executive under the Severance Agreement. The Release does not release claims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360"/>
          </w:cols>
          <w:pgMar w:left="240" w:top="595" w:right="299" w:bottom="1440" w:gutter="0" w:footer="0" w:header="0"/>
        </w:sectPr>
      </w:pPr>
    </w:p>
    <w:bookmarkStart w:id="126" w:name="page127"/>
    <w:bookmarkEnd w:id="126"/>
    <w:p>
      <w:pPr>
        <w:ind w:right="80"/>
        <w:spacing w:after="0" w:line="246" w:lineRule="auto"/>
        <w:rPr>
          <w:sz w:val="20"/>
          <w:szCs w:val="20"/>
          <w:color w:val="auto"/>
        </w:rPr>
      </w:pPr>
      <w:r>
        <w:rPr>
          <w:rFonts w:ascii="Arial" w:cs="Arial" w:eastAsia="Arial" w:hAnsi="Arial"/>
          <w:sz w:val="20"/>
          <w:szCs w:val="20"/>
          <w:color w:val="auto"/>
        </w:rPr>
        <w:t>that cannot be released as a matter of law. Executive represents that Executive has made no assignment or transfer of any right, claim, complaint, charge, duty, obligation, demand, cause of action, or other matter waived or released by this Section 3. Nothing in this Agreement waives Executive’s rights to indemnification or any payments under any fiduciary insurance policy, if any, provided by any act or agreement of the Company, state or federal law or policy of insurance.</w:t>
      </w:r>
    </w:p>
    <w:p>
      <w:pPr>
        <w:spacing w:after="0" w:line="192" w:lineRule="exact"/>
        <w:rPr>
          <w:sz w:val="20"/>
          <w:szCs w:val="20"/>
          <w:color w:val="auto"/>
        </w:rPr>
      </w:pPr>
    </w:p>
    <w:p>
      <w:pPr>
        <w:ind w:firstLine="656"/>
        <w:spacing w:after="0" w:line="258" w:lineRule="auto"/>
        <w:tabs>
          <w:tab w:leader="none" w:pos="995" w:val="left"/>
        </w:tabs>
        <w:numPr>
          <w:ilvl w:val="1"/>
          <w:numId w:val="146"/>
        </w:numPr>
        <w:rPr>
          <w:rFonts w:ascii="Arial" w:cs="Arial" w:eastAsia="Arial" w:hAnsi="Arial"/>
          <w:sz w:val="19"/>
          <w:szCs w:val="19"/>
          <w:color w:val="auto"/>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9" w:lineRule="exact"/>
        <w:rPr>
          <w:rFonts w:ascii="Arial" w:cs="Arial" w:eastAsia="Arial" w:hAnsi="Arial"/>
          <w:sz w:val="19"/>
          <w:szCs w:val="19"/>
          <w:color w:val="auto"/>
        </w:rPr>
      </w:pPr>
    </w:p>
    <w:p>
      <w:pPr>
        <w:ind w:right="40" w:firstLine="656"/>
        <w:spacing w:after="0" w:line="269" w:lineRule="auto"/>
        <w:tabs>
          <w:tab w:leader="none" w:pos="995"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acknowledges that Executive is waiving and releasing any rights Executive may have under the Age Discrimination in Employment Act of 1967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w:t>
      </w:r>
    </w:p>
    <w:p>
      <w:pPr>
        <w:spacing w:after="0" w:line="3" w:lineRule="exact"/>
        <w:rPr>
          <w:rFonts w:ascii="Arial" w:cs="Arial" w:eastAsia="Arial" w:hAnsi="Arial"/>
          <w:sz w:val="18"/>
          <w:szCs w:val="18"/>
          <w:color w:val="auto"/>
        </w:rPr>
      </w:pPr>
    </w:p>
    <w:p>
      <w:pPr>
        <w:ind w:right="20" w:firstLine="8"/>
        <w:spacing w:after="0" w:line="273" w:lineRule="auto"/>
        <w:tabs>
          <w:tab w:leader="none" w:pos="2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Executive should consult with an attorney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Arial" w:cs="Arial" w:eastAsia="Arial" w:hAnsi="Arial"/>
          <w:sz w:val="23"/>
          <w:szCs w:val="23"/>
          <w:color w:val="auto"/>
          <w:vertAlign w:val="superscript"/>
        </w:rPr>
        <w:t>2</w:t>
      </w:r>
    </w:p>
    <w:p>
      <w:pPr>
        <w:spacing w:after="0" w:line="90"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167" w:lineRule="exact"/>
        <w:rPr>
          <w:sz w:val="20"/>
          <w:szCs w:val="20"/>
          <w:color w:val="auto"/>
        </w:rPr>
      </w:pPr>
    </w:p>
    <w:p>
      <w:pPr>
        <w:ind w:right="80" w:firstLine="656"/>
        <w:spacing w:after="0" w:line="250" w:lineRule="auto"/>
        <w:tabs>
          <w:tab w:leader="none" w:pos="995"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California Civil Code Section 1542</w:t>
      </w:r>
      <w:r>
        <w:rPr>
          <w:rFonts w:ascii="Arial" w:cs="Arial" w:eastAsia="Arial" w:hAnsi="Arial"/>
          <w:sz w:val="20"/>
          <w:szCs w:val="20"/>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86" w:lineRule="exact"/>
        <w:rPr>
          <w:sz w:val="20"/>
          <w:szCs w:val="20"/>
          <w:color w:val="auto"/>
        </w:rPr>
      </w:pPr>
    </w:p>
    <w:p>
      <w:pPr>
        <w:ind w:left="1300" w:right="20"/>
        <w:spacing w:after="0" w:line="269"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Executive, being aware of California Civil Code Section 1542, agrees to expressly waive any rights Executive may have thereunder, as well as under any other statute or common law principles of similar effect.</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595" w:right="239" w:bottom="1440" w:gutter="0" w:footer="0" w:header="0"/>
        </w:sectPr>
      </w:pPr>
    </w:p>
    <w:bookmarkStart w:id="127" w:name="page128"/>
    <w:bookmarkEnd w:id="127"/>
    <w:p>
      <w:pPr>
        <w:ind w:left="660"/>
        <w:spacing w:after="0"/>
        <w:rPr>
          <w:sz w:val="20"/>
          <w:szCs w:val="20"/>
          <w:color w:val="auto"/>
        </w:rPr>
      </w:pPr>
      <w:r>
        <w:rPr>
          <w:rFonts w:ascii="Arial" w:cs="Arial" w:eastAsia="Arial" w:hAnsi="Arial"/>
          <w:sz w:val="20"/>
          <w:szCs w:val="20"/>
          <w:b w:val="1"/>
          <w:bCs w:val="1"/>
          <w:i w:val="1"/>
          <w:iCs w:val="1"/>
          <w:color w:val="auto"/>
        </w:rPr>
        <w:t>OR</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u w:val="single" w:color="auto"/>
          <w:color w:val="auto"/>
        </w:rPr>
        <w:t>Unknown Claims</w:t>
      </w:r>
      <w:r>
        <w:rPr>
          <w:rFonts w:ascii="Arial" w:cs="Arial" w:eastAsia="Arial" w:hAnsi="Arial"/>
          <w:sz w:val="20"/>
          <w:szCs w:val="20"/>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5"/>
          <w:szCs w:val="25"/>
          <w:color w:val="auto"/>
          <w:vertAlign w:val="superscript"/>
        </w:rPr>
        <w:t>3</w:t>
      </w:r>
    </w:p>
    <w:p>
      <w:pPr>
        <w:spacing w:after="0" w:line="109" w:lineRule="exact"/>
        <w:rPr>
          <w:sz w:val="20"/>
          <w:szCs w:val="20"/>
          <w:color w:val="auto"/>
        </w:rPr>
      </w:pPr>
    </w:p>
    <w:p>
      <w:pPr>
        <w:ind w:right="60"/>
        <w:spacing w:after="0" w:line="229"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 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01" w:lineRule="exact"/>
        <w:rPr>
          <w:sz w:val="20"/>
          <w:szCs w:val="20"/>
          <w:color w:val="auto"/>
        </w:rPr>
      </w:pPr>
    </w:p>
    <w:p>
      <w:pPr>
        <w:ind w:right="180" w:firstLine="656"/>
        <w:spacing w:after="0" w:line="246" w:lineRule="auto"/>
        <w:tabs>
          <w:tab w:leader="none" w:pos="995"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No Pending or Future Lawsuits</w:t>
      </w:r>
      <w:r>
        <w:rPr>
          <w:rFonts w:ascii="Arial" w:cs="Arial" w:eastAsia="Arial" w:hAnsi="Arial"/>
          <w:sz w:val="20"/>
          <w:szCs w:val="20"/>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91" w:lineRule="exact"/>
        <w:rPr>
          <w:rFonts w:ascii="Arial" w:cs="Arial" w:eastAsia="Arial" w:hAnsi="Arial"/>
          <w:sz w:val="20"/>
          <w:szCs w:val="20"/>
          <w:color w:val="auto"/>
        </w:rPr>
      </w:pPr>
    </w:p>
    <w:p>
      <w:pPr>
        <w:ind w:right="740" w:firstLine="656"/>
        <w:spacing w:after="0" w:line="260" w:lineRule="auto"/>
        <w:tabs>
          <w:tab w:leader="none" w:pos="995"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Sufficiency of Consideration</w:t>
      </w:r>
      <w:r>
        <w:rPr>
          <w:rFonts w:ascii="Arial" w:cs="Arial" w:eastAsia="Arial" w:hAnsi="Arial"/>
          <w:sz w:val="20"/>
          <w:szCs w:val="20"/>
          <w:color w:val="auto"/>
        </w:rPr>
        <w:t>. Executive hereby acknowledges and agrees that Executive has received good and sufficient consideration for every promise, duty, release, obligation, agreement and right contained in this Release.</w:t>
      </w:r>
    </w:p>
    <w:p>
      <w:pPr>
        <w:spacing w:after="0" w:line="176" w:lineRule="exact"/>
        <w:rPr>
          <w:rFonts w:ascii="Arial" w:cs="Arial" w:eastAsia="Arial" w:hAnsi="Arial"/>
          <w:sz w:val="20"/>
          <w:szCs w:val="20"/>
          <w:color w:val="auto"/>
        </w:rPr>
      </w:pPr>
    </w:p>
    <w:p>
      <w:pPr>
        <w:ind w:firstLine="656"/>
        <w:spacing w:after="0" w:line="276" w:lineRule="auto"/>
        <w:tabs>
          <w:tab w:leader="none" w:pos="99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65" w:lineRule="exact"/>
        <w:rPr>
          <w:rFonts w:ascii="Arial" w:cs="Arial" w:eastAsia="Arial" w:hAnsi="Arial"/>
          <w:sz w:val="18"/>
          <w:szCs w:val="18"/>
          <w:color w:val="auto"/>
        </w:rPr>
      </w:pPr>
    </w:p>
    <w:p>
      <w:pPr>
        <w:ind w:right="60" w:firstLine="656"/>
        <w:spacing w:after="0" w:line="273" w:lineRule="auto"/>
        <w:tabs>
          <w:tab w:leader="none" w:pos="109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 Passwords and Password-protected Documents</w:t>
      </w:r>
      <w:r>
        <w:rPr>
          <w:rFonts w:ascii="Arial" w:cs="Arial" w:eastAsia="Arial" w:hAnsi="Arial"/>
          <w:sz w:val="18"/>
          <w:szCs w:val="18"/>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9" w:lineRule="exact"/>
        <w:rPr>
          <w:rFonts w:ascii="Arial" w:cs="Arial" w:eastAsia="Arial" w:hAnsi="Arial"/>
          <w:sz w:val="18"/>
          <w:szCs w:val="18"/>
          <w:color w:val="auto"/>
        </w:rPr>
      </w:pPr>
    </w:p>
    <w:p>
      <w:pPr>
        <w:ind w:firstLine="656"/>
        <w:spacing w:after="0" w:line="278" w:lineRule="auto"/>
        <w:tabs>
          <w:tab w:leader="none" w:pos="108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360"/>
          </w:cols>
          <w:pgMar w:left="240" w:top="595" w:right="299" w:bottom="1440" w:gutter="0" w:footer="0" w:header="0"/>
        </w:sectPr>
      </w:pPr>
    </w:p>
    <w:bookmarkStart w:id="128" w:name="page129"/>
    <w:bookmarkEnd w:id="128"/>
    <w:p>
      <w:pPr>
        <w:ind w:right="380" w:firstLine="656"/>
        <w:spacing w:after="0" w:line="260" w:lineRule="auto"/>
        <w:tabs>
          <w:tab w:leader="none" w:pos="1094"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6" w:lineRule="exact"/>
        <w:rPr>
          <w:rFonts w:ascii="Arial" w:cs="Arial" w:eastAsia="Arial" w:hAnsi="Arial"/>
          <w:sz w:val="20"/>
          <w:szCs w:val="20"/>
          <w:color w:val="auto"/>
        </w:rPr>
      </w:pPr>
    </w:p>
    <w:p>
      <w:pPr>
        <w:ind w:right="200" w:firstLine="656"/>
        <w:spacing w:after="0" w:line="272" w:lineRule="auto"/>
        <w:tabs>
          <w:tab w:leader="none" w:pos="1094"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 acknowledgment or admission by the Company of any fault or liability whatsoever to Executive or to any third party.</w:t>
      </w:r>
    </w:p>
    <w:p>
      <w:pPr>
        <w:spacing w:after="0" w:line="199" w:lineRule="exact"/>
        <w:rPr>
          <w:rFonts w:ascii="Arial" w:cs="Arial" w:eastAsia="Arial" w:hAnsi="Arial"/>
          <w:sz w:val="20"/>
          <w:szCs w:val="20"/>
          <w:color w:val="auto"/>
        </w:rPr>
      </w:pPr>
    </w:p>
    <w:p>
      <w:pPr>
        <w:ind w:right="60" w:firstLine="656"/>
        <w:spacing w:after="0" w:line="246" w:lineRule="auto"/>
        <w:tabs>
          <w:tab w:leader="none" w:pos="1094"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Solicitation of Employees</w:t>
      </w:r>
      <w:r>
        <w:rPr>
          <w:rFonts w:ascii="Arial" w:cs="Arial" w:eastAsia="Arial" w:hAnsi="Arial"/>
          <w:sz w:val="20"/>
          <w:szCs w:val="20"/>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91" w:lineRule="exact"/>
        <w:rPr>
          <w:rFonts w:ascii="Arial" w:cs="Arial" w:eastAsia="Arial" w:hAnsi="Arial"/>
          <w:sz w:val="20"/>
          <w:szCs w:val="20"/>
          <w:color w:val="auto"/>
        </w:rPr>
      </w:pPr>
    </w:p>
    <w:p>
      <w:pPr>
        <w:ind w:left="1100" w:hanging="444"/>
        <w:spacing w:after="0"/>
        <w:tabs>
          <w:tab w:leader="none" w:pos="1100" w:val="left"/>
        </w:tabs>
        <w:numPr>
          <w:ilvl w:val="1"/>
          <w:numId w:val="151"/>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Agreement.</w:t>
      </w:r>
    </w:p>
    <w:p>
      <w:pPr>
        <w:spacing w:after="0" w:line="199" w:lineRule="exact"/>
        <w:rPr>
          <w:rFonts w:ascii="Arial" w:cs="Arial" w:eastAsia="Arial" w:hAnsi="Arial"/>
          <w:sz w:val="16"/>
          <w:szCs w:val="16"/>
          <w:color w:val="auto"/>
        </w:rPr>
      </w:pPr>
    </w:p>
    <w:p>
      <w:pPr>
        <w:ind w:firstLine="656"/>
        <w:spacing w:after="0" w:line="254" w:lineRule="auto"/>
        <w:tabs>
          <w:tab w:leader="none" w:pos="1094"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PURSUANT TO ITS EMPLOYMENT ARBITRATION RULES &amp; PROCEDURES (“</w:t>
      </w:r>
      <w:r>
        <w:rPr>
          <w:rFonts w:ascii="Arial" w:cs="Arial" w:eastAsia="Arial" w:hAnsi="Arial"/>
          <w:sz w:val="19"/>
          <w:szCs w:val="19"/>
          <w:b w:val="1"/>
          <w:bCs w:val="1"/>
          <w:i w:val="1"/>
          <w:iCs w:val="1"/>
          <w:color w:val="auto"/>
        </w:rPr>
        <w:t>JAMS RULES</w:t>
      </w:r>
      <w:r>
        <w:rPr>
          <w:rFonts w:ascii="Arial" w:cs="Arial" w:eastAsia="Arial" w:hAnsi="Arial"/>
          <w:sz w:val="19"/>
          <w:szCs w:val="19"/>
          <w:color w:val="auto"/>
        </w:rPr>
        <w:t xml:space="preserve">”).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Arial" w:cs="Arial" w:eastAsia="Arial" w:hAnsi="Arial"/>
          <w:sz w:val="24"/>
          <w:szCs w:val="24"/>
          <w:color w:val="auto"/>
          <w:vertAlign w:val="superscript"/>
        </w:rPr>
        <w:t>4</w:t>
      </w:r>
    </w:p>
    <w:p>
      <w:pPr>
        <w:spacing w:after="0" w:line="122" w:lineRule="exact"/>
        <w:rPr>
          <w:sz w:val="20"/>
          <w:szCs w:val="20"/>
          <w:color w:val="auto"/>
        </w:rPr>
      </w:pPr>
    </w:p>
    <w:p>
      <w:pPr>
        <w:ind w:right="520"/>
        <w:spacing w:after="0" w:line="216"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18"/>
          <w:szCs w:val="18"/>
          <w:color w:val="auto"/>
        </w:rPr>
        <w:t>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380"/>
          </w:cols>
          <w:pgMar w:left="240" w:top="595" w:right="279" w:bottom="1440" w:gutter="0" w:footer="0" w:header="0"/>
        </w:sectPr>
      </w:pPr>
    </w:p>
    <w:bookmarkStart w:id="129" w:name="page130"/>
    <w:bookmarkEnd w:id="129"/>
    <w:p>
      <w:pPr>
        <w:ind w:right="60" w:firstLine="656"/>
        <w:spacing w:after="0" w:line="260" w:lineRule="auto"/>
        <w:tabs>
          <w:tab w:leader="none" w:pos="109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0" w:lineRule="exact"/>
        <w:rPr>
          <w:rFonts w:ascii="Arial" w:cs="Arial" w:eastAsia="Arial" w:hAnsi="Arial"/>
          <w:sz w:val="19"/>
          <w:szCs w:val="19"/>
          <w:color w:val="auto"/>
        </w:rPr>
      </w:pPr>
    </w:p>
    <w:p>
      <w:pPr>
        <w:ind w:right="320" w:firstLine="656"/>
        <w:spacing w:after="0" w:line="250" w:lineRule="auto"/>
        <w:tabs>
          <w:tab w:leader="none" w:pos="1094"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No Representations</w:t>
      </w:r>
      <w:r>
        <w:rPr>
          <w:rFonts w:ascii="Arial" w:cs="Arial" w:eastAsia="Arial" w:hAnsi="Arial"/>
          <w:sz w:val="20"/>
          <w:szCs w:val="20"/>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6" w:lineRule="exact"/>
        <w:rPr>
          <w:rFonts w:ascii="Arial" w:cs="Arial" w:eastAsia="Arial" w:hAnsi="Arial"/>
          <w:sz w:val="20"/>
          <w:szCs w:val="20"/>
          <w:color w:val="auto"/>
        </w:rPr>
      </w:pPr>
    </w:p>
    <w:p>
      <w:pPr>
        <w:ind w:right="20" w:firstLine="656"/>
        <w:spacing w:after="0" w:line="250" w:lineRule="auto"/>
        <w:tabs>
          <w:tab w:leader="none" w:pos="1094"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6" w:lineRule="exact"/>
        <w:rPr>
          <w:rFonts w:ascii="Arial" w:cs="Arial" w:eastAsia="Arial" w:hAnsi="Arial"/>
          <w:sz w:val="20"/>
          <w:szCs w:val="20"/>
          <w:color w:val="auto"/>
        </w:rPr>
      </w:pPr>
    </w:p>
    <w:p>
      <w:pPr>
        <w:ind w:right="60" w:firstLine="656"/>
        <w:spacing w:after="0" w:line="260" w:lineRule="auto"/>
        <w:tabs>
          <w:tab w:leader="none" w:pos="109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0" w:lineRule="exact"/>
        <w:rPr>
          <w:rFonts w:ascii="Arial" w:cs="Arial" w:eastAsia="Arial" w:hAnsi="Arial"/>
          <w:sz w:val="19"/>
          <w:szCs w:val="19"/>
          <w:color w:val="auto"/>
        </w:rPr>
      </w:pPr>
    </w:p>
    <w:p>
      <w:pPr>
        <w:ind w:right="240" w:firstLine="656"/>
        <w:spacing w:after="0" w:line="260" w:lineRule="auto"/>
        <w:tabs>
          <w:tab w:leader="none" w:pos="1094"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writing signed by Executive and the Chairman of the Board of Directors of the Company.</w:t>
      </w:r>
    </w:p>
    <w:p>
      <w:pPr>
        <w:spacing w:after="0" w:line="176" w:lineRule="exact"/>
        <w:rPr>
          <w:rFonts w:ascii="Arial" w:cs="Arial" w:eastAsia="Arial" w:hAnsi="Arial"/>
          <w:sz w:val="20"/>
          <w:szCs w:val="20"/>
          <w:color w:val="auto"/>
        </w:rPr>
      </w:pPr>
    </w:p>
    <w:p>
      <w:pPr>
        <w:ind w:right="660" w:firstLine="656"/>
        <w:spacing w:after="0" w:line="276" w:lineRule="auto"/>
        <w:tabs>
          <w:tab w:leader="none" w:pos="1094"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Agreement will be governed by the laws of the State of California, without regard for choice-of-law provisions. Executive consents to personal and exclusive jurisdiction and venue in the State of California. </w:t>
      </w:r>
      <w:r>
        <w:rPr>
          <w:rFonts w:ascii="Arial" w:cs="Arial" w:eastAsia="Arial" w:hAnsi="Arial"/>
          <w:sz w:val="25"/>
          <w:szCs w:val="25"/>
          <w:color w:val="auto"/>
          <w:vertAlign w:val="superscript"/>
        </w:rPr>
        <w:t>5</w:t>
      </w:r>
    </w:p>
    <w:p>
      <w:pPr>
        <w:spacing w:after="0" w:line="80" w:lineRule="exact"/>
        <w:rPr>
          <w:sz w:val="20"/>
          <w:szCs w:val="20"/>
          <w:color w:val="auto"/>
        </w:rPr>
      </w:pPr>
    </w:p>
    <w:p>
      <w:pPr>
        <w:ind w:right="660"/>
        <w:spacing w:after="0" w:line="222"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20"/>
          <w:szCs w:val="20"/>
          <w:color w:val="auto"/>
        </w:rPr>
        <w:t>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26" w:lineRule="exact"/>
        <w:rPr>
          <w:sz w:val="20"/>
          <w:szCs w:val="20"/>
          <w:color w:val="auto"/>
        </w:rPr>
      </w:pPr>
    </w:p>
    <w:p>
      <w:pPr>
        <w:ind w:right="80" w:firstLine="656"/>
        <w:spacing w:after="0" w:line="265" w:lineRule="auto"/>
        <w:tabs>
          <w:tab w:leader="none" w:pos="1094"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3"/>
          <w:szCs w:val="23"/>
          <w:color w:val="auto"/>
          <w:vertAlign w:val="superscript"/>
        </w:rPr>
        <w:t>th</w:t>
      </w:r>
      <w:r>
        <w:rPr>
          <w:rFonts w:ascii="Arial" w:cs="Arial" w:eastAsia="Arial" w:hAnsi="Arial"/>
          <w:sz w:val="18"/>
          <w:szCs w:val="18"/>
          <w:color w:val="auto"/>
        </w:rPr>
        <w:t>) day after Executive signed this Agreement, so long as it has been signed by the Parties and has not been revoked by either Party before that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[This Agreement will be effective after it has been signed or executed by both Parties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w:t>
      </w:r>
      <w:r>
        <w:rPr>
          <w:rFonts w:ascii="Arial" w:cs="Arial" w:eastAsia="Arial" w:hAnsi="Arial"/>
          <w:sz w:val="23"/>
          <w:szCs w:val="23"/>
          <w:color w:val="auto"/>
          <w:vertAlign w:val="superscript"/>
        </w:rPr>
        <w:t>7</w:t>
      </w:r>
    </w:p>
    <w:p>
      <w:pPr>
        <w:spacing w:after="0" w:line="46"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6</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rPr>
          <w:sz w:val="20"/>
          <w:szCs w:val="20"/>
          <w:color w:val="auto"/>
        </w:rPr>
      </w:pPr>
      <w:r>
        <w:rPr>
          <w:rFonts w:ascii="Arial" w:cs="Arial" w:eastAsia="Arial" w:hAnsi="Arial"/>
          <w:sz w:val="24"/>
          <w:szCs w:val="24"/>
          <w:color w:val="auto"/>
          <w:vertAlign w:val="superscript"/>
        </w:rPr>
        <w:t>7</w:t>
      </w:r>
      <w:r>
        <w:rPr>
          <w:rFonts w:ascii="Arial" w:cs="Arial" w:eastAsia="Arial" w:hAnsi="Arial"/>
          <w:sz w:val="17"/>
          <w:szCs w:val="17"/>
          <w:color w:val="auto"/>
        </w:rPr>
        <w:t>This provision will only be included in this Agreement if Executive is under the age of 40 at the time Executive’s employment relationship is terminated.</w:t>
      </w:r>
    </w:p>
    <w:p>
      <w:pPr>
        <w:spacing w:after="0" w:line="144" w:lineRule="exact"/>
        <w:rPr>
          <w:sz w:val="20"/>
          <w:szCs w:val="20"/>
          <w:color w:val="auto"/>
        </w:rPr>
      </w:pPr>
    </w:p>
    <w:p>
      <w:pPr>
        <w:ind w:right="20" w:firstLine="656"/>
        <w:spacing w:after="0" w:line="287" w:lineRule="auto"/>
        <w:tabs>
          <w:tab w:leader="none" w:pos="1094"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52" w:lineRule="exact"/>
        <w:rPr>
          <w:rFonts w:ascii="Arial" w:cs="Arial" w:eastAsia="Arial" w:hAnsi="Arial"/>
          <w:sz w:val="19"/>
          <w:szCs w:val="19"/>
          <w:color w:val="auto"/>
        </w:rPr>
      </w:pPr>
    </w:p>
    <w:p>
      <w:pPr>
        <w:ind w:firstLine="656"/>
        <w:spacing w:after="0" w:line="250" w:lineRule="auto"/>
        <w:tabs>
          <w:tab w:leader="none" w:pos="1094"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Voluntary Execution of Agreement</w:t>
      </w:r>
      <w:r>
        <w:rPr>
          <w:rFonts w:ascii="Arial" w:cs="Arial" w:eastAsia="Arial" w:hAnsi="Arial"/>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6" w:lineRule="exact"/>
        <w:rPr>
          <w:rFonts w:ascii="Arial" w:cs="Arial" w:eastAsia="Arial" w:hAnsi="Arial"/>
          <w:sz w:val="20"/>
          <w:szCs w:val="20"/>
          <w:color w:val="auto"/>
        </w:rPr>
      </w:pPr>
    </w:p>
    <w:p>
      <w:pPr>
        <w:ind w:left="1960" w:hanging="655"/>
        <w:spacing w:after="0"/>
        <w:tabs>
          <w:tab w:leader="none" w:pos="196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Executive has read this Agreement;</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420"/>
          </w:cols>
          <w:pgMar w:left="240" w:top="595" w:right="239" w:bottom="1440" w:gutter="0" w:footer="0" w:header="0"/>
        </w:sectPr>
      </w:pPr>
    </w:p>
    <w:bookmarkStart w:id="130" w:name="page131"/>
    <w:bookmarkEnd w:id="130"/>
    <w:p>
      <w:pPr>
        <w:ind w:left="760" w:hanging="655"/>
        <w:spacing w:after="0" w:line="260" w:lineRule="auto"/>
        <w:tabs>
          <w:tab w:leader="none" w:pos="7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Executive has been represented in the preparation, negotiation, and execution of this Agreement by legal counsel of Executive’s own choice or has elected not to retain legal counsel;</w:t>
      </w:r>
    </w:p>
    <w:p>
      <w:pPr>
        <w:spacing w:after="0" w:line="176" w:lineRule="exact"/>
        <w:rPr>
          <w:rFonts w:ascii="Arial" w:cs="Arial" w:eastAsia="Arial" w:hAnsi="Arial"/>
          <w:sz w:val="20"/>
          <w:szCs w:val="20"/>
          <w:color w:val="auto"/>
        </w:rPr>
      </w:pPr>
    </w:p>
    <w:p>
      <w:pPr>
        <w:ind w:left="760" w:hanging="655"/>
        <w:spacing w:after="0"/>
        <w:tabs>
          <w:tab w:leader="none" w:pos="7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Executive understands the terms and consequences of this Agreement and of the releases it contains; and</w:t>
      </w:r>
    </w:p>
    <w:p>
      <w:pPr>
        <w:spacing w:after="0" w:line="227" w:lineRule="exact"/>
        <w:rPr>
          <w:rFonts w:ascii="Arial" w:cs="Arial" w:eastAsia="Arial" w:hAnsi="Arial"/>
          <w:sz w:val="19"/>
          <w:szCs w:val="19"/>
          <w:color w:val="auto"/>
        </w:rPr>
      </w:pPr>
    </w:p>
    <w:p>
      <w:pPr>
        <w:ind w:left="760" w:hanging="655"/>
        <w:spacing w:after="0"/>
        <w:tabs>
          <w:tab w:leader="none" w:pos="7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Executive is fully aware of the legal and binding effect of this Agreement.</w:t>
      </w:r>
    </w:p>
    <w:p>
      <w:pPr>
        <w:spacing w:after="0" w:line="216" w:lineRule="exact"/>
        <w:rPr>
          <w:sz w:val="20"/>
          <w:szCs w:val="20"/>
          <w:color w:val="auto"/>
        </w:rPr>
      </w:pPr>
    </w:p>
    <w:p>
      <w:pPr>
        <w:jc w:val="center"/>
        <w:ind w:left="2840"/>
        <w:spacing w:after="0"/>
        <w:rPr>
          <w:sz w:val="20"/>
          <w:szCs w:val="20"/>
          <w:color w:val="auto"/>
        </w:rPr>
      </w:pPr>
      <w:r>
        <w:rPr>
          <w:rFonts w:ascii="Arial" w:cs="Arial" w:eastAsia="Arial" w:hAnsi="Arial"/>
          <w:sz w:val="20"/>
          <w:szCs w:val="20"/>
          <w:color w:val="auto"/>
        </w:rPr>
        <w:t>* * * * *</w:t>
      </w:r>
    </w:p>
    <w:p>
      <w:pPr>
        <w:spacing w:after="0" w:line="16" w:lineRule="exact"/>
        <w:rPr>
          <w:sz w:val="20"/>
          <w:szCs w:val="20"/>
          <w:color w:val="auto"/>
        </w:rPr>
      </w:pPr>
    </w:p>
    <w:p>
      <w:pPr>
        <w:jc w:val="center"/>
        <w:ind w:left="2840"/>
        <w:spacing w:after="0"/>
        <w:rPr>
          <w:sz w:val="20"/>
          <w:szCs w:val="20"/>
          <w:color w:val="auto"/>
        </w:rPr>
      </w:pPr>
      <w:r>
        <w:rPr>
          <w:rFonts w:ascii="Arial" w:cs="Arial" w:eastAsia="Arial" w:hAnsi="Arial"/>
          <w:sz w:val="20"/>
          <w:szCs w:val="20"/>
          <w:color w:val="auto"/>
        </w:rPr>
        <w:t>[Signature page to follow]</w:t>
      </w:r>
    </w:p>
    <w:p>
      <w:pPr>
        <w:spacing w:after="0" w:line="200" w:lineRule="exact"/>
        <w:rPr>
          <w:sz w:val="20"/>
          <w:szCs w:val="20"/>
          <w:color w:val="auto"/>
        </w:rPr>
      </w:pPr>
    </w:p>
    <w:p>
      <w:pPr>
        <w:spacing w:after="0" w:line="243"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9900"/>
          </w:cols>
          <w:pgMar w:left="1440" w:top="595" w:right="55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769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0219"/>
          </w:cols>
          <w:pgMar w:left="240" w:top="1041"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VERACYTE, INC.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CHANGE OF CONTROL AND SEVERANCE AGREEMENT</w:t>
      </w:r>
    </w:p>
    <w:p>
      <w:pPr>
        <w:spacing w:after="0" w:line="222" w:lineRule="exact"/>
        <w:rPr>
          <w:sz w:val="20"/>
          <w:szCs w:val="20"/>
          <w:color w:val="auto"/>
        </w:rPr>
      </w:pPr>
    </w:p>
    <w:p>
      <w:pPr>
        <w:ind w:right="60" w:firstLine="648"/>
        <w:spacing w:after="0" w:line="246" w:lineRule="auto"/>
        <w:rPr>
          <w:sz w:val="20"/>
          <w:szCs w:val="20"/>
          <w:color w:val="auto"/>
        </w:rPr>
      </w:pPr>
      <w:r>
        <w:rPr>
          <w:rFonts w:ascii="Arial" w:cs="Arial" w:eastAsia="Arial" w:hAnsi="Arial"/>
          <w:sz w:val="20"/>
          <w:szCs w:val="20"/>
          <w:color w:val="auto"/>
        </w:rPr>
        <w:t>This Amended and Restated Change of Control and Severance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and between John Hanna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and Veracyte, Inc., a Delaware corporation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effective as of July 1, 2019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This Agreement amends and restates the Change of Control and Severance Agreement by and between the Executive and the Company, effective as of October 23, 2018 (the “</w:t>
      </w:r>
      <w:r>
        <w:rPr>
          <w:rFonts w:ascii="Arial" w:cs="Arial" w:eastAsia="Arial" w:hAnsi="Arial"/>
          <w:sz w:val="20"/>
          <w:szCs w:val="20"/>
          <w:b w:val="1"/>
          <w:bCs w:val="1"/>
          <w:i w:val="1"/>
          <w:iCs w:val="1"/>
          <w:color w:val="auto"/>
        </w:rPr>
        <w:t>Prior Agreement</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ind w:left="1000" w:hanging="344"/>
        <w:spacing w:after="0"/>
        <w:tabs>
          <w:tab w:leader="none" w:pos="10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believes that it is in the best interests of the Company and its stockholders</w:t>
      </w:r>
    </w:p>
    <w:p>
      <w:pPr>
        <w:spacing w:after="0" w:line="38" w:lineRule="exact"/>
        <w:rPr>
          <w:rFonts w:ascii="Arial" w:cs="Arial" w:eastAsia="Arial" w:hAnsi="Arial"/>
          <w:sz w:val="18"/>
          <w:szCs w:val="18"/>
          <w:color w:val="auto"/>
        </w:rPr>
      </w:pPr>
    </w:p>
    <w:p>
      <w:pPr>
        <w:ind w:right="340" w:firstLine="8"/>
        <w:spacing w:after="0" w:line="282" w:lineRule="auto"/>
        <w:tabs>
          <w:tab w:leader="none" w:pos="23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assure that the Company will have the continued dedication and objectivity of Executive, notwithstanding the possibility, threat, or occurrence of a Change of Control and (ii) to provide Executive with an incentive to continue Executive’s employment prior to a Change of Control and to motivate Executive to maximize the value of the Company upon a Change of Control for the benefit of its stockholders.</w:t>
      </w:r>
    </w:p>
    <w:p>
      <w:pPr>
        <w:spacing w:after="0" w:line="159" w:lineRule="exact"/>
        <w:rPr>
          <w:rFonts w:ascii="Arial" w:cs="Arial" w:eastAsia="Arial" w:hAnsi="Arial"/>
          <w:sz w:val="18"/>
          <w:szCs w:val="18"/>
          <w:color w:val="auto"/>
        </w:rPr>
      </w:pPr>
    </w:p>
    <w:p>
      <w:pPr>
        <w:ind w:right="520" w:firstLine="656"/>
        <w:spacing w:after="0" w:line="269" w:lineRule="auto"/>
        <w:tabs>
          <w:tab w:leader="none" w:pos="991" w:val="left"/>
        </w:tabs>
        <w:numPr>
          <w:ilvl w:val="1"/>
          <w:numId w:val="157"/>
        </w:numPr>
        <w:rPr>
          <w:rFonts w:ascii="Arial" w:cs="Arial" w:eastAsia="Arial" w:hAnsi="Arial"/>
          <w:sz w:val="19"/>
          <w:szCs w:val="19"/>
          <w:color w:val="auto"/>
        </w:rPr>
      </w:pPr>
      <w:r>
        <w:rPr>
          <w:rFonts w:ascii="Arial" w:cs="Arial" w:eastAsia="Arial" w:hAnsi="Arial"/>
          <w:sz w:val="19"/>
          <w:szCs w:val="19"/>
          <w:color w:val="auto"/>
        </w:rPr>
        <w:t>The Board believes that it is imperative to provide Executive with certain severance benefits upon Executive’s termination of employment under certain circumstances. These benefits will provide Executive with enhanced financial security and incentive and encouragement to remain with the Company notwithstanding the possibility of a Change of Control.</w:t>
      </w:r>
    </w:p>
    <w:p>
      <w:pPr>
        <w:spacing w:after="0" w:line="170" w:lineRule="exact"/>
        <w:rPr>
          <w:rFonts w:ascii="Arial" w:cs="Arial" w:eastAsia="Arial" w:hAnsi="Arial"/>
          <w:sz w:val="19"/>
          <w:szCs w:val="19"/>
          <w:color w:val="auto"/>
        </w:rPr>
      </w:pPr>
    </w:p>
    <w:p>
      <w:pPr>
        <w:ind w:left="1000" w:hanging="344"/>
        <w:spacing w:after="0"/>
        <w:tabs>
          <w:tab w:leader="none" w:pos="1000" w:val="left"/>
        </w:tabs>
        <w:numPr>
          <w:ilvl w:val="1"/>
          <w:numId w:val="157"/>
        </w:numPr>
        <w:rPr>
          <w:rFonts w:ascii="Arial" w:cs="Arial" w:eastAsia="Arial" w:hAnsi="Arial"/>
          <w:sz w:val="20"/>
          <w:szCs w:val="20"/>
          <w:color w:val="auto"/>
        </w:rPr>
      </w:pPr>
      <w:r>
        <w:rPr>
          <w:rFonts w:ascii="Arial" w:cs="Arial" w:eastAsia="Arial" w:hAnsi="Arial"/>
          <w:sz w:val="20"/>
          <w:szCs w:val="20"/>
          <w:color w:val="auto"/>
        </w:rPr>
        <w:t>Certain capitalized terms used in the Agreement are defined in Section 6 below.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NOW, THEREFORE, in consideration of the mutual covenants contained herein, the parties hereto agree as </w:t>
      </w:r>
      <w:r>
        <w:rPr>
          <w:rFonts w:ascii="Arial" w:cs="Arial" w:eastAsia="Arial" w:hAnsi="Arial"/>
          <w:sz w:val="20"/>
          <w:szCs w:val="20"/>
          <w:color w:val="1F1F24"/>
        </w:rPr>
        <w:t>follows:</w:t>
      </w:r>
    </w:p>
    <w:p>
      <w:pPr>
        <w:spacing w:after="0" w:line="229" w:lineRule="exact"/>
        <w:rPr>
          <w:sz w:val="20"/>
          <w:szCs w:val="20"/>
          <w:color w:val="auto"/>
        </w:rPr>
      </w:pPr>
    </w:p>
    <w:p>
      <w:pPr>
        <w:ind w:right="220" w:firstLine="656"/>
        <w:spacing w:after="0" w:line="297" w:lineRule="auto"/>
        <w:tabs>
          <w:tab w:leader="none" w:pos="1445" w:val="left"/>
        </w:tabs>
        <w:numPr>
          <w:ilvl w:val="1"/>
          <w:numId w:val="158"/>
        </w:numPr>
        <w:rPr>
          <w:rFonts w:ascii="Arial" w:cs="Arial" w:eastAsia="Arial" w:hAnsi="Arial"/>
          <w:sz w:val="18"/>
          <w:szCs w:val="18"/>
          <w:color w:val="010000"/>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four (4) years commencing on March 1, 2017 (the “</w:t>
      </w:r>
      <w:r>
        <w:rPr>
          <w:rFonts w:ascii="Arial" w:cs="Arial" w:eastAsia="Arial" w:hAnsi="Arial"/>
          <w:sz w:val="18"/>
          <w:szCs w:val="18"/>
          <w:b w:val="1"/>
          <w:bCs w:val="1"/>
          <w:i w:val="1"/>
          <w:i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On March 1, 2021, this Agreement will renew automatically for additional one (1) year terms (each an “</w:t>
      </w:r>
      <w:r>
        <w:rPr>
          <w:rFonts w:ascii="Arial" w:cs="Arial" w:eastAsia="Arial" w:hAnsi="Arial"/>
          <w:sz w:val="18"/>
          <w:szCs w:val="18"/>
          <w:b w:val="1"/>
          <w:bCs w:val="1"/>
          <w:i w:val="1"/>
          <w:iCs w:val="1"/>
          <w:color w:val="auto"/>
        </w:rPr>
        <w:t>Additional Term</w:t>
      </w:r>
      <w:r>
        <w:rPr>
          <w:rFonts w:ascii="Arial" w:cs="Arial" w:eastAsia="Arial" w:hAnsi="Arial"/>
          <w:sz w:val="18"/>
          <w:szCs w:val="18"/>
          <w:color w:val="auto"/>
        </w:rPr>
        <w:t>”),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party provides the other party with written notice of non-renewal at least sixty (60) days prior to the date of automatic renewal. Notwithstanding the foregoing provisions of this paragraph, if a Change of Control occurs when there are fewer than twelve (12) months remaining during the Initial Term or an Additional Term, the term of this Agreement will extend automatically through the date that is twelve</w:t>
      </w:r>
    </w:p>
    <w:p>
      <w:pPr>
        <w:spacing w:after="0" w:line="2" w:lineRule="exact"/>
        <w:rPr>
          <w:rFonts w:ascii="Arial" w:cs="Arial" w:eastAsia="Arial" w:hAnsi="Arial"/>
          <w:sz w:val="18"/>
          <w:szCs w:val="18"/>
          <w:color w:val="010000"/>
        </w:rPr>
      </w:pPr>
    </w:p>
    <w:p>
      <w:pPr>
        <w:ind w:right="80" w:firstLine="8"/>
        <w:spacing w:after="0" w:line="278" w:lineRule="auto"/>
        <w:tabs>
          <w:tab w:leader="none" w:pos="37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months following the effective date of the Change of Control. If Executive becomes entitled to benefits under Section 3 during the term of this Agreement, the Agreement will not terminate until all of the obligations of the parties hereto with respect to this Agreement have been satisfied.</w:t>
      </w:r>
    </w:p>
    <w:p>
      <w:pPr>
        <w:spacing w:after="0" w:line="173" w:lineRule="exact"/>
        <w:rPr>
          <w:rFonts w:ascii="Arial" w:cs="Arial" w:eastAsia="Arial" w:hAnsi="Arial"/>
          <w:sz w:val="20"/>
          <w:szCs w:val="20"/>
          <w:color w:val="auto"/>
        </w:rPr>
      </w:pPr>
    </w:p>
    <w:p>
      <w:pPr>
        <w:ind w:right="20" w:firstLine="656"/>
        <w:spacing w:after="0" w:line="250" w:lineRule="auto"/>
        <w:tabs>
          <w:tab w:leader="none" w:pos="977" w:val="left"/>
        </w:tabs>
        <w:numPr>
          <w:ilvl w:val="1"/>
          <w:numId w:val="159"/>
        </w:numPr>
        <w:rPr>
          <w:rFonts w:ascii="Arial" w:cs="Arial" w:eastAsia="Arial" w:hAnsi="Arial"/>
          <w:sz w:val="20"/>
          <w:szCs w:val="20"/>
          <w:color w:val="010000"/>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The Company and Executive acknowledge that Executive’s employment is and will continue to be at-will, as defined under applicable law</w:t>
      </w:r>
      <w:r>
        <w:rPr>
          <w:rFonts w:ascii="Arial" w:cs="Arial" w:eastAsia="Arial" w:hAnsi="Arial"/>
          <w:sz w:val="20"/>
          <w:szCs w:val="20"/>
          <w:color w:val="4B4B4B"/>
        </w:rPr>
        <w:t>.</w:t>
      </w:r>
      <w:r>
        <w:rPr>
          <w:rFonts w:ascii="Arial" w:cs="Arial" w:eastAsia="Arial" w:hAnsi="Arial"/>
          <w:sz w:val="20"/>
          <w:szCs w:val="20"/>
          <w:color w:val="auto"/>
        </w:rPr>
        <w:t xml:space="preserve"> As an at-will employee, either the Company or the Executive may terminate the employment relationship at any time, with or without Cause.</w:t>
      </w:r>
    </w:p>
    <w:p>
      <w:pPr>
        <w:spacing w:after="0" w:line="186" w:lineRule="exact"/>
        <w:rPr>
          <w:rFonts w:ascii="Arial" w:cs="Arial" w:eastAsia="Arial" w:hAnsi="Arial"/>
          <w:sz w:val="20"/>
          <w:szCs w:val="20"/>
          <w:color w:val="010000"/>
        </w:rPr>
      </w:pPr>
    </w:p>
    <w:p>
      <w:pPr>
        <w:ind w:left="980" w:hanging="324"/>
        <w:spacing w:after="0"/>
        <w:tabs>
          <w:tab w:leader="none" w:pos="980" w:val="left"/>
        </w:tabs>
        <w:numPr>
          <w:ilvl w:val="1"/>
          <w:numId w:val="159"/>
        </w:numPr>
        <w:rPr>
          <w:rFonts w:ascii="Arial" w:cs="Arial" w:eastAsia="Arial" w:hAnsi="Arial"/>
          <w:sz w:val="20"/>
          <w:szCs w:val="20"/>
          <w:color w:val="010000"/>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ectPr>
          <w:pgSz w:w="11900" w:h="16838" w:orient="portrait"/>
          <w:cols w:equalWidth="0" w:num="1">
            <w:col w:w="11420"/>
          </w:cols>
          <w:pgMar w:left="240" w:top="805" w:right="239" w:bottom="1440" w:gutter="0" w:footer="0" w:header="0"/>
        </w:sectPr>
      </w:pPr>
    </w:p>
    <w:bookmarkStart w:id="133" w:name="page134"/>
    <w:bookmarkEnd w:id="133"/>
    <w:p>
      <w:pPr>
        <w:ind w:left="-1200" w:firstLine="1305"/>
        <w:spacing w:after="0" w:line="246" w:lineRule="auto"/>
        <w:tabs>
          <w:tab w:leader="none" w:pos="496" w:val="left"/>
        </w:tabs>
        <w:numPr>
          <w:ilvl w:val="0"/>
          <w:numId w:val="160"/>
        </w:numPr>
        <w:rPr>
          <w:rFonts w:ascii="Arial" w:cs="Arial" w:eastAsia="Arial" w:hAnsi="Arial"/>
          <w:sz w:val="20"/>
          <w:szCs w:val="20"/>
          <w:color w:val="010000"/>
        </w:rPr>
      </w:pPr>
      <w:r>
        <w:rPr>
          <w:rFonts w:ascii="Arial" w:cs="Arial" w:eastAsia="Arial" w:hAnsi="Arial"/>
          <w:sz w:val="20"/>
          <w:szCs w:val="20"/>
          <w:u w:val="single" w:color="auto"/>
          <w:color w:val="auto"/>
        </w:rPr>
        <w:t>Termination without Cause or Resignation for Good Reason Unrelated to a Change of Control</w:t>
      </w:r>
      <w:r>
        <w:rPr>
          <w:rFonts w:ascii="Arial" w:cs="Arial" w:eastAsia="Arial" w:hAnsi="Arial"/>
          <w:sz w:val="20"/>
          <w:szCs w:val="20"/>
          <w:color w:val="auto"/>
        </w:rPr>
        <w:t>. If the Company terminates Executive’s employment with the Company without Cause (excluding death or Disability) or if Executive resigns from such employment for Good Reason, and such termination occurs outside of the Change of Control Period, then subject to Section 4, Executive will receive the following:</w:t>
      </w:r>
    </w:p>
    <w:p>
      <w:pPr>
        <w:spacing w:after="0" w:line="191" w:lineRule="exact"/>
        <w:rPr>
          <w:rFonts w:ascii="Arial" w:cs="Arial" w:eastAsia="Arial" w:hAnsi="Arial"/>
          <w:sz w:val="20"/>
          <w:szCs w:val="20"/>
          <w:color w:val="010000"/>
        </w:rPr>
      </w:pPr>
    </w:p>
    <w:p>
      <w:pPr>
        <w:ind w:left="-1200" w:right="1180" w:firstLine="1953"/>
        <w:spacing w:after="0" w:line="316" w:lineRule="auto"/>
        <w:tabs>
          <w:tab w:leader="none" w:pos="1112" w:val="left"/>
        </w:tabs>
        <w:numPr>
          <w:ilvl w:val="1"/>
          <w:numId w:val="160"/>
        </w:numPr>
        <w:rPr>
          <w:rFonts w:ascii="Arial" w:cs="Arial" w:eastAsia="Arial" w:hAnsi="Arial"/>
          <w:sz w:val="18"/>
          <w:szCs w:val="18"/>
          <w:color w:val="010000"/>
        </w:rPr>
      </w:pPr>
      <w:r>
        <w:rPr>
          <w:rFonts w:ascii="Arial" w:cs="Arial" w:eastAsia="Arial" w:hAnsi="Arial"/>
          <w:sz w:val="18"/>
          <w:szCs w:val="18"/>
          <w:u w:val="single" w:color="auto"/>
          <w:color w:val="auto"/>
        </w:rPr>
        <w:t>Accrued Compensation</w:t>
      </w:r>
      <w:r>
        <w:rPr>
          <w:rFonts w:ascii="Arial" w:cs="Arial" w:eastAsia="Arial" w:hAnsi="Arial"/>
          <w:sz w:val="18"/>
          <w:szCs w:val="18"/>
          <w:color w:val="auto"/>
        </w:rPr>
        <w:t>. The Company will pay Executive all accrued but unpaid vacation, expense reimbursements, wages, and other benefits due to Executive under any Company-provided plans, policies, and arrangements.</w:t>
      </w:r>
    </w:p>
    <w:p>
      <w:pPr>
        <w:spacing w:after="0" w:line="130" w:lineRule="exact"/>
        <w:rPr>
          <w:rFonts w:ascii="Arial" w:cs="Arial" w:eastAsia="Arial" w:hAnsi="Arial"/>
          <w:sz w:val="18"/>
          <w:szCs w:val="18"/>
          <w:color w:val="010000"/>
        </w:rPr>
      </w:pPr>
    </w:p>
    <w:p>
      <w:pPr>
        <w:ind w:left="-1200" w:right="120" w:firstLine="1953"/>
        <w:spacing w:after="0" w:line="250" w:lineRule="auto"/>
        <w:tabs>
          <w:tab w:leader="none" w:pos="1166" w:val="left"/>
        </w:tabs>
        <w:numPr>
          <w:ilvl w:val="1"/>
          <w:numId w:val="160"/>
        </w:numPr>
        <w:rPr>
          <w:rFonts w:ascii="Arial" w:cs="Arial" w:eastAsia="Arial" w:hAnsi="Arial"/>
          <w:sz w:val="20"/>
          <w:szCs w:val="20"/>
          <w:color w:val="010000"/>
        </w:rPr>
      </w:pPr>
      <w:r>
        <w:rPr>
          <w:rFonts w:ascii="Arial" w:cs="Arial" w:eastAsia="Arial" w:hAnsi="Arial"/>
          <w:sz w:val="20"/>
          <w:szCs w:val="20"/>
          <w:u w:val="single" w:color="auto"/>
          <w:color w:val="auto"/>
        </w:rPr>
        <w:t>Continuing Severance Payments</w:t>
      </w:r>
      <w:r>
        <w:rPr>
          <w:rFonts w:ascii="Arial" w:cs="Arial" w:eastAsia="Arial" w:hAnsi="Arial"/>
          <w:sz w:val="20"/>
          <w:szCs w:val="20"/>
          <w:color w:val="auto"/>
        </w:rPr>
        <w:t>. Executive will be paid continuing payments of severance pay at a rate equal to Executive’s base salary rate, as then in effect, for six (6) months from the date of such termination of employment to be paid periodically in accordance with the Company’s normal payroll policies.</w:t>
      </w:r>
    </w:p>
    <w:p>
      <w:pPr>
        <w:spacing w:after="0" w:line="186" w:lineRule="exact"/>
        <w:rPr>
          <w:rFonts w:ascii="Arial" w:cs="Arial" w:eastAsia="Arial" w:hAnsi="Arial"/>
          <w:sz w:val="20"/>
          <w:szCs w:val="20"/>
          <w:color w:val="010000"/>
        </w:rPr>
      </w:pPr>
    </w:p>
    <w:p>
      <w:pPr>
        <w:ind w:left="-1200" w:firstLine="1953"/>
        <w:spacing w:after="0" w:line="269" w:lineRule="auto"/>
        <w:tabs>
          <w:tab w:leader="none" w:pos="1221" w:val="left"/>
        </w:tabs>
        <w:numPr>
          <w:ilvl w:val="1"/>
          <w:numId w:val="160"/>
        </w:numPr>
        <w:rPr>
          <w:rFonts w:ascii="Arial" w:cs="Arial" w:eastAsia="Arial" w:hAnsi="Arial"/>
          <w:sz w:val="18"/>
          <w:szCs w:val="18"/>
          <w:color w:val="010000"/>
        </w:rPr>
      </w:pPr>
      <w:r>
        <w:rPr>
          <w:rFonts w:ascii="Arial" w:cs="Arial" w:eastAsia="Arial" w:hAnsi="Arial"/>
          <w:sz w:val="18"/>
          <w:szCs w:val="18"/>
          <w:u w:val="single" w:color="auto"/>
          <w:color w:val="auto"/>
        </w:rPr>
        <w:t>Continuation Coverage</w:t>
      </w:r>
      <w:r>
        <w:rPr>
          <w:rFonts w:ascii="Arial" w:cs="Arial" w:eastAsia="Arial" w:hAnsi="Arial"/>
          <w:sz w:val="18"/>
          <w:szCs w:val="18"/>
          <w:color w:val="auto"/>
        </w:rPr>
        <w:t xml:space="preserve">. If Executive elects continuation coverage pursuant to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xml:space="preserve">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six (6)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3(a)(iii),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six (6) payments. For the avoidance of doubt, the taxable payments in lieu of COBRA reimbursements may be used for any purpose, including, but not limited to continuation coverage under COBRA, and will be subject to all applicable tax withholdings.</w:t>
      </w:r>
    </w:p>
    <w:p>
      <w:pPr>
        <w:spacing w:after="0" w:line="179" w:lineRule="exact"/>
        <w:rPr>
          <w:rFonts w:ascii="Arial" w:cs="Arial" w:eastAsia="Arial" w:hAnsi="Arial"/>
          <w:sz w:val="18"/>
          <w:szCs w:val="18"/>
          <w:color w:val="010000"/>
        </w:rPr>
      </w:pPr>
    </w:p>
    <w:p>
      <w:pPr>
        <w:ind w:left="-1200" w:right="340" w:firstLine="1305"/>
        <w:spacing w:after="0" w:line="246" w:lineRule="auto"/>
        <w:tabs>
          <w:tab w:leader="none" w:pos="507" w:val="left"/>
        </w:tabs>
        <w:numPr>
          <w:ilvl w:val="0"/>
          <w:numId w:val="160"/>
        </w:numPr>
        <w:rPr>
          <w:rFonts w:ascii="Arial" w:cs="Arial" w:eastAsia="Arial" w:hAnsi="Arial"/>
          <w:sz w:val="20"/>
          <w:szCs w:val="20"/>
          <w:color w:val="010000"/>
        </w:rPr>
      </w:pPr>
      <w:r>
        <w:rPr>
          <w:rFonts w:ascii="Arial" w:cs="Arial" w:eastAsia="Arial" w:hAnsi="Arial"/>
          <w:sz w:val="20"/>
          <w:szCs w:val="20"/>
          <w:u w:val="single" w:color="auto"/>
          <w:color w:val="auto"/>
        </w:rPr>
        <w:t>Termination without Cause or Resignation for Good Reason in Connection with a Change of Control</w:t>
      </w:r>
      <w:r>
        <w:rPr>
          <w:rFonts w:ascii="Arial" w:cs="Arial" w:eastAsia="Arial" w:hAnsi="Arial"/>
          <w:sz w:val="20"/>
          <w:szCs w:val="20"/>
          <w:color w:val="auto"/>
        </w:rPr>
        <w:t>. If the Company terminates Executive’s employment with the Company without Cause (excluding death or Disability) or if Executive resigns from such employment for Good Reason, and, in each case, such termination occurs during the Change of Control Period, then subject to Section 4, Executive will receive the following</w:t>
      </w:r>
      <w:r>
        <w:rPr>
          <w:rFonts w:ascii="Arial" w:cs="Arial" w:eastAsia="Arial" w:hAnsi="Arial"/>
          <w:sz w:val="20"/>
          <w:szCs w:val="20"/>
          <w:color w:val="444444"/>
        </w:rPr>
        <w:t>:</w:t>
      </w:r>
    </w:p>
    <w:p>
      <w:pPr>
        <w:spacing w:after="0" w:line="191" w:lineRule="exact"/>
        <w:rPr>
          <w:rFonts w:ascii="Arial" w:cs="Arial" w:eastAsia="Arial" w:hAnsi="Arial"/>
          <w:sz w:val="20"/>
          <w:szCs w:val="20"/>
          <w:color w:val="010000"/>
        </w:rPr>
      </w:pPr>
    </w:p>
    <w:p>
      <w:pPr>
        <w:ind w:left="-1200" w:right="1180" w:firstLine="1953"/>
        <w:spacing w:after="0" w:line="316" w:lineRule="auto"/>
        <w:tabs>
          <w:tab w:leader="none" w:pos="1112" w:val="left"/>
        </w:tabs>
        <w:numPr>
          <w:ilvl w:val="1"/>
          <w:numId w:val="160"/>
        </w:numPr>
        <w:rPr>
          <w:rFonts w:ascii="Arial" w:cs="Arial" w:eastAsia="Arial" w:hAnsi="Arial"/>
          <w:sz w:val="18"/>
          <w:szCs w:val="18"/>
          <w:color w:val="010000"/>
        </w:rPr>
      </w:pPr>
      <w:r>
        <w:rPr>
          <w:rFonts w:ascii="Arial" w:cs="Arial" w:eastAsia="Arial" w:hAnsi="Arial"/>
          <w:sz w:val="18"/>
          <w:szCs w:val="18"/>
          <w:u w:val="single" w:color="auto"/>
          <w:color w:val="auto"/>
        </w:rPr>
        <w:t>Accrued Compensation</w:t>
      </w:r>
      <w:r>
        <w:rPr>
          <w:rFonts w:ascii="Arial" w:cs="Arial" w:eastAsia="Arial" w:hAnsi="Arial"/>
          <w:sz w:val="18"/>
          <w:szCs w:val="18"/>
          <w:color w:val="444444"/>
        </w:rPr>
        <w:t>.</w:t>
      </w:r>
      <w:r>
        <w:rPr>
          <w:rFonts w:ascii="Arial" w:cs="Arial" w:eastAsia="Arial" w:hAnsi="Arial"/>
          <w:sz w:val="18"/>
          <w:szCs w:val="18"/>
          <w:color w:val="auto"/>
        </w:rPr>
        <w:t xml:space="preserve"> The Company will pay Executive all accrued but unpaid vacation, expense reimbursements, wages, and other benefits due to Executive under any Company-provided plans, policies, and arrangements.</w:t>
      </w:r>
    </w:p>
    <w:p>
      <w:pPr>
        <w:spacing w:after="0" w:line="130" w:lineRule="exact"/>
        <w:rPr>
          <w:rFonts w:ascii="Arial" w:cs="Arial" w:eastAsia="Arial" w:hAnsi="Arial"/>
          <w:sz w:val="18"/>
          <w:szCs w:val="18"/>
          <w:color w:val="010000"/>
        </w:rPr>
      </w:pPr>
    </w:p>
    <w:p>
      <w:pPr>
        <w:ind w:left="-1200" w:right="380" w:firstLine="1953"/>
        <w:spacing w:after="0" w:line="260" w:lineRule="auto"/>
        <w:tabs>
          <w:tab w:leader="none" w:pos="1166" w:val="left"/>
        </w:tabs>
        <w:numPr>
          <w:ilvl w:val="1"/>
          <w:numId w:val="160"/>
        </w:numPr>
        <w:rPr>
          <w:rFonts w:ascii="Arial" w:cs="Arial" w:eastAsia="Arial" w:hAnsi="Arial"/>
          <w:sz w:val="20"/>
          <w:szCs w:val="20"/>
          <w:color w:val="010000"/>
        </w:rPr>
      </w:pPr>
      <w:r>
        <w:rPr>
          <w:rFonts w:ascii="Arial" w:cs="Arial" w:eastAsia="Arial" w:hAnsi="Arial"/>
          <w:sz w:val="20"/>
          <w:szCs w:val="20"/>
          <w:u w:val="single" w:color="auto"/>
          <w:color w:val="auto"/>
        </w:rPr>
        <w:t>Severance Payment</w:t>
      </w:r>
      <w:r>
        <w:rPr>
          <w:rFonts w:ascii="Arial" w:cs="Arial" w:eastAsia="Arial" w:hAnsi="Arial"/>
          <w:sz w:val="20"/>
          <w:szCs w:val="20"/>
          <w:color w:val="auto"/>
        </w:rPr>
        <w:t>. Executive will receive a lump-sum payment (less applicable withholding taxes) equal to eighteen (18) months of Executive’s annual base salary as in effect</w:t>
      </w:r>
    </w:p>
    <w:p>
      <w:pPr>
        <w:spacing w:after="0" w:line="200" w:lineRule="exact"/>
        <w:rPr>
          <w:sz w:val="20"/>
          <w:szCs w:val="20"/>
          <w:color w:val="auto"/>
        </w:rPr>
      </w:pPr>
    </w:p>
    <w:p>
      <w:pPr>
        <w:spacing w:after="0" w:line="220"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180"/>
          </w:cols>
          <w:pgMar w:left="1440" w:top="609" w:right="279" w:bottom="1440" w:gutter="0" w:footer="0" w:header="0"/>
        </w:sectPr>
      </w:pPr>
    </w:p>
    <w:bookmarkStart w:id="134" w:name="page135"/>
    <w:bookmarkEnd w:id="134"/>
    <w:p>
      <w:pPr>
        <w:ind w:right="100"/>
        <w:spacing w:after="0" w:line="243" w:lineRule="auto"/>
        <w:rPr>
          <w:sz w:val="20"/>
          <w:szCs w:val="20"/>
          <w:color w:val="auto"/>
        </w:rPr>
      </w:pPr>
      <w:r>
        <w:rPr>
          <w:rFonts w:ascii="Arial" w:cs="Arial" w:eastAsia="Arial" w:hAnsi="Arial"/>
          <w:sz w:val="20"/>
          <w:szCs w:val="20"/>
          <w:color w:val="auto"/>
        </w:rPr>
        <w:t xml:space="preserve">immediately prior to Executive’s termination date or, if greater, at the level in effect immediately prior to the Change of Control. For the avoidance of doubt, if (x) Executive </w:t>
      </w:r>
      <w:r>
        <w:rPr>
          <w:rFonts w:ascii="Arial" w:cs="Arial" w:eastAsia="Arial" w:hAnsi="Arial"/>
          <w:sz w:val="20"/>
          <w:szCs w:val="20"/>
          <w:color w:val="343436"/>
        </w:rPr>
        <w:t>incurred</w:t>
      </w:r>
      <w:r>
        <w:rPr>
          <w:rFonts w:ascii="Arial" w:cs="Arial" w:eastAsia="Arial" w:hAnsi="Arial"/>
          <w:sz w:val="20"/>
          <w:szCs w:val="20"/>
          <w:color w:val="auto"/>
        </w:rPr>
        <w:t xml:space="preserve"> a termination prior to a Change of Control that qualifies Executive for severance payments under Section 3(a)(ii); and (y) a Change of Control occurs within the two (2)-month period following Executive’s termination of employment that qualifies Executive for the superior benefits under this Section 3(b)(ii), then Executive shall be entitled to a lump-sum payment of the amount calculated under this Section 3(b)(ii), less amounts already paid under Section 3(a)(ii) and such amount lump-sum amount shall be payable upon the later of: (A) the Change of Control, (B) the date the Release (as defined below) is effective and irrevocable; or (C) such later date required by Section 4(c).</w:t>
      </w:r>
    </w:p>
    <w:p>
      <w:pPr>
        <w:spacing w:after="0" w:line="193" w:lineRule="exact"/>
        <w:rPr>
          <w:sz w:val="20"/>
          <w:szCs w:val="20"/>
          <w:color w:val="auto"/>
        </w:rPr>
      </w:pPr>
    </w:p>
    <w:p>
      <w:pPr>
        <w:ind w:right="80" w:firstLine="1953"/>
        <w:spacing w:after="0" w:line="258" w:lineRule="auto"/>
        <w:tabs>
          <w:tab w:leader="none" w:pos="2421" w:val="left"/>
        </w:tabs>
        <w:numPr>
          <w:ilvl w:val="0"/>
          <w:numId w:val="161"/>
        </w:numPr>
        <w:rPr>
          <w:rFonts w:ascii="Arial" w:cs="Arial" w:eastAsia="Arial" w:hAnsi="Arial"/>
          <w:sz w:val="19"/>
          <w:szCs w:val="19"/>
          <w:color w:val="010000"/>
        </w:rPr>
      </w:pPr>
      <w:r>
        <w:rPr>
          <w:rFonts w:ascii="Arial" w:cs="Arial" w:eastAsia="Arial" w:hAnsi="Arial"/>
          <w:sz w:val="19"/>
          <w:szCs w:val="19"/>
          <w:u w:val="single" w:color="auto"/>
          <w:color w:val="auto"/>
        </w:rPr>
        <w:t>Bonus Payment</w:t>
      </w:r>
      <w:r>
        <w:rPr>
          <w:rFonts w:ascii="Arial" w:cs="Arial" w:eastAsia="Arial" w:hAnsi="Arial"/>
          <w:sz w:val="19"/>
          <w:szCs w:val="19"/>
          <w:color w:val="auto"/>
        </w:rPr>
        <w:t>. Executive will receive a lump-sum payment equal to one hundred fifty percent (150%) of the higher of (A) the greater of (x) Executive’s target bonus for the fiscal year in which the Change of Control occurs (as in effect immediately prior to the Change of Control) or (y) Executive’s target bonus as in effect for the fiscal year in which Executive’s termination of employment occurs, or (B) Executive’s actual bonus for performance during the calendar year prior to the calendar year during which the termination of employment occurs. For avoidance of doubt, the amount paid to Executive pursuant to this Section 3(b)(iii) will not be prorated based on the actual amount of time Executive is employed by the Company during the fiscal year (or the relevant performance period if something different than a fiscal year) during which the termination occurs.</w:t>
      </w:r>
    </w:p>
    <w:p>
      <w:pPr>
        <w:spacing w:after="0" w:line="179" w:lineRule="exact"/>
        <w:rPr>
          <w:rFonts w:ascii="Arial" w:cs="Arial" w:eastAsia="Arial" w:hAnsi="Arial"/>
          <w:sz w:val="19"/>
          <w:szCs w:val="19"/>
          <w:color w:val="010000"/>
        </w:rPr>
      </w:pPr>
    </w:p>
    <w:p>
      <w:pPr>
        <w:ind w:firstLine="1953"/>
        <w:spacing w:after="0" w:line="269" w:lineRule="auto"/>
        <w:tabs>
          <w:tab w:leader="none" w:pos="2411" w:val="left"/>
        </w:tabs>
        <w:numPr>
          <w:ilvl w:val="0"/>
          <w:numId w:val="161"/>
        </w:numPr>
        <w:rPr>
          <w:rFonts w:ascii="Arial" w:cs="Arial" w:eastAsia="Arial" w:hAnsi="Arial"/>
          <w:sz w:val="18"/>
          <w:szCs w:val="18"/>
          <w:color w:val="010000"/>
        </w:rPr>
      </w:pPr>
      <w:r>
        <w:rPr>
          <w:rFonts w:ascii="Arial" w:cs="Arial" w:eastAsia="Arial" w:hAnsi="Arial"/>
          <w:sz w:val="18"/>
          <w:szCs w:val="18"/>
          <w:u w:val="single" w:color="auto"/>
          <w:color w:val="auto"/>
        </w:rPr>
        <w:t>Continuation Coverage</w:t>
      </w:r>
      <w:r>
        <w:rPr>
          <w:rFonts w:ascii="Arial" w:cs="Arial" w:eastAsia="Arial" w:hAnsi="Arial"/>
          <w:sz w:val="18"/>
          <w:szCs w:val="18"/>
          <w:color w:val="595959"/>
        </w:rPr>
        <w:t>.</w:t>
      </w:r>
      <w:r>
        <w:rPr>
          <w:rFonts w:ascii="Arial" w:cs="Arial" w:eastAsia="Arial" w:hAnsi="Arial"/>
          <w:sz w:val="18"/>
          <w:szCs w:val="18"/>
          <w:color w:val="auto"/>
        </w:rPr>
        <w:t xml:space="preserve"> 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of(A) a period of eighteen (18) months from the date of termination or (B) the date upon which Executive and/or Executive’s eligible dependents become covered under similar plans. The reimbursements will be made by the Company to Executive consistent with the Company’s normal expense reimbursement policy. Notwithstanding the first sentence of this Section 3(b)(iv),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in an amount equal to the monthly COBRA premium that Executive would be required to pay to continue Executive’s group health coverage in effect on the termination of employment date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the Company has paid an amount equal to eighteen (18)payments. For the avoidance of doubt, the taxable payments in lieu of COBRA reimbursements may be used for any purpose, including, but not limited to continuation coverage under COBRA, and will be subject to all applicable tax withholdings.</w:t>
      </w:r>
    </w:p>
    <w:p>
      <w:pPr>
        <w:spacing w:after="0" w:line="179" w:lineRule="exact"/>
        <w:rPr>
          <w:rFonts w:ascii="Arial" w:cs="Arial" w:eastAsia="Arial" w:hAnsi="Arial"/>
          <w:sz w:val="18"/>
          <w:szCs w:val="18"/>
          <w:color w:val="010000"/>
        </w:rPr>
      </w:pPr>
    </w:p>
    <w:p>
      <w:pPr>
        <w:ind w:right="80" w:firstLine="1953"/>
        <w:spacing w:after="0" w:line="282" w:lineRule="auto"/>
        <w:tabs>
          <w:tab w:leader="none" w:pos="2355" w:val="left"/>
        </w:tabs>
        <w:numPr>
          <w:ilvl w:val="0"/>
          <w:numId w:val="161"/>
        </w:numPr>
        <w:rPr>
          <w:rFonts w:ascii="Arial" w:cs="Arial" w:eastAsia="Arial" w:hAnsi="Arial"/>
          <w:sz w:val="18"/>
          <w:szCs w:val="18"/>
          <w:color w:val="010000"/>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One hundred percent (100%) of Executive’s then-outstanding and unvested Equity Awards will become vested in full. If, however, an outstanding Equity Award is to vest and/or the amount of the award to vest is to be determined based on the achievement of performance criteria, then the Equity Award will vest as to one hundred percent (100%) of the amount of the Equity Award assuming the performance criteria had been achieved at target levels for the relevant performance period(s).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595" w:right="259" w:bottom="1440" w:gutter="0" w:footer="0" w:header="0"/>
        </w:sectPr>
      </w:pPr>
    </w:p>
    <w:bookmarkStart w:id="135" w:name="page136"/>
    <w:bookmarkEnd w:id="135"/>
    <w:p>
      <w:pPr>
        <w:ind w:left="-656" w:right="20" w:firstLine="1305"/>
        <w:spacing w:after="0" w:line="246" w:lineRule="auto"/>
        <w:tabs>
          <w:tab w:leader="none" w:pos="1040" w:val="left"/>
        </w:tabs>
        <w:numPr>
          <w:ilvl w:val="1"/>
          <w:numId w:val="162"/>
        </w:numPr>
        <w:rPr>
          <w:rFonts w:ascii="Arial" w:cs="Arial" w:eastAsia="Arial" w:hAnsi="Arial"/>
          <w:sz w:val="20"/>
          <w:szCs w:val="20"/>
          <w:color w:val="010000"/>
        </w:rPr>
      </w:pPr>
      <w:r>
        <w:rPr>
          <w:rFonts w:ascii="Arial" w:cs="Arial" w:eastAsia="Arial" w:hAnsi="Arial"/>
          <w:sz w:val="20"/>
          <w:szCs w:val="20"/>
          <w:u w:val="single" w:color="auto"/>
          <w:color w:val="auto"/>
        </w:rPr>
        <w:t>Voluntary Resignation; Termination for Cause</w:t>
      </w:r>
      <w:r>
        <w:rPr>
          <w:rFonts w:ascii="Arial" w:cs="Arial" w:eastAsia="Arial" w:hAnsi="Arial"/>
          <w:sz w:val="20"/>
          <w:szCs w:val="20"/>
          <w:color w:val="auto"/>
        </w:rPr>
        <w:t>. If Executive’s employment with the Company terminates (i) voluntarily by Executive (other than for Good Reason) or (ii) for Cause by the Company, then Executive will not be entitled to receive severance or other benefits except for those (if any) as may then be established under the Company’s then existing severance and benefits plans and practices or pursuant to other written agreements with the Company.</w:t>
      </w:r>
    </w:p>
    <w:p>
      <w:pPr>
        <w:spacing w:after="0" w:line="191" w:lineRule="exact"/>
        <w:rPr>
          <w:rFonts w:ascii="Arial" w:cs="Arial" w:eastAsia="Arial" w:hAnsi="Arial"/>
          <w:sz w:val="20"/>
          <w:szCs w:val="20"/>
          <w:color w:val="010000"/>
        </w:rPr>
      </w:pPr>
    </w:p>
    <w:p>
      <w:pPr>
        <w:jc w:val="both"/>
        <w:ind w:left="-656" w:right="20" w:firstLine="1305"/>
        <w:spacing w:after="0" w:line="246" w:lineRule="auto"/>
        <w:tabs>
          <w:tab w:leader="none" w:pos="1051" w:val="left"/>
        </w:tabs>
        <w:numPr>
          <w:ilvl w:val="1"/>
          <w:numId w:val="162"/>
        </w:numPr>
        <w:rPr>
          <w:rFonts w:ascii="Arial" w:cs="Arial" w:eastAsia="Arial" w:hAnsi="Arial"/>
          <w:sz w:val="20"/>
          <w:szCs w:val="20"/>
          <w:color w:val="010000"/>
        </w:rPr>
      </w:pPr>
      <w:r>
        <w:rPr>
          <w:rFonts w:ascii="Arial" w:cs="Arial" w:eastAsia="Arial" w:hAnsi="Arial"/>
          <w:sz w:val="20"/>
          <w:szCs w:val="20"/>
          <w:u w:val="single" w:color="auto"/>
          <w:color w:val="auto"/>
        </w:rPr>
        <w:t>Disability; Death</w:t>
      </w:r>
      <w:r>
        <w:rPr>
          <w:rFonts w:ascii="Arial" w:cs="Arial" w:eastAsia="Arial" w:hAnsi="Arial"/>
          <w:sz w:val="20"/>
          <w:szCs w:val="20"/>
          <w:color w:val="auto"/>
        </w:rPr>
        <w:t>. If the Company terminates Executive’s employment as a result of Executive’s Disability, or Executive’s employment terminates due to Executive’s death, then Executive will not be entitled to receive any other severance or other benefits, except for those (if any) as may then be established under the Company’s then existing written severance and benefits plans and practices or pursuant to other written agreements with the Company.</w:t>
      </w:r>
    </w:p>
    <w:p>
      <w:pPr>
        <w:spacing w:after="0" w:line="191" w:lineRule="exact"/>
        <w:rPr>
          <w:rFonts w:ascii="Arial" w:cs="Arial" w:eastAsia="Arial" w:hAnsi="Arial"/>
          <w:sz w:val="20"/>
          <w:szCs w:val="20"/>
          <w:color w:val="010000"/>
        </w:rPr>
      </w:pPr>
    </w:p>
    <w:p>
      <w:pPr>
        <w:ind w:left="-656" w:right="20" w:firstLine="1305"/>
        <w:spacing w:after="0" w:line="278" w:lineRule="auto"/>
        <w:tabs>
          <w:tab w:leader="none" w:pos="1040" w:val="left"/>
        </w:tabs>
        <w:numPr>
          <w:ilvl w:val="1"/>
          <w:numId w:val="162"/>
        </w:numPr>
        <w:rPr>
          <w:rFonts w:ascii="Arial" w:cs="Arial" w:eastAsia="Arial" w:hAnsi="Arial"/>
          <w:sz w:val="18"/>
          <w:szCs w:val="18"/>
          <w:color w:val="010000"/>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as set forth in Section 3(a) or (b) of this Agreement, the provisions of Section 3 are intended to be and are exclusive and in lieu of any other rights or remedies to which Executive or the Company otherwise may be entitled, whether at law, tort or contract, in equity, or under this Agreement (other than the payment of accrued but unpaid wages, as required by law, and any unreimbursed reimbursable expenses). Executive will be entitled to no benefits, compensation or other payments or rights upon a termination of employment other than those benefits expressly set forth in Section 3 of this Agreement.</w:t>
      </w:r>
    </w:p>
    <w:p>
      <w:pPr>
        <w:spacing w:after="0" w:line="165" w:lineRule="exact"/>
        <w:rPr>
          <w:rFonts w:ascii="Arial" w:cs="Arial" w:eastAsia="Arial" w:hAnsi="Arial"/>
          <w:sz w:val="18"/>
          <w:szCs w:val="18"/>
          <w:color w:val="010000"/>
        </w:rPr>
      </w:pPr>
    </w:p>
    <w:p>
      <w:pPr>
        <w:ind w:left="324" w:hanging="324"/>
        <w:spacing w:after="0"/>
        <w:tabs>
          <w:tab w:leader="none" w:pos="324" w:val="left"/>
        </w:tabs>
        <w:numPr>
          <w:ilvl w:val="0"/>
          <w:numId w:val="163"/>
        </w:numPr>
        <w:rPr>
          <w:rFonts w:ascii="Arial" w:cs="Arial" w:eastAsia="Arial" w:hAnsi="Arial"/>
          <w:sz w:val="20"/>
          <w:szCs w:val="20"/>
          <w:color w:val="010000"/>
        </w:rPr>
      </w:pPr>
      <w:r>
        <w:rPr>
          <w:rFonts w:ascii="Arial" w:cs="Arial" w:eastAsia="Arial" w:hAnsi="Arial"/>
          <w:sz w:val="20"/>
          <w:szCs w:val="20"/>
          <w:u w:val="single" w:color="auto"/>
          <w:color w:val="auto"/>
        </w:rPr>
        <w:t>Conditions to Receipt of Severance</w:t>
      </w:r>
    </w:p>
    <w:p>
      <w:pPr>
        <w:spacing w:after="0" w:line="215" w:lineRule="exact"/>
        <w:rPr>
          <w:rFonts w:ascii="Arial" w:cs="Arial" w:eastAsia="Arial" w:hAnsi="Arial"/>
          <w:sz w:val="20"/>
          <w:szCs w:val="20"/>
          <w:color w:val="010000"/>
        </w:rPr>
      </w:pPr>
    </w:p>
    <w:p>
      <w:pPr>
        <w:ind w:left="-656" w:firstLine="1305"/>
        <w:spacing w:after="0" w:line="276" w:lineRule="auto"/>
        <w:tabs>
          <w:tab w:leader="none" w:pos="1040" w:val="left"/>
        </w:tabs>
        <w:numPr>
          <w:ilvl w:val="1"/>
          <w:numId w:val="163"/>
        </w:numPr>
        <w:rPr>
          <w:rFonts w:ascii="Arial" w:cs="Arial" w:eastAsia="Arial" w:hAnsi="Arial"/>
          <w:sz w:val="18"/>
          <w:szCs w:val="18"/>
          <w:color w:val="010000"/>
        </w:rPr>
      </w:pPr>
      <w:r>
        <w:rPr>
          <w:rFonts w:ascii="Arial" w:cs="Arial" w:eastAsia="Arial" w:hAnsi="Arial"/>
          <w:sz w:val="18"/>
          <w:szCs w:val="18"/>
          <w:color w:val="auto"/>
        </w:rPr>
        <w:t>Release of Claims Agreement. The receipt of any severance payments or benefits (other than the accrued benefits set forth in either Sections 3(a)(i) or 3(b)(i)) pursuant to this Agreement is subject to Executive signing and not revoking a separation agreement and release of claims in substantially the form attached hereto as Exhibit A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(60th) day following Executive’s termination of employment (the “</w:t>
      </w:r>
      <w:r>
        <w:rPr>
          <w:rFonts w:ascii="Arial" w:cs="Arial" w:eastAsia="Arial" w:hAnsi="Arial"/>
          <w:sz w:val="18"/>
          <w:szCs w:val="18"/>
          <w:b w:val="1"/>
          <w:bCs w:val="1"/>
          <w:i w:val="1"/>
          <w:iCs w:val="1"/>
          <w:color w:val="auto"/>
        </w:rPr>
        <w:t>Release Deadline</w:t>
      </w:r>
      <w:r>
        <w:rPr>
          <w:rFonts w:ascii="Arial" w:cs="Arial" w:eastAsia="Arial" w:hAnsi="Arial"/>
          <w:sz w:val="18"/>
          <w:szCs w:val="18"/>
          <w:color w:val="auto"/>
        </w:rPr>
        <w:t>”). If the Release does not become effective and irrevocable by the Release Deadline, Executive will forfeit any right to severance payments or benefits under this Agreement. In no event will severance payments or benefits be paid or provided until the Release actually becomes effective and irrevocable.</w:t>
      </w:r>
    </w:p>
    <w:p>
      <w:pPr>
        <w:spacing w:after="0" w:line="165" w:lineRule="exact"/>
        <w:rPr>
          <w:rFonts w:ascii="Arial" w:cs="Arial" w:eastAsia="Arial" w:hAnsi="Arial"/>
          <w:sz w:val="18"/>
          <w:szCs w:val="18"/>
          <w:color w:val="010000"/>
        </w:rPr>
      </w:pPr>
    </w:p>
    <w:p>
      <w:pPr>
        <w:jc w:val="both"/>
        <w:ind w:left="-656" w:right="180" w:firstLine="1305"/>
        <w:spacing w:after="0" w:line="246" w:lineRule="auto"/>
        <w:tabs>
          <w:tab w:leader="none" w:pos="1051" w:val="left"/>
        </w:tabs>
        <w:numPr>
          <w:ilvl w:val="1"/>
          <w:numId w:val="163"/>
        </w:numPr>
        <w:rPr>
          <w:rFonts w:ascii="Arial" w:cs="Arial" w:eastAsia="Arial" w:hAnsi="Arial"/>
          <w:sz w:val="20"/>
          <w:szCs w:val="20"/>
          <w:color w:val="010000"/>
        </w:rPr>
      </w:pPr>
      <w:r>
        <w:rPr>
          <w:rFonts w:ascii="Arial" w:cs="Arial" w:eastAsia="Arial" w:hAnsi="Arial"/>
          <w:sz w:val="20"/>
          <w:szCs w:val="20"/>
          <w:u w:val="single" w:color="auto"/>
          <w:color w:val="auto"/>
        </w:rPr>
        <w:t>Confidential Information and Invention Assignment Agreements</w:t>
      </w:r>
      <w:r>
        <w:rPr>
          <w:rFonts w:ascii="Arial" w:cs="Arial" w:eastAsia="Arial" w:hAnsi="Arial"/>
          <w:sz w:val="20"/>
          <w:szCs w:val="20"/>
          <w:color w:val="auto"/>
        </w:rPr>
        <w:t>. Executive’s receipt of any payments or benefits under Section 3 (other than the accrued benefits set forth in either Sections 3(a)(i) or 3(b)(i)) will be subject to Executive continuing to comply with the terms of the Confidentiality Agreement, dated on or about September 12, 2011, between the Company and Executive, as such agreement may be amended from time to time.</w:t>
      </w:r>
    </w:p>
    <w:p>
      <w:pPr>
        <w:spacing w:after="0" w:line="191" w:lineRule="exact"/>
        <w:rPr>
          <w:rFonts w:ascii="Arial" w:cs="Arial" w:eastAsia="Arial" w:hAnsi="Arial"/>
          <w:sz w:val="20"/>
          <w:szCs w:val="20"/>
          <w:color w:val="010000"/>
        </w:rPr>
      </w:pPr>
    </w:p>
    <w:p>
      <w:pPr>
        <w:ind w:left="1044" w:hanging="395"/>
        <w:spacing w:after="0"/>
        <w:tabs>
          <w:tab w:leader="none" w:pos="1044" w:val="left"/>
        </w:tabs>
        <w:numPr>
          <w:ilvl w:val="1"/>
          <w:numId w:val="163"/>
        </w:numPr>
        <w:rPr>
          <w:rFonts w:ascii="Arial" w:cs="Arial" w:eastAsia="Arial" w:hAnsi="Arial"/>
          <w:sz w:val="20"/>
          <w:szCs w:val="20"/>
          <w:color w:val="010000"/>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656" w:firstLine="1953"/>
        <w:spacing w:after="0" w:line="243" w:lineRule="auto"/>
        <w:tabs>
          <w:tab w:leader="none" w:pos="1655" w:val="left"/>
        </w:tabs>
        <w:numPr>
          <w:ilvl w:val="2"/>
          <w:numId w:val="163"/>
        </w:numPr>
        <w:rPr>
          <w:rFonts w:ascii="Arial" w:cs="Arial" w:eastAsia="Arial" w:hAnsi="Arial"/>
          <w:sz w:val="20"/>
          <w:szCs w:val="20"/>
          <w:color w:val="010000"/>
        </w:rPr>
      </w:pPr>
      <w:r>
        <w:rPr>
          <w:rFonts w:ascii="Arial" w:cs="Arial" w:eastAsia="Arial" w:hAnsi="Arial"/>
          <w:sz w:val="20"/>
          <w:szCs w:val="20"/>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(together, the “</w:t>
      </w:r>
      <w:r>
        <w:rPr>
          <w:rFonts w:ascii="Arial" w:cs="Arial" w:eastAsia="Arial" w:hAnsi="Arial"/>
          <w:sz w:val="20"/>
          <w:szCs w:val="20"/>
          <w:b w:val="1"/>
          <w:bCs w:val="1"/>
          <w:i w:val="1"/>
          <w:iCs w:val="1"/>
          <w:color w:val="auto"/>
        </w:rPr>
        <w:t>Deferred Payments</w:t>
      </w:r>
      <w:r>
        <w:rPr>
          <w:rFonts w:ascii="Arial" w:cs="Arial" w:eastAsia="Arial" w:hAnsi="Arial"/>
          <w:sz w:val="20"/>
          <w:szCs w:val="20"/>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200" w:lineRule="exact"/>
        <w:rPr>
          <w:sz w:val="20"/>
          <w:szCs w:val="20"/>
          <w:color w:val="auto"/>
        </w:rPr>
      </w:pPr>
    </w:p>
    <w:p>
      <w:pPr>
        <w:spacing w:after="0" w:line="236"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44"/>
          </w:cols>
          <w:pgMar w:left="896" w:top="595" w:right="259" w:bottom="1440" w:gutter="0" w:footer="0" w:header="0"/>
        </w:sectPr>
      </w:pPr>
    </w:p>
    <w:bookmarkStart w:id="136" w:name="page137"/>
    <w:bookmarkEnd w:id="136"/>
    <w:p>
      <w:pPr>
        <w:ind w:left="-656" w:firstLine="1953"/>
        <w:spacing w:after="0" w:line="239" w:lineRule="auto"/>
        <w:tabs>
          <w:tab w:leader="none" w:pos="1710"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 xml:space="preserve">It is intended that none of the severance payments under this Agreement will constitute Deferred Payments but rather will be exempt from Section 409A as a payment that would fall within the </w:t>
      </w:r>
      <w:r>
        <w:rPr>
          <w:rFonts w:ascii="Arial" w:cs="Arial" w:eastAsia="Arial" w:hAnsi="Arial"/>
          <w:sz w:val="19"/>
          <w:szCs w:val="19"/>
          <w:color w:val="343436"/>
        </w:rPr>
        <w:t>“short-term</w:t>
      </w:r>
      <w:r>
        <w:rPr>
          <w:rFonts w:ascii="Arial" w:cs="Arial" w:eastAsia="Arial" w:hAnsi="Arial"/>
          <w:sz w:val="19"/>
          <w:szCs w:val="19"/>
          <w:color w:val="auto"/>
        </w:rPr>
        <w:t xml:space="preserve"> deferral period” as described in Section 4(c)(iv) below or resulting from an involuntary separation from service as described in Section 4(c)(v) below. Any severance payments or benefits under this Agreement will be paid on, or, in the case of installments, will commence on, the sixty-first (61</w:t>
      </w:r>
      <w:r>
        <w:rPr>
          <w:rFonts w:ascii="Arial" w:cs="Arial" w:eastAsia="Arial" w:hAnsi="Arial"/>
          <w:sz w:val="24"/>
          <w:szCs w:val="24"/>
          <w:color w:val="auto"/>
          <w:vertAlign w:val="superscript"/>
        </w:rPr>
        <w:t>st</w:t>
      </w:r>
      <w:r>
        <w:rPr>
          <w:rFonts w:ascii="Arial" w:cs="Arial" w:eastAsia="Arial" w:hAnsi="Arial"/>
          <w:sz w:val="19"/>
          <w:szCs w:val="19"/>
          <w:color w:val="auto"/>
        </w:rPr>
        <w:t>) day following Executive’s separation from service, or, if later, such time as required by Section 4(c)(iii). Except as required by Section 4(c)(iii), any installment payments that would have been made to Executive during the sixty (60) day period immediately following Executive’s separation from service but for the preceding sentence will be paid to Executive on the sixty-first (61</w:t>
      </w:r>
      <w:r>
        <w:rPr>
          <w:rFonts w:ascii="Arial" w:cs="Arial" w:eastAsia="Arial" w:hAnsi="Arial"/>
          <w:sz w:val="24"/>
          <w:szCs w:val="24"/>
          <w:color w:val="auto"/>
          <w:vertAlign w:val="superscript"/>
        </w:rPr>
        <w:t>st</w:t>
      </w:r>
      <w:r>
        <w:rPr>
          <w:rFonts w:ascii="Arial" w:cs="Arial" w:eastAsia="Arial" w:hAnsi="Arial"/>
          <w:sz w:val="19"/>
          <w:szCs w:val="19"/>
          <w:color w:val="auto"/>
        </w:rPr>
        <w:t>) day following Executive’s separation from service and the remaining payments will be made as provided in this Agreement.</w:t>
      </w:r>
    </w:p>
    <w:p>
      <w:pPr>
        <w:spacing w:after="0" w:line="197" w:lineRule="exact"/>
        <w:rPr>
          <w:rFonts w:ascii="Arial" w:cs="Arial" w:eastAsia="Arial" w:hAnsi="Arial"/>
          <w:sz w:val="19"/>
          <w:szCs w:val="19"/>
          <w:color w:val="010000"/>
        </w:rPr>
      </w:pPr>
    </w:p>
    <w:p>
      <w:pPr>
        <w:ind w:left="-656" w:right="40" w:firstLine="1953"/>
        <w:spacing w:after="0" w:line="256" w:lineRule="auto"/>
        <w:tabs>
          <w:tab w:leader="none" w:pos="1765"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 (I)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before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under Section 1.409A-2(b)(2) of the Treasury Regulations.</w:t>
      </w:r>
    </w:p>
    <w:p>
      <w:pPr>
        <w:spacing w:after="0" w:line="181" w:lineRule="exact"/>
        <w:rPr>
          <w:rFonts w:ascii="Arial" w:cs="Arial" w:eastAsia="Arial" w:hAnsi="Arial"/>
          <w:sz w:val="19"/>
          <w:szCs w:val="19"/>
          <w:color w:val="010000"/>
        </w:rPr>
      </w:pPr>
    </w:p>
    <w:p>
      <w:pPr>
        <w:ind w:left="-656" w:right="160" w:firstLine="1953"/>
        <w:spacing w:after="0" w:line="287" w:lineRule="auto"/>
        <w:tabs>
          <w:tab w:leader="none" w:pos="1754"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52" w:lineRule="exact"/>
        <w:rPr>
          <w:rFonts w:ascii="Arial" w:cs="Arial" w:eastAsia="Arial" w:hAnsi="Arial"/>
          <w:sz w:val="19"/>
          <w:szCs w:val="19"/>
          <w:color w:val="010000"/>
        </w:rPr>
      </w:pPr>
    </w:p>
    <w:p>
      <w:pPr>
        <w:ind w:left="-656" w:right="140" w:firstLine="1953"/>
        <w:spacing w:after="0" w:line="250" w:lineRule="auto"/>
        <w:tabs>
          <w:tab w:leader="none" w:pos="1699" w:val="left"/>
        </w:tabs>
        <w:numPr>
          <w:ilvl w:val="2"/>
          <w:numId w:val="164"/>
        </w:numPr>
        <w:rPr>
          <w:rFonts w:ascii="Arial" w:cs="Arial" w:eastAsia="Arial" w:hAnsi="Arial"/>
          <w:sz w:val="20"/>
          <w:szCs w:val="20"/>
          <w:color w:val="010000"/>
        </w:rPr>
      </w:pPr>
      <w:r>
        <w:rPr>
          <w:rFonts w:ascii="Arial" w:cs="Arial" w:eastAsia="Arial" w:hAnsi="Arial"/>
          <w:sz w:val="20"/>
          <w:szCs w:val="20"/>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86" w:lineRule="exact"/>
        <w:rPr>
          <w:rFonts w:ascii="Arial" w:cs="Arial" w:eastAsia="Arial" w:hAnsi="Arial"/>
          <w:sz w:val="20"/>
          <w:szCs w:val="20"/>
          <w:color w:val="010000"/>
        </w:rPr>
      </w:pPr>
    </w:p>
    <w:p>
      <w:pPr>
        <w:ind w:left="-656" w:right="40" w:firstLine="1953"/>
        <w:spacing w:after="0" w:line="260" w:lineRule="auto"/>
        <w:tabs>
          <w:tab w:leader="none" w:pos="1754" w:val="left"/>
        </w:tabs>
        <w:numPr>
          <w:ilvl w:val="2"/>
          <w:numId w:val="164"/>
        </w:numPr>
        <w:rPr>
          <w:rFonts w:ascii="Arial" w:cs="Arial" w:eastAsia="Arial" w:hAnsi="Arial"/>
          <w:sz w:val="19"/>
          <w:szCs w:val="19"/>
          <w:color w:val="010000"/>
        </w:rPr>
      </w:pPr>
      <w:r>
        <w:rPr>
          <w:rFonts w:ascii="Arial" w:cs="Arial" w:eastAsia="Arial" w:hAnsi="Arial"/>
          <w:sz w:val="19"/>
          <w:szCs w:val="19"/>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 amendments to this Agreement and to take such reasonable actions which are necessary, appropriate or desirable to avoid imposition of any additional tax or income recognition before actual payment to Executive under Section 409A.</w:t>
      </w:r>
    </w:p>
    <w:p>
      <w:pPr>
        <w:spacing w:after="0" w:line="180" w:lineRule="exact"/>
        <w:rPr>
          <w:rFonts w:ascii="Arial" w:cs="Arial" w:eastAsia="Arial" w:hAnsi="Arial"/>
          <w:sz w:val="19"/>
          <w:szCs w:val="19"/>
          <w:color w:val="010000"/>
        </w:rPr>
      </w:pPr>
    </w:p>
    <w:p>
      <w:pPr>
        <w:ind w:left="-656" w:right="20" w:firstLine="656"/>
        <w:spacing w:after="0" w:line="269" w:lineRule="auto"/>
        <w:tabs>
          <w:tab w:leader="none" w:pos="320" w:val="left"/>
        </w:tabs>
        <w:numPr>
          <w:ilvl w:val="0"/>
          <w:numId w:val="165"/>
        </w:numPr>
        <w:rPr>
          <w:rFonts w:ascii="Arial" w:cs="Arial" w:eastAsia="Arial" w:hAnsi="Arial"/>
          <w:sz w:val="19"/>
          <w:szCs w:val="19"/>
          <w:color w:val="010000"/>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In the event that the severance and other benefits provided for in this Agreement or otherwise payable to Executive (i) constitute “parachute payments” within the meaning of Section 280G of the Code, and (ii) but for this Section 5, would be subject to the excise tax imposed by Section 4999 of the Code, then Executive’s benefits under Section 3 will be either:</w:t>
      </w:r>
    </w:p>
    <w:p>
      <w:pPr>
        <w:spacing w:after="0" w:line="170" w:lineRule="exact"/>
        <w:rPr>
          <w:rFonts w:ascii="Arial" w:cs="Arial" w:eastAsia="Arial" w:hAnsi="Arial"/>
          <w:sz w:val="19"/>
          <w:szCs w:val="19"/>
          <w:color w:val="010000"/>
        </w:rPr>
      </w:pPr>
    </w:p>
    <w:p>
      <w:pPr>
        <w:ind w:left="1044" w:hanging="395"/>
        <w:spacing w:after="0"/>
        <w:tabs>
          <w:tab w:leader="none" w:pos="1044" w:val="left"/>
        </w:tabs>
        <w:numPr>
          <w:ilvl w:val="1"/>
          <w:numId w:val="165"/>
        </w:numPr>
        <w:rPr>
          <w:rFonts w:ascii="Arial" w:cs="Arial" w:eastAsia="Arial" w:hAnsi="Arial"/>
          <w:sz w:val="20"/>
          <w:szCs w:val="20"/>
          <w:color w:val="010000"/>
        </w:rPr>
      </w:pPr>
      <w:r>
        <w:rPr>
          <w:rFonts w:ascii="Arial" w:cs="Arial" w:eastAsia="Arial" w:hAnsi="Arial"/>
          <w:sz w:val="20"/>
          <w:szCs w:val="20"/>
          <w:color w:val="auto"/>
        </w:rPr>
        <w:t>delivered in full, or</w:t>
      </w:r>
    </w:p>
    <w:p>
      <w:pPr>
        <w:spacing w:after="0" w:line="200" w:lineRule="exact"/>
        <w:rPr>
          <w:sz w:val="20"/>
          <w:szCs w:val="20"/>
          <w:color w:val="auto"/>
        </w:rPr>
      </w:pPr>
    </w:p>
    <w:p>
      <w:pPr>
        <w:spacing w:after="0" w:line="259"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44"/>
          </w:cols>
          <w:pgMar w:left="896" w:top="595" w:right="259" w:bottom="1440" w:gutter="0" w:footer="0" w:header="0"/>
        </w:sectPr>
      </w:pPr>
    </w:p>
    <w:bookmarkStart w:id="137" w:name="page138"/>
    <w:bookmarkEnd w:id="137"/>
    <w:p>
      <w:pPr>
        <w:ind w:firstLine="1305"/>
        <w:spacing w:after="0" w:line="256" w:lineRule="auto"/>
        <w:tabs>
          <w:tab w:leader="none" w:pos="1707" w:val="left"/>
        </w:tabs>
        <w:numPr>
          <w:ilvl w:val="0"/>
          <w:numId w:val="166"/>
        </w:numPr>
        <w:rPr>
          <w:rFonts w:ascii="Arial" w:cs="Arial" w:eastAsia="Arial" w:hAnsi="Arial"/>
          <w:sz w:val="19"/>
          <w:szCs w:val="19"/>
          <w:color w:val="010000"/>
        </w:rPr>
      </w:pPr>
      <w:r>
        <w:rPr>
          <w:rFonts w:ascii="Arial" w:cs="Arial" w:eastAsia="Arial" w:hAnsi="Arial"/>
          <w:sz w:val="19"/>
          <w:szCs w:val="19"/>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Executive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reduction of cash payments; (ii) cancellation of awards granted “contingent on a change in ownership or control” (within the meaning of Code Section 280G), (iii) cancellation of accelerated vesting of equity awards; (iv) reduction of employee benefits. In the event that acceleration of vesting of equity award compensation is to be reduced, such acceleration of vesting will be cancelled in the reverse order of the date of grant of Executive’s equity awards.</w:t>
      </w:r>
    </w:p>
    <w:p>
      <w:pPr>
        <w:spacing w:after="0" w:line="185" w:lineRule="exact"/>
        <w:rPr>
          <w:sz w:val="20"/>
          <w:szCs w:val="20"/>
          <w:color w:val="auto"/>
        </w:rPr>
      </w:pPr>
    </w:p>
    <w:p>
      <w:pPr>
        <w:ind w:right="40" w:firstLine="648"/>
        <w:spacing w:after="0" w:line="274"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the Company’s independent public accountants immediately prior to a Change of Control or such other person or entity to which the parties mutually agree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whose determination will be conclusive and binding upon Executive and the Company.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the Firm may incur in connection with any calculations contemplated by this Section 5.</w:t>
      </w:r>
    </w:p>
    <w:p>
      <w:pPr>
        <w:spacing w:after="0" w:line="169" w:lineRule="exact"/>
        <w:rPr>
          <w:sz w:val="20"/>
          <w:szCs w:val="20"/>
          <w:color w:val="auto"/>
        </w:rPr>
      </w:pPr>
    </w:p>
    <w:p>
      <w:pPr>
        <w:ind w:left="980" w:hanging="324"/>
        <w:spacing w:after="0"/>
        <w:tabs>
          <w:tab w:leader="none" w:pos="980" w:val="left"/>
        </w:tabs>
        <w:numPr>
          <w:ilvl w:val="0"/>
          <w:numId w:val="167"/>
        </w:numPr>
        <w:rPr>
          <w:rFonts w:ascii="Arial" w:cs="Arial" w:eastAsia="Arial" w:hAnsi="Arial"/>
          <w:sz w:val="20"/>
          <w:szCs w:val="20"/>
          <w:color w:val="010000"/>
        </w:rPr>
      </w:pPr>
      <w:r>
        <w:rPr>
          <w:rFonts w:ascii="Arial" w:cs="Arial" w:eastAsia="Arial" w:hAnsi="Arial"/>
          <w:sz w:val="20"/>
          <w:szCs w:val="20"/>
          <w:u w:val="single" w:color="auto"/>
          <w:color w:val="auto"/>
        </w:rPr>
        <w:t>Definition of Terms</w:t>
      </w:r>
      <w:r>
        <w:rPr>
          <w:rFonts w:ascii="Arial" w:cs="Arial" w:eastAsia="Arial" w:hAnsi="Arial"/>
          <w:sz w:val="20"/>
          <w:szCs w:val="20"/>
          <w:color w:val="auto"/>
        </w:rPr>
        <w:t>. The following terms referred to in this Agreement will have the following meanings:</w:t>
      </w:r>
    </w:p>
    <w:p>
      <w:pPr>
        <w:spacing w:after="0" w:line="215" w:lineRule="exact"/>
        <w:rPr>
          <w:rFonts w:ascii="Arial" w:cs="Arial" w:eastAsia="Arial" w:hAnsi="Arial"/>
          <w:sz w:val="20"/>
          <w:szCs w:val="20"/>
          <w:color w:val="010000"/>
        </w:rPr>
      </w:pPr>
    </w:p>
    <w:p>
      <w:pPr>
        <w:ind w:left="1700" w:hanging="395"/>
        <w:spacing w:after="0"/>
        <w:tabs>
          <w:tab w:leader="none" w:pos="1700" w:val="left"/>
        </w:tabs>
        <w:numPr>
          <w:ilvl w:val="1"/>
          <w:numId w:val="167"/>
        </w:numPr>
        <w:rPr>
          <w:rFonts w:ascii="Arial" w:cs="Arial" w:eastAsia="Arial" w:hAnsi="Arial"/>
          <w:sz w:val="20"/>
          <w:szCs w:val="20"/>
          <w:color w:val="010000"/>
        </w:rPr>
      </w:pPr>
      <w:r>
        <w:rPr>
          <w:rFonts w:ascii="Arial" w:cs="Arial" w:eastAsia="Arial" w:hAnsi="Arial"/>
          <w:sz w:val="20"/>
          <w:szCs w:val="20"/>
          <w:u w:val="single" w:color="auto"/>
          <w:color w:val="auto"/>
        </w:rPr>
        <w:t>Cause</w:t>
      </w:r>
      <w:r>
        <w:rPr>
          <w:rFonts w:ascii="Arial" w:cs="Arial" w:eastAsia="Arial" w:hAnsi="Arial"/>
          <w:sz w:val="20"/>
          <w:szCs w:val="20"/>
          <w:color w:val="auto"/>
        </w:rPr>
        <w:t>. “</w:t>
      </w:r>
      <w:r>
        <w:rPr>
          <w:rFonts w:ascii="Arial" w:cs="Arial" w:eastAsia="Arial" w:hAnsi="Arial"/>
          <w:sz w:val="20"/>
          <w:szCs w:val="20"/>
          <w:b w:val="1"/>
          <w:bCs w:val="1"/>
          <w:i w:val="1"/>
          <w:iCs w:val="1"/>
          <w:color w:val="auto"/>
        </w:rPr>
        <w:t>Cause</w:t>
      </w:r>
      <w:r>
        <w:rPr>
          <w:rFonts w:ascii="Arial" w:cs="Arial" w:eastAsia="Arial" w:hAnsi="Arial"/>
          <w:sz w:val="20"/>
          <w:szCs w:val="20"/>
          <w:color w:val="auto"/>
        </w:rPr>
        <w:t>” will mean:</w:t>
      </w:r>
    </w:p>
    <w:p>
      <w:pPr>
        <w:spacing w:after="0" w:line="215" w:lineRule="exact"/>
        <w:rPr>
          <w:rFonts w:ascii="Arial" w:cs="Arial" w:eastAsia="Arial" w:hAnsi="Arial"/>
          <w:sz w:val="20"/>
          <w:szCs w:val="20"/>
          <w:color w:val="010000"/>
        </w:rPr>
      </w:pPr>
    </w:p>
    <w:p>
      <w:pPr>
        <w:ind w:left="2320" w:hanging="367"/>
        <w:spacing w:after="0"/>
        <w:tabs>
          <w:tab w:leader="none" w:pos="2320" w:val="left"/>
        </w:tabs>
        <w:numPr>
          <w:ilvl w:val="2"/>
          <w:numId w:val="167"/>
        </w:numPr>
        <w:rPr>
          <w:rFonts w:ascii="Arial" w:cs="Arial" w:eastAsia="Arial" w:hAnsi="Arial"/>
          <w:sz w:val="18"/>
          <w:szCs w:val="18"/>
          <w:color w:val="010000"/>
        </w:rPr>
      </w:pPr>
      <w:r>
        <w:rPr>
          <w:rFonts w:ascii="Arial" w:cs="Arial" w:eastAsia="Arial" w:hAnsi="Arial"/>
          <w:sz w:val="18"/>
          <w:szCs w:val="18"/>
          <w:color w:val="auto"/>
        </w:rPr>
        <w:t>The willful or grossly negligent failure of the Executive to substantially perform his or her duties as an employee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of the Company;</w:t>
      </w:r>
    </w:p>
    <w:p>
      <w:pPr>
        <w:spacing w:after="0" w:line="199" w:lineRule="exact"/>
        <w:rPr>
          <w:rFonts w:ascii="Arial" w:cs="Arial" w:eastAsia="Arial" w:hAnsi="Arial"/>
          <w:sz w:val="18"/>
          <w:szCs w:val="18"/>
          <w:color w:val="010000"/>
        </w:rPr>
      </w:pPr>
    </w:p>
    <w:p>
      <w:pPr>
        <w:ind w:left="2380" w:hanging="427"/>
        <w:spacing w:after="0"/>
        <w:tabs>
          <w:tab w:leader="none" w:pos="2380" w:val="left"/>
        </w:tabs>
        <w:numPr>
          <w:ilvl w:val="2"/>
          <w:numId w:val="167"/>
        </w:numPr>
        <w:rPr>
          <w:rFonts w:ascii="Arial" w:cs="Arial" w:eastAsia="Arial" w:hAnsi="Arial"/>
          <w:sz w:val="20"/>
          <w:szCs w:val="20"/>
          <w:color w:val="010000"/>
        </w:rPr>
      </w:pPr>
      <w:r>
        <w:rPr>
          <w:rFonts w:ascii="Arial" w:cs="Arial" w:eastAsia="Arial" w:hAnsi="Arial"/>
          <w:sz w:val="20"/>
          <w:szCs w:val="20"/>
          <w:color w:val="auto"/>
        </w:rPr>
        <w:t>Executive’s commission of a gross misconduct which is injurious to the Company;</w:t>
      </w:r>
    </w:p>
    <w:p>
      <w:pPr>
        <w:spacing w:after="0" w:line="215" w:lineRule="exact"/>
        <w:rPr>
          <w:rFonts w:ascii="Arial" w:cs="Arial" w:eastAsia="Arial" w:hAnsi="Arial"/>
          <w:sz w:val="20"/>
          <w:szCs w:val="20"/>
          <w:color w:val="010000"/>
        </w:rPr>
      </w:pPr>
    </w:p>
    <w:p>
      <w:pPr>
        <w:ind w:left="2420" w:hanging="467"/>
        <w:spacing w:after="0"/>
        <w:tabs>
          <w:tab w:leader="none" w:pos="2420" w:val="left"/>
        </w:tabs>
        <w:numPr>
          <w:ilvl w:val="2"/>
          <w:numId w:val="167"/>
        </w:numPr>
        <w:rPr>
          <w:rFonts w:ascii="Arial" w:cs="Arial" w:eastAsia="Arial" w:hAnsi="Arial"/>
          <w:sz w:val="20"/>
          <w:szCs w:val="20"/>
          <w:color w:val="010000"/>
        </w:rPr>
      </w:pPr>
      <w:r>
        <w:rPr>
          <w:rFonts w:ascii="Arial" w:cs="Arial" w:eastAsia="Arial" w:hAnsi="Arial"/>
          <w:sz w:val="20"/>
          <w:szCs w:val="20"/>
          <w:color w:val="auto"/>
        </w:rPr>
        <w:t>Executive’s breach of a material provision of any agreement between Executive and the Company;</w:t>
      </w:r>
    </w:p>
    <w:p>
      <w:pPr>
        <w:spacing w:after="0" w:line="215" w:lineRule="exact"/>
        <w:rPr>
          <w:rFonts w:ascii="Arial" w:cs="Arial" w:eastAsia="Arial" w:hAnsi="Arial"/>
          <w:sz w:val="20"/>
          <w:szCs w:val="20"/>
          <w:color w:val="010000"/>
        </w:rPr>
      </w:pPr>
    </w:p>
    <w:p>
      <w:pPr>
        <w:ind w:left="2420" w:hanging="467"/>
        <w:spacing w:after="0"/>
        <w:tabs>
          <w:tab w:leader="none" w:pos="2420" w:val="left"/>
        </w:tabs>
        <w:numPr>
          <w:ilvl w:val="2"/>
          <w:numId w:val="167"/>
        </w:numPr>
        <w:rPr>
          <w:rFonts w:ascii="Arial" w:cs="Arial" w:eastAsia="Arial" w:hAnsi="Arial"/>
          <w:sz w:val="18"/>
          <w:szCs w:val="18"/>
          <w:color w:val="010000"/>
        </w:rPr>
      </w:pPr>
      <w:r>
        <w:rPr>
          <w:rFonts w:ascii="Arial" w:cs="Arial" w:eastAsia="Arial" w:hAnsi="Arial"/>
          <w:sz w:val="18"/>
          <w:szCs w:val="18"/>
          <w:color w:val="auto"/>
        </w:rPr>
        <w:t>Executive’s material and willful violation of a federal or state law or regulation applicable to the business of the</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Company;</w:t>
      </w:r>
    </w:p>
    <w:p>
      <w:pPr>
        <w:spacing w:after="0" w:line="199" w:lineRule="exact"/>
        <w:rPr>
          <w:rFonts w:ascii="Arial" w:cs="Arial" w:eastAsia="Arial" w:hAnsi="Arial"/>
          <w:sz w:val="18"/>
          <w:szCs w:val="18"/>
          <w:color w:val="010000"/>
        </w:rPr>
      </w:pPr>
    </w:p>
    <w:p>
      <w:pPr>
        <w:ind w:left="2360" w:hanging="407"/>
        <w:spacing w:after="0"/>
        <w:tabs>
          <w:tab w:leader="none" w:pos="2360" w:val="left"/>
        </w:tabs>
        <w:numPr>
          <w:ilvl w:val="2"/>
          <w:numId w:val="167"/>
        </w:numPr>
        <w:rPr>
          <w:rFonts w:ascii="Arial" w:cs="Arial" w:eastAsia="Arial" w:hAnsi="Arial"/>
          <w:sz w:val="18"/>
          <w:szCs w:val="18"/>
          <w:color w:val="010000"/>
        </w:rPr>
      </w:pPr>
      <w:r>
        <w:rPr>
          <w:rFonts w:ascii="Arial" w:cs="Arial" w:eastAsia="Arial" w:hAnsi="Arial"/>
          <w:sz w:val="18"/>
          <w:szCs w:val="18"/>
          <w:color w:val="auto"/>
        </w:rPr>
        <w:t>Executive’s misappropriation or embezzlement of Company funds or Executive’s act of fraud or dishonesty upon</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the Company; or</w:t>
      </w:r>
    </w:p>
    <w:p>
      <w:pPr>
        <w:spacing w:after="0" w:line="199" w:lineRule="exact"/>
        <w:rPr>
          <w:rFonts w:ascii="Arial" w:cs="Arial" w:eastAsia="Arial" w:hAnsi="Arial"/>
          <w:sz w:val="18"/>
          <w:szCs w:val="18"/>
          <w:color w:val="010000"/>
        </w:rPr>
      </w:pPr>
    </w:p>
    <w:p>
      <w:pPr>
        <w:ind w:right="80" w:firstLine="1953"/>
        <w:spacing w:after="0" w:line="260" w:lineRule="auto"/>
        <w:tabs>
          <w:tab w:leader="none" w:pos="2411" w:val="left"/>
        </w:tabs>
        <w:numPr>
          <w:ilvl w:val="2"/>
          <w:numId w:val="167"/>
        </w:numPr>
        <w:rPr>
          <w:rFonts w:ascii="Arial" w:cs="Arial" w:eastAsia="Arial" w:hAnsi="Arial"/>
          <w:sz w:val="20"/>
          <w:szCs w:val="20"/>
          <w:color w:val="010000"/>
        </w:rPr>
      </w:pPr>
      <w:r>
        <w:rPr>
          <w:rFonts w:ascii="Arial" w:cs="Arial" w:eastAsia="Arial" w:hAnsi="Arial"/>
          <w:sz w:val="20"/>
          <w:szCs w:val="20"/>
          <w:color w:val="auto"/>
        </w:rPr>
        <w:t>Executive’s conviction of, or plea of nolo contendere, to a felony (other than motor vehicle offenses the effect of which do not materially impair Executive’s performance of Executive’s duties for the Company).</w:t>
      </w:r>
    </w:p>
    <w:p>
      <w:pPr>
        <w:spacing w:after="0" w:line="177"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The Company will not terminate Executive’s employment for Cause without first providing Executive with written notice specifically identifying the acts or omissions constituting the grounds for a Cause</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00"/>
          </w:cols>
          <w:pgMar w:left="240" w:top="595" w:right="259" w:bottom="1440" w:gutter="0" w:footer="0" w:header="0"/>
        </w:sectPr>
      </w:pPr>
    </w:p>
    <w:bookmarkStart w:id="138" w:name="page139"/>
    <w:bookmarkEnd w:id="138"/>
    <w:p>
      <w:pPr>
        <w:ind w:right="20"/>
        <w:spacing w:after="0" w:line="260" w:lineRule="auto"/>
        <w:rPr>
          <w:sz w:val="20"/>
          <w:szCs w:val="20"/>
          <w:color w:val="auto"/>
        </w:rPr>
      </w:pPr>
      <w:r>
        <w:rPr>
          <w:rFonts w:ascii="Arial" w:cs="Arial" w:eastAsia="Arial" w:hAnsi="Arial"/>
          <w:sz w:val="20"/>
          <w:szCs w:val="20"/>
          <w:color w:val="auto"/>
        </w:rPr>
        <w:t>termination and, with respect to clauses (i), (iii) and (iv), a reasonable opportunity to cure (to the extent curable) for a period of not less than ten (10) business days following such notice.</w:t>
      </w:r>
    </w:p>
    <w:p>
      <w:pPr>
        <w:spacing w:after="0" w:line="177"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determination as to whether Executive is being terminated for Cause will be made in good faith by the Board and will be final and binding on Executive. The foregoing definition does not in any way limit the Company’s ability to terminate Executive’s employment relationship at any time as provided in Section 2 above, and the term “Company” will be interpreted to include any subsidiary, parent, affiliate or successor thereto, if applicable.</w:t>
      </w:r>
    </w:p>
    <w:p>
      <w:pPr>
        <w:spacing w:after="0" w:line="192" w:lineRule="exact"/>
        <w:rPr>
          <w:sz w:val="20"/>
          <w:szCs w:val="20"/>
          <w:color w:val="auto"/>
        </w:rPr>
      </w:pPr>
    </w:p>
    <w:p>
      <w:pPr>
        <w:ind w:left="1720" w:hanging="415"/>
        <w:spacing w:after="0"/>
        <w:tabs>
          <w:tab w:leader="none" w:pos="1720" w:val="left"/>
        </w:tabs>
        <w:numPr>
          <w:ilvl w:val="0"/>
          <w:numId w:val="168"/>
        </w:numPr>
        <w:rPr>
          <w:rFonts w:ascii="Arial" w:cs="Arial" w:eastAsia="Arial" w:hAnsi="Arial"/>
          <w:sz w:val="20"/>
          <w:szCs w:val="20"/>
          <w:color w:val="010000"/>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w:t>
      </w:r>
      <w:r>
        <w:rPr>
          <w:rFonts w:ascii="Arial" w:cs="Arial" w:eastAsia="Arial" w:hAnsi="Arial"/>
          <w:sz w:val="20"/>
          <w:szCs w:val="20"/>
          <w:b w:val="1"/>
          <w:bCs w:val="1"/>
          <w:i w:val="1"/>
          <w:iCs w:val="1"/>
          <w:color w:val="auto"/>
        </w:rPr>
        <w:t>Change of Control</w:t>
      </w:r>
      <w:r>
        <w:rPr>
          <w:rFonts w:ascii="Arial" w:cs="Arial" w:eastAsia="Arial" w:hAnsi="Arial"/>
          <w:sz w:val="20"/>
          <w:szCs w:val="20"/>
          <w:color w:val="auto"/>
        </w:rPr>
        <w:t>” means the occurrence of any of the following events:</w:t>
      </w:r>
    </w:p>
    <w:p>
      <w:pPr>
        <w:spacing w:after="0" w:line="215" w:lineRule="exact"/>
        <w:rPr>
          <w:rFonts w:ascii="Arial" w:cs="Arial" w:eastAsia="Arial" w:hAnsi="Arial"/>
          <w:sz w:val="20"/>
          <w:szCs w:val="20"/>
          <w:color w:val="010000"/>
        </w:rPr>
      </w:pPr>
    </w:p>
    <w:p>
      <w:pPr>
        <w:ind w:right="20" w:firstLine="1953"/>
        <w:spacing w:after="0" w:line="260" w:lineRule="auto"/>
        <w:tabs>
          <w:tab w:leader="none" w:pos="2312" w:val="left"/>
        </w:tabs>
        <w:numPr>
          <w:ilvl w:val="1"/>
          <w:numId w:val="168"/>
        </w:numPr>
        <w:rPr>
          <w:rFonts w:ascii="Arial" w:cs="Arial" w:eastAsia="Arial" w:hAnsi="Arial"/>
          <w:sz w:val="19"/>
          <w:szCs w:val="19"/>
          <w:color w:val="010000"/>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of Control; or</w:t>
      </w:r>
    </w:p>
    <w:p>
      <w:pPr>
        <w:spacing w:after="0" w:line="180" w:lineRule="exact"/>
        <w:rPr>
          <w:rFonts w:ascii="Arial" w:cs="Arial" w:eastAsia="Arial" w:hAnsi="Arial"/>
          <w:sz w:val="19"/>
          <w:szCs w:val="19"/>
          <w:color w:val="010000"/>
        </w:rPr>
      </w:pPr>
    </w:p>
    <w:p>
      <w:pPr>
        <w:ind w:right="160" w:firstLine="1953"/>
        <w:spacing w:after="0" w:line="244" w:lineRule="auto"/>
        <w:tabs>
          <w:tab w:leader="none" w:pos="2366" w:val="left"/>
        </w:tabs>
        <w:numPr>
          <w:ilvl w:val="1"/>
          <w:numId w:val="168"/>
        </w:numPr>
        <w:rPr>
          <w:rFonts w:ascii="Arial" w:cs="Arial" w:eastAsia="Arial" w:hAnsi="Arial"/>
          <w:sz w:val="20"/>
          <w:szCs w:val="20"/>
          <w:color w:val="010000"/>
        </w:rPr>
      </w:pPr>
      <w:r>
        <w:rPr>
          <w:rFonts w:ascii="Arial" w:cs="Arial" w:eastAsia="Arial" w:hAnsi="Arial"/>
          <w:sz w:val="20"/>
          <w:szCs w:val="20"/>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94" w:lineRule="exact"/>
        <w:rPr>
          <w:rFonts w:ascii="Arial" w:cs="Arial" w:eastAsia="Arial" w:hAnsi="Arial"/>
          <w:sz w:val="20"/>
          <w:szCs w:val="20"/>
          <w:color w:val="010000"/>
        </w:rPr>
      </w:pPr>
    </w:p>
    <w:p>
      <w:pPr>
        <w:ind w:firstLine="1953"/>
        <w:spacing w:after="0" w:line="270" w:lineRule="auto"/>
        <w:tabs>
          <w:tab w:leader="none" w:pos="2421" w:val="left"/>
        </w:tabs>
        <w:numPr>
          <w:ilvl w:val="1"/>
          <w:numId w:val="168"/>
        </w:numPr>
        <w:rPr>
          <w:rFonts w:ascii="Arial" w:cs="Arial" w:eastAsia="Arial" w:hAnsi="Arial"/>
          <w:sz w:val="18"/>
          <w:szCs w:val="18"/>
          <w:color w:val="010000"/>
        </w:rPr>
      </w:pPr>
      <w:r>
        <w:rPr>
          <w:rFonts w:ascii="Arial" w:cs="Arial" w:eastAsia="Arial" w:hAnsi="Arial"/>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77"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7" w:lineRule="exact"/>
        <w:rPr>
          <w:sz w:val="20"/>
          <w:szCs w:val="20"/>
          <w:color w:val="auto"/>
        </w:rPr>
      </w:pPr>
    </w:p>
    <w:p>
      <w:pPr>
        <w:ind w:right="360" w:firstLine="648"/>
        <w:spacing w:after="0" w:line="260" w:lineRule="auto"/>
        <w:rPr>
          <w:sz w:val="20"/>
          <w:szCs w:val="20"/>
          <w:color w:val="auto"/>
        </w:rPr>
      </w:pPr>
      <w:r>
        <w:rPr>
          <w:rFonts w:ascii="Arial" w:cs="Arial" w:eastAsia="Arial" w:hAnsi="Arial"/>
          <w:sz w:val="20"/>
          <w:szCs w:val="20"/>
          <w:color w:val="auto"/>
        </w:rPr>
        <w:t>Notwithstanding the foregoing, a transaction will not be deemed a Change of Control unless the transaction qualifies as a change in control event within the meaning of Code Section 409A, as it has been</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5" w:right="239" w:bottom="1440" w:gutter="0" w:footer="0" w:header="0"/>
        </w:sectPr>
      </w:pPr>
    </w:p>
    <w:bookmarkStart w:id="139" w:name="page140"/>
    <w:bookmarkEnd w:id="139"/>
    <w:p>
      <w:pPr>
        <w:ind w:right="180"/>
        <w:spacing w:after="0" w:line="260" w:lineRule="auto"/>
        <w:rPr>
          <w:sz w:val="20"/>
          <w:szCs w:val="20"/>
          <w:color w:val="auto"/>
        </w:rPr>
      </w:pPr>
      <w:r>
        <w:rPr>
          <w:rFonts w:ascii="Arial" w:cs="Arial" w:eastAsia="Arial" w:hAnsi="Arial"/>
          <w:sz w:val="20"/>
          <w:szCs w:val="20"/>
          <w:color w:val="auto"/>
        </w:rPr>
        <w:t>and may be amended from time to time, and any proposed or final Treasury Regulations and Internal Revenue Service guidance that has been promulgated or may be promulgated thereunder from time to time.</w:t>
      </w:r>
    </w:p>
    <w:p>
      <w:pPr>
        <w:spacing w:after="0" w:line="177"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86" w:lineRule="exact"/>
        <w:rPr>
          <w:sz w:val="20"/>
          <w:szCs w:val="20"/>
          <w:color w:val="auto"/>
        </w:rPr>
      </w:pPr>
    </w:p>
    <w:p>
      <w:pPr>
        <w:ind w:right="440" w:firstLine="1305"/>
        <w:spacing w:after="0" w:line="260" w:lineRule="auto"/>
        <w:tabs>
          <w:tab w:leader="none" w:pos="1696" w:val="left"/>
        </w:tabs>
        <w:numPr>
          <w:ilvl w:val="0"/>
          <w:numId w:val="169"/>
        </w:numPr>
        <w:rPr>
          <w:rFonts w:ascii="Arial" w:cs="Arial" w:eastAsia="Arial" w:hAnsi="Arial"/>
          <w:sz w:val="20"/>
          <w:szCs w:val="20"/>
          <w:color w:val="010000"/>
        </w:rPr>
      </w:pPr>
      <w:r>
        <w:rPr>
          <w:rFonts w:ascii="Arial" w:cs="Arial" w:eastAsia="Arial" w:hAnsi="Arial"/>
          <w:sz w:val="20"/>
          <w:szCs w:val="20"/>
          <w:u w:val="single" w:color="auto"/>
          <w:color w:val="auto"/>
        </w:rPr>
        <w:t>Change of Control Period</w:t>
      </w:r>
      <w:r>
        <w:rPr>
          <w:rFonts w:ascii="Arial" w:cs="Arial" w:eastAsia="Arial" w:hAnsi="Arial"/>
          <w:sz w:val="20"/>
          <w:szCs w:val="20"/>
          <w:color w:val="auto"/>
        </w:rPr>
        <w:t>. “</w:t>
      </w:r>
      <w:r>
        <w:rPr>
          <w:rFonts w:ascii="Arial" w:cs="Arial" w:eastAsia="Arial" w:hAnsi="Arial"/>
          <w:sz w:val="20"/>
          <w:szCs w:val="20"/>
          <w:b w:val="1"/>
          <w:bCs w:val="1"/>
          <w:i w:val="1"/>
          <w:iCs w:val="1"/>
          <w:color w:val="auto"/>
        </w:rPr>
        <w:t>Change of Control Period</w:t>
      </w:r>
      <w:r>
        <w:rPr>
          <w:rFonts w:ascii="Arial" w:cs="Arial" w:eastAsia="Arial" w:hAnsi="Arial"/>
          <w:sz w:val="20"/>
          <w:szCs w:val="20"/>
          <w:color w:val="auto"/>
        </w:rPr>
        <w:t>’’ will mean the period beginning two (2) months prior to, and ending twelve (12) months following, a Change of Control.</w:t>
      </w:r>
    </w:p>
    <w:p>
      <w:pPr>
        <w:spacing w:after="0" w:line="176" w:lineRule="exact"/>
        <w:rPr>
          <w:rFonts w:ascii="Arial" w:cs="Arial" w:eastAsia="Arial" w:hAnsi="Arial"/>
          <w:sz w:val="20"/>
          <w:szCs w:val="20"/>
          <w:color w:val="010000"/>
        </w:rPr>
      </w:pPr>
    </w:p>
    <w:p>
      <w:pPr>
        <w:ind w:left="1760" w:hanging="455"/>
        <w:spacing w:after="0"/>
        <w:tabs>
          <w:tab w:leader="none" w:pos="1760" w:val="left"/>
        </w:tabs>
        <w:numPr>
          <w:ilvl w:val="0"/>
          <w:numId w:val="169"/>
        </w:numPr>
        <w:rPr>
          <w:rFonts w:ascii="Arial" w:cs="Arial" w:eastAsia="Arial" w:hAnsi="Arial"/>
          <w:sz w:val="20"/>
          <w:szCs w:val="20"/>
          <w:color w:val="010000"/>
        </w:rPr>
      </w:pPr>
      <w:r>
        <w:rPr>
          <w:rFonts w:ascii="Arial" w:cs="Arial" w:eastAsia="Arial" w:hAnsi="Arial"/>
          <w:sz w:val="20"/>
          <w:szCs w:val="20"/>
          <w:u w:val="single" w:color="auto"/>
          <w:color w:val="auto"/>
        </w:rPr>
        <w:t>Code</w:t>
      </w:r>
      <w:r>
        <w:rPr>
          <w:rFonts w:ascii="Arial" w:cs="Arial" w:eastAsia="Arial" w:hAnsi="Arial"/>
          <w:sz w:val="20"/>
          <w:szCs w:val="20"/>
          <w:color w:val="auto"/>
        </w:rPr>
        <w:t>. “</w:t>
      </w:r>
      <w:r>
        <w:rPr>
          <w:rFonts w:ascii="Arial" w:cs="Arial" w:eastAsia="Arial" w:hAnsi="Arial"/>
          <w:sz w:val="20"/>
          <w:szCs w:val="20"/>
          <w:b w:val="1"/>
          <w:bCs w:val="1"/>
          <w:i w:val="1"/>
          <w:iCs w:val="1"/>
          <w:color w:val="auto"/>
        </w:rPr>
        <w:t>Code</w:t>
      </w:r>
      <w:r>
        <w:rPr>
          <w:rFonts w:ascii="Arial" w:cs="Arial" w:eastAsia="Arial" w:hAnsi="Arial"/>
          <w:sz w:val="20"/>
          <w:szCs w:val="20"/>
          <w:color w:val="auto"/>
        </w:rPr>
        <w:t>” will mean the Internal Revenue Code of 1986, as amended.</w:t>
      </w:r>
    </w:p>
    <w:p>
      <w:pPr>
        <w:spacing w:after="0" w:line="215" w:lineRule="exact"/>
        <w:rPr>
          <w:rFonts w:ascii="Arial" w:cs="Arial" w:eastAsia="Arial" w:hAnsi="Arial"/>
          <w:sz w:val="20"/>
          <w:szCs w:val="20"/>
          <w:color w:val="010000"/>
        </w:rPr>
      </w:pPr>
    </w:p>
    <w:p>
      <w:pPr>
        <w:ind w:firstLine="1305"/>
        <w:spacing w:after="0" w:line="258" w:lineRule="auto"/>
        <w:tabs>
          <w:tab w:leader="none" w:pos="1696" w:val="left"/>
        </w:tabs>
        <w:numPr>
          <w:ilvl w:val="0"/>
          <w:numId w:val="169"/>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will mean that Executive has been unable to engage in any substantial gainful activity by reason of any medically determinable physical or mental impairment that can be expected to result in death or can be expected to last for a continuous period of not less than twelve (12)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79" w:lineRule="exact"/>
        <w:rPr>
          <w:rFonts w:ascii="Arial" w:cs="Arial" w:eastAsia="Arial" w:hAnsi="Arial"/>
          <w:sz w:val="19"/>
          <w:szCs w:val="19"/>
          <w:color w:val="010000"/>
        </w:rPr>
      </w:pPr>
    </w:p>
    <w:p>
      <w:pPr>
        <w:ind w:right="320" w:firstLine="1305"/>
        <w:spacing w:after="0" w:line="287" w:lineRule="auto"/>
        <w:tabs>
          <w:tab w:leader="none" w:pos="1674" w:val="left"/>
        </w:tabs>
        <w:numPr>
          <w:ilvl w:val="0"/>
          <w:numId w:val="169"/>
        </w:numPr>
        <w:rPr>
          <w:rFonts w:ascii="Arial" w:cs="Arial" w:eastAsia="Arial" w:hAnsi="Arial"/>
          <w:sz w:val="19"/>
          <w:szCs w:val="19"/>
          <w:color w:val="010000"/>
        </w:rPr>
      </w:pPr>
      <w:r>
        <w:rPr>
          <w:rFonts w:ascii="Arial" w:cs="Arial" w:eastAsia="Arial" w:hAnsi="Arial"/>
          <w:sz w:val="19"/>
          <w:szCs w:val="19"/>
          <w:u w:val="single" w:color="auto"/>
          <w:color w:val="auto"/>
        </w:rPr>
        <w:t>Equity Awards</w:t>
      </w:r>
      <w:r>
        <w:rPr>
          <w:rFonts w:ascii="Arial" w:cs="Arial" w:eastAsia="Arial" w:hAnsi="Arial"/>
          <w:sz w:val="19"/>
          <w:szCs w:val="19"/>
          <w:color w:val="auto"/>
        </w:rPr>
        <w:t>.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will mean Executive’s outstanding stock options, stock appreciation rights, restricted stock units, performance shares, performance stock units and any other Company equity compensation awards.</w:t>
      </w:r>
    </w:p>
    <w:p>
      <w:pPr>
        <w:spacing w:after="0" w:line="152" w:lineRule="exact"/>
        <w:rPr>
          <w:rFonts w:ascii="Arial" w:cs="Arial" w:eastAsia="Arial" w:hAnsi="Arial"/>
          <w:sz w:val="19"/>
          <w:szCs w:val="19"/>
          <w:color w:val="010000"/>
        </w:rPr>
      </w:pPr>
    </w:p>
    <w:p>
      <w:pPr>
        <w:ind w:right="80" w:firstLine="1305"/>
        <w:spacing w:after="0" w:line="316" w:lineRule="auto"/>
        <w:tabs>
          <w:tab w:leader="none" w:pos="1707" w:val="left"/>
        </w:tabs>
        <w:numPr>
          <w:ilvl w:val="0"/>
          <w:numId w:val="169"/>
        </w:numPr>
        <w:rPr>
          <w:rFonts w:ascii="Arial" w:cs="Arial" w:eastAsia="Arial" w:hAnsi="Arial"/>
          <w:sz w:val="18"/>
          <w:szCs w:val="18"/>
          <w:color w:val="010000"/>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mean termination of employment within forty-five (45) days following the expiration of any cure period (discussed below) following the occurrence of one or more of the following, without Executive’s express written consent:</w:t>
      </w:r>
    </w:p>
    <w:p>
      <w:pPr>
        <w:spacing w:after="0" w:line="130" w:lineRule="exact"/>
        <w:rPr>
          <w:rFonts w:ascii="Arial" w:cs="Arial" w:eastAsia="Arial" w:hAnsi="Arial"/>
          <w:sz w:val="18"/>
          <w:szCs w:val="18"/>
          <w:color w:val="010000"/>
        </w:rPr>
      </w:pPr>
    </w:p>
    <w:p>
      <w:pPr>
        <w:ind w:right="140" w:firstLine="1953"/>
        <w:spacing w:after="0" w:line="260" w:lineRule="auto"/>
        <w:tabs>
          <w:tab w:leader="none" w:pos="2295" w:val="left"/>
        </w:tabs>
        <w:numPr>
          <w:ilvl w:val="1"/>
          <w:numId w:val="169"/>
        </w:numPr>
        <w:rPr>
          <w:rFonts w:ascii="Arial" w:cs="Arial" w:eastAsia="Arial" w:hAnsi="Arial"/>
          <w:sz w:val="18"/>
          <w:szCs w:val="18"/>
          <w:color w:val="auto"/>
        </w:rPr>
      </w:pPr>
      <w:r>
        <w:rPr>
          <w:rFonts w:ascii="Arial" w:cs="Arial" w:eastAsia="Arial" w:hAnsi="Arial"/>
          <w:sz w:val="20"/>
          <w:szCs w:val="20"/>
          <w:color w:val="auto"/>
        </w:rPr>
        <w:t>a material reduction of Executive’s authorities, duties or responsibilities relative to Executive’s authorities, duties or responsibilities in effect immediately prior to such reduction;</w:t>
      </w:r>
    </w:p>
    <w:p>
      <w:pPr>
        <w:spacing w:after="0" w:line="176" w:lineRule="exact"/>
        <w:rPr>
          <w:rFonts w:ascii="Arial" w:cs="Arial" w:eastAsia="Arial" w:hAnsi="Arial"/>
          <w:sz w:val="18"/>
          <w:szCs w:val="18"/>
          <w:color w:val="auto"/>
        </w:rPr>
      </w:pPr>
    </w:p>
    <w:p>
      <w:pPr>
        <w:ind w:right="140" w:firstLine="1953"/>
        <w:spacing w:after="0" w:line="386" w:lineRule="auto"/>
        <w:tabs>
          <w:tab w:leader="none" w:pos="2345" w:val="left"/>
        </w:tabs>
        <w:numPr>
          <w:ilvl w:val="1"/>
          <w:numId w:val="169"/>
        </w:numPr>
        <w:rPr>
          <w:rFonts w:ascii="Arial" w:cs="Arial" w:eastAsia="Arial" w:hAnsi="Arial"/>
          <w:sz w:val="15"/>
          <w:szCs w:val="15"/>
          <w:color w:val="auto"/>
        </w:rPr>
      </w:pPr>
      <w:r>
        <w:rPr>
          <w:rFonts w:ascii="Arial" w:cs="Arial" w:eastAsia="Arial" w:hAnsi="Arial"/>
          <w:sz w:val="16"/>
          <w:szCs w:val="16"/>
          <w:color w:val="auto"/>
        </w:rPr>
        <w:t>a material reduction in Executive’s base salary and/or target bonus opportunity, other than a reduction applicable to similarly situated employees generally that does not adversely affect Executive to a greater extent than other similarly situated employees;</w:t>
      </w:r>
    </w:p>
    <w:p>
      <w:pPr>
        <w:spacing w:after="0" w:line="83" w:lineRule="exact"/>
        <w:rPr>
          <w:rFonts w:ascii="Arial" w:cs="Arial" w:eastAsia="Arial" w:hAnsi="Arial"/>
          <w:sz w:val="15"/>
          <w:szCs w:val="15"/>
          <w:color w:val="auto"/>
        </w:rPr>
      </w:pPr>
    </w:p>
    <w:p>
      <w:pPr>
        <w:ind w:left="2400" w:hanging="447"/>
        <w:spacing w:after="0"/>
        <w:tabs>
          <w:tab w:leader="none" w:pos="2400" w:val="left"/>
        </w:tabs>
        <w:numPr>
          <w:ilvl w:val="1"/>
          <w:numId w:val="169"/>
        </w:numPr>
        <w:rPr>
          <w:rFonts w:ascii="Arial" w:cs="Arial" w:eastAsia="Arial" w:hAnsi="Arial"/>
          <w:sz w:val="16"/>
          <w:szCs w:val="16"/>
          <w:color w:val="auto"/>
        </w:rPr>
      </w:pPr>
      <w:r>
        <w:rPr>
          <w:rFonts w:ascii="Arial" w:cs="Arial" w:eastAsia="Arial" w:hAnsi="Arial"/>
          <w:sz w:val="18"/>
          <w:szCs w:val="18"/>
          <w:color w:val="auto"/>
        </w:rPr>
        <w:t>the relocation of Executive’s principal place of performing his or her duties as an employee of the Company by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more than fifty (50) miles; or</w:t>
      </w:r>
    </w:p>
    <w:p>
      <w:pPr>
        <w:spacing w:after="0" w:line="199" w:lineRule="exact"/>
        <w:rPr>
          <w:rFonts w:ascii="Arial" w:cs="Arial" w:eastAsia="Arial" w:hAnsi="Arial"/>
          <w:sz w:val="16"/>
          <w:szCs w:val="16"/>
          <w:color w:val="auto"/>
        </w:rPr>
      </w:pPr>
    </w:p>
    <w:p>
      <w:pPr>
        <w:ind w:left="2400" w:hanging="447"/>
        <w:spacing w:after="0"/>
        <w:tabs>
          <w:tab w:leader="none" w:pos="2400" w:val="left"/>
        </w:tabs>
        <w:numPr>
          <w:ilvl w:val="1"/>
          <w:numId w:val="169"/>
        </w:numPr>
        <w:rPr>
          <w:rFonts w:ascii="Arial" w:cs="Arial" w:eastAsia="Arial" w:hAnsi="Arial"/>
          <w:sz w:val="18"/>
          <w:szCs w:val="18"/>
          <w:color w:val="auto"/>
        </w:rPr>
      </w:pPr>
      <w:r>
        <w:rPr>
          <w:rFonts w:ascii="Arial" w:cs="Arial" w:eastAsia="Arial" w:hAnsi="Arial"/>
          <w:sz w:val="20"/>
          <w:szCs w:val="20"/>
          <w:color w:val="auto"/>
        </w:rPr>
        <w:t>a successor of the Company as set forth in Section 7(a) hereof does not assume this Agreement.</w:t>
      </w:r>
    </w:p>
    <w:p>
      <w:pPr>
        <w:spacing w:after="0" w:line="21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end of such notice.</w:t>
      </w:r>
    </w:p>
    <w:p>
      <w:pPr>
        <w:spacing w:after="0" w:line="36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595" w:right="259" w:bottom="1440" w:gutter="0" w:footer="0" w:header="0"/>
        </w:sectPr>
      </w:pPr>
    </w:p>
    <w:bookmarkStart w:id="140" w:name="page141"/>
    <w:bookmarkEnd w:id="140"/>
    <w:p>
      <w:pPr>
        <w:ind w:right="160"/>
        <w:spacing w:after="0" w:line="260" w:lineRule="auto"/>
        <w:rPr>
          <w:sz w:val="20"/>
          <w:szCs w:val="20"/>
          <w:color w:val="auto"/>
        </w:rPr>
      </w:pPr>
      <w:r>
        <w:rPr>
          <w:rFonts w:ascii="Arial" w:cs="Arial" w:eastAsia="Arial" w:hAnsi="Arial"/>
          <w:sz w:val="20"/>
          <w:szCs w:val="20"/>
          <w:color w:val="auto"/>
        </w:rPr>
        <w:t>For purposes of the “Good Reason” definition, the term “Company” will be interpreted to include any subsidiary, parent, affiliate or successor thereto, if applicable.</w:t>
      </w:r>
    </w:p>
    <w:p>
      <w:pPr>
        <w:spacing w:after="0" w:line="177" w:lineRule="exact"/>
        <w:rPr>
          <w:sz w:val="20"/>
          <w:szCs w:val="20"/>
          <w:color w:val="auto"/>
        </w:rPr>
      </w:pPr>
    </w:p>
    <w:p>
      <w:pPr>
        <w:ind w:right="180" w:firstLine="1305"/>
        <w:spacing w:after="0" w:line="278" w:lineRule="auto"/>
        <w:tabs>
          <w:tab w:leader="none" w:pos="1707" w:val="left"/>
        </w:tabs>
        <w:numPr>
          <w:ilvl w:val="2"/>
          <w:numId w:val="170"/>
        </w:numPr>
        <w:rPr>
          <w:rFonts w:ascii="Arial" w:cs="Arial" w:eastAsia="Arial" w:hAnsi="Arial"/>
          <w:sz w:val="18"/>
          <w:szCs w:val="18"/>
          <w:color w:val="010000"/>
        </w:rPr>
      </w:pPr>
      <w:r>
        <w:rPr>
          <w:rFonts w:ascii="Arial" w:cs="Arial" w:eastAsia="Arial" w:hAnsi="Arial"/>
          <w:sz w:val="18"/>
          <w:szCs w:val="18"/>
          <w:u w:val="single" w:color="auto"/>
          <w:color w:val="auto"/>
        </w:rPr>
        <w:t>Section 409A Limit</w:t>
      </w:r>
      <w:r>
        <w:rPr>
          <w:rFonts w:ascii="Arial" w:cs="Arial" w:eastAsia="Arial" w:hAnsi="Arial"/>
          <w:sz w:val="18"/>
          <w:szCs w:val="18"/>
          <w:color w:val="auto"/>
        </w:rPr>
        <w:t>. “</w:t>
      </w:r>
      <w:r>
        <w:rPr>
          <w:rFonts w:ascii="Arial" w:cs="Arial" w:eastAsia="Arial" w:hAnsi="Arial"/>
          <w:sz w:val="18"/>
          <w:szCs w:val="18"/>
          <w:b w:val="1"/>
          <w:bCs w:val="1"/>
          <w:i w:val="1"/>
          <w:iCs w:val="1"/>
          <w:color w:val="auto"/>
        </w:rPr>
        <w:t>Section 409A Limit”</w:t>
      </w:r>
      <w:r>
        <w:rPr>
          <w:rFonts w:ascii="Arial" w:cs="Arial" w:eastAsia="Arial" w:hAnsi="Arial"/>
          <w:sz w:val="18"/>
          <w:szCs w:val="18"/>
          <w:color w:val="auto"/>
        </w:rPr>
        <w:t xml:space="preserve"> will mean two (2) times the lesser of: Executive’s annualized compensation based upon the annual rate of pay paid to Executive during the Executive’s taxable year preceding the Executive’s taxable year of Executive’s termination of employment as determined under, and with such adjustments as are set forth in, Treasury Regulation 1.409A-1(b)(9)(iii)(A)(l) and any Internal Revenue Service guidance issued with respect thereto; or (ii) the maximum amount that may be taken into account under a qualified plan pursuant to Section 401(a)(17) of the Code for the year in which Executive’s employment is terminated.</w:t>
      </w:r>
    </w:p>
    <w:p>
      <w:pPr>
        <w:spacing w:after="0" w:line="165" w:lineRule="exact"/>
        <w:rPr>
          <w:rFonts w:ascii="Arial" w:cs="Arial" w:eastAsia="Arial" w:hAnsi="Arial"/>
          <w:sz w:val="18"/>
          <w:szCs w:val="18"/>
          <w:color w:val="010000"/>
        </w:rPr>
      </w:pPr>
    </w:p>
    <w:p>
      <w:pPr>
        <w:ind w:left="980" w:hanging="324"/>
        <w:spacing w:after="0"/>
        <w:tabs>
          <w:tab w:leader="none" w:pos="980" w:val="left"/>
        </w:tabs>
        <w:numPr>
          <w:ilvl w:val="1"/>
          <w:numId w:val="171"/>
        </w:numPr>
        <w:rPr>
          <w:rFonts w:ascii="Arial" w:cs="Arial" w:eastAsia="Arial" w:hAnsi="Arial"/>
          <w:sz w:val="20"/>
          <w:szCs w:val="20"/>
          <w:color w:val="010000"/>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right="40" w:firstLine="1305"/>
        <w:spacing w:after="0" w:line="259" w:lineRule="auto"/>
        <w:tabs>
          <w:tab w:leader="none" w:pos="1696" w:val="left"/>
        </w:tabs>
        <w:numPr>
          <w:ilvl w:val="2"/>
          <w:numId w:val="171"/>
        </w:numPr>
        <w:rPr>
          <w:rFonts w:ascii="Arial" w:cs="Arial" w:eastAsia="Arial" w:hAnsi="Arial"/>
          <w:sz w:val="19"/>
          <w:szCs w:val="19"/>
          <w:color w:val="010000"/>
        </w:rPr>
      </w:pPr>
      <w:r>
        <w:rPr>
          <w:rFonts w:ascii="Arial" w:cs="Arial" w:eastAsia="Arial" w:hAnsi="Arial"/>
          <w:sz w:val="19"/>
          <w:szCs w:val="19"/>
          <w:u w:val="single" w:color="auto"/>
          <w:color w:val="auto"/>
        </w:rPr>
        <w:t>The Company’s Successors</w:t>
      </w:r>
      <w:r>
        <w:rPr>
          <w:rFonts w:ascii="Arial" w:cs="Arial" w:eastAsia="Arial" w:hAnsi="Arial"/>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78" w:lineRule="exact"/>
        <w:rPr>
          <w:rFonts w:ascii="Arial" w:cs="Arial" w:eastAsia="Arial" w:hAnsi="Arial"/>
          <w:sz w:val="19"/>
          <w:szCs w:val="19"/>
          <w:color w:val="010000"/>
        </w:rPr>
      </w:pPr>
    </w:p>
    <w:p>
      <w:pPr>
        <w:jc w:val="both"/>
        <w:ind w:firstLine="1305"/>
        <w:spacing w:after="0" w:line="386" w:lineRule="auto"/>
        <w:tabs>
          <w:tab w:leader="none" w:pos="1707" w:val="left"/>
        </w:tabs>
        <w:numPr>
          <w:ilvl w:val="2"/>
          <w:numId w:val="171"/>
        </w:numPr>
        <w:rPr>
          <w:rFonts w:ascii="Arial" w:cs="Arial" w:eastAsia="Arial" w:hAnsi="Arial"/>
          <w:sz w:val="16"/>
          <w:szCs w:val="16"/>
          <w:color w:val="010000"/>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pacing w:after="0" w:line="83" w:lineRule="exact"/>
        <w:rPr>
          <w:rFonts w:ascii="Arial" w:cs="Arial" w:eastAsia="Arial" w:hAnsi="Arial"/>
          <w:sz w:val="16"/>
          <w:szCs w:val="16"/>
          <w:color w:val="010000"/>
        </w:rPr>
      </w:pPr>
    </w:p>
    <w:p>
      <w:pPr>
        <w:ind w:left="980" w:hanging="324"/>
        <w:spacing w:after="0"/>
        <w:tabs>
          <w:tab w:leader="none" w:pos="980" w:val="left"/>
        </w:tabs>
        <w:numPr>
          <w:ilvl w:val="1"/>
          <w:numId w:val="171"/>
        </w:numPr>
        <w:rPr>
          <w:rFonts w:ascii="Arial" w:cs="Arial" w:eastAsia="Arial" w:hAnsi="Arial"/>
          <w:sz w:val="20"/>
          <w:szCs w:val="20"/>
          <w:color w:val="010000"/>
        </w:rPr>
      </w:pPr>
      <w:r>
        <w:rPr>
          <w:rFonts w:ascii="Arial" w:cs="Arial" w:eastAsia="Arial" w:hAnsi="Arial"/>
          <w:sz w:val="20"/>
          <w:szCs w:val="20"/>
          <w:u w:val="single" w:color="auto"/>
          <w:color w:val="auto"/>
        </w:rPr>
        <w:t>Notice</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right="20" w:firstLine="1305"/>
        <w:spacing w:after="0" w:line="258" w:lineRule="auto"/>
        <w:tabs>
          <w:tab w:leader="none" w:pos="1696" w:val="left"/>
        </w:tabs>
        <w:numPr>
          <w:ilvl w:val="2"/>
          <w:numId w:val="171"/>
        </w:numPr>
        <w:rPr>
          <w:rFonts w:ascii="Arial" w:cs="Arial" w:eastAsia="Arial" w:hAnsi="Arial"/>
          <w:sz w:val="19"/>
          <w:szCs w:val="19"/>
          <w:color w:val="010000"/>
        </w:rPr>
      </w:pPr>
      <w:r>
        <w:rPr>
          <w:rFonts w:ascii="Arial" w:cs="Arial" w:eastAsia="Arial" w:hAnsi="Arial"/>
          <w:sz w:val="19"/>
          <w:szCs w:val="19"/>
          <w:u w:val="single" w:color="auto"/>
          <w:color w:val="auto"/>
        </w:rPr>
        <w:t>General</w:t>
      </w:r>
      <w:r>
        <w:rPr>
          <w:rFonts w:ascii="Arial" w:cs="Arial" w:eastAsia="Arial" w:hAnsi="Arial"/>
          <w:sz w:val="19"/>
          <w:szCs w:val="19"/>
          <w:color w:val="auto"/>
        </w:rPr>
        <w:t>. Notices and all other communications contemplated by this Agreement will be in writing and will be deemed to have been duly given when sent electronically or personally delivered when mailed by U.S. registered or certified mail, return receipt requested and postage prepaid or when delivered by a private courier service such as UPS, DHL or Federal Express that has tracking capability. In the case of Executive, notices will be sent to the e-mail address or addressed to Executive at the home address, in either case which Executive most recently communicated to the Company in writing. In the case of the Company, electronic notices will be sent to the e-mail address of the Chief Executive Officer and the General Counsel and mailed notices will be addressed to its corporate headquarters, and all notices will be directed to the attention of its Chief Executive Officer and General Counsel.</w:t>
      </w:r>
    </w:p>
    <w:p>
      <w:pPr>
        <w:spacing w:after="0" w:line="179" w:lineRule="exact"/>
        <w:rPr>
          <w:rFonts w:ascii="Arial" w:cs="Arial" w:eastAsia="Arial" w:hAnsi="Arial"/>
          <w:sz w:val="19"/>
          <w:szCs w:val="19"/>
          <w:color w:val="010000"/>
        </w:rPr>
      </w:pPr>
    </w:p>
    <w:p>
      <w:pPr>
        <w:ind w:right="60" w:firstLine="1305"/>
        <w:spacing w:after="0" w:line="270" w:lineRule="auto"/>
        <w:tabs>
          <w:tab w:leader="none" w:pos="1707" w:val="left"/>
        </w:tabs>
        <w:numPr>
          <w:ilvl w:val="2"/>
          <w:numId w:val="171"/>
        </w:numPr>
        <w:rPr>
          <w:rFonts w:ascii="Arial" w:cs="Arial" w:eastAsia="Arial" w:hAnsi="Arial"/>
          <w:sz w:val="18"/>
          <w:szCs w:val="18"/>
          <w:color w:val="010000"/>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by the Company for Cause or by Executive for Good Reason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ninety</w:t>
      </w:r>
    </w:p>
    <w:p>
      <w:pPr>
        <w:spacing w:after="0" w:line="2" w:lineRule="exact"/>
        <w:rPr>
          <w:rFonts w:ascii="Arial" w:cs="Arial" w:eastAsia="Arial" w:hAnsi="Arial"/>
          <w:sz w:val="18"/>
          <w:szCs w:val="18"/>
          <w:color w:val="010000"/>
        </w:rPr>
      </w:pPr>
    </w:p>
    <w:p>
      <w:pPr>
        <w:ind w:left="380" w:hanging="372"/>
        <w:spacing w:after="0"/>
        <w:tabs>
          <w:tab w:leader="none" w:pos="38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days after the giving of such notice).</w:t>
      </w:r>
    </w:p>
    <w:p>
      <w:pPr>
        <w:spacing w:after="0" w:line="199" w:lineRule="exact"/>
        <w:rPr>
          <w:rFonts w:ascii="Arial" w:cs="Arial" w:eastAsia="Arial" w:hAnsi="Arial"/>
          <w:sz w:val="20"/>
          <w:szCs w:val="20"/>
          <w:color w:val="auto"/>
        </w:rPr>
      </w:pPr>
    </w:p>
    <w:p>
      <w:pPr>
        <w:ind w:right="120" w:firstLine="656"/>
        <w:spacing w:after="0" w:line="246" w:lineRule="auto"/>
        <w:tabs>
          <w:tab w:leader="none" w:pos="977" w:val="left"/>
        </w:tabs>
        <w:numPr>
          <w:ilvl w:val="1"/>
          <w:numId w:val="172"/>
        </w:numPr>
        <w:rPr>
          <w:rFonts w:ascii="Arial" w:cs="Arial" w:eastAsia="Arial" w:hAnsi="Arial"/>
          <w:sz w:val="20"/>
          <w:szCs w:val="20"/>
          <w:color w:val="010000"/>
        </w:rPr>
      </w:pPr>
      <w:r>
        <w:rPr>
          <w:rFonts w:ascii="Arial" w:cs="Arial" w:eastAsia="Arial" w:hAnsi="Arial"/>
          <w:sz w:val="20"/>
          <w:szCs w:val="20"/>
          <w:u w:val="single" w:color="auto"/>
          <w:color w:val="auto"/>
        </w:rPr>
        <w:t>Resignation</w:t>
      </w:r>
      <w:r>
        <w:rPr>
          <w:rFonts w:ascii="Arial" w:cs="Arial" w:eastAsia="Arial" w:hAnsi="Arial"/>
          <w:sz w:val="20"/>
          <w:szCs w:val="20"/>
          <w:color w:val="auto"/>
        </w:rPr>
        <w:t>. Upon the termination of Executive’s employment for any reason, Executive will be deemed to have resigned from all officer and/or director positions held at the Company and its affiliates voluntarily, without any further required action by Executive, as of the end of Executive’s employment and Executive, at the Board’s request, will execute any documents reasonably necessary to reflect Executive’s resignation.</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95" w:right="239" w:bottom="1440" w:gutter="0" w:footer="0" w:header="0"/>
        </w:sectPr>
      </w:pPr>
    </w:p>
    <w:bookmarkStart w:id="141" w:name="page142"/>
    <w:bookmarkEnd w:id="141"/>
    <w:p>
      <w:pPr>
        <w:ind w:left="424" w:hanging="424"/>
        <w:spacing w:after="0"/>
        <w:tabs>
          <w:tab w:leader="none" w:pos="424" w:val="left"/>
        </w:tabs>
        <w:numPr>
          <w:ilvl w:val="0"/>
          <w:numId w:val="173"/>
        </w:numPr>
        <w:rPr>
          <w:rFonts w:ascii="Arial" w:cs="Arial" w:eastAsia="Arial" w:hAnsi="Arial"/>
          <w:sz w:val="20"/>
          <w:szCs w:val="20"/>
          <w:color w:val="010000"/>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656" w:right="20" w:firstLine="1305"/>
        <w:spacing w:after="0" w:line="257" w:lineRule="auto"/>
        <w:tabs>
          <w:tab w:leader="none" w:pos="1040" w:val="left"/>
        </w:tabs>
        <w:numPr>
          <w:ilvl w:val="1"/>
          <w:numId w:val="173"/>
        </w:numPr>
        <w:rPr>
          <w:rFonts w:ascii="Arial" w:cs="Arial" w:eastAsia="Arial" w:hAnsi="Arial"/>
          <w:sz w:val="19"/>
          <w:szCs w:val="19"/>
          <w:color w:val="010000"/>
        </w:rPr>
      </w:pPr>
      <w:r>
        <w:rPr>
          <w:rFonts w:ascii="Arial" w:cs="Arial" w:eastAsia="Arial" w:hAnsi="Arial"/>
          <w:sz w:val="19"/>
          <w:szCs w:val="19"/>
          <w:u w:val="single" w:color="auto"/>
          <w:color w:val="auto"/>
        </w:rPr>
        <w:t>Arbitration</w:t>
      </w:r>
      <w:r>
        <w:rPr>
          <w:rFonts w:ascii="Arial" w:cs="Arial" w:eastAsia="Arial" w:hAnsi="Arial"/>
          <w:sz w:val="19"/>
          <w:szCs w:val="19"/>
          <w:color w:val="auto"/>
        </w:rPr>
        <w:t>. In consideration of Executive’s employment with the Company, its promise to arbitrate all employment-related disputes, and Executive’s receipt of the compensation, pay raises and other benefits paid to Executive by the Company, at present and in the future, Executive agrees that any and all controversies, claims, or disputes with anyone (including the Company and any employee, officer, director, stockholder or benefit plan of the Company in their capacity as such or otherwise) arising out of, relating to, or resulting from Executive’s employment with the Company or termination thereof, including any breach of this Agreement, will be subject to binding arbitration under the Arbitration Rules set forth in California Code of Civil Procedure Section 1280 through 1294.2, including Section 1281.8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 and pursuant to California law . The Federal Arbitration Act will also apply with full force and effect, notwithstanding the application of procedural rules set forth under the Act.</w:t>
      </w:r>
    </w:p>
    <w:p>
      <w:pPr>
        <w:spacing w:after="0" w:line="181" w:lineRule="exact"/>
        <w:rPr>
          <w:rFonts w:ascii="Arial" w:cs="Arial" w:eastAsia="Arial" w:hAnsi="Arial"/>
          <w:sz w:val="19"/>
          <w:szCs w:val="19"/>
          <w:color w:val="010000"/>
        </w:rPr>
      </w:pPr>
    </w:p>
    <w:p>
      <w:pPr>
        <w:ind w:left="-636" w:right="100" w:firstLine="1298"/>
        <w:spacing w:after="0" w:line="258" w:lineRule="auto"/>
        <w:tabs>
          <w:tab w:leader="none" w:pos="1071" w:val="left"/>
        </w:tabs>
        <w:numPr>
          <w:ilvl w:val="2"/>
          <w:numId w:val="173"/>
        </w:numPr>
        <w:rPr>
          <w:rFonts w:ascii="Arial" w:cs="Arial" w:eastAsia="Arial" w:hAnsi="Arial"/>
          <w:sz w:val="19"/>
          <w:szCs w:val="19"/>
          <w:color w:val="010000"/>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Disputes that Executive agrees to arbitrate, and thereby agrees to waive any right to a trial by jury, include any statutory claims under local, state, or federal law, including, but not limited to, claims under Title VII of the Civil Rights Act of 1964, the Americans with Disabilities Act of 1990, the Age Discrimination in Employment Act of 1967, the Older Workers Benefit Protection Act, the Sarbanes Oxley Act, the Worker Adjustment and Retraining Notification Act, the California Fair Employment and Housing Act, the Family and Medical Leave Act, the California Family Rights Act, the California Labor Code, claims of harassment, discrimination, and wrongful termination, and any statutory or common law claims. Executive further understands that this Agreement to arbitrate also applies to any disputes that the Company may have with Executive.</w:t>
      </w:r>
    </w:p>
    <w:p>
      <w:pPr>
        <w:spacing w:after="0" w:line="179" w:lineRule="exact"/>
        <w:rPr>
          <w:sz w:val="20"/>
          <w:szCs w:val="20"/>
          <w:color w:val="auto"/>
        </w:rPr>
      </w:pPr>
    </w:p>
    <w:p>
      <w:pPr>
        <w:ind w:left="-656" w:firstLine="1305"/>
        <w:spacing w:after="0" w:line="270" w:lineRule="auto"/>
        <w:tabs>
          <w:tab w:leader="none" w:pos="1040" w:val="left"/>
        </w:tabs>
        <w:numPr>
          <w:ilvl w:val="0"/>
          <w:numId w:val="174"/>
        </w:numPr>
        <w:rPr>
          <w:rFonts w:ascii="Arial" w:cs="Arial" w:eastAsia="Arial" w:hAnsi="Arial"/>
          <w:sz w:val="18"/>
          <w:szCs w:val="18"/>
          <w:color w:val="010000"/>
        </w:rPr>
      </w:pPr>
      <w:r>
        <w:rPr>
          <w:rFonts w:ascii="Arial" w:cs="Arial" w:eastAsia="Arial" w:hAnsi="Arial"/>
          <w:sz w:val="18"/>
          <w:szCs w:val="18"/>
          <w:u w:val="single" w:color="auto"/>
          <w:color w:val="auto"/>
        </w:rPr>
        <w:t>Procedure</w:t>
      </w:r>
      <w:r>
        <w:rPr>
          <w:rFonts w:ascii="Arial" w:cs="Arial" w:eastAsia="Arial" w:hAnsi="Arial"/>
          <w:sz w:val="18"/>
          <w:szCs w:val="18"/>
          <w:color w:val="auto"/>
        </w:rPr>
        <w:t>. Executive agrees that any arbitration will be administered by the Judicial Arbitration &amp; 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pursuant to its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The arbitrator will have the power to decide any motions brought by any party to the arbitration, including motions for summary judgment and/or adjudication, motions to dismiss and demurrers, and motions for class certification, prior to any arbitration hearing. The arbitrator will have the power to award any remedies available under applicable law, and the arbitrator will award attorneys’ fees and costs to the prevailing party, except as prohibited by law. The Company will pay for any administrative or hearing fees charged by the administrator or JAMS, and all arbitrator’s fees, except that Executive will pay any filing fees associated with any arbitration that Executive initiates, but only so much of the filing fee as Executive would have instead paid had Executive filed a complaint in a court of law. Executive agrees that the arbitrator will administer and conduct any arbitration in accordance with California law, including the California Code of Civil Procedure and the California Evidence Code, and that the arbitrator will apply substantive and procedural California law to any dispute or claim, without reference to the rules of conflict of law. To the extent that the JAMS Rules conflict with California law, California law will take precedence. The decision of the arbitrator will be in writing. Any arbitration under this Agreement will be conducted in San Mateo County, California.</w:t>
      </w:r>
    </w:p>
    <w:p>
      <w:pPr>
        <w:spacing w:after="0" w:line="176" w:lineRule="exact"/>
        <w:rPr>
          <w:rFonts w:ascii="Arial" w:cs="Arial" w:eastAsia="Arial" w:hAnsi="Arial"/>
          <w:sz w:val="18"/>
          <w:szCs w:val="18"/>
          <w:color w:val="010000"/>
        </w:rPr>
      </w:pPr>
    </w:p>
    <w:p>
      <w:pPr>
        <w:ind w:left="-656" w:right="120" w:firstLine="1305"/>
        <w:spacing w:after="0" w:line="260" w:lineRule="auto"/>
        <w:tabs>
          <w:tab w:leader="none" w:pos="1051" w:val="left"/>
        </w:tabs>
        <w:numPr>
          <w:ilvl w:val="0"/>
          <w:numId w:val="174"/>
        </w:numPr>
        <w:rPr>
          <w:rFonts w:ascii="Arial" w:cs="Arial" w:eastAsia="Arial" w:hAnsi="Arial"/>
          <w:sz w:val="19"/>
          <w:szCs w:val="19"/>
          <w:color w:val="010000"/>
        </w:rPr>
      </w:pPr>
      <w:r>
        <w:rPr>
          <w:rFonts w:ascii="Arial" w:cs="Arial" w:eastAsia="Arial" w:hAnsi="Arial"/>
          <w:sz w:val="19"/>
          <w:szCs w:val="19"/>
          <w:u w:val="single" w:color="auto"/>
          <w:color w:val="auto"/>
        </w:rPr>
        <w:t>Remedy</w:t>
      </w:r>
      <w:r>
        <w:rPr>
          <w:rFonts w:ascii="Arial" w:cs="Arial" w:eastAsia="Arial" w:hAnsi="Arial"/>
          <w:sz w:val="19"/>
          <w:szCs w:val="19"/>
          <w:color w:val="auto"/>
        </w:rPr>
        <w:t>. Except as provided by the Act, arbitration will be the sole, exclusive, and final remedy for any dispute between Executive and the Company. Accordingly, except as provided by the Act and this Agreement, neither Executive nor the Company will be permitted to pursue court action regarding claims that are subject to arbitration. Notwithstanding, the arbitrator will not have the authority to disregard or refuse to enforce any lawful Company policy, and the arbitrator will not order or require the Company to adopt a policy not otherwise required by law which the Company has not adopted.</w:t>
      </w:r>
    </w:p>
    <w:p>
      <w:pPr>
        <w:spacing w:after="0" w:line="200" w:lineRule="exact"/>
        <w:rPr>
          <w:sz w:val="20"/>
          <w:szCs w:val="20"/>
          <w:color w:val="auto"/>
        </w:rPr>
      </w:pPr>
    </w:p>
    <w:p>
      <w:pPr>
        <w:spacing w:after="0" w:line="224"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44"/>
          </w:cols>
          <w:pgMar w:left="896" w:top="595" w:right="259" w:bottom="1440" w:gutter="0" w:footer="0" w:header="0"/>
        </w:sectPr>
      </w:pPr>
    </w:p>
    <w:bookmarkStart w:id="142" w:name="page143"/>
    <w:bookmarkEnd w:id="142"/>
    <w:p>
      <w:pPr>
        <w:ind w:left="-656" w:firstLine="1305"/>
        <w:spacing w:after="0" w:line="282" w:lineRule="auto"/>
        <w:tabs>
          <w:tab w:leader="none" w:pos="1040" w:val="left"/>
        </w:tabs>
        <w:numPr>
          <w:ilvl w:val="1"/>
          <w:numId w:val="175"/>
        </w:numPr>
        <w:rPr>
          <w:rFonts w:ascii="Arial" w:cs="Arial" w:eastAsia="Arial" w:hAnsi="Arial"/>
          <w:sz w:val="18"/>
          <w:szCs w:val="18"/>
          <w:color w:val="010000"/>
        </w:rPr>
      </w:pPr>
      <w:r>
        <w:rPr>
          <w:rFonts w:ascii="Arial" w:cs="Arial" w:eastAsia="Arial" w:hAnsi="Arial"/>
          <w:sz w:val="18"/>
          <w:szCs w:val="18"/>
          <w:u w:val="single" w:color="auto"/>
          <w:color w:val="auto"/>
        </w:rPr>
        <w:t>Administrative Relief</w:t>
      </w:r>
      <w:r>
        <w:rPr>
          <w:rFonts w:ascii="Arial" w:cs="Arial" w:eastAsia="Arial" w:hAnsi="Arial"/>
          <w:sz w:val="18"/>
          <w:szCs w:val="18"/>
          <w:color w:val="auto"/>
        </w:rPr>
        <w:t>. Executive is not prohibited from pursuing an administrative claim with a local, state, or federal administrative body or government agency that is authorized to enforce or administer laws related to employment, including, but not limited to, the Department of Fair Employment and Housing, the Equal Employment Opportunity Commission, the National Labor Relations Board, or the Workers’ Compensation Board. However, Executive may not pursue court action regarding any such claim, except as permitted by law.</w:t>
      </w:r>
    </w:p>
    <w:p>
      <w:pPr>
        <w:spacing w:after="0" w:line="161" w:lineRule="exact"/>
        <w:rPr>
          <w:rFonts w:ascii="Arial" w:cs="Arial" w:eastAsia="Arial" w:hAnsi="Arial"/>
          <w:sz w:val="18"/>
          <w:szCs w:val="18"/>
          <w:color w:val="010000"/>
        </w:rPr>
      </w:pPr>
    </w:p>
    <w:p>
      <w:pPr>
        <w:ind w:left="-656" w:right="320" w:firstLine="1305"/>
        <w:spacing w:after="0" w:line="243" w:lineRule="auto"/>
        <w:tabs>
          <w:tab w:leader="none" w:pos="1018" w:val="left"/>
        </w:tabs>
        <w:numPr>
          <w:ilvl w:val="1"/>
          <w:numId w:val="175"/>
        </w:numPr>
        <w:rPr>
          <w:rFonts w:ascii="Arial" w:cs="Arial" w:eastAsia="Arial" w:hAnsi="Arial"/>
          <w:sz w:val="20"/>
          <w:szCs w:val="20"/>
          <w:color w:val="010000"/>
        </w:rPr>
      </w:pPr>
      <w:r>
        <w:rPr>
          <w:rFonts w:ascii="Arial" w:cs="Arial" w:eastAsia="Arial" w:hAnsi="Arial"/>
          <w:sz w:val="20"/>
          <w:szCs w:val="20"/>
          <w:u w:val="single" w:color="auto"/>
          <w:color w:val="auto"/>
        </w:rPr>
        <w:t>Voluntary Nature of Agreement</w:t>
      </w:r>
      <w:r>
        <w:rPr>
          <w:rFonts w:ascii="Arial" w:cs="Arial" w:eastAsia="Arial" w:hAnsi="Arial"/>
          <w:sz w:val="20"/>
          <w:szCs w:val="20"/>
          <w:color w:val="auto"/>
        </w:rPr>
        <w:t xml:space="preserve">. Executive acknowledges and agrees that Executive is executing this Agreement voluntarily and without any duress or undue influence by the Company or anyone else. Executive further acknowledges and agrees that Executive has carefully read this Agreement and that Executive has asked any questions needed for Executive to understand the terms, consequences and binding effect of this Agreement and fully understands it, including that </w:t>
      </w:r>
      <w:r>
        <w:rPr>
          <w:rFonts w:ascii="Arial" w:cs="Arial" w:eastAsia="Arial" w:hAnsi="Arial"/>
          <w:sz w:val="20"/>
          <w:szCs w:val="20"/>
          <w:b w:val="1"/>
          <w:bCs w:val="1"/>
          <w:i w:val="1"/>
          <w:iCs w:val="1"/>
          <w:color w:val="auto"/>
        </w:rPr>
        <w:t>EXECUTIVE IS WAIVING EXECUTIVE’S</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RIGHT TO A JURY TRIAL</w:t>
      </w:r>
      <w:r>
        <w:rPr>
          <w:rFonts w:ascii="Arial" w:cs="Arial" w:eastAsia="Arial" w:hAnsi="Arial"/>
          <w:sz w:val="20"/>
          <w:szCs w:val="20"/>
          <w:color w:val="auto"/>
        </w:rPr>
        <w:t>. Finally, Executive agrees that Executive has been provided an opportunity to seek the advice of an attorney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Executive’s choice before signing this Agreement.</w:t>
      </w:r>
    </w:p>
    <w:p>
      <w:pPr>
        <w:spacing w:after="0" w:line="196" w:lineRule="exact"/>
        <w:rPr>
          <w:rFonts w:ascii="Arial" w:cs="Arial" w:eastAsia="Arial" w:hAnsi="Arial"/>
          <w:sz w:val="20"/>
          <w:szCs w:val="20"/>
          <w:color w:val="010000"/>
        </w:rPr>
      </w:pPr>
    </w:p>
    <w:p>
      <w:pPr>
        <w:ind w:left="424" w:hanging="424"/>
        <w:spacing w:after="0"/>
        <w:tabs>
          <w:tab w:leader="none" w:pos="424" w:val="left"/>
        </w:tabs>
        <w:numPr>
          <w:ilvl w:val="0"/>
          <w:numId w:val="176"/>
        </w:numPr>
        <w:rPr>
          <w:rFonts w:ascii="Arial" w:cs="Arial" w:eastAsia="Arial" w:hAnsi="Arial"/>
          <w:sz w:val="20"/>
          <w:szCs w:val="20"/>
          <w:color w:val="010000"/>
        </w:rPr>
      </w:pPr>
      <w:r>
        <w:rPr>
          <w:rFonts w:ascii="Arial" w:cs="Arial" w:eastAsia="Arial" w:hAnsi="Arial"/>
          <w:sz w:val="20"/>
          <w:szCs w:val="20"/>
          <w:u w:val="single" w:color="auto"/>
          <w:color w:val="auto"/>
        </w:rPr>
        <w:t>Miscellaneous Provisions</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656" w:right="800" w:firstLine="1305"/>
        <w:spacing w:after="0" w:line="287" w:lineRule="auto"/>
        <w:tabs>
          <w:tab w:leader="none" w:pos="1040" w:val="left"/>
        </w:tabs>
        <w:numPr>
          <w:ilvl w:val="1"/>
          <w:numId w:val="176"/>
        </w:numPr>
        <w:rPr>
          <w:rFonts w:ascii="Arial" w:cs="Arial" w:eastAsia="Arial" w:hAnsi="Arial"/>
          <w:sz w:val="19"/>
          <w:szCs w:val="19"/>
          <w:color w:val="010000"/>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w:t>
      </w:r>
    </w:p>
    <w:p>
      <w:pPr>
        <w:spacing w:after="0" w:line="152" w:lineRule="exact"/>
        <w:rPr>
          <w:rFonts w:ascii="Arial" w:cs="Arial" w:eastAsia="Arial" w:hAnsi="Arial"/>
          <w:sz w:val="19"/>
          <w:szCs w:val="19"/>
          <w:color w:val="010000"/>
        </w:rPr>
      </w:pPr>
    </w:p>
    <w:p>
      <w:pPr>
        <w:ind w:left="-656" w:right="280" w:firstLine="1305"/>
        <w:spacing w:after="0" w:line="263" w:lineRule="auto"/>
        <w:tabs>
          <w:tab w:leader="none" w:pos="1051" w:val="left"/>
        </w:tabs>
        <w:numPr>
          <w:ilvl w:val="1"/>
          <w:numId w:val="176"/>
        </w:numPr>
        <w:rPr>
          <w:rFonts w:ascii="Arial" w:cs="Arial" w:eastAsia="Arial" w:hAnsi="Arial"/>
          <w:sz w:val="19"/>
          <w:szCs w:val="19"/>
          <w:color w:val="010000"/>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76" w:lineRule="exact"/>
        <w:rPr>
          <w:rFonts w:ascii="Arial" w:cs="Arial" w:eastAsia="Arial" w:hAnsi="Arial"/>
          <w:sz w:val="19"/>
          <w:szCs w:val="19"/>
          <w:color w:val="010000"/>
        </w:rPr>
      </w:pPr>
    </w:p>
    <w:p>
      <w:pPr>
        <w:ind w:left="-656" w:right="200" w:firstLine="1305"/>
        <w:spacing w:after="0" w:line="260" w:lineRule="auto"/>
        <w:tabs>
          <w:tab w:leader="none" w:pos="1040" w:val="left"/>
        </w:tabs>
        <w:numPr>
          <w:ilvl w:val="1"/>
          <w:numId w:val="176"/>
        </w:numPr>
        <w:rPr>
          <w:rFonts w:ascii="Arial" w:cs="Arial" w:eastAsia="Arial" w:hAnsi="Arial"/>
          <w:sz w:val="20"/>
          <w:szCs w:val="20"/>
          <w:color w:val="010000"/>
        </w:rPr>
      </w:pPr>
      <w:r>
        <w:rPr>
          <w:rFonts w:ascii="Arial" w:cs="Arial" w:eastAsia="Arial" w:hAnsi="Arial"/>
          <w:sz w:val="20"/>
          <w:szCs w:val="20"/>
          <w:u w:val="single" w:color="auto"/>
          <w:color w:val="auto"/>
        </w:rPr>
        <w:t>Headings</w:t>
      </w:r>
      <w:r>
        <w:rPr>
          <w:rFonts w:ascii="Arial" w:cs="Arial" w:eastAsia="Arial" w:hAnsi="Arial"/>
          <w:sz w:val="20"/>
          <w:szCs w:val="20"/>
          <w:color w:val="auto"/>
        </w:rPr>
        <w:t>. All captions and section headings used in this Agreement are for convenient reference only and do not form a part of this Agreement.</w:t>
      </w:r>
    </w:p>
    <w:p>
      <w:pPr>
        <w:spacing w:after="0" w:line="176" w:lineRule="exact"/>
        <w:rPr>
          <w:rFonts w:ascii="Arial" w:cs="Arial" w:eastAsia="Arial" w:hAnsi="Arial"/>
          <w:sz w:val="20"/>
          <w:szCs w:val="20"/>
          <w:color w:val="010000"/>
        </w:rPr>
      </w:pPr>
    </w:p>
    <w:p>
      <w:pPr>
        <w:ind w:left="-656" w:right="140" w:firstLine="1305"/>
        <w:spacing w:after="0" w:line="244" w:lineRule="auto"/>
        <w:tabs>
          <w:tab w:leader="none" w:pos="1051" w:val="left"/>
        </w:tabs>
        <w:numPr>
          <w:ilvl w:val="1"/>
          <w:numId w:val="176"/>
        </w:numPr>
        <w:rPr>
          <w:rFonts w:ascii="Arial" w:cs="Arial" w:eastAsia="Arial" w:hAnsi="Arial"/>
          <w:sz w:val="20"/>
          <w:szCs w:val="20"/>
          <w:color w:val="010000"/>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of the parties hereto and supersedes in their entirety all prior representations, understandings, undertakings or agreements (whether oral or written and whether expressed or implied) of the parties with respect to the subject matter hereof, including, but not limited to, the Executive’s Prior Agreement. No waiver, alteration, or modification of any of the provisions of this Agreement will be binding unless in writing and signed by duly authorized representatives of the parties hereto and which specifically mention this Agreement.</w:t>
      </w:r>
    </w:p>
    <w:p>
      <w:pPr>
        <w:spacing w:after="0" w:line="194" w:lineRule="exact"/>
        <w:rPr>
          <w:rFonts w:ascii="Arial" w:cs="Arial" w:eastAsia="Arial" w:hAnsi="Arial"/>
          <w:sz w:val="20"/>
          <w:szCs w:val="20"/>
          <w:color w:val="010000"/>
        </w:rPr>
      </w:pPr>
    </w:p>
    <w:p>
      <w:pPr>
        <w:ind w:left="-656" w:right="60" w:firstLine="1305"/>
        <w:spacing w:after="0" w:line="244" w:lineRule="auto"/>
        <w:tabs>
          <w:tab w:leader="none" w:pos="1040" w:val="left"/>
        </w:tabs>
        <w:numPr>
          <w:ilvl w:val="1"/>
          <w:numId w:val="176"/>
        </w:numPr>
        <w:rPr>
          <w:rFonts w:ascii="Arial" w:cs="Arial" w:eastAsia="Arial" w:hAnsi="Arial"/>
          <w:sz w:val="20"/>
          <w:szCs w:val="20"/>
          <w:color w:val="010000"/>
        </w:rPr>
      </w:pPr>
      <w:r>
        <w:rPr>
          <w:rFonts w:ascii="Arial" w:cs="Arial" w:eastAsia="Arial" w:hAnsi="Arial"/>
          <w:sz w:val="20"/>
          <w:szCs w:val="20"/>
          <w:u w:val="single" w:color="auto"/>
          <w:color w:val="auto"/>
        </w:rPr>
        <w:t>Choice of Law</w:t>
      </w:r>
      <w:r>
        <w:rPr>
          <w:rFonts w:ascii="Arial" w:cs="Arial" w:eastAsia="Arial" w:hAnsi="Arial"/>
          <w:sz w:val="20"/>
          <w:szCs w:val="20"/>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the jurisdiction where Executive -resides, and Executive and the Company hereby submit to the jurisdiction and venue of any such court.</w:t>
      </w:r>
    </w:p>
    <w:p>
      <w:pPr>
        <w:spacing w:after="0" w:line="194" w:lineRule="exact"/>
        <w:rPr>
          <w:rFonts w:ascii="Arial" w:cs="Arial" w:eastAsia="Arial" w:hAnsi="Arial"/>
          <w:sz w:val="20"/>
          <w:szCs w:val="20"/>
          <w:color w:val="010000"/>
        </w:rPr>
      </w:pPr>
    </w:p>
    <w:p>
      <w:pPr>
        <w:ind w:left="-656" w:right="640" w:firstLine="1305"/>
        <w:spacing w:after="0" w:line="260" w:lineRule="auto"/>
        <w:tabs>
          <w:tab w:leader="none" w:pos="1018" w:val="left"/>
        </w:tabs>
        <w:numPr>
          <w:ilvl w:val="1"/>
          <w:numId w:val="176"/>
        </w:numPr>
        <w:rPr>
          <w:rFonts w:ascii="Arial" w:cs="Arial" w:eastAsia="Arial" w:hAnsi="Arial"/>
          <w:sz w:val="20"/>
          <w:szCs w:val="20"/>
          <w:color w:val="010000"/>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invalidity or unenforceability of any provision or provisions of this Agreement will not affect the validity or enforceability of any other provision hereof, which will remain in full force and effect.</w:t>
      </w:r>
    </w:p>
    <w:p>
      <w:pPr>
        <w:spacing w:after="0" w:line="200" w:lineRule="exact"/>
        <w:rPr>
          <w:sz w:val="20"/>
          <w:szCs w:val="20"/>
          <w:color w:val="auto"/>
        </w:rPr>
      </w:pPr>
    </w:p>
    <w:p>
      <w:pPr>
        <w:spacing w:after="0" w:line="220"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4"/>
          </w:cols>
          <w:pgMar w:left="896" w:top="595" w:right="239" w:bottom="1440" w:gutter="0" w:footer="0" w:header="0"/>
        </w:sectPr>
      </w:pPr>
    </w:p>
    <w:bookmarkStart w:id="143" w:name="page144"/>
    <w:bookmarkEnd w:id="143"/>
    <w:p>
      <w:pPr>
        <w:ind w:left="-1200" w:right="200" w:firstLine="1305"/>
        <w:spacing w:after="0" w:line="260" w:lineRule="auto"/>
        <w:tabs>
          <w:tab w:leader="none" w:pos="507" w:val="left"/>
        </w:tabs>
        <w:numPr>
          <w:ilvl w:val="0"/>
          <w:numId w:val="177"/>
        </w:numPr>
        <w:rPr>
          <w:rFonts w:ascii="Arial" w:cs="Arial" w:eastAsia="Arial" w:hAnsi="Arial"/>
          <w:sz w:val="20"/>
          <w:szCs w:val="20"/>
          <w:color w:val="010000"/>
        </w:rPr>
      </w:pPr>
      <w:r>
        <w:rPr>
          <w:rFonts w:ascii="Arial" w:cs="Arial" w:eastAsia="Arial" w:hAnsi="Arial"/>
          <w:sz w:val="20"/>
          <w:szCs w:val="20"/>
          <w:u w:val="single" w:color="auto"/>
          <w:color w:val="auto"/>
        </w:rPr>
        <w:t>Withholding</w:t>
      </w:r>
      <w:r>
        <w:rPr>
          <w:rFonts w:ascii="Arial" w:cs="Arial" w:eastAsia="Arial" w:hAnsi="Arial"/>
          <w:sz w:val="20"/>
          <w:szCs w:val="20"/>
          <w:color w:val="auto"/>
        </w:rPr>
        <w:t>. All payments made pursuant to this Agreement will be subject to withholding of applicable income, employment and other taxes.</w:t>
      </w:r>
    </w:p>
    <w:p>
      <w:pPr>
        <w:spacing w:after="0" w:line="176" w:lineRule="exact"/>
        <w:rPr>
          <w:rFonts w:ascii="Arial" w:cs="Arial" w:eastAsia="Arial" w:hAnsi="Arial"/>
          <w:sz w:val="20"/>
          <w:szCs w:val="20"/>
          <w:color w:val="010000"/>
        </w:rPr>
      </w:pPr>
    </w:p>
    <w:p>
      <w:pPr>
        <w:ind w:left="-1200" w:firstLine="1305"/>
        <w:spacing w:after="0" w:line="260" w:lineRule="auto"/>
        <w:tabs>
          <w:tab w:leader="none" w:pos="507" w:val="left"/>
        </w:tabs>
        <w:numPr>
          <w:ilvl w:val="0"/>
          <w:numId w:val="177"/>
        </w:numPr>
        <w:rPr>
          <w:rFonts w:ascii="Arial" w:cs="Arial" w:eastAsia="Arial" w:hAnsi="Arial"/>
          <w:sz w:val="20"/>
          <w:szCs w:val="20"/>
          <w:color w:val="010000"/>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0"/>
        <w:spacing w:after="0"/>
        <w:rPr>
          <w:sz w:val="20"/>
          <w:szCs w:val="20"/>
          <w:color w:val="auto"/>
        </w:rPr>
      </w:pPr>
      <w:r>
        <w:rPr>
          <w:rFonts w:ascii="Arial" w:cs="Arial" w:eastAsia="Arial" w:hAnsi="Arial"/>
          <w:sz w:val="20"/>
          <w:szCs w:val="20"/>
          <w:b w:val="1"/>
          <w:bCs w:val="1"/>
          <w:i w:val="1"/>
          <w:iCs w:val="1"/>
          <w:color w:val="auto"/>
        </w:rPr>
        <w:t>[Signature Page to Follow]</w:t>
      </w:r>
    </w:p>
    <w:p>
      <w:pPr>
        <w:spacing w:after="0" w:line="243"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9720"/>
          </w:cols>
          <w:pgMar w:left="1440" w:top="595" w:right="739" w:bottom="1440" w:gutter="0" w:footer="0" w:header="0"/>
        </w:sectPr>
      </w:pPr>
    </w:p>
    <w:bookmarkStart w:id="144" w:name="page145"/>
    <w:bookmarkEnd w:id="144"/>
    <w:p>
      <w:pPr>
        <w:ind w:firstLine="648"/>
        <w:spacing w:after="0" w:line="260" w:lineRule="auto"/>
        <w:rPr>
          <w:sz w:val="20"/>
          <w:szCs w:val="20"/>
          <w:color w:val="auto"/>
        </w:rPr>
      </w:pPr>
      <w:r>
        <w:rPr>
          <w:rFonts w:ascii="Arial" w:cs="Arial" w:eastAsia="Arial" w:hAnsi="Arial"/>
          <w:sz w:val="20"/>
          <w:szCs w:val="20"/>
          <w:color w:val="auto"/>
        </w:rPr>
        <w:t>IN WITNESS WHEREOF, each of the parties has executed this Agreement, in the case of the Company by its duly authorized officer, as of the day and year set forth below.</w:t>
      </w:r>
    </w:p>
    <w:p>
      <w:pPr>
        <w:spacing w:after="0" w:line="342"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COMPANY</w:t>
            </w:r>
          </w:p>
        </w:tc>
        <w:tc>
          <w:tcPr>
            <w:tcW w:w="7020" w:type="dxa"/>
            <w:vAlign w:val="bottom"/>
            <w:gridSpan w:val="2"/>
          </w:tcPr>
          <w:p>
            <w:pPr>
              <w:ind w:left="1800"/>
              <w:spacing w:after="0"/>
              <w:rPr>
                <w:sz w:val="20"/>
                <w:szCs w:val="20"/>
                <w:color w:val="auto"/>
              </w:rPr>
            </w:pPr>
            <w:r>
              <w:rPr>
                <w:rFonts w:ascii="Arial" w:cs="Arial" w:eastAsia="Arial" w:hAnsi="Arial"/>
                <w:sz w:val="18"/>
                <w:szCs w:val="18"/>
                <w:color w:val="auto"/>
              </w:rPr>
              <w:t>VERACYTE, INC.</w:t>
            </w:r>
          </w:p>
        </w:tc>
      </w:tr>
      <w:tr>
        <w:trPr>
          <w:trHeight w:val="864"/>
        </w:trPr>
        <w:tc>
          <w:tcPr>
            <w:tcW w:w="2840" w:type="dxa"/>
            <w:vAlign w:val="bottom"/>
          </w:tcPr>
          <w:p>
            <w:pPr>
              <w:spacing w:after="0"/>
              <w:rPr>
                <w:sz w:val="24"/>
                <w:szCs w:val="24"/>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By:</w:t>
            </w:r>
          </w:p>
        </w:tc>
        <w:tc>
          <w:tcPr>
            <w:tcW w:w="4300" w:type="dxa"/>
            <w:vAlign w:val="bottom"/>
          </w:tcPr>
          <w:p>
            <w:pPr>
              <w:ind w:left="80"/>
              <w:spacing w:after="0"/>
              <w:rPr>
                <w:sz w:val="20"/>
                <w:szCs w:val="20"/>
                <w:color w:val="auto"/>
              </w:rPr>
            </w:pPr>
            <w:r>
              <w:rPr>
                <w:rFonts w:ascii="Arial" w:cs="Arial" w:eastAsia="Arial" w:hAnsi="Arial"/>
                <w:sz w:val="18"/>
                <w:szCs w:val="18"/>
                <w:color w:val="auto"/>
              </w:rPr>
              <w:t>/s/ Bonnie Anderson</w:t>
            </w:r>
          </w:p>
        </w:tc>
      </w:tr>
      <w:tr>
        <w:trPr>
          <w:trHeight w:val="27"/>
        </w:trPr>
        <w:tc>
          <w:tcPr>
            <w:tcW w:w="2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534"/>
        </w:trPr>
        <w:tc>
          <w:tcPr>
            <w:tcW w:w="2840" w:type="dxa"/>
            <w:vAlign w:val="bottom"/>
          </w:tcPr>
          <w:p>
            <w:pPr>
              <w:spacing w:after="0"/>
              <w:rPr>
                <w:sz w:val="24"/>
                <w:szCs w:val="24"/>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Title:</w:t>
            </w:r>
          </w:p>
        </w:tc>
        <w:tc>
          <w:tcPr>
            <w:tcW w:w="4300" w:type="dxa"/>
            <w:vAlign w:val="bottom"/>
          </w:tcPr>
          <w:p>
            <w:pPr>
              <w:ind w:left="80"/>
              <w:spacing w:after="0"/>
              <w:rPr>
                <w:sz w:val="20"/>
                <w:szCs w:val="20"/>
                <w:color w:val="auto"/>
              </w:rPr>
            </w:pPr>
            <w:r>
              <w:rPr>
                <w:rFonts w:ascii="Arial" w:cs="Arial" w:eastAsia="Arial" w:hAnsi="Arial"/>
                <w:sz w:val="18"/>
                <w:szCs w:val="18"/>
                <w:color w:val="auto"/>
              </w:rPr>
              <w:t>Chairman of the Board and Chief Executive Officer</w:t>
            </w:r>
          </w:p>
        </w:tc>
      </w:tr>
      <w:tr>
        <w:trPr>
          <w:trHeight w:val="27"/>
        </w:trPr>
        <w:tc>
          <w:tcPr>
            <w:tcW w:w="2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534"/>
        </w:trPr>
        <w:tc>
          <w:tcPr>
            <w:tcW w:w="2840" w:type="dxa"/>
            <w:vAlign w:val="bottom"/>
          </w:tcPr>
          <w:p>
            <w:pPr>
              <w:spacing w:after="0"/>
              <w:rPr>
                <w:sz w:val="24"/>
                <w:szCs w:val="24"/>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Date:</w:t>
            </w:r>
          </w:p>
        </w:tc>
        <w:tc>
          <w:tcPr>
            <w:tcW w:w="4300" w:type="dxa"/>
            <w:vAlign w:val="bottom"/>
          </w:tcPr>
          <w:p>
            <w:pPr>
              <w:ind w:left="80"/>
              <w:spacing w:after="0"/>
              <w:rPr>
                <w:sz w:val="20"/>
                <w:szCs w:val="20"/>
                <w:color w:val="auto"/>
              </w:rPr>
            </w:pPr>
            <w:r>
              <w:rPr>
                <w:rFonts w:ascii="Arial" w:cs="Arial" w:eastAsia="Arial" w:hAnsi="Arial"/>
                <w:sz w:val="18"/>
                <w:szCs w:val="18"/>
                <w:color w:val="auto"/>
              </w:rPr>
              <w:t>July 8, 2019</w:t>
            </w:r>
          </w:p>
        </w:tc>
      </w:tr>
      <w:tr>
        <w:trPr>
          <w:trHeight w:val="27"/>
        </w:trPr>
        <w:tc>
          <w:tcPr>
            <w:tcW w:w="2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831"/>
        </w:trPr>
        <w:tc>
          <w:tcPr>
            <w:tcW w:w="2840" w:type="dxa"/>
            <w:vAlign w:val="bottom"/>
          </w:tcPr>
          <w:p>
            <w:pPr>
              <w:spacing w:after="0"/>
              <w:rPr>
                <w:sz w:val="20"/>
                <w:szCs w:val="20"/>
                <w:color w:val="auto"/>
              </w:rPr>
            </w:pPr>
            <w:r>
              <w:rPr>
                <w:rFonts w:ascii="Arial" w:cs="Arial" w:eastAsia="Arial" w:hAnsi="Arial"/>
                <w:sz w:val="18"/>
                <w:szCs w:val="18"/>
                <w:color w:val="auto"/>
              </w:rPr>
              <w:t>EXECUTIVE</w:t>
            </w:r>
          </w:p>
        </w:tc>
        <w:tc>
          <w:tcPr>
            <w:tcW w:w="2720" w:type="dxa"/>
            <w:vAlign w:val="bottom"/>
          </w:tcPr>
          <w:p>
            <w:pPr>
              <w:ind w:left="1800"/>
              <w:spacing w:after="0"/>
              <w:rPr>
                <w:sz w:val="20"/>
                <w:szCs w:val="20"/>
                <w:color w:val="auto"/>
              </w:rPr>
            </w:pPr>
            <w:r>
              <w:rPr>
                <w:rFonts w:ascii="Arial" w:cs="Arial" w:eastAsia="Arial" w:hAnsi="Arial"/>
                <w:sz w:val="18"/>
                <w:szCs w:val="18"/>
                <w:color w:val="auto"/>
              </w:rPr>
              <w:t>By:</w:t>
            </w:r>
          </w:p>
        </w:tc>
        <w:tc>
          <w:tcPr>
            <w:tcW w:w="4300" w:type="dxa"/>
            <w:vAlign w:val="bottom"/>
          </w:tcPr>
          <w:p>
            <w:pPr>
              <w:ind w:left="80"/>
              <w:spacing w:after="0"/>
              <w:rPr>
                <w:sz w:val="20"/>
                <w:szCs w:val="20"/>
                <w:color w:val="auto"/>
              </w:rPr>
            </w:pPr>
            <w:r>
              <w:rPr>
                <w:rFonts w:ascii="Arial" w:cs="Arial" w:eastAsia="Arial" w:hAnsi="Arial"/>
                <w:sz w:val="18"/>
                <w:szCs w:val="18"/>
                <w:color w:val="auto"/>
              </w:rPr>
              <w:t>/s/ John Hanna</w:t>
            </w:r>
          </w:p>
        </w:tc>
      </w:tr>
      <w:tr>
        <w:trPr>
          <w:trHeight w:val="27"/>
        </w:trPr>
        <w:tc>
          <w:tcPr>
            <w:tcW w:w="2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534"/>
        </w:trPr>
        <w:tc>
          <w:tcPr>
            <w:tcW w:w="2840" w:type="dxa"/>
            <w:vAlign w:val="bottom"/>
          </w:tcPr>
          <w:p>
            <w:pPr>
              <w:spacing w:after="0"/>
              <w:rPr>
                <w:sz w:val="24"/>
                <w:szCs w:val="24"/>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Title:</w:t>
            </w:r>
          </w:p>
        </w:tc>
        <w:tc>
          <w:tcPr>
            <w:tcW w:w="4300" w:type="dxa"/>
            <w:vAlign w:val="bottom"/>
          </w:tcPr>
          <w:p>
            <w:pPr>
              <w:ind w:left="80"/>
              <w:spacing w:after="0"/>
              <w:rPr>
                <w:sz w:val="20"/>
                <w:szCs w:val="20"/>
                <w:color w:val="auto"/>
              </w:rPr>
            </w:pPr>
            <w:r>
              <w:rPr>
                <w:rFonts w:ascii="Arial" w:cs="Arial" w:eastAsia="Arial" w:hAnsi="Arial"/>
                <w:sz w:val="18"/>
                <w:szCs w:val="18"/>
                <w:color w:val="auto"/>
              </w:rPr>
              <w:t>Chief Commercial Officer</w:t>
            </w:r>
          </w:p>
        </w:tc>
      </w:tr>
      <w:tr>
        <w:trPr>
          <w:trHeight w:val="27"/>
        </w:trPr>
        <w:tc>
          <w:tcPr>
            <w:tcW w:w="2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534"/>
        </w:trPr>
        <w:tc>
          <w:tcPr>
            <w:tcW w:w="2840" w:type="dxa"/>
            <w:vAlign w:val="bottom"/>
          </w:tcPr>
          <w:p>
            <w:pPr>
              <w:spacing w:after="0"/>
              <w:rPr>
                <w:sz w:val="24"/>
                <w:szCs w:val="24"/>
                <w:color w:val="auto"/>
              </w:rPr>
            </w:pPr>
          </w:p>
        </w:tc>
        <w:tc>
          <w:tcPr>
            <w:tcW w:w="2720" w:type="dxa"/>
            <w:vAlign w:val="bottom"/>
          </w:tcPr>
          <w:p>
            <w:pPr>
              <w:ind w:left="1800"/>
              <w:spacing w:after="0"/>
              <w:rPr>
                <w:sz w:val="20"/>
                <w:szCs w:val="20"/>
                <w:color w:val="auto"/>
              </w:rPr>
            </w:pPr>
            <w:r>
              <w:rPr>
                <w:rFonts w:ascii="Arial" w:cs="Arial" w:eastAsia="Arial" w:hAnsi="Arial"/>
                <w:sz w:val="18"/>
                <w:szCs w:val="18"/>
                <w:color w:val="auto"/>
              </w:rPr>
              <w:t>Date:</w:t>
            </w:r>
          </w:p>
        </w:tc>
        <w:tc>
          <w:tcPr>
            <w:tcW w:w="4300" w:type="dxa"/>
            <w:vAlign w:val="bottom"/>
          </w:tcPr>
          <w:p>
            <w:pPr>
              <w:ind w:left="80"/>
              <w:spacing w:after="0"/>
              <w:rPr>
                <w:sz w:val="20"/>
                <w:szCs w:val="20"/>
                <w:color w:val="auto"/>
              </w:rPr>
            </w:pPr>
            <w:r>
              <w:rPr>
                <w:rFonts w:ascii="Arial" w:cs="Arial" w:eastAsia="Arial" w:hAnsi="Arial"/>
                <w:sz w:val="18"/>
                <w:szCs w:val="18"/>
                <w:color w:val="auto"/>
              </w:rPr>
              <w:t>July 9, 2019</w:t>
            </w:r>
          </w:p>
        </w:tc>
      </w:tr>
      <w:tr>
        <w:trPr>
          <w:trHeight w:val="27"/>
        </w:trPr>
        <w:tc>
          <w:tcPr>
            <w:tcW w:w="28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F1D23"/>
        </w:rPr>
        <w:t>[</w:t>
      </w:r>
      <w:r>
        <w:rPr>
          <w:rFonts w:ascii="Arial" w:cs="Arial" w:eastAsia="Arial" w:hAnsi="Arial"/>
          <w:sz w:val="20"/>
          <w:szCs w:val="20"/>
          <w:b w:val="1"/>
          <w:bCs w:val="1"/>
          <w:i w:val="1"/>
          <w:iCs w:val="1"/>
          <w:color w:val="1F1D23"/>
        </w:rPr>
        <w:t>signature page of the Change of Control and Severance Agreement]</w:t>
      </w:r>
    </w:p>
    <w:p>
      <w:pPr>
        <w:sectPr>
          <w:pgSz w:w="11900" w:h="16838" w:orient="portrait"/>
          <w:cols w:equalWidth="0" w:num="1">
            <w:col w:w="11280"/>
          </w:cols>
          <w:pgMar w:left="240" w:top="595" w:right="37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FORM OF RELEASE OF CLAIMS</w:t>
      </w:r>
    </w:p>
    <w:p>
      <w:pPr>
        <w:spacing w:after="0" w:line="222"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This release of claims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and between Veracyte,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John Hanna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The Company and Executive are sometimes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ind w:right="2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WHEREAS</w:t>
      </w:r>
      <w:r>
        <w:rPr>
          <w:rFonts w:ascii="Arial" w:cs="Arial" w:eastAsia="Arial" w:hAnsi="Arial"/>
          <w:sz w:val="20"/>
          <w:szCs w:val="20"/>
          <w:color w:val="auto"/>
        </w:rPr>
        <w:t>, Executive signed a [Confidential Information and Invention Assignment Agreement] with the Company on September 12, 2011 (the “</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w:t>
      </w:r>
    </w:p>
    <w:p>
      <w:pPr>
        <w:spacing w:after="0" w:line="164"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Executive signed an Amended and Restated Change of Control and Severance Agreement with the company 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 (the “</w:t>
      </w:r>
      <w:r>
        <w:rPr>
          <w:rFonts w:ascii="Arial" w:cs="Arial" w:eastAsia="Arial" w:hAnsi="Arial"/>
          <w:sz w:val="18"/>
          <w:szCs w:val="18"/>
          <w:b w:val="1"/>
          <w:bCs w:val="1"/>
          <w:i w:val="1"/>
          <w:iCs w:val="1"/>
          <w:color w:val="auto"/>
        </w:rPr>
        <w:t>Severance Agreement</w:t>
      </w:r>
      <w:r>
        <w:rPr>
          <w:rFonts w:ascii="Arial" w:cs="Arial" w:eastAsia="Arial" w:hAnsi="Arial"/>
          <w:sz w:val="18"/>
          <w:szCs w:val="18"/>
          <w:color w:val="auto"/>
        </w:rPr>
        <w:t>”), which, among other things, provides for certain severance benefits to be paid to Executive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by the Company upon the termination of Executive’s employment;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was employed by the Company until __________________, when Executive’s employment was terminated</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w:t>
      </w:r>
    </w:p>
    <w:p>
      <w:pPr>
        <w:spacing w:after="0" w:line="194" w:lineRule="exact"/>
        <w:rPr>
          <w:sz w:val="20"/>
          <w:szCs w:val="20"/>
          <w:color w:val="auto"/>
        </w:rPr>
      </w:pPr>
    </w:p>
    <w:p>
      <w:pPr>
        <w:ind w:right="80"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accordance with Section 4 of the Severance Agreement between the Company and Executive, Executive has agreed to</w:t>
      </w:r>
      <w:r>
        <w:rPr>
          <w:rFonts w:ascii="Arial" w:cs="Arial" w:eastAsia="Arial" w:hAnsi="Arial"/>
          <w:sz w:val="20"/>
          <w:szCs w:val="20"/>
          <w:b w:val="1"/>
          <w:bCs w:val="1"/>
          <w:color w:val="auto"/>
        </w:rPr>
        <w:t xml:space="preserve"> </w:t>
      </w:r>
      <w:r>
        <w:rPr>
          <w:rFonts w:ascii="Arial" w:cs="Arial" w:eastAsia="Arial" w:hAnsi="Arial"/>
          <w:sz w:val="20"/>
          <w:szCs w:val="20"/>
          <w:color w:val="auto"/>
        </w:rPr>
        <w:t>enter into and not revoke a standard release of claims in favor of the Company as a condition to receiving the severance benefits described in the Severance Agreement; and</w:t>
      </w:r>
    </w:p>
    <w:p>
      <w:pPr>
        <w:spacing w:after="0" w:line="178" w:lineRule="exact"/>
        <w:rPr>
          <w:sz w:val="20"/>
          <w:szCs w:val="20"/>
          <w:color w:val="auto"/>
        </w:rPr>
      </w:pPr>
    </w:p>
    <w:p>
      <w:pPr>
        <w:ind w:right="200" w:firstLine="648"/>
        <w:spacing w:after="0" w:line="34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wish to resolve any and all disputes, claims, complaints, grievances, charges, actions, petitions and demands</w:t>
      </w:r>
      <w:r>
        <w:rPr>
          <w:rFonts w:ascii="Arial" w:cs="Arial" w:eastAsia="Arial" w:hAnsi="Arial"/>
          <w:sz w:val="16"/>
          <w:szCs w:val="16"/>
          <w:b w:val="1"/>
          <w:bCs w:val="1"/>
          <w:color w:val="auto"/>
        </w:rPr>
        <w:t xml:space="preserve"> </w:t>
      </w:r>
      <w:r>
        <w:rPr>
          <w:rFonts w:ascii="Arial" w:cs="Arial" w:eastAsia="Arial" w:hAnsi="Arial"/>
          <w:sz w:val="16"/>
          <w:szCs w:val="16"/>
          <w:color w:val="auto"/>
        </w:rPr>
        <w:t>that Executive may have against the Company and any of the Releasees (as defined below), including, but not limited to, any and all claims arising out of or in any way related to Executive’s employment relationship with the Company and the termination of that relationship.</w:t>
      </w:r>
    </w:p>
    <w:p>
      <w:pPr>
        <w:spacing w:after="0" w:line="109" w:lineRule="exact"/>
        <w:rPr>
          <w:sz w:val="20"/>
          <w:szCs w:val="20"/>
          <w:color w:val="auto"/>
        </w:rPr>
      </w:pPr>
    </w:p>
    <w:p>
      <w:pPr>
        <w:ind w:right="180"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including the mutual promises and covenants made herein,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Executive hereby agree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COVENANTS</w:t>
      </w:r>
    </w:p>
    <w:p>
      <w:pPr>
        <w:spacing w:after="0" w:line="222" w:lineRule="exact"/>
        <w:rPr>
          <w:sz w:val="20"/>
          <w:szCs w:val="20"/>
          <w:color w:val="auto"/>
        </w:rPr>
      </w:pPr>
    </w:p>
    <w:p>
      <w:pPr>
        <w:ind w:left="980" w:hanging="324"/>
        <w:spacing w:after="0"/>
        <w:tabs>
          <w:tab w:leader="none" w:pos="980" w:val="left"/>
        </w:tabs>
        <w:numPr>
          <w:ilvl w:val="0"/>
          <w:numId w:val="178"/>
        </w:numPr>
        <w:rPr>
          <w:rFonts w:ascii="Arial" w:cs="Arial" w:eastAsia="Arial" w:hAnsi="Arial"/>
          <w:sz w:val="20"/>
          <w:szCs w:val="20"/>
          <w:color w:val="010000"/>
        </w:rPr>
      </w:pPr>
      <w:r>
        <w:rPr>
          <w:rFonts w:ascii="Arial" w:cs="Arial" w:eastAsia="Arial" w:hAnsi="Arial"/>
          <w:sz w:val="20"/>
          <w:szCs w:val="20"/>
          <w:u w:val="single" w:color="auto"/>
          <w:color w:val="auto"/>
        </w:rPr>
        <w:t>Termination</w:t>
      </w:r>
      <w:r>
        <w:rPr>
          <w:rFonts w:ascii="Arial" w:cs="Arial" w:eastAsia="Arial" w:hAnsi="Arial"/>
          <w:sz w:val="20"/>
          <w:szCs w:val="20"/>
          <w:color w:val="auto"/>
        </w:rPr>
        <w:t>. Executive’s employment with the Company terminated on the Termination Date.</w:t>
      </w:r>
    </w:p>
    <w:p>
      <w:pPr>
        <w:spacing w:after="0" w:line="215" w:lineRule="exact"/>
        <w:rPr>
          <w:rFonts w:ascii="Arial" w:cs="Arial" w:eastAsia="Arial" w:hAnsi="Arial"/>
          <w:sz w:val="20"/>
          <w:szCs w:val="20"/>
          <w:color w:val="010000"/>
        </w:rPr>
      </w:pPr>
    </w:p>
    <w:p>
      <w:pPr>
        <w:ind w:right="40" w:firstLine="656"/>
        <w:spacing w:after="0" w:line="278" w:lineRule="auto"/>
        <w:tabs>
          <w:tab w:leader="none" w:pos="977" w:val="left"/>
        </w:tabs>
        <w:numPr>
          <w:ilvl w:val="0"/>
          <w:numId w:val="178"/>
        </w:numPr>
        <w:rPr>
          <w:rFonts w:ascii="Arial" w:cs="Arial" w:eastAsia="Arial" w:hAnsi="Arial"/>
          <w:sz w:val="18"/>
          <w:szCs w:val="18"/>
          <w:color w:val="010000"/>
        </w:rPr>
      </w:pPr>
      <w:r>
        <w:rPr>
          <w:rFonts w:ascii="Arial" w:cs="Arial" w:eastAsia="Arial" w:hAnsi="Arial"/>
          <w:sz w:val="18"/>
          <w:szCs w:val="18"/>
          <w:u w:val="single" w:color="auto"/>
          <w:color w:val="auto"/>
        </w:rPr>
        <w:t>Payment of Salary and Receipt of All Benefits</w:t>
      </w:r>
      <w:r>
        <w:rPr>
          <w:rFonts w:ascii="Arial" w:cs="Arial" w:eastAsia="Arial" w:hAnsi="Arial"/>
          <w:sz w:val="18"/>
          <w:szCs w:val="18"/>
          <w:color w:val="auto"/>
        </w:rPr>
        <w:t>. Executive acknowledges and represents that, other than the consideration to be paid in accordance with the terms and conditions of the Severance Agreement, the Company has paid or provided all salary, wages, bonuses, accrued vacation/paid time off, premiums, leaves, housing allowances, relocation costs, interest, severance, outplacement costs, fees, reimbursable expenses, commissions, draws, stock, stock options or other equity awards (including restricted stock unit awards), vesting, and any and all other benefits and compensation due to Executive and that no other reimbursements or compensation are owed to Executive.</w:t>
      </w:r>
    </w:p>
    <w:p>
      <w:pPr>
        <w:spacing w:after="0" w:line="165" w:lineRule="exact"/>
        <w:rPr>
          <w:rFonts w:ascii="Arial" w:cs="Arial" w:eastAsia="Arial" w:hAnsi="Arial"/>
          <w:sz w:val="18"/>
          <w:szCs w:val="18"/>
          <w:color w:val="010000"/>
        </w:rPr>
      </w:pPr>
    </w:p>
    <w:p>
      <w:pPr>
        <w:ind w:right="60" w:firstLine="656"/>
        <w:spacing w:after="0" w:line="260" w:lineRule="auto"/>
        <w:tabs>
          <w:tab w:leader="none" w:pos="977" w:val="left"/>
        </w:tabs>
        <w:numPr>
          <w:ilvl w:val="0"/>
          <w:numId w:val="178"/>
        </w:numPr>
        <w:rPr>
          <w:rFonts w:ascii="Arial" w:cs="Arial" w:eastAsia="Arial" w:hAnsi="Arial"/>
          <w:sz w:val="20"/>
          <w:szCs w:val="20"/>
          <w:color w:val="010000"/>
        </w:rPr>
      </w:pPr>
      <w:r>
        <w:rPr>
          <w:rFonts w:ascii="Arial" w:cs="Arial" w:eastAsia="Arial" w:hAnsi="Arial"/>
          <w:sz w:val="20"/>
          <w:szCs w:val="20"/>
          <w:u w:val="single" w:color="auto"/>
          <w:color w:val="auto"/>
        </w:rPr>
        <w:t>Release of Claims</w:t>
      </w:r>
      <w:r>
        <w:rPr>
          <w:rFonts w:ascii="Arial" w:cs="Arial" w:eastAsia="Arial" w:hAnsi="Arial"/>
          <w:sz w:val="20"/>
          <w:szCs w:val="20"/>
          <w:color w:val="auto"/>
        </w:rPr>
        <w:t>. Executive agrees that the consideration to be paid in accordance with the terms and conditions of the Severance Agreement represents settlement in full of all outstanding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1F1D23"/>
        </w:rPr>
        <w:t>A-1</w:t>
      </w:r>
    </w:p>
    <w:p>
      <w:pPr>
        <w:sectPr>
          <w:pgSz w:w="11900" w:h="16838" w:orient="portrait"/>
          <w:cols w:equalWidth="0" w:num="1">
            <w:col w:w="11420"/>
          </w:cols>
          <w:pgMar w:left="240" w:top="805" w:right="239" w:bottom="1440" w:gutter="0" w:footer="0" w:header="0"/>
        </w:sectPr>
      </w:pPr>
    </w:p>
    <w:bookmarkStart w:id="146" w:name="page147"/>
    <w:bookmarkEnd w:id="146"/>
    <w:p>
      <w:pPr>
        <w:spacing w:after="0" w:line="257" w:lineRule="auto"/>
        <w:rPr>
          <w:sz w:val="20"/>
          <w:szCs w:val="20"/>
          <w:color w:val="auto"/>
        </w:rPr>
      </w:pPr>
      <w:r>
        <w:rPr>
          <w:rFonts w:ascii="Arial" w:cs="Arial" w:eastAsia="Arial" w:hAnsi="Arial"/>
          <w:sz w:val="19"/>
          <w:szCs w:val="19"/>
          <w:color w:val="auto"/>
        </w:rPr>
        <w:t>obligations owed to Executive by the Company and its current and former officers, directors, employees, agents, investors, attorneys, stockholders, administrators, affiliates, benefit plans, plan administrators, insurers, trustees, divisions, and subsidiaries, and predecessor and successor corporations and assigns (collectively, the “</w:t>
      </w:r>
      <w:r>
        <w:rPr>
          <w:rFonts w:ascii="Arial" w:cs="Arial" w:eastAsia="Arial" w:hAnsi="Arial"/>
          <w:sz w:val="19"/>
          <w:szCs w:val="19"/>
          <w:b w:val="1"/>
          <w:bCs w:val="1"/>
          <w:i w:val="1"/>
          <w:iCs w:val="1"/>
          <w:color w:val="auto"/>
        </w:rPr>
        <w:t>Releasees</w:t>
      </w:r>
      <w:r>
        <w:rPr>
          <w:rFonts w:ascii="Arial" w:cs="Arial" w:eastAsia="Arial" w:hAnsi="Arial"/>
          <w:sz w:val="19"/>
          <w:szCs w:val="19"/>
          <w:color w:val="auto"/>
        </w:rPr>
        <w:t>”). Executive, on Executive’s own behalf and on behalf of Executive’s respective heirs, family members, executors, agents, and assigns, hereby and forever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Executive may possess against any of the Releasees arising from any omissions, acts, facts, or damages that have occurred up until and including the Effective Date of this Agreement, including, without limitation the following:</w:t>
      </w:r>
    </w:p>
    <w:p>
      <w:pPr>
        <w:spacing w:after="0" w:line="181" w:lineRule="exact"/>
        <w:rPr>
          <w:sz w:val="20"/>
          <w:szCs w:val="20"/>
          <w:color w:val="auto"/>
        </w:rPr>
      </w:pPr>
    </w:p>
    <w:p>
      <w:pPr>
        <w:ind w:left="1700" w:hanging="395"/>
        <w:spacing w:after="0"/>
        <w:tabs>
          <w:tab w:leader="none" w:pos="1700"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any and all claims relating to or arising from Executive’s employment relationship with the Company and the termination</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of that relationship;</w:t>
      </w:r>
    </w:p>
    <w:p>
      <w:pPr>
        <w:spacing w:after="0" w:line="199" w:lineRule="exact"/>
        <w:rPr>
          <w:rFonts w:ascii="Arial" w:cs="Arial" w:eastAsia="Arial" w:hAnsi="Arial"/>
          <w:sz w:val="18"/>
          <w:szCs w:val="18"/>
          <w:color w:val="010000"/>
        </w:rPr>
      </w:pPr>
    </w:p>
    <w:p>
      <w:pPr>
        <w:ind w:right="20" w:firstLine="1305"/>
        <w:spacing w:after="0" w:line="250" w:lineRule="auto"/>
        <w:tabs>
          <w:tab w:leader="none" w:pos="1707" w:val="left"/>
        </w:tabs>
        <w:numPr>
          <w:ilvl w:val="0"/>
          <w:numId w:val="179"/>
        </w:numPr>
        <w:rPr>
          <w:rFonts w:ascii="Arial" w:cs="Arial" w:eastAsia="Arial" w:hAnsi="Arial"/>
          <w:sz w:val="20"/>
          <w:szCs w:val="20"/>
          <w:color w:val="010000"/>
        </w:rPr>
      </w:pPr>
      <w:r>
        <w:rPr>
          <w:rFonts w:ascii="Arial" w:cs="Arial" w:eastAsia="Arial" w:hAnsi="Arial"/>
          <w:sz w:val="20"/>
          <w:szCs w:val="20"/>
          <w:color w:val="auto"/>
        </w:rPr>
        <w:t>any and all claims relating to, or arising from, Executive’s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86" w:lineRule="exact"/>
        <w:rPr>
          <w:rFonts w:ascii="Arial" w:cs="Arial" w:eastAsia="Arial" w:hAnsi="Arial"/>
          <w:sz w:val="20"/>
          <w:szCs w:val="20"/>
          <w:color w:val="010000"/>
        </w:rPr>
      </w:pPr>
    </w:p>
    <w:p>
      <w:pPr>
        <w:ind w:right="340" w:firstLine="1305"/>
        <w:spacing w:after="0" w:line="278" w:lineRule="auto"/>
        <w:tabs>
          <w:tab w:leader="none" w:pos="1696"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65" w:lineRule="exact"/>
        <w:rPr>
          <w:rFonts w:ascii="Arial" w:cs="Arial" w:eastAsia="Arial" w:hAnsi="Arial"/>
          <w:sz w:val="18"/>
          <w:szCs w:val="18"/>
          <w:color w:val="010000"/>
        </w:rPr>
      </w:pPr>
    </w:p>
    <w:p>
      <w:pPr>
        <w:ind w:right="80" w:firstLine="1305"/>
        <w:spacing w:after="0" w:line="263" w:lineRule="auto"/>
        <w:tabs>
          <w:tab w:leader="none" w:pos="1707" w:val="left"/>
        </w:tabs>
        <w:numPr>
          <w:ilvl w:val="0"/>
          <w:numId w:val="179"/>
        </w:numPr>
        <w:rPr>
          <w:rFonts w:ascii="Arial" w:cs="Arial" w:eastAsia="Arial" w:hAnsi="Arial"/>
          <w:sz w:val="19"/>
          <w:szCs w:val="19"/>
          <w:color w:val="010000"/>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of2002; [the California Family Rights Act]; [the California Labor Code]; [the California Workers’ Compensation Act]; and [the California Fair Employment and Housing Act];</w:t>
      </w:r>
      <w:r>
        <w:rPr>
          <w:rFonts w:ascii="Arial" w:cs="Arial" w:eastAsia="Arial" w:hAnsi="Arial"/>
          <w:sz w:val="24"/>
          <w:szCs w:val="24"/>
          <w:color w:val="auto"/>
          <w:vertAlign w:val="superscript"/>
        </w:rPr>
        <w:t>1</w:t>
      </w:r>
    </w:p>
    <w:p>
      <w:pPr>
        <w:spacing w:after="0" w:line="97" w:lineRule="exact"/>
        <w:rPr>
          <w:sz w:val="20"/>
          <w:szCs w:val="20"/>
          <w:color w:val="auto"/>
        </w:rPr>
      </w:pPr>
    </w:p>
    <w:p>
      <w:pPr>
        <w:ind w:right="80"/>
        <w:spacing w:after="0" w:line="227"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References to California statutes will only be included in this Agreement if Executive resides in California at the time Executive’s employment relationship is terminated. Otherwise, statutes specific to the state in which Executive resides at the time of termination will be substituted.</w:t>
      </w:r>
    </w:p>
    <w:p>
      <w:pPr>
        <w:spacing w:after="0" w:line="200" w:lineRule="exact"/>
        <w:rPr>
          <w:sz w:val="20"/>
          <w:szCs w:val="20"/>
          <w:color w:val="auto"/>
        </w:rPr>
      </w:pPr>
    </w:p>
    <w:p>
      <w:pPr>
        <w:ind w:left="1700" w:hanging="395"/>
        <w:spacing w:after="0"/>
        <w:tabs>
          <w:tab w:leader="none" w:pos="1700" w:val="left"/>
        </w:tabs>
        <w:numPr>
          <w:ilvl w:val="0"/>
          <w:numId w:val="180"/>
        </w:numPr>
        <w:rPr>
          <w:rFonts w:ascii="Arial" w:cs="Arial" w:eastAsia="Arial" w:hAnsi="Arial"/>
          <w:sz w:val="20"/>
          <w:szCs w:val="20"/>
          <w:color w:val="010000"/>
        </w:rPr>
      </w:pPr>
      <w:r>
        <w:rPr>
          <w:rFonts w:ascii="Arial" w:cs="Arial" w:eastAsia="Arial" w:hAnsi="Arial"/>
          <w:sz w:val="20"/>
          <w:szCs w:val="20"/>
          <w:color w:val="auto"/>
        </w:rPr>
        <w:t>any and all claims for violation of the federal, or any state, constitution;</w:t>
      </w:r>
    </w:p>
    <w:p>
      <w:pPr>
        <w:spacing w:after="0" w:line="215" w:lineRule="exact"/>
        <w:rPr>
          <w:rFonts w:ascii="Arial" w:cs="Arial" w:eastAsia="Arial" w:hAnsi="Arial"/>
          <w:sz w:val="20"/>
          <w:szCs w:val="20"/>
          <w:color w:val="010000"/>
        </w:rPr>
      </w:pPr>
    </w:p>
    <w:p>
      <w:pPr>
        <w:ind w:left="1680" w:hanging="375"/>
        <w:spacing w:after="0"/>
        <w:tabs>
          <w:tab w:leader="none" w:pos="1680" w:val="left"/>
        </w:tabs>
        <w:numPr>
          <w:ilvl w:val="0"/>
          <w:numId w:val="180"/>
        </w:numPr>
        <w:rPr>
          <w:rFonts w:ascii="Arial" w:cs="Arial" w:eastAsia="Arial" w:hAnsi="Arial"/>
          <w:sz w:val="18"/>
          <w:szCs w:val="18"/>
          <w:color w:val="010000"/>
        </w:rPr>
      </w:pPr>
      <w:r>
        <w:rPr>
          <w:rFonts w:ascii="Arial" w:cs="Arial" w:eastAsia="Arial" w:hAnsi="Arial"/>
          <w:sz w:val="18"/>
          <w:szCs w:val="18"/>
          <w:color w:val="auto"/>
        </w:rPr>
        <w:t>any and all claims arising out of any other laws and regulations relating to employment or employment discrimination;</w:t>
      </w:r>
    </w:p>
    <w:p>
      <w:pPr>
        <w:spacing w:after="0" w:line="238" w:lineRule="exact"/>
        <w:rPr>
          <w:rFonts w:ascii="Arial" w:cs="Arial" w:eastAsia="Arial" w:hAnsi="Arial"/>
          <w:sz w:val="18"/>
          <w:szCs w:val="18"/>
          <w:color w:val="010000"/>
        </w:rPr>
      </w:pPr>
    </w:p>
    <w:p>
      <w:pPr>
        <w:ind w:right="680" w:firstLine="1305"/>
        <w:spacing w:after="0" w:line="260" w:lineRule="auto"/>
        <w:tabs>
          <w:tab w:leader="none" w:pos="1707" w:val="left"/>
        </w:tabs>
        <w:numPr>
          <w:ilvl w:val="0"/>
          <w:numId w:val="180"/>
        </w:numPr>
        <w:rPr>
          <w:rFonts w:ascii="Arial" w:cs="Arial" w:eastAsia="Arial" w:hAnsi="Arial"/>
          <w:sz w:val="20"/>
          <w:szCs w:val="20"/>
          <w:color w:val="010000"/>
        </w:rPr>
      </w:pPr>
      <w:r>
        <w:rPr>
          <w:rFonts w:ascii="Arial" w:cs="Arial" w:eastAsia="Arial" w:hAnsi="Arial"/>
          <w:sz w:val="20"/>
          <w:szCs w:val="20"/>
          <w:color w:val="auto"/>
        </w:rPr>
        <w:t>any claim for any loss, cost, damage, or expense arising out of any dispute over the non- withholding or other tax treatment of any of the proceeds received by Executive as a result of this Agreement; and</w:t>
      </w:r>
    </w:p>
    <w:p>
      <w:pPr>
        <w:spacing w:after="0" w:line="176" w:lineRule="exact"/>
        <w:rPr>
          <w:rFonts w:ascii="Arial" w:cs="Arial" w:eastAsia="Arial" w:hAnsi="Arial"/>
          <w:sz w:val="20"/>
          <w:szCs w:val="20"/>
          <w:color w:val="010000"/>
        </w:rPr>
      </w:pPr>
    </w:p>
    <w:p>
      <w:pPr>
        <w:ind w:left="1720" w:hanging="415"/>
        <w:spacing w:after="0"/>
        <w:tabs>
          <w:tab w:leader="none" w:pos="1720" w:val="left"/>
        </w:tabs>
        <w:numPr>
          <w:ilvl w:val="0"/>
          <w:numId w:val="180"/>
        </w:numPr>
        <w:rPr>
          <w:rFonts w:ascii="Arial" w:cs="Arial" w:eastAsia="Arial" w:hAnsi="Arial"/>
          <w:sz w:val="20"/>
          <w:szCs w:val="20"/>
          <w:color w:val="010000"/>
        </w:rPr>
      </w:pPr>
      <w:r>
        <w:rPr>
          <w:rFonts w:ascii="Arial" w:cs="Arial" w:eastAsia="Arial" w:hAnsi="Arial"/>
          <w:sz w:val="20"/>
          <w:szCs w:val="20"/>
          <w:color w:val="auto"/>
        </w:rPr>
        <w:t>any and all claims for attorneys’ fees and costs.</w:t>
      </w:r>
    </w:p>
    <w:p>
      <w:pPr>
        <w:spacing w:after="0" w:line="216"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 xml:space="preserve">Executive agrees that the release set forth in this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will be and remain in effect in all respects as a complete general release as to the matters released. The Release does not extend to any severance obligations due Executive under the Severance Agreement. The Release does not release claims</w:t>
      </w: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360"/>
          </w:cols>
          <w:pgMar w:left="240" w:top="595" w:right="299" w:bottom="1440" w:gutter="0" w:footer="0" w:header="0"/>
        </w:sectPr>
      </w:pPr>
    </w:p>
    <w:bookmarkStart w:id="147" w:name="page148"/>
    <w:bookmarkEnd w:id="147"/>
    <w:p>
      <w:pPr>
        <w:ind w:right="80"/>
        <w:spacing w:after="0" w:line="246" w:lineRule="auto"/>
        <w:rPr>
          <w:sz w:val="20"/>
          <w:szCs w:val="20"/>
          <w:color w:val="auto"/>
        </w:rPr>
      </w:pPr>
      <w:r>
        <w:rPr>
          <w:rFonts w:ascii="Arial" w:cs="Arial" w:eastAsia="Arial" w:hAnsi="Arial"/>
          <w:sz w:val="20"/>
          <w:szCs w:val="20"/>
          <w:color w:val="auto"/>
        </w:rPr>
        <w:t>that cannot be released as a matter of law. Executive represents that Executive has made no assignment or transfer of any right, claim, complaint, charge, duty, obligation, demand, cause of action, or other matter waived or released by this Section 3. Nothing in this Agreement waives Executive’s rights to indemnification or any payments under any fiduciary insurance policy, if any, provided by any act or agreement of the Company, state or federal law or policy of insurance.</w:t>
      </w:r>
    </w:p>
    <w:p>
      <w:pPr>
        <w:spacing w:after="0" w:line="192" w:lineRule="exact"/>
        <w:rPr>
          <w:sz w:val="20"/>
          <w:szCs w:val="20"/>
          <w:color w:val="auto"/>
        </w:rPr>
      </w:pPr>
    </w:p>
    <w:p>
      <w:pPr>
        <w:ind w:firstLine="656"/>
        <w:spacing w:after="0" w:line="258" w:lineRule="auto"/>
        <w:tabs>
          <w:tab w:leader="none" w:pos="995" w:val="left"/>
        </w:tabs>
        <w:numPr>
          <w:ilvl w:val="1"/>
          <w:numId w:val="181"/>
        </w:numPr>
        <w:rPr>
          <w:rFonts w:ascii="Arial" w:cs="Arial" w:eastAsia="Arial" w:hAnsi="Arial"/>
          <w:sz w:val="19"/>
          <w:szCs w:val="19"/>
          <w:color w:val="auto"/>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Executive understands that nothing in Section 3 above, or otherwise in this Agreement, limits Executive’s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Executive further understands that this Agreement does not limit Executive’s ability to communicate with any Government Agencies or otherwise participate in any investigation or proceeding that may be conducted by any Government Agency, including providing documents or other information, without notice to the Company. This Agreement does not limit Executive’s right to receive an award for information provided to any Government Agencies.</w:t>
      </w:r>
    </w:p>
    <w:p>
      <w:pPr>
        <w:spacing w:after="0" w:line="179" w:lineRule="exact"/>
        <w:rPr>
          <w:rFonts w:ascii="Arial" w:cs="Arial" w:eastAsia="Arial" w:hAnsi="Arial"/>
          <w:sz w:val="19"/>
          <w:szCs w:val="19"/>
          <w:color w:val="auto"/>
        </w:rPr>
      </w:pPr>
    </w:p>
    <w:p>
      <w:pPr>
        <w:ind w:right="40" w:firstLine="656"/>
        <w:spacing w:after="0" w:line="269" w:lineRule="auto"/>
        <w:tabs>
          <w:tab w:leader="none" w:pos="995"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Acknowledgment of Waiver of Claims under ADEA</w:t>
      </w:r>
      <w:r>
        <w:rPr>
          <w:rFonts w:ascii="Arial" w:cs="Arial" w:eastAsia="Arial" w:hAnsi="Arial"/>
          <w:sz w:val="18"/>
          <w:szCs w:val="18"/>
          <w:color w:val="auto"/>
        </w:rPr>
        <w:t>. Executive acknowledges that Executive is waiving and releasing any rights Executive may have under the Age Discrimination in Employment Act of 1967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and that this waiver and release is knowing and voluntary. Executive agrees that this waiver and release does not apply to any rights or claims that may arise under the ADEA after the Effective Date of this Agreement. Executive acknowledges that the consideration given for this waiver and release Agreement is in addition to anything of value to which Executive was already entitled. Executive further acknowledges that Executive has been advised by this writing that</w:t>
      </w:r>
    </w:p>
    <w:p>
      <w:pPr>
        <w:spacing w:after="0" w:line="3" w:lineRule="exact"/>
        <w:rPr>
          <w:rFonts w:ascii="Arial" w:cs="Arial" w:eastAsia="Arial" w:hAnsi="Arial"/>
          <w:sz w:val="18"/>
          <w:szCs w:val="18"/>
          <w:color w:val="auto"/>
        </w:rPr>
      </w:pPr>
    </w:p>
    <w:p>
      <w:pPr>
        <w:ind w:right="20" w:firstLine="8"/>
        <w:spacing w:after="0" w:line="273" w:lineRule="auto"/>
        <w:tabs>
          <w:tab w:leader="none" w:pos="26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Executive should consult with an attorney </w:t>
      </w:r>
      <w:r>
        <w:rPr>
          <w:rFonts w:ascii="Arial" w:cs="Arial" w:eastAsia="Arial" w:hAnsi="Arial"/>
          <w:sz w:val="18"/>
          <w:szCs w:val="18"/>
          <w:b w:val="1"/>
          <w:bCs w:val="1"/>
          <w:i w:val="1"/>
          <w:iCs w:val="1"/>
          <w:color w:val="auto"/>
        </w:rPr>
        <w:t>prior</w:t>
      </w:r>
      <w:r>
        <w:rPr>
          <w:rFonts w:ascii="Arial" w:cs="Arial" w:eastAsia="Arial" w:hAnsi="Arial"/>
          <w:sz w:val="18"/>
          <w:szCs w:val="18"/>
          <w:color w:val="auto"/>
        </w:rPr>
        <w:t xml:space="preserve"> to executing this Agreement; (b) Executive has at least 21 days within which to consider this Agreement; (c) Executive has 7 days following the execution of this Agreement by the parties to revoke the Agreement; (d) this Agreement will not be effective until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delivers it to the Company in less than the 21-day period identified above, Executive hereby acknowledges that Executive has freely and voluntarily chosen to waive the time period allotted for considering this Agreement. Executive acknowledges and understands that revocation must be accomplished by a written notification to the Chief Legal Officer of the Company that is received prior to the Effective Date.]</w:t>
      </w:r>
      <w:r>
        <w:rPr>
          <w:rFonts w:ascii="Arial" w:cs="Arial" w:eastAsia="Arial" w:hAnsi="Arial"/>
          <w:sz w:val="23"/>
          <w:szCs w:val="23"/>
          <w:color w:val="auto"/>
          <w:vertAlign w:val="superscript"/>
        </w:rPr>
        <w:t>2</w:t>
      </w:r>
    </w:p>
    <w:p>
      <w:pPr>
        <w:spacing w:after="0" w:line="90"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line="167" w:lineRule="exact"/>
        <w:rPr>
          <w:sz w:val="20"/>
          <w:szCs w:val="20"/>
          <w:color w:val="auto"/>
        </w:rPr>
      </w:pPr>
    </w:p>
    <w:p>
      <w:pPr>
        <w:ind w:right="80" w:firstLine="656"/>
        <w:spacing w:after="0" w:line="250" w:lineRule="auto"/>
        <w:tabs>
          <w:tab w:leader="none" w:pos="995" w:val="left"/>
        </w:tabs>
        <w:numPr>
          <w:ilvl w:val="0"/>
          <w:numId w:val="18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California Civil Code Section 1542</w:t>
      </w:r>
      <w:r>
        <w:rPr>
          <w:rFonts w:ascii="Arial" w:cs="Arial" w:eastAsia="Arial" w:hAnsi="Arial"/>
          <w:sz w:val="20"/>
          <w:szCs w:val="20"/>
          <w:color w:val="auto"/>
        </w:rPr>
        <w:t>. Executive acknowledges that Executive has been advised to consult with legal counsel and is familiar with the provisions of California Civil Code Section 1542, a statute that otherwise prohibits the release of unknown claims, which provides as follows:</w:t>
      </w:r>
    </w:p>
    <w:p>
      <w:pPr>
        <w:spacing w:after="0" w:line="186" w:lineRule="exact"/>
        <w:rPr>
          <w:sz w:val="20"/>
          <w:szCs w:val="20"/>
          <w:color w:val="auto"/>
        </w:rPr>
      </w:pPr>
    </w:p>
    <w:p>
      <w:pPr>
        <w:ind w:left="1300" w:right="20"/>
        <w:spacing w:after="0" w:line="269" w:lineRule="auto"/>
        <w:rPr>
          <w:sz w:val="20"/>
          <w:szCs w:val="20"/>
          <w:color w:val="auto"/>
        </w:rPr>
      </w:pPr>
      <w:r>
        <w:rPr>
          <w:rFonts w:ascii="Arial" w:cs="Arial" w:eastAsia="Arial" w:hAnsi="Arial"/>
          <w:sz w:val="19"/>
          <w:szCs w:val="19"/>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7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Executive, being aware of California Civil Code Section 1542, agrees to expressly waive any rights Executive may have thereunder, as well as under any other statute or common law principles of similar effect.</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595" w:right="239" w:bottom="1440" w:gutter="0" w:footer="0" w:header="0"/>
        </w:sectPr>
      </w:pPr>
    </w:p>
    <w:bookmarkStart w:id="148" w:name="page149"/>
    <w:bookmarkEnd w:id="148"/>
    <w:p>
      <w:pPr>
        <w:ind w:left="660"/>
        <w:spacing w:after="0"/>
        <w:rPr>
          <w:sz w:val="20"/>
          <w:szCs w:val="20"/>
          <w:color w:val="auto"/>
        </w:rPr>
      </w:pPr>
      <w:r>
        <w:rPr>
          <w:rFonts w:ascii="Arial" w:cs="Arial" w:eastAsia="Arial" w:hAnsi="Arial"/>
          <w:sz w:val="20"/>
          <w:szCs w:val="20"/>
          <w:b w:val="1"/>
          <w:bCs w:val="1"/>
          <w:i w:val="1"/>
          <w:iCs w:val="1"/>
          <w:color w:val="auto"/>
        </w:rPr>
        <w:t>OR</w:t>
      </w:r>
    </w:p>
    <w:p>
      <w:pPr>
        <w:spacing w:after="0" w:line="216"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u w:val="single" w:color="auto"/>
          <w:color w:val="auto"/>
        </w:rPr>
        <w:t>Unknown Claims</w:t>
      </w:r>
      <w:r>
        <w:rPr>
          <w:rFonts w:ascii="Arial" w:cs="Arial" w:eastAsia="Arial" w:hAnsi="Arial"/>
          <w:sz w:val="20"/>
          <w:szCs w:val="20"/>
          <w:color w:val="auto"/>
        </w:rPr>
        <w:t>. Executive acknowledges that Executive has been advised to consult with legal counsel and that Executive is familiar with the principle that a general release does not extend to claims that the releaser does not know or suspect to exist in his or her favor at the time of executing the release, which, if known by him or her, must have materially affected his or her settlement with the releasee. Executive, being aware of this principle, agrees to expressly waive any rights Executive may have to that effect, as well as under any other statute or common law principles of similar effect.]</w:t>
      </w:r>
      <w:r>
        <w:rPr>
          <w:rFonts w:ascii="Arial" w:cs="Arial" w:eastAsia="Arial" w:hAnsi="Arial"/>
          <w:sz w:val="25"/>
          <w:szCs w:val="25"/>
          <w:color w:val="auto"/>
          <w:vertAlign w:val="superscript"/>
        </w:rPr>
        <w:t>3</w:t>
      </w:r>
    </w:p>
    <w:p>
      <w:pPr>
        <w:spacing w:after="0" w:line="109" w:lineRule="exact"/>
        <w:rPr>
          <w:sz w:val="20"/>
          <w:szCs w:val="20"/>
          <w:color w:val="auto"/>
        </w:rPr>
      </w:pPr>
    </w:p>
    <w:p>
      <w:pPr>
        <w:ind w:right="60"/>
        <w:spacing w:after="0" w:line="229"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If Executive resides in California at the time Executive’s employment relationship is terminated, the first provision - “</w:t>
      </w:r>
      <w:r>
        <w:rPr>
          <w:rFonts w:ascii="Arial" w:cs="Arial" w:eastAsia="Arial" w:hAnsi="Arial"/>
          <w:sz w:val="18"/>
          <w:szCs w:val="18"/>
          <w:i w:val="1"/>
          <w:iCs w:val="1"/>
          <w:color w:val="auto"/>
        </w:rPr>
        <w:t>California Civil Code Section 1542</w:t>
      </w:r>
      <w:r>
        <w:rPr>
          <w:rFonts w:ascii="Arial" w:cs="Arial" w:eastAsia="Arial" w:hAnsi="Arial"/>
          <w:sz w:val="18"/>
          <w:szCs w:val="18"/>
          <w:color w:val="auto"/>
        </w:rPr>
        <w:t>” - will be included in this Agreement, otherwise the second provision - “</w:t>
      </w:r>
      <w:r>
        <w:rPr>
          <w:rFonts w:ascii="Arial" w:cs="Arial" w:eastAsia="Arial" w:hAnsi="Arial"/>
          <w:sz w:val="18"/>
          <w:szCs w:val="18"/>
          <w:i w:val="1"/>
          <w:iCs w:val="1"/>
          <w:color w:val="auto"/>
        </w:rPr>
        <w:t>Unknown Claims</w:t>
      </w:r>
      <w:r>
        <w:rPr>
          <w:rFonts w:ascii="Arial" w:cs="Arial" w:eastAsia="Arial" w:hAnsi="Arial"/>
          <w:sz w:val="18"/>
          <w:szCs w:val="18"/>
          <w:color w:val="auto"/>
        </w:rPr>
        <w:t>” - will be used.</w:t>
      </w:r>
    </w:p>
    <w:p>
      <w:pPr>
        <w:spacing w:after="0" w:line="201" w:lineRule="exact"/>
        <w:rPr>
          <w:sz w:val="20"/>
          <w:szCs w:val="20"/>
          <w:color w:val="auto"/>
        </w:rPr>
      </w:pPr>
    </w:p>
    <w:p>
      <w:pPr>
        <w:ind w:right="180" w:firstLine="656"/>
        <w:spacing w:after="0" w:line="246" w:lineRule="auto"/>
        <w:tabs>
          <w:tab w:leader="none" w:pos="995"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No Pending or Future Lawsuits</w:t>
      </w:r>
      <w:r>
        <w:rPr>
          <w:rFonts w:ascii="Arial" w:cs="Arial" w:eastAsia="Arial" w:hAnsi="Arial"/>
          <w:sz w:val="20"/>
          <w:szCs w:val="20"/>
          <w:color w:val="auto"/>
        </w:rPr>
        <w:t>. Executive represents that Executive has no lawsuits, claims, or actions pending in Executive’s name, or on behalf of any other person or entity, against the Company or any of the other Releasees. Executive also represents that Executive does not intend to bring any claims on Executive’s own behalf or on behalf of any other person or entity against the Company or any of the other Releasees.</w:t>
      </w:r>
    </w:p>
    <w:p>
      <w:pPr>
        <w:spacing w:after="0" w:line="191" w:lineRule="exact"/>
        <w:rPr>
          <w:rFonts w:ascii="Arial" w:cs="Arial" w:eastAsia="Arial" w:hAnsi="Arial"/>
          <w:sz w:val="20"/>
          <w:szCs w:val="20"/>
          <w:color w:val="auto"/>
        </w:rPr>
      </w:pPr>
    </w:p>
    <w:p>
      <w:pPr>
        <w:ind w:right="740" w:firstLine="656"/>
        <w:spacing w:after="0" w:line="260" w:lineRule="auto"/>
        <w:tabs>
          <w:tab w:leader="none" w:pos="995"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Sufficiency of Consideration</w:t>
      </w:r>
      <w:r>
        <w:rPr>
          <w:rFonts w:ascii="Arial" w:cs="Arial" w:eastAsia="Arial" w:hAnsi="Arial"/>
          <w:sz w:val="20"/>
          <w:szCs w:val="20"/>
          <w:color w:val="auto"/>
        </w:rPr>
        <w:t>. Executive hereby acknowledges and agrees that Executive has received good and sufficient consideration for every promise, duty, release, obligation, agreement and right contained in this Release.</w:t>
      </w:r>
    </w:p>
    <w:p>
      <w:pPr>
        <w:spacing w:after="0" w:line="176" w:lineRule="exact"/>
        <w:rPr>
          <w:rFonts w:ascii="Arial" w:cs="Arial" w:eastAsia="Arial" w:hAnsi="Arial"/>
          <w:sz w:val="20"/>
          <w:szCs w:val="20"/>
          <w:color w:val="auto"/>
        </w:rPr>
      </w:pPr>
    </w:p>
    <w:p>
      <w:pPr>
        <w:ind w:firstLine="656"/>
        <w:spacing w:after="0" w:line="276" w:lineRule="auto"/>
        <w:tabs>
          <w:tab w:leader="none" w:pos="99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Executive reaffirms and agrees to observe and abide by the terms of the Confidentiality Agreement, specifically including the provisions therein regarding nondisclosure of the Company’s trade secrets and confidential and proprietary information, which agreement will continue in force; </w:t>
      </w:r>
      <w:r>
        <w:rPr>
          <w:rFonts w:ascii="Arial" w:cs="Arial" w:eastAsia="Arial" w:hAnsi="Arial"/>
          <w:sz w:val="18"/>
          <w:szCs w:val="18"/>
          <w:i w:val="1"/>
          <w:iCs w:val="1"/>
          <w:color w:val="auto"/>
        </w:rPr>
        <w:t>provided, however</w:t>
      </w:r>
      <w:r>
        <w:rPr>
          <w:rFonts w:ascii="Arial" w:cs="Arial" w:eastAsia="Arial" w:hAnsi="Arial"/>
          <w:sz w:val="18"/>
          <w:szCs w:val="18"/>
          <w:color w:val="auto"/>
        </w:rPr>
        <w:t>, that: (a) as to any provisions regarding competition contained in the Confidentiality Agreement that conflict with the provisions regarding competition contained in the Severance Agreement, the provisions of the Severance Agreement will control; (b) as to any provisions regarding solicitation of employees contained in the Confidentiality Agreement that conflict with the provisions regarding solicitation of employees contained in this Agreement, the provisions of this Agreement will control.</w:t>
      </w:r>
    </w:p>
    <w:p>
      <w:pPr>
        <w:spacing w:after="0" w:line="165" w:lineRule="exact"/>
        <w:rPr>
          <w:rFonts w:ascii="Arial" w:cs="Arial" w:eastAsia="Arial" w:hAnsi="Arial"/>
          <w:sz w:val="18"/>
          <w:szCs w:val="18"/>
          <w:color w:val="auto"/>
        </w:rPr>
      </w:pPr>
    </w:p>
    <w:p>
      <w:pPr>
        <w:ind w:right="60" w:firstLine="656"/>
        <w:spacing w:after="0" w:line="273" w:lineRule="auto"/>
        <w:tabs>
          <w:tab w:leader="none" w:pos="1094"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Return of Company Property; Passwords and Password-protected Documents</w:t>
      </w:r>
      <w:r>
        <w:rPr>
          <w:rFonts w:ascii="Arial" w:cs="Arial" w:eastAsia="Arial" w:hAnsi="Arial"/>
          <w:sz w:val="18"/>
          <w:szCs w:val="18"/>
          <w:color w:val="auto"/>
        </w:rPr>
        <w:t>. Executive confirms that Executive has returned to the Company in good working order all keys, files, records (and copies thereof), equipment (including, but not limited to, computer hardware, software and printers, wireless handheld devices, cellular phones and pagers), access or credit cards, Company identification, and any other Company-owned property in Executive’s possession or control. Executive further confirms that Executive has cancelled all accounts for Executive’s benefit, if any, in the Company’s name, including, but not limited to, credit cards, telephone charge cards, cellular phone and/or pager accounts and computer accounts. Executive also confirms that Executive has delivered all passwords in use by Executive at the time of Executive’s termination, a list of any documents that Executive created or of which Executive is otherwise aware that are password-protected, along with the password(s) necessary to access such password-protected documents.</w:t>
      </w:r>
    </w:p>
    <w:p>
      <w:pPr>
        <w:spacing w:after="0" w:line="169" w:lineRule="exact"/>
        <w:rPr>
          <w:rFonts w:ascii="Arial" w:cs="Arial" w:eastAsia="Arial" w:hAnsi="Arial"/>
          <w:sz w:val="18"/>
          <w:szCs w:val="18"/>
          <w:color w:val="auto"/>
        </w:rPr>
      </w:pPr>
    </w:p>
    <w:p>
      <w:pPr>
        <w:ind w:firstLine="656"/>
        <w:spacing w:after="0" w:line="278" w:lineRule="auto"/>
        <w:tabs>
          <w:tab w:leader="none" w:pos="108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No Cooperation</w:t>
      </w:r>
      <w:r>
        <w:rPr>
          <w:rFonts w:ascii="Arial" w:cs="Arial" w:eastAsia="Arial" w:hAnsi="Arial"/>
          <w:sz w:val="18"/>
          <w:szCs w:val="18"/>
          <w:color w:val="auto"/>
        </w:rPr>
        <w:t>. Executive agrees that Executive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as related directly to the ADEA waiver in this Agreement. If approached by anyone for counsel or assistance in the presentation or prosecution of any disputes, differences, grievances, claims, charges, or complaints against any of the Releasees, Executive will state no more than that Executive cannot provide any such counsel or assistance.</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360"/>
          </w:cols>
          <w:pgMar w:left="240" w:top="595" w:right="299" w:bottom="1440" w:gutter="0" w:footer="0" w:header="0"/>
        </w:sectPr>
      </w:pPr>
    </w:p>
    <w:bookmarkStart w:id="149" w:name="page150"/>
    <w:bookmarkEnd w:id="149"/>
    <w:p>
      <w:pPr>
        <w:ind w:right="380" w:firstLine="656"/>
        <w:spacing w:after="0" w:line="260" w:lineRule="auto"/>
        <w:tabs>
          <w:tab w:leader="none" w:pos="1094" w:val="left"/>
        </w:tabs>
        <w:numPr>
          <w:ilvl w:val="1"/>
          <w:numId w:val="185"/>
        </w:numPr>
        <w:rPr>
          <w:rFonts w:ascii="Arial" w:cs="Arial" w:eastAsia="Arial" w:hAnsi="Arial"/>
          <w:sz w:val="20"/>
          <w:szCs w:val="20"/>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Executive agrees that Executive will not in any way, directly or indirectly, do or say anything at any time which disparages the Company, its business interests or reputation, or that of any of the other Released Parties.</w:t>
      </w:r>
    </w:p>
    <w:p>
      <w:pPr>
        <w:spacing w:after="0" w:line="176" w:lineRule="exact"/>
        <w:rPr>
          <w:rFonts w:ascii="Arial" w:cs="Arial" w:eastAsia="Arial" w:hAnsi="Arial"/>
          <w:sz w:val="20"/>
          <w:szCs w:val="20"/>
          <w:color w:val="auto"/>
        </w:rPr>
      </w:pPr>
    </w:p>
    <w:p>
      <w:pPr>
        <w:ind w:right="200" w:firstLine="656"/>
        <w:spacing w:after="0" w:line="272" w:lineRule="auto"/>
        <w:tabs>
          <w:tab w:leader="none" w:pos="1094"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Executive understands and acknowledges that this Agreement constitutes a compromise and settlement of any and all actual or potential disputed claims by Executive. No action taken by the Company hereto, either previously or in connection with this Agreement, will be deemed or construed to be (a) an admission of the truth or falsity of any actual or potential claims or</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an acknowledgment or admission by the Company of any fault or liability whatsoever to Executive or to any third party.</w:t>
      </w:r>
    </w:p>
    <w:p>
      <w:pPr>
        <w:spacing w:after="0" w:line="199" w:lineRule="exact"/>
        <w:rPr>
          <w:rFonts w:ascii="Arial" w:cs="Arial" w:eastAsia="Arial" w:hAnsi="Arial"/>
          <w:sz w:val="20"/>
          <w:szCs w:val="20"/>
          <w:color w:val="auto"/>
        </w:rPr>
      </w:pPr>
    </w:p>
    <w:p>
      <w:pPr>
        <w:ind w:right="60" w:firstLine="656"/>
        <w:spacing w:after="0" w:line="246" w:lineRule="auto"/>
        <w:tabs>
          <w:tab w:leader="none" w:pos="1094" w:val="left"/>
        </w:tabs>
        <w:numPr>
          <w:ilvl w:val="1"/>
          <w:numId w:val="186"/>
        </w:numPr>
        <w:rPr>
          <w:rFonts w:ascii="Arial" w:cs="Arial" w:eastAsia="Arial" w:hAnsi="Arial"/>
          <w:sz w:val="20"/>
          <w:szCs w:val="20"/>
          <w:color w:val="auto"/>
        </w:rPr>
      </w:pPr>
      <w:r>
        <w:rPr>
          <w:rFonts w:ascii="Arial" w:cs="Arial" w:eastAsia="Arial" w:hAnsi="Arial"/>
          <w:sz w:val="20"/>
          <w:szCs w:val="20"/>
          <w:u w:val="single" w:color="auto"/>
          <w:color w:val="auto"/>
        </w:rPr>
        <w:t>Solicitation of Employees</w:t>
      </w:r>
      <w:r>
        <w:rPr>
          <w:rFonts w:ascii="Arial" w:cs="Arial" w:eastAsia="Arial" w:hAnsi="Arial"/>
          <w:sz w:val="20"/>
          <w:szCs w:val="20"/>
          <w:color w:val="auto"/>
        </w:rPr>
        <w:t>. Executive agrees that for a period of 12 months immediately following the Effective Date of this Agreement, Executive will not directly or indirectly (a) solicit, induce, recruit or encourage any of the Company’s employees to leave their employment at the Company or (b) attempt to solicit, induce, recruit or encourage, either for Executive or for any other person or entity, any of the Company’s employees to leave their employment.</w:t>
      </w:r>
    </w:p>
    <w:p>
      <w:pPr>
        <w:spacing w:after="0" w:line="191" w:lineRule="exact"/>
        <w:rPr>
          <w:rFonts w:ascii="Arial" w:cs="Arial" w:eastAsia="Arial" w:hAnsi="Arial"/>
          <w:sz w:val="20"/>
          <w:szCs w:val="20"/>
          <w:color w:val="auto"/>
        </w:rPr>
      </w:pPr>
    </w:p>
    <w:p>
      <w:pPr>
        <w:ind w:left="1100" w:hanging="444"/>
        <w:spacing w:after="0"/>
        <w:tabs>
          <w:tab w:leader="none" w:pos="1100"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Costs</w:t>
      </w:r>
      <w:r>
        <w:rPr>
          <w:rFonts w:ascii="Arial" w:cs="Arial" w:eastAsia="Arial" w:hAnsi="Arial"/>
          <w:sz w:val="16"/>
          <w:szCs w:val="16"/>
          <w:color w:val="auto"/>
        </w:rPr>
        <w:t>. The Parties will each bear their own costs, attorneys’ fees and other fees incurred in connection with the preparation of this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Agreement.</w:t>
      </w:r>
    </w:p>
    <w:p>
      <w:pPr>
        <w:spacing w:after="0" w:line="199" w:lineRule="exact"/>
        <w:rPr>
          <w:rFonts w:ascii="Arial" w:cs="Arial" w:eastAsia="Arial" w:hAnsi="Arial"/>
          <w:sz w:val="16"/>
          <w:szCs w:val="16"/>
          <w:color w:val="auto"/>
        </w:rPr>
      </w:pPr>
    </w:p>
    <w:p>
      <w:pPr>
        <w:ind w:firstLine="656"/>
        <w:spacing w:after="0" w:line="254" w:lineRule="auto"/>
        <w:tabs>
          <w:tab w:leader="none" w:pos="1094" w:val="left"/>
        </w:tabs>
        <w:numPr>
          <w:ilvl w:val="1"/>
          <w:numId w:val="186"/>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THE PARTIES AGREE THAT ANY AND ALL DISPUTES ARISING OUT OF THE TERMS OF THIS AGREEMENT, THEIR INTERPRETATION, AND ANY OF THE MATTERS HEREIN RELEASED, WILL BE SUBJECT TO ARBITRATION IN SAN MATEO COUNTY, BEFORE JUDICIAL ARBITRATION &amp; MEDIATION SERVICES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PURSUANT TO ITS EMPLOYMENT ARBITRATION RULES &amp; PROCEDURES (“</w:t>
      </w:r>
      <w:r>
        <w:rPr>
          <w:rFonts w:ascii="Arial" w:cs="Arial" w:eastAsia="Arial" w:hAnsi="Arial"/>
          <w:sz w:val="19"/>
          <w:szCs w:val="19"/>
          <w:b w:val="1"/>
          <w:bCs w:val="1"/>
          <w:i w:val="1"/>
          <w:iCs w:val="1"/>
          <w:color w:val="auto"/>
        </w:rPr>
        <w:t>JAMS RULES</w:t>
      </w:r>
      <w:r>
        <w:rPr>
          <w:rFonts w:ascii="Arial" w:cs="Arial" w:eastAsia="Arial" w:hAnsi="Arial"/>
          <w:sz w:val="19"/>
          <w:szCs w:val="19"/>
          <w:color w:val="auto"/>
        </w:rPr>
        <w:t xml:space="preserve">”). THE ARBITRATOR MAY GRANT INJUNCTIONS AND OTHER RELIEF IN SUCH DISPUTES. THE ARBITRATOR WILL ADMINISTER AND CONDUCT ANY ARBITRATION IN ACCORDANCE WITH CALIFORNIA LAW, INCLUDING THE CALIFORNIA CODE OF CIVIL PROCEDURE, AND THE ARBITRATOR WILL APPLY SUBSTANTIVE AND PROCEDURAL CALIFORNIA LAW TO ANY DISPUTE OR CLAIM, WITHOUT REFERENCE TO ANY CONFLICT-OF-LAW PROVISIONS OF ANY JURISDICTION. TO THE EXTENT THAT THE JAMS RULES CONFLICT WITH CALIFORNIA LAW, CALIFORNIA LAW WILL TAKE PRECEDENCE. THE DECISION OF THE ARBITRATOR WILL BE FINAL, CONCLUSIVE, AND BINDING ON THE PARTIES TO THE ARBITRATION. THE PARTIES AGREE THAT THE PREVAILING PARTY IN ANY ARBITRATION WILL BE ENTITLED TO INJUNCTIVE RELIEF IN ANY COURT OF COMPETENT JURISDICTION TO ENFORCE THE ARBITRATION AWARD. THE PARTIES TO THE ARBITRATION WILL EACH PAY AN EQUAL SHARE OF THE COSTS AND EXPENSES OF SUCH ARBITRATION, AND EACH PARTY WILL SEPARATELY PAY FOR ITS RESPECTIVE COUNSEL FEES AND EXPENSES; PROVIDED, HOWEVER, THAT THE ARBITRATOR WILL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WILL GOVERN. </w:t>
      </w:r>
      <w:r>
        <w:rPr>
          <w:rFonts w:ascii="Arial" w:cs="Arial" w:eastAsia="Arial" w:hAnsi="Arial"/>
          <w:sz w:val="24"/>
          <w:szCs w:val="24"/>
          <w:color w:val="auto"/>
          <w:vertAlign w:val="superscript"/>
        </w:rPr>
        <w:t>4</w:t>
      </w:r>
    </w:p>
    <w:p>
      <w:pPr>
        <w:spacing w:after="0" w:line="119" w:lineRule="exact"/>
        <w:rPr>
          <w:sz w:val="20"/>
          <w:szCs w:val="20"/>
          <w:color w:val="auto"/>
        </w:rPr>
      </w:pPr>
    </w:p>
    <w:p>
      <w:pPr>
        <w:ind w:right="620"/>
        <w:spacing w:after="0" w:line="222" w:lineRule="auto"/>
        <w:rPr>
          <w:sz w:val="20"/>
          <w:szCs w:val="20"/>
          <w:color w:val="auto"/>
        </w:rPr>
      </w:pPr>
      <w:r>
        <w:rPr>
          <w:rFonts w:ascii="Arial" w:cs="Arial" w:eastAsia="Arial" w:hAnsi="Arial"/>
          <w:sz w:val="25"/>
          <w:szCs w:val="25"/>
          <w:color w:val="auto"/>
          <w:vertAlign w:val="superscript"/>
        </w:rPr>
        <w:t>4</w:t>
      </w:r>
      <w:r>
        <w:rPr>
          <w:rFonts w:ascii="Arial" w:cs="Arial" w:eastAsia="Arial" w:hAnsi="Arial"/>
          <w:sz w:val="20"/>
          <w:szCs w:val="20"/>
          <w:color w:val="auto"/>
        </w:rPr>
        <w:t>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5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380"/>
          </w:cols>
          <w:pgMar w:left="240" w:top="595" w:right="279" w:bottom="1440" w:gutter="0" w:footer="0" w:header="0"/>
        </w:sectPr>
      </w:pPr>
    </w:p>
    <w:bookmarkStart w:id="150" w:name="page151"/>
    <w:bookmarkEnd w:id="150"/>
    <w:p>
      <w:pPr>
        <w:ind w:right="60" w:firstLine="656"/>
        <w:spacing w:after="0" w:line="260" w:lineRule="auto"/>
        <w:tabs>
          <w:tab w:leader="none" w:pos="1094"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Executive represents and warrants that Executive has the capacity to act on Executive’s own behalf and on behalf of all who might claim through Executive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0" w:lineRule="exact"/>
        <w:rPr>
          <w:rFonts w:ascii="Arial" w:cs="Arial" w:eastAsia="Arial" w:hAnsi="Arial"/>
          <w:sz w:val="19"/>
          <w:szCs w:val="19"/>
          <w:color w:val="auto"/>
        </w:rPr>
      </w:pPr>
    </w:p>
    <w:p>
      <w:pPr>
        <w:ind w:right="320" w:firstLine="656"/>
        <w:spacing w:after="0" w:line="250" w:lineRule="auto"/>
        <w:tabs>
          <w:tab w:leader="none" w:pos="1094"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No Representations</w:t>
      </w:r>
      <w:r>
        <w:rPr>
          <w:rFonts w:ascii="Arial" w:cs="Arial" w:eastAsia="Arial" w:hAnsi="Arial"/>
          <w:sz w:val="20"/>
          <w:szCs w:val="20"/>
          <w:color w:val="auto"/>
        </w:rPr>
        <w:t>. Executive represents that Executive has had the opportunity to consult with an attorney, and has carefully read and understands the scope and effect of the provisions of this Agreement. Executive has relied upon any representations or statements made by the Company that are not specifically set forth in this Agreement.</w:t>
      </w:r>
    </w:p>
    <w:p>
      <w:pPr>
        <w:spacing w:after="0" w:line="186" w:lineRule="exact"/>
        <w:rPr>
          <w:rFonts w:ascii="Arial" w:cs="Arial" w:eastAsia="Arial" w:hAnsi="Arial"/>
          <w:sz w:val="20"/>
          <w:szCs w:val="20"/>
          <w:color w:val="auto"/>
        </w:rPr>
      </w:pPr>
    </w:p>
    <w:p>
      <w:pPr>
        <w:ind w:right="20" w:firstLine="656"/>
        <w:spacing w:after="0" w:line="250" w:lineRule="auto"/>
        <w:tabs>
          <w:tab w:leader="none" w:pos="1094"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will continue in full force and effect without said provision or portion of provision.</w:t>
      </w:r>
    </w:p>
    <w:p>
      <w:pPr>
        <w:spacing w:after="0" w:line="186" w:lineRule="exact"/>
        <w:rPr>
          <w:rFonts w:ascii="Arial" w:cs="Arial" w:eastAsia="Arial" w:hAnsi="Arial"/>
          <w:sz w:val="20"/>
          <w:szCs w:val="20"/>
          <w:color w:val="auto"/>
        </w:rPr>
      </w:pPr>
    </w:p>
    <w:p>
      <w:pPr>
        <w:ind w:right="60" w:firstLine="656"/>
        <w:spacing w:after="0" w:line="260" w:lineRule="auto"/>
        <w:tabs>
          <w:tab w:leader="none" w:pos="1094"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represents the entire agreement and understanding between the Company and Executive concerning the subject matter of this Agreement and Executive’s employment with and separation from the Company and the events leading thereto and associated therewith, and supersedes and replaces any and all prior agreements and understandings concerning the subject matter of this Agreement and Executive’s relationship with the Company, with the exception of the Severance Agreement, the Confidentiality Agreement, and Executive’s written equity compensation agreements with the Company.</w:t>
      </w:r>
    </w:p>
    <w:p>
      <w:pPr>
        <w:spacing w:after="0" w:line="180" w:lineRule="exact"/>
        <w:rPr>
          <w:rFonts w:ascii="Arial" w:cs="Arial" w:eastAsia="Arial" w:hAnsi="Arial"/>
          <w:sz w:val="19"/>
          <w:szCs w:val="19"/>
          <w:color w:val="auto"/>
        </w:rPr>
      </w:pPr>
    </w:p>
    <w:p>
      <w:pPr>
        <w:ind w:right="240" w:firstLine="656"/>
        <w:spacing w:after="0" w:line="260" w:lineRule="auto"/>
        <w:tabs>
          <w:tab w:leader="none" w:pos="1094"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No Oral Modification</w:t>
      </w:r>
      <w:r>
        <w:rPr>
          <w:rFonts w:ascii="Arial" w:cs="Arial" w:eastAsia="Arial" w:hAnsi="Arial"/>
          <w:sz w:val="20"/>
          <w:szCs w:val="20"/>
          <w:color w:val="auto"/>
        </w:rPr>
        <w:t>. This Agreement may only be amended in writing signed by Executive and the Chairman of the Board of Directors of the Company.</w:t>
      </w:r>
    </w:p>
    <w:p>
      <w:pPr>
        <w:spacing w:after="0" w:line="176" w:lineRule="exact"/>
        <w:rPr>
          <w:rFonts w:ascii="Arial" w:cs="Arial" w:eastAsia="Arial" w:hAnsi="Arial"/>
          <w:sz w:val="20"/>
          <w:szCs w:val="20"/>
          <w:color w:val="auto"/>
        </w:rPr>
      </w:pPr>
    </w:p>
    <w:p>
      <w:pPr>
        <w:ind w:right="660" w:firstLine="656"/>
        <w:spacing w:after="0" w:line="276" w:lineRule="auto"/>
        <w:tabs>
          <w:tab w:leader="none" w:pos="1094" w:val="left"/>
        </w:tabs>
        <w:numPr>
          <w:ilvl w:val="0"/>
          <w:numId w:val="187"/>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xml:space="preserve">. This Agreement will be governed by the laws of the State of California, without regard for choice-of-law provisions. Executive consents to personal and exclusive jurisdiction and venue in the State of California. </w:t>
      </w:r>
      <w:r>
        <w:rPr>
          <w:rFonts w:ascii="Arial" w:cs="Arial" w:eastAsia="Arial" w:hAnsi="Arial"/>
          <w:sz w:val="25"/>
          <w:szCs w:val="25"/>
          <w:color w:val="auto"/>
          <w:vertAlign w:val="superscript"/>
        </w:rPr>
        <w:t>5</w:t>
      </w:r>
    </w:p>
    <w:p>
      <w:pPr>
        <w:spacing w:after="0" w:line="80" w:lineRule="exact"/>
        <w:rPr>
          <w:sz w:val="20"/>
          <w:szCs w:val="20"/>
          <w:color w:val="auto"/>
        </w:rPr>
      </w:pPr>
    </w:p>
    <w:p>
      <w:pPr>
        <w:ind w:right="660"/>
        <w:spacing w:after="0" w:line="222" w:lineRule="auto"/>
        <w:rPr>
          <w:sz w:val="20"/>
          <w:szCs w:val="20"/>
          <w:color w:val="auto"/>
        </w:rPr>
      </w:pPr>
      <w:r>
        <w:rPr>
          <w:rFonts w:ascii="Arial" w:cs="Arial" w:eastAsia="Arial" w:hAnsi="Arial"/>
          <w:sz w:val="25"/>
          <w:szCs w:val="25"/>
          <w:color w:val="auto"/>
          <w:vertAlign w:val="superscript"/>
        </w:rPr>
        <w:t>5</w:t>
      </w:r>
      <w:r>
        <w:rPr>
          <w:rFonts w:ascii="Arial" w:cs="Arial" w:eastAsia="Arial" w:hAnsi="Arial"/>
          <w:sz w:val="20"/>
          <w:szCs w:val="20"/>
          <w:color w:val="auto"/>
        </w:rPr>
        <w:t>References to California will only be included in this Agreement if Executive resides in California at the time Executive’s employment relationship is terminated.</w:t>
      </w:r>
    </w:p>
    <w:p>
      <w:pPr>
        <w:spacing w:after="0" w:line="200" w:lineRule="exact"/>
        <w:rPr>
          <w:sz w:val="20"/>
          <w:szCs w:val="20"/>
          <w:color w:val="auto"/>
        </w:rPr>
      </w:pPr>
    </w:p>
    <w:p>
      <w:pPr>
        <w:spacing w:after="0" w:line="226" w:lineRule="exact"/>
        <w:rPr>
          <w:sz w:val="20"/>
          <w:szCs w:val="20"/>
          <w:color w:val="auto"/>
        </w:rPr>
      </w:pPr>
    </w:p>
    <w:p>
      <w:pPr>
        <w:ind w:right="80" w:firstLine="656"/>
        <w:spacing w:after="0" w:line="265" w:lineRule="auto"/>
        <w:tabs>
          <w:tab w:leader="none" w:pos="1094"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[Executive understands that this Agreement will be null and void if not executed by Executive within 21 days. Each Party has seven days after that Party signs this Agreement to revoke it. This Agreement will become effective on the eighth (8</w:t>
      </w:r>
      <w:r>
        <w:rPr>
          <w:rFonts w:ascii="Arial" w:cs="Arial" w:eastAsia="Arial" w:hAnsi="Arial"/>
          <w:sz w:val="23"/>
          <w:szCs w:val="23"/>
          <w:color w:val="auto"/>
          <w:vertAlign w:val="superscript"/>
        </w:rPr>
        <w:t>th</w:t>
      </w:r>
      <w:r>
        <w:rPr>
          <w:rFonts w:ascii="Arial" w:cs="Arial" w:eastAsia="Arial" w:hAnsi="Arial"/>
          <w:sz w:val="18"/>
          <w:szCs w:val="18"/>
          <w:color w:val="auto"/>
        </w:rPr>
        <w:t>) day after Executive signed this Agreement, so long as it has been signed by the Parties and has not been revoked by either Party before that date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OR</w:t>
      </w:r>
      <w:r>
        <w:rPr>
          <w:rFonts w:ascii="Arial" w:cs="Arial" w:eastAsia="Arial" w:hAnsi="Arial"/>
          <w:sz w:val="18"/>
          <w:szCs w:val="18"/>
          <w:color w:val="auto"/>
        </w:rPr>
        <w:t xml:space="preserve"> [This Agreement will be effective after it has been signed or executed by both Parties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r>
        <w:rPr>
          <w:rFonts w:ascii="Arial" w:cs="Arial" w:eastAsia="Arial" w:hAnsi="Arial"/>
          <w:sz w:val="23"/>
          <w:szCs w:val="23"/>
          <w:color w:val="auto"/>
          <w:vertAlign w:val="superscript"/>
        </w:rPr>
        <w:t>7</w:t>
      </w:r>
    </w:p>
    <w:p>
      <w:pPr>
        <w:spacing w:after="0" w:line="46"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6</w:t>
      </w:r>
      <w:r>
        <w:rPr>
          <w:rFonts w:ascii="Arial" w:cs="Arial" w:eastAsia="Arial" w:hAnsi="Arial"/>
          <w:sz w:val="17"/>
          <w:szCs w:val="17"/>
          <w:color w:val="auto"/>
        </w:rPr>
        <w:t>This provision will only be included in this Agreement if Executive is age 40 or older at the time Executive’s employment relationship is terminated.</w:t>
      </w:r>
    </w:p>
    <w:p>
      <w:pPr>
        <w:spacing w:after="0"/>
        <w:rPr>
          <w:sz w:val="20"/>
          <w:szCs w:val="20"/>
          <w:color w:val="auto"/>
        </w:rPr>
      </w:pPr>
      <w:r>
        <w:rPr>
          <w:rFonts w:ascii="Arial" w:cs="Arial" w:eastAsia="Arial" w:hAnsi="Arial"/>
          <w:sz w:val="24"/>
          <w:szCs w:val="24"/>
          <w:color w:val="auto"/>
          <w:vertAlign w:val="superscript"/>
        </w:rPr>
        <w:t>7</w:t>
      </w:r>
      <w:r>
        <w:rPr>
          <w:rFonts w:ascii="Arial" w:cs="Arial" w:eastAsia="Arial" w:hAnsi="Arial"/>
          <w:sz w:val="17"/>
          <w:szCs w:val="17"/>
          <w:color w:val="auto"/>
        </w:rPr>
        <w:t>This provision will only be included in this Agreement if Executive is under the age of 40 at the time Executive’s employment relationship is terminated.</w:t>
      </w:r>
    </w:p>
    <w:p>
      <w:pPr>
        <w:spacing w:after="0" w:line="157" w:lineRule="exact"/>
        <w:rPr>
          <w:sz w:val="20"/>
          <w:szCs w:val="20"/>
          <w:color w:val="auto"/>
        </w:rPr>
      </w:pPr>
    </w:p>
    <w:p>
      <w:pPr>
        <w:ind w:right="20" w:firstLine="656"/>
        <w:spacing w:after="0" w:line="287" w:lineRule="auto"/>
        <w:tabs>
          <w:tab w:leader="none" w:pos="1094"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and by facsimile, and each counterpart and facsimile will have the same force and effect as an original and will constitute an effective, binding agreement on the part of each of the undersigned.</w:t>
      </w:r>
    </w:p>
    <w:p>
      <w:pPr>
        <w:spacing w:after="0" w:line="152" w:lineRule="exact"/>
        <w:rPr>
          <w:rFonts w:ascii="Arial" w:cs="Arial" w:eastAsia="Arial" w:hAnsi="Arial"/>
          <w:sz w:val="19"/>
          <w:szCs w:val="19"/>
          <w:color w:val="auto"/>
        </w:rPr>
      </w:pPr>
    </w:p>
    <w:p>
      <w:pPr>
        <w:ind w:firstLine="656"/>
        <w:spacing w:after="0" w:line="250" w:lineRule="auto"/>
        <w:tabs>
          <w:tab w:leader="none" w:pos="1094" w:val="left"/>
        </w:tabs>
        <w:numPr>
          <w:ilvl w:val="0"/>
          <w:numId w:val="189"/>
        </w:numPr>
        <w:rPr>
          <w:rFonts w:ascii="Arial" w:cs="Arial" w:eastAsia="Arial" w:hAnsi="Arial"/>
          <w:sz w:val="20"/>
          <w:szCs w:val="20"/>
          <w:color w:val="auto"/>
        </w:rPr>
      </w:pPr>
      <w:r>
        <w:rPr>
          <w:rFonts w:ascii="Arial" w:cs="Arial" w:eastAsia="Arial" w:hAnsi="Arial"/>
          <w:sz w:val="20"/>
          <w:szCs w:val="20"/>
          <w:u w:val="single" w:color="auto"/>
          <w:color w:val="auto"/>
        </w:rPr>
        <w:t>Voluntary Execution of Agreement</w:t>
      </w:r>
      <w:r>
        <w:rPr>
          <w:rFonts w:ascii="Arial" w:cs="Arial" w:eastAsia="Arial" w:hAnsi="Arial"/>
          <w:sz w:val="20"/>
          <w:szCs w:val="20"/>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expressly acknowledges that:</w:t>
      </w:r>
    </w:p>
    <w:p>
      <w:pPr>
        <w:spacing w:after="0" w:line="186" w:lineRule="exact"/>
        <w:rPr>
          <w:rFonts w:ascii="Arial" w:cs="Arial" w:eastAsia="Arial" w:hAnsi="Arial"/>
          <w:sz w:val="20"/>
          <w:szCs w:val="20"/>
          <w:color w:val="auto"/>
        </w:rPr>
      </w:pPr>
    </w:p>
    <w:p>
      <w:pPr>
        <w:ind w:left="1960" w:hanging="655"/>
        <w:spacing w:after="0"/>
        <w:tabs>
          <w:tab w:leader="none" w:pos="196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Executive has read this Agreement;</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420"/>
          </w:cols>
          <w:pgMar w:left="240" w:top="595" w:right="239" w:bottom="1440" w:gutter="0" w:footer="0" w:header="0"/>
        </w:sectPr>
      </w:pPr>
    </w:p>
    <w:bookmarkStart w:id="151" w:name="page152"/>
    <w:bookmarkEnd w:id="151"/>
    <w:p>
      <w:pPr>
        <w:ind w:left="760" w:hanging="655"/>
        <w:spacing w:after="0" w:line="260" w:lineRule="auto"/>
        <w:tabs>
          <w:tab w:leader="none" w:pos="7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Executive has been represented in the preparation, negotiation, and execution of this Agreement by legal counsel of Executive’s own choice or has elected not to retain legal counsel;</w:t>
      </w:r>
    </w:p>
    <w:p>
      <w:pPr>
        <w:spacing w:after="0" w:line="176" w:lineRule="exact"/>
        <w:rPr>
          <w:rFonts w:ascii="Arial" w:cs="Arial" w:eastAsia="Arial" w:hAnsi="Arial"/>
          <w:sz w:val="20"/>
          <w:szCs w:val="20"/>
          <w:color w:val="auto"/>
        </w:rPr>
      </w:pPr>
    </w:p>
    <w:p>
      <w:pPr>
        <w:ind w:left="760" w:hanging="655"/>
        <w:spacing w:after="0"/>
        <w:tabs>
          <w:tab w:leader="none" w:pos="76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Executive understands the terms and consequences of this Agreement and of the releases it contains; and</w:t>
      </w:r>
    </w:p>
    <w:p>
      <w:pPr>
        <w:spacing w:after="0" w:line="227" w:lineRule="exact"/>
        <w:rPr>
          <w:rFonts w:ascii="Arial" w:cs="Arial" w:eastAsia="Arial" w:hAnsi="Arial"/>
          <w:sz w:val="19"/>
          <w:szCs w:val="19"/>
          <w:color w:val="auto"/>
        </w:rPr>
      </w:pPr>
    </w:p>
    <w:p>
      <w:pPr>
        <w:ind w:left="760" w:hanging="655"/>
        <w:spacing w:after="0"/>
        <w:tabs>
          <w:tab w:leader="none" w:pos="76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Executive is fully aware of the legal and binding effect of this Agreement.</w:t>
      </w:r>
    </w:p>
    <w:p>
      <w:pPr>
        <w:spacing w:after="0" w:line="216" w:lineRule="exact"/>
        <w:rPr>
          <w:sz w:val="20"/>
          <w:szCs w:val="20"/>
          <w:color w:val="auto"/>
        </w:rPr>
      </w:pPr>
    </w:p>
    <w:p>
      <w:pPr>
        <w:jc w:val="center"/>
        <w:ind w:left="2840"/>
        <w:spacing w:after="0"/>
        <w:rPr>
          <w:sz w:val="20"/>
          <w:szCs w:val="20"/>
          <w:color w:val="auto"/>
        </w:rPr>
      </w:pPr>
      <w:r>
        <w:rPr>
          <w:rFonts w:ascii="Arial" w:cs="Arial" w:eastAsia="Arial" w:hAnsi="Arial"/>
          <w:sz w:val="20"/>
          <w:szCs w:val="20"/>
          <w:color w:val="auto"/>
        </w:rPr>
        <w:t>* * * * *</w:t>
      </w:r>
    </w:p>
    <w:p>
      <w:pPr>
        <w:spacing w:after="0" w:line="16" w:lineRule="exact"/>
        <w:rPr>
          <w:sz w:val="20"/>
          <w:szCs w:val="20"/>
          <w:color w:val="auto"/>
        </w:rPr>
      </w:pPr>
    </w:p>
    <w:p>
      <w:pPr>
        <w:jc w:val="center"/>
        <w:ind w:left="2840"/>
        <w:spacing w:after="0"/>
        <w:rPr>
          <w:sz w:val="20"/>
          <w:szCs w:val="20"/>
          <w:color w:val="auto"/>
        </w:rPr>
      </w:pPr>
      <w:r>
        <w:rPr>
          <w:rFonts w:ascii="Arial" w:cs="Arial" w:eastAsia="Arial" w:hAnsi="Arial"/>
          <w:sz w:val="20"/>
          <w:szCs w:val="20"/>
          <w:color w:val="auto"/>
        </w:rPr>
        <w:t>[Signature page to follow]</w:t>
      </w:r>
    </w:p>
    <w:p>
      <w:pPr>
        <w:spacing w:after="0" w:line="200" w:lineRule="exact"/>
        <w:rPr>
          <w:sz w:val="20"/>
          <w:szCs w:val="20"/>
          <w:color w:val="auto"/>
        </w:rPr>
      </w:pPr>
    </w:p>
    <w:p>
      <w:pPr>
        <w:spacing w:after="0" w:line="243"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9900"/>
          </w:cols>
          <w:pgMar w:left="1440" w:top="595" w:right="55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IN WITNESS WHEREOF, the Parties have executed this Agreement on the respective dates set forth below.</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b w:val="1"/>
          <w:bCs w:val="1"/>
          <w:color w:val="auto"/>
        </w:rPr>
        <w:t>COMPANY</w:t>
      </w:r>
      <w:r>
        <w:rPr>
          <w:sz w:val="20"/>
          <w:szCs w:val="20"/>
          <w:color w:val="auto"/>
        </w:rPr>
        <w:tab/>
      </w:r>
      <w:r>
        <w:rPr>
          <w:rFonts w:ascii="Arial" w:cs="Arial" w:eastAsia="Arial" w:hAnsi="Arial"/>
          <w:sz w:val="18"/>
          <w:szCs w:val="18"/>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38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769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0219"/>
          </w:cols>
          <w:pgMar w:left="240" w:top="1041"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2019;</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2019</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1"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June 30, 2019;</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2019</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2019</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In connection with the quarterly report of Veracyte, Inc. (the “Company”) on Form 10-Q for the quarter ended June 30, 2019,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6" w:lineRule="exact"/>
        <w:rPr>
          <w:sz w:val="20"/>
          <w:szCs w:val="20"/>
          <w:color w:val="auto"/>
        </w:rPr>
      </w:pPr>
    </w:p>
    <w:p>
      <w:pPr>
        <w:ind w:left="2000" w:hanging="695"/>
        <w:spacing w:after="0"/>
        <w:tabs>
          <w:tab w:leader="none" w:pos="20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30, 2019</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Operating Officer and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
      <w:numFmt w:val="bullet"/>
      <w:start w:val="1"/>
    </w:lvl>
  </w:abstractNum>
  <w:abstractNum w:abstractNumId="4">
    <w:nsid w:val="71C91298"/>
    <w:multiLevelType w:val="hybridMultilevel"/>
    <w:lvl w:ilvl="0">
      <w:lvlJc w:val="left"/>
      <w:lvlText w:val="•"/>
      <w:numFmt w:val="bullet"/>
      <w:start w:val="1"/>
    </w:lvl>
  </w:abstractNum>
  <w:abstractNum w:abstractNumId="5">
    <w:nsid w:val="9DAF632"/>
    <w:multiLevelType w:val="hybridMultilevel"/>
    <w:lvl w:ilvl="0">
      <w:lvlJc w:val="left"/>
      <w:lvlText w:val="•"/>
      <w:numFmt w:val="bullet"/>
      <w:start w:val="1"/>
    </w:lvl>
  </w:abstractNum>
  <w:abstractNum w:abstractNumId="6">
    <w:nsid w:val="53299938"/>
    <w:multiLevelType w:val="hybridMultilevel"/>
    <w:lvl w:ilvl="0">
      <w:lvlJc w:val="left"/>
      <w:lvlText w:val="•"/>
      <w:numFmt w:val="bullet"/>
      <w:start w:val="1"/>
    </w:lvl>
  </w:abstractNum>
  <w:abstractNum w:abstractNumId="7">
    <w:nsid w:val="1FBFE8E0"/>
    <w:multiLevelType w:val="hybridMultilevel"/>
    <w:lvl w:ilvl="0">
      <w:lvlJc w:val="left"/>
      <w:lvlText w:val="•"/>
      <w:numFmt w:val="bullet"/>
      <w:start w:val="1"/>
    </w:lvl>
    <w:lvl w:ilvl="1">
      <w:lvlJc w:val="left"/>
      <w:lvlText w:val="\endash "/>
      <w:numFmt w:val="bullet"/>
      <w:start w:val="1"/>
    </w:lvl>
  </w:abstractNum>
  <w:abstractNum w:abstractNumId="8">
    <w:nsid w:val="5092CA79"/>
    <w:multiLevelType w:val="hybridMultilevel"/>
    <w:lvl w:ilvl="0">
      <w:lvlJc w:val="left"/>
      <w:lvlText w:val="•"/>
      <w:numFmt w:val="bullet"/>
      <w:start w:val="1"/>
    </w:lvl>
  </w:abstractNum>
  <w:abstractNum w:abstractNumId="9">
    <w:nsid w:val="1D545C4D"/>
    <w:multiLevelType w:val="hybridMultilevel"/>
    <w:lvl w:ilvl="0">
      <w:lvlJc w:val="left"/>
      <w:lvlText w:val="•"/>
      <w:numFmt w:val="bullet"/>
      <w:start w:val="1"/>
    </w:lvl>
  </w:abstractNum>
  <w:abstractNum w:abstractNumId="10">
    <w:nsid w:val="59ADEA3D"/>
    <w:multiLevelType w:val="hybridMultilevel"/>
    <w:lvl w:ilvl="0">
      <w:lvlJc w:val="left"/>
      <w:lvlText w:val="•"/>
      <w:numFmt w:val="bullet"/>
      <w:start w:val="1"/>
    </w:lvl>
    <w:lvl w:ilvl="1">
      <w:lvlJc w:val="left"/>
      <w:lvlText w:val="•"/>
      <w:numFmt w:val="bullet"/>
      <w:start w:val="1"/>
    </w:lvl>
  </w:abstractNum>
  <w:abstractNum w:abstractNumId="11">
    <w:nsid w:val="288F1A34"/>
    <w:multiLevelType w:val="hybridMultilevel"/>
    <w:lvl w:ilvl="0">
      <w:lvlJc w:val="left"/>
      <w:lvlText w:val="•"/>
      <w:numFmt w:val="bullet"/>
      <w:start w:val="1"/>
    </w:lvl>
  </w:abstractNum>
  <w:abstractNum w:abstractNumId="12">
    <w:nsid w:val="2A155DBC"/>
    <w:multiLevelType w:val="hybridMultilevel"/>
    <w:lvl w:ilvl="0">
      <w:lvlJc w:val="left"/>
      <w:lvlText w:val="•"/>
      <w:numFmt w:val="bullet"/>
      <w:start w:val="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
      <w:numFmt w:val="bullet"/>
      <w:start w:val="1"/>
    </w:lvl>
  </w:abstractNum>
  <w:abstractNum w:abstractNumId="16">
    <w:nsid w:val="1CA0C5FA"/>
    <w:multiLevelType w:val="hybridMultilevel"/>
    <w:lvl w:ilvl="0">
      <w:lvlJc w:val="left"/>
      <w:lvlText w:val="•"/>
      <w:numFmt w:val="bullet"/>
      <w:start w:val="1"/>
    </w:lvl>
  </w:abstractNum>
  <w:abstractNum w:abstractNumId="17">
    <w:nsid w:val="53584BCB"/>
    <w:multiLevelType w:val="hybridMultilevel"/>
    <w:lvl w:ilvl="0">
      <w:lvlJc w:val="left"/>
      <w:lvlText w:val="•"/>
      <w:numFmt w:val="bullet"/>
      <w:start w:val="1"/>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
      <w:numFmt w:val="bullet"/>
      <w:start w:val="1"/>
    </w:lvl>
  </w:abstractNum>
  <w:abstractNum w:abstractNumId="21">
    <w:nsid w:val="45E6D486"/>
    <w:multiLevelType w:val="hybridMultilevel"/>
    <w:lvl w:ilvl="0">
      <w:lvlJc w:val="left"/>
      <w:lvlText w:val="•"/>
      <w:numFmt w:val="bullet"/>
      <w:start w:val="1"/>
    </w:lvl>
  </w:abstractNum>
  <w:abstractNum w:abstractNumId="22">
    <w:nsid w:val="5C10FE21"/>
    <w:multiLevelType w:val="hybridMultilevel"/>
    <w:lvl w:ilvl="0">
      <w:lvlJc w:val="left"/>
      <w:lvlText w:val="%1."/>
      <w:numFmt w:val="decimal"/>
      <w:start w:val="1"/>
    </w:lvl>
  </w:abstractNum>
  <w:abstractNum w:abstractNumId="23">
    <w:nsid w:val="E7FFA2B"/>
    <w:multiLevelType w:val="hybridMultilevel"/>
    <w:lvl w:ilvl="0">
      <w:lvlJc w:val="left"/>
      <w:lvlText w:val="%1."/>
      <w:numFmt w:val="lowerLetter"/>
      <w:start w:val="1"/>
    </w:lvl>
  </w:abstractNum>
  <w:abstractNum w:abstractNumId="24">
    <w:nsid w:val="3C5991AA"/>
    <w:multiLevelType w:val="hybridMultilevel"/>
    <w:lvl w:ilvl="0">
      <w:lvlJc w:val="left"/>
      <w:lvlText w:val="(%1)"/>
      <w:numFmt w:val="lowerRoman"/>
      <w:start w:val="6"/>
    </w:lvl>
    <w:lvl w:ilvl="1">
      <w:lvlJc w:val="left"/>
      <w:lvlText w:val="%2."/>
      <w:numFmt w:val="decimal"/>
      <w:start w:val="4"/>
    </w:lvl>
  </w:abstractNum>
  <w:abstractNum w:abstractNumId="25">
    <w:nsid w:val="4BD8591A"/>
    <w:multiLevelType w:val="hybridMultilevel"/>
    <w:lvl w:ilvl="0">
      <w:lvlJc w:val="left"/>
      <w:lvlText w:val="%1."/>
      <w:numFmt w:val="lowerLetter"/>
      <w:start w:val="1"/>
    </w:lvl>
  </w:abstractNum>
  <w:abstractNum w:abstractNumId="26">
    <w:nsid w:val="78DF6A55"/>
    <w:multiLevelType w:val="hybridMultilevel"/>
    <w:lvl w:ilvl="0">
      <w:lvlJc w:val="left"/>
      <w:lvlText w:val="%1."/>
      <w:numFmt w:val="lowerLetter"/>
      <w:start w:val="4"/>
    </w:lvl>
  </w:abstractNum>
  <w:abstractNum w:abstractNumId="27">
    <w:nsid w:val="39B7AAA2"/>
    <w:multiLevelType w:val="hybridMultilevel"/>
    <w:lvl w:ilvl="0">
      <w:lvlJc w:val="left"/>
      <w:lvlText w:val="%1."/>
      <w:numFmt w:val="decimal"/>
      <w:start w:val="6"/>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Roman"/>
      <w:start w:val="1"/>
    </w:lvl>
  </w:abstractNum>
  <w:abstractNum w:abstractNumId="30">
    <w:nsid w:val="379E21B5"/>
    <w:multiLevelType w:val="hybridMultilevel"/>
    <w:lvl w:ilvl="0">
      <w:lvlJc w:val="left"/>
      <w:lvlText w:val="%1."/>
      <w:numFmt w:val="lowerLetter"/>
      <w:start w:val="2"/>
    </w:lvl>
  </w:abstractNum>
  <w:abstractNum w:abstractNumId="31">
    <w:nsid w:val="69E373"/>
    <w:multiLevelType w:val="hybridMultilevel"/>
    <w:lvl w:ilvl="0">
      <w:lvlJc w:val="left"/>
      <w:lvlText w:val="%1."/>
      <w:numFmt w:val="decimal"/>
      <w:start w:val="9"/>
    </w:lvl>
  </w:abstractNum>
  <w:abstractNum w:abstractNumId="32">
    <w:nsid w:val="2C27173B"/>
    <w:multiLevelType w:val="hybridMultilevel"/>
    <w:lvl w:ilvl="0">
      <w:lvlJc w:val="left"/>
      <w:lvlText w:val="%1."/>
      <w:numFmt w:val="decimal"/>
      <w:start w:val="12"/>
    </w:lvl>
  </w:abstractNum>
  <w:abstractNum w:abstractNumId="33">
    <w:nsid w:val="4C9B0904"/>
    <w:multiLevelType w:val="hybridMultilevel"/>
    <w:lvl w:ilvl="0">
      <w:lvlJc w:val="left"/>
      <w:lvlText w:val="%1."/>
      <w:numFmt w:val="decimal"/>
      <w:start w:val="1"/>
    </w:lvl>
    <w:lvl w:ilvl="1">
      <w:lvlJc w:val="left"/>
      <w:lvlText w:val="%2"/>
      <w:numFmt w:val="lowerLetter"/>
      <w:start w:val="1"/>
    </w:lvl>
  </w:abstractNum>
  <w:abstractNum w:abstractNumId="34">
    <w:nsid w:val="6AA7B75C"/>
    <w:multiLevelType w:val="hybridMultilevel"/>
    <w:lvl w:ilvl="0">
      <w:lvlJc w:val="left"/>
      <w:lvlText w:val="%1."/>
      <w:numFmt w:val="lowerLetter"/>
      <w:start w:val="2"/>
    </w:lvl>
  </w:abstractNum>
  <w:abstractNum w:abstractNumId="35">
    <w:nsid w:val="1DF029D3"/>
    <w:multiLevelType w:val="hybridMultilevel"/>
    <w:lvl w:ilvl="0">
      <w:lvlJc w:val="left"/>
      <w:lvlText w:val="%1"/>
      <w:numFmt w:val="decimal"/>
      <w:start w:val="1"/>
    </w:lvl>
    <w:lvl w:ilvl="1">
      <w:lvlJc w:val="left"/>
      <w:lvlText w:val="%2."/>
      <w:numFmt w:val="lowerLetter"/>
      <w:start w:val="3"/>
    </w:lvl>
  </w:abstractNum>
  <w:abstractNum w:abstractNumId="36">
    <w:nsid w:val="5675FF36"/>
    <w:multiLevelType w:val="hybridMultilevel"/>
    <w:lvl w:ilvl="0">
      <w:lvlJc w:val="left"/>
      <w:lvlText w:val="%1."/>
      <w:numFmt w:val="decimal"/>
      <w:start w:val="5"/>
    </w:lvl>
    <w:lvl w:ilvl="1">
      <w:lvlJc w:val="left"/>
      <w:lvlText w:val="%2."/>
      <w:numFmt w:val="lowerLetter"/>
      <w:start w:val="1"/>
    </w:lvl>
  </w:abstractNum>
  <w:abstractNum w:abstractNumId="37">
    <w:nsid w:val="3DD15094"/>
    <w:multiLevelType w:val="hybridMultilevel"/>
    <w:lvl w:ilvl="0">
      <w:lvlJc w:val="left"/>
      <w:lvlText w:val="%1."/>
      <w:numFmt w:val="decimal"/>
      <w:start w:val="7"/>
    </w:lvl>
  </w:abstractNum>
  <w:abstractNum w:abstractNumId="38">
    <w:nsid w:val="3DB012B3"/>
    <w:multiLevelType w:val="hybridMultilevel"/>
    <w:lvl w:ilvl="0">
      <w:lvlJc w:val="left"/>
      <w:lvlText w:val="%1."/>
      <w:numFmt w:val="lowerLetter"/>
      <w:start w:val="1"/>
    </w:lvl>
  </w:abstractNum>
  <w:abstractNum w:abstractNumId="39">
    <w:nsid w:val="2708C9AF"/>
    <w:multiLevelType w:val="hybridMultilevel"/>
    <w:lvl w:ilvl="0">
      <w:lvlJc w:val="left"/>
      <w:lvlText w:val="%1."/>
      <w:numFmt w:val="lowerLetter"/>
      <w:start w:val="2"/>
    </w:lvl>
  </w:abstractNum>
  <w:abstractNum w:abstractNumId="40">
    <w:nsid w:val="5B25ACE2"/>
    <w:multiLevelType w:val="hybridMultilevel"/>
    <w:lvl w:ilvl="0">
      <w:lvlJc w:val="left"/>
      <w:lvlText w:val="%1."/>
      <w:numFmt w:val="lowerLetter"/>
      <w:start w:val="3"/>
    </w:lvl>
  </w:abstractNum>
  <w:abstractNum w:abstractNumId="41">
    <w:nsid w:val="175DFCF0"/>
    <w:multiLevelType w:val="hybridMultilevel"/>
    <w:lvl w:ilvl="0">
      <w:lvlJc w:val="left"/>
      <w:lvlText w:val="%1."/>
      <w:numFmt w:val="decimal"/>
      <w:start w:val="4"/>
    </w:lvl>
  </w:abstractNum>
  <w:abstractNum w:abstractNumId="42">
    <w:nsid w:val="4F97E3E4"/>
    <w:multiLevelType w:val="hybridMultilevel"/>
    <w:lvl w:ilvl="0">
      <w:lvlJc w:val="left"/>
      <w:lvlText w:val="%1."/>
      <w:numFmt w:val="decimal"/>
      <w:start w:val="6"/>
    </w:lvl>
    <w:lvl w:ilvl="1">
      <w:lvlJc w:val="left"/>
      <w:lvlText w:val="(%2)"/>
      <w:numFmt w:val="lowerRoman"/>
      <w:start w:val="1"/>
    </w:lvl>
  </w:abstractNum>
  <w:abstractNum w:abstractNumId="43">
    <w:nsid w:val="53B0A9E"/>
    <w:multiLevelType w:val="hybridMultilevel"/>
    <w:lvl w:ilvl="0">
      <w:lvlJc w:val="left"/>
      <w:lvlText w:val="(%1)"/>
      <w:numFmt w:val="lowerLetter"/>
      <w:start w:val="1"/>
    </w:lvl>
  </w:abstractNum>
  <w:abstractNum w:abstractNumId="44">
    <w:nsid w:val="34FD6B4F"/>
    <w:multiLevelType w:val="hybridMultilevel"/>
    <w:lvl w:ilvl="0">
      <w:lvlJc w:val="left"/>
      <w:lvlText w:val="%1."/>
      <w:numFmt w:val="decimal"/>
      <w:start w:val="8"/>
    </w:lvl>
  </w:abstractNum>
  <w:abstractNum w:abstractNumId="45">
    <w:nsid w:val="5915FF32"/>
    <w:multiLevelType w:val="hybridMultilevel"/>
    <w:lvl w:ilvl="0">
      <w:lvlJc w:val="left"/>
      <w:lvlText w:val="%1."/>
      <w:numFmt w:val="decimal"/>
      <w:start w:val="1"/>
    </w:lvl>
  </w:abstractNum>
  <w:abstractNum w:abstractNumId="46">
    <w:nsid w:val="56438D15"/>
    <w:multiLevelType w:val="hybridMultilevel"/>
    <w:lvl w:ilvl="0">
      <w:lvlJc w:val="left"/>
      <w:lvlText w:val="%1."/>
      <w:numFmt w:val="decimal"/>
      <w:start w:val="1"/>
    </w:lvl>
    <w:lvl w:ilvl="1">
      <w:lvlJc w:val="left"/>
      <w:lvlText w:val="(%2)"/>
      <w:numFmt w:val="lowerLetter"/>
      <w:start w:val="1"/>
    </w:lvl>
  </w:abstractNum>
  <w:abstractNum w:abstractNumId="47">
    <w:nsid w:val="519E3149"/>
    <w:multiLevelType w:val="hybridMultilevel"/>
    <w:lvl w:ilvl="0">
      <w:lvlJc w:val="left"/>
      <w:lvlText w:val="(%1)"/>
      <w:numFmt w:val="lowerRoman"/>
      <w:start w:val="1"/>
    </w:lvl>
  </w:abstractNum>
  <w:abstractNum w:abstractNumId="48">
    <w:nsid w:val="2C6E4A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17A1B582"/>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3"/>
    </w:lvl>
  </w:abstractNum>
  <w:abstractNum w:abstractNumId="50">
    <w:nsid w:val="4DF72E4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1">
    <w:nsid w:val="5046B5A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2">
    <w:nsid w:val="5D888A08"/>
    <w:multiLevelType w:val="hybridMultilevel"/>
    <w:lvl w:ilvl="0">
      <w:lvlJc w:val="left"/>
      <w:lvlText w:val="%1"/>
      <w:numFmt w:val="decimal"/>
      <w:start w:val="1"/>
    </w:lvl>
    <w:lvl w:ilvl="1">
      <w:lvlJc w:val="left"/>
      <w:lvlText w:val="(%2)"/>
      <w:numFmt w:val="lowerRoman"/>
      <w:start w:val="3"/>
    </w:lvl>
  </w:abstractNum>
  <w:abstractNum w:abstractNumId="53">
    <w:nsid w:val="2A082C70"/>
    <w:multiLevelType w:val="hybridMultilevel"/>
    <w:lvl w:ilvl="0">
      <w:lvlJc w:val="left"/>
      <w:lvlText w:val="(%1)"/>
      <w:numFmt w:val="decimal"/>
      <w:start w:val="6"/>
    </w:lvl>
    <w:lvl w:ilvl="1">
      <w:lvlJc w:val="left"/>
      <w:lvlText w:val="%2"/>
      <w:numFmt w:val="lowerRoman"/>
      <w:start w:val="1"/>
    </w:lvl>
  </w:abstractNum>
  <w:abstractNum w:abstractNumId="54">
    <w:nsid w:val="5EC6AFD4"/>
    <w:multiLevelType w:val="hybridMultilevel"/>
    <w:lvl w:ilvl="0">
      <w:lvlJc w:val="left"/>
      <w:lvlText w:val="(%1)"/>
      <w:numFmt w:val="decimal"/>
      <w:start w:val="1"/>
    </w:lvl>
    <w:lvl w:ilvl="1">
      <w:lvlJc w:val="left"/>
      <w:lvlText w:val="(%2)"/>
      <w:numFmt w:val="lowerRoman"/>
      <w:start w:val="4"/>
    </w:lvl>
  </w:abstractNum>
  <w:abstractNum w:abstractNumId="55">
    <w:nsid w:val="19E21B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56">
    <w:nsid w:val="75E0858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57">
    <w:nsid w:val="57A61A2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8">
    <w:nsid w:val="5399C65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
    <w:nsid w:val="20EE1348"/>
    <w:multiLevelType w:val="hybridMultilevel"/>
    <w:lvl w:ilvl="0">
      <w:lvlJc w:val="left"/>
      <w:lvlText w:val="(%1)"/>
      <w:numFmt w:val="lowerLetter"/>
      <w:start w:val="2"/>
    </w:lvl>
    <w:lvl w:ilvl="1">
      <w:lvlJc w:val="left"/>
      <w:lvlText w:val="(%2)"/>
      <w:numFmt w:val="lowerLetter"/>
      <w:start w:val="9"/>
    </w:lvl>
  </w:abstractNum>
  <w:abstractNum w:abstractNumId="60">
    <w:nsid w:val="4427069A"/>
    <w:multiLevelType w:val="hybridMultilevel"/>
    <w:lvl w:ilvl="0">
      <w:lvlJc w:val="left"/>
      <w:lvlText w:val="(%1)"/>
      <w:numFmt w:val="lowerRoman"/>
      <w:start w:val="2"/>
    </w:lvl>
  </w:abstractNum>
  <w:abstractNum w:abstractNumId="61">
    <w:nsid w:val="B37E80A"/>
    <w:multiLevelType w:val="hybridMultilevel"/>
    <w:lvl w:ilvl="0">
      <w:lvlJc w:val="left"/>
      <w:lvlText w:val="%1"/>
      <w:numFmt w:val="decimal"/>
      <w:start w:val="1"/>
    </w:lvl>
    <w:lvl w:ilvl="1">
      <w:lvlJc w:val="left"/>
      <w:lvlText w:val="(%2)"/>
      <w:numFmt w:val="lowerLetter"/>
      <w:start w:val="3"/>
    </w:lvl>
  </w:abstractNum>
  <w:abstractNum w:abstractNumId="62">
    <w:nsid w:val="2157F6BC"/>
    <w:multiLevelType w:val="hybridMultilevel"/>
    <w:lvl w:ilvl="0">
      <w:lvlJc w:val="left"/>
      <w:lvlText w:val="(%1)"/>
      <w:numFmt w:val="decimal"/>
      <w:start w:val="12"/>
    </w:lvl>
    <w:lvl w:ilvl="1">
      <w:lvlJc w:val="left"/>
      <w:lvlText w:val="(%2)"/>
      <w:numFmt w:val="lowerLetter"/>
      <w:start w:val="4"/>
    </w:lvl>
  </w:abstractNum>
  <w:abstractNum w:abstractNumId="63">
    <w:nsid w:val="704E1DD5"/>
    <w:multiLevelType w:val="hybridMultilevel"/>
    <w:lvl w:ilvl="0">
      <w:lvlJc w:val="left"/>
      <w:lvlText w:val="(%1)"/>
      <w:numFmt w:val="lowerLetter"/>
      <w:start w:val="7"/>
    </w:lvl>
    <w:lvl w:ilvl="1">
      <w:lvlJc w:val="left"/>
      <w:lvlText w:val="(%2)"/>
      <w:numFmt w:val="lowerRoman"/>
      <w:start w:val="1"/>
    </w:lvl>
  </w:abstractNum>
  <w:abstractNum w:abstractNumId="64">
    <w:nsid w:val="57D2F10E"/>
    <w:multiLevelType w:val="hybridMultilevel"/>
    <w:lvl w:ilvl="0">
      <w:lvlJc w:val="left"/>
      <w:lvlText w:val="%1"/>
      <w:numFmt w:val="decimal"/>
      <w:start w:val="1"/>
    </w:lvl>
    <w:lvl w:ilvl="1">
      <w:lvlJc w:val="left"/>
      <w:lvlText w:val="(%2)"/>
      <w:numFmt w:val="lowerLetter"/>
      <w:start w:val="8"/>
    </w:lvl>
  </w:abstractNum>
  <w:abstractNum w:abstractNumId="65">
    <w:nsid w:val="BFFAE18"/>
    <w:multiLevelType w:val="hybridMultilevel"/>
    <w:lvl w:ilvl="0">
      <w:lvlJc w:val="left"/>
      <w:lvlText w:val="%1."/>
      <w:numFmt w:val="decimal"/>
      <w:start w:val="7"/>
    </w:lvl>
    <w:lvl w:ilvl="1">
      <w:lvlJc w:val="left"/>
      <w:lvlText w:val="(%2)"/>
      <w:numFmt w:val="lowerLetter"/>
      <w:start w:val="1"/>
    </w:lvl>
  </w:abstractNum>
  <w:abstractNum w:abstractNumId="66">
    <w:nsid w:val="E3E47A8"/>
    <w:multiLevelType w:val="hybridMultilevel"/>
    <w:lvl w:ilvl="0">
      <w:lvlJc w:val="left"/>
      <w:lvlText w:val="%1"/>
      <w:numFmt w:val="decimal"/>
      <w:start w:val="1"/>
    </w:lvl>
    <w:lvl w:ilvl="1">
      <w:lvlJc w:val="left"/>
      <w:lvlText w:val="(%2)"/>
      <w:numFmt w:val="lowerLetter"/>
      <w:start w:val="2"/>
    </w:lvl>
  </w:abstractNum>
  <w:abstractNum w:abstractNumId="67">
    <w:nsid w:val="2E48F044"/>
    <w:multiLevelType w:val="hybridMultilevel"/>
    <w:lvl w:ilvl="0">
      <w:lvlJc w:val="left"/>
      <w:lvlText w:val="%1."/>
      <w:numFmt w:val="decimal"/>
      <w:start w:val="9"/>
    </w:lvl>
    <w:lvl w:ilvl="1">
      <w:lvlJc w:val="left"/>
      <w:lvlText w:val="(%2)"/>
      <w:numFmt w:val="lowerLetter"/>
      <w:start w:val="1"/>
    </w:lvl>
  </w:abstractNum>
  <w:abstractNum w:abstractNumId="68">
    <w:nsid w:val="49D0FEAC"/>
    <w:multiLevelType w:val="hybridMultilevel"/>
    <w:lvl w:ilvl="0">
      <w:lvlJc w:val="left"/>
      <w:lvlText w:val="%1"/>
      <w:numFmt w:val="decimal"/>
      <w:start w:val="1"/>
    </w:lvl>
    <w:lvl w:ilvl="1">
      <w:lvlJc w:val="left"/>
      <w:lvlText w:val="(%2)"/>
      <w:numFmt w:val="lowerLetter"/>
      <w:start w:val="4"/>
    </w:lvl>
  </w:abstractNum>
  <w:abstractNum w:abstractNumId="69">
    <w:nsid w:val="4BEE5A5B"/>
    <w:multiLevelType w:val="hybridMultilevel"/>
    <w:lvl w:ilvl="0">
      <w:lvlJc w:val="left"/>
      <w:lvlText w:val="%1."/>
      <w:numFmt w:val="decimal"/>
      <w:start w:val="11"/>
    </w:lvl>
    <w:lvl w:ilvl="1">
      <w:lvlJc w:val="left"/>
      <w:lvlText w:val="(%2)"/>
      <w:numFmt w:val="lowerLetter"/>
      <w:start w:val="1"/>
    </w:lvl>
  </w:abstractNum>
  <w:abstractNum w:abstractNumId="70">
    <w:nsid w:val="5551B9F3"/>
    <w:multiLevelType w:val="hybridMultilevel"/>
    <w:lvl w:ilvl="0">
      <w:lvlJc w:val="left"/>
      <w:lvlText w:val="(%1)"/>
      <w:numFmt w:val="lowerLetter"/>
      <w:start w:val="5"/>
    </w:lvl>
  </w:abstractNum>
  <w:abstractNum w:abstractNumId="71">
    <w:nsid w:val="24F6AB8E"/>
    <w:multiLevelType w:val="hybridMultilevel"/>
    <w:lvl w:ilvl="0">
      <w:lvlJc w:val="left"/>
      <w:lvlText w:val="%1."/>
      <w:numFmt w:val="decimal"/>
      <w:start w:val="1"/>
    </w:lvl>
  </w:abstractNum>
  <w:abstractNum w:abstractNumId="72">
    <w:nsid w:val="634C574C"/>
    <w:multiLevelType w:val="hybridMultilevel"/>
    <w:lvl w:ilvl="0">
      <w:lvlJc w:val="left"/>
      <w:lvlText w:val="(%1)"/>
      <w:numFmt w:val="lowerLetter"/>
      <w:start w:val="1"/>
    </w:lvl>
  </w:abstractNum>
  <w:abstractNum w:abstractNumId="73">
    <w:nsid w:val="24E99DD7"/>
    <w:multiLevelType w:val="hybridMultilevel"/>
    <w:lvl w:ilvl="0">
      <w:lvlJc w:val="left"/>
      <w:lvlText w:val="(%1)"/>
      <w:numFmt w:val="lowerLetter"/>
      <w:start w:val="5"/>
    </w:lvl>
  </w:abstractNum>
  <w:abstractNum w:abstractNumId="74">
    <w:nsid w:val="2A31B62D"/>
    <w:multiLevelType w:val="hybridMultilevel"/>
    <w:lvl w:ilvl="0">
      <w:lvlJc w:val="left"/>
      <w:lvlText w:val="%1."/>
      <w:numFmt w:val="decimal"/>
      <w:start w:val="4"/>
    </w:lvl>
  </w:abstractNum>
  <w:abstractNum w:abstractNumId="75">
    <w:nsid w:val="1849C29B"/>
    <w:multiLevelType w:val="hybridMultilevel"/>
    <w:lvl w:ilvl="0">
      <w:lvlJc w:val="left"/>
      <w:lvlText w:val="%1."/>
      <w:numFmt w:val="decimal"/>
      <w:start w:val="5"/>
    </w:lvl>
  </w:abstractNum>
  <w:abstractNum w:abstractNumId="76">
    <w:nsid w:val="7DFF9D09"/>
    <w:multiLevelType w:val="hybridMultilevel"/>
    <w:lvl w:ilvl="0">
      <w:lvlJc w:val="left"/>
      <w:lvlText w:val="%1."/>
      <w:numFmt w:val="decimal"/>
      <w:start w:val="6"/>
    </w:lvl>
  </w:abstractNum>
  <w:abstractNum w:abstractNumId="77">
    <w:nsid w:val="754342"/>
    <w:multiLevelType w:val="hybridMultilevel"/>
    <w:lvl w:ilvl="0">
      <w:lvlJc w:val="left"/>
      <w:lvlText w:val="%1."/>
      <w:numFmt w:val="decimal"/>
      <w:start w:val="7"/>
    </w:lvl>
  </w:abstractNum>
  <w:abstractNum w:abstractNumId="78">
    <w:nsid w:val="69E7F3E5"/>
    <w:multiLevelType w:val="hybridMultilevel"/>
    <w:lvl w:ilvl="0">
      <w:lvlJc w:val="left"/>
      <w:lvlText w:val="%1."/>
      <w:numFmt w:val="decimal"/>
      <w:start w:val="10"/>
    </w:lvl>
  </w:abstractNum>
  <w:abstractNum w:abstractNumId="79">
    <w:nsid w:val="2A6DE806"/>
    <w:multiLevelType w:val="hybridMultilevel"/>
    <w:lvl w:ilvl="0">
      <w:lvlJc w:val="left"/>
      <w:lvlText w:val="%1."/>
      <w:numFmt w:val="decimal"/>
      <w:start w:val="17"/>
    </w:lvl>
  </w:abstractNum>
  <w:abstractNum w:abstractNumId="80">
    <w:nsid w:val="1816F8C4"/>
    <w:multiLevelType w:val="hybridMultilevel"/>
    <w:lvl w:ilvl="0">
      <w:lvlJc w:val="left"/>
      <w:lvlText w:val="%1."/>
      <w:numFmt w:val="decimal"/>
      <w:start w:val="23"/>
    </w:lvl>
  </w:abstractNum>
  <w:abstractNum w:abstractNumId="81">
    <w:nsid w:val="37DF2233"/>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82">
    <w:nsid w:val="7AB49DAF"/>
    <w:multiLevelType w:val="hybridMultilevel"/>
    <w:lvl w:ilvl="0">
      <w:lvlJc w:val="left"/>
      <w:lvlText w:val="%1."/>
      <w:numFmt w:val="decimal"/>
      <w:start w:val="1"/>
    </w:lvl>
  </w:abstractNum>
  <w:abstractNum w:abstractNumId="83">
    <w:nsid w:val="759F82CD"/>
    <w:multiLevelType w:val="hybridMultilevel"/>
    <w:lvl w:ilvl="0">
      <w:lvlJc w:val="left"/>
      <w:lvlText w:val="%1."/>
      <w:numFmt w:val="decimal"/>
      <w:start w:val="1"/>
    </w:lvl>
    <w:lvl w:ilvl="1">
      <w:lvlJc w:val="left"/>
      <w:lvlText w:val="(%2)"/>
      <w:numFmt w:val="lowerLetter"/>
      <w:start w:val="1"/>
    </w:lvl>
  </w:abstractNum>
  <w:abstractNum w:abstractNumId="84">
    <w:nsid w:val="61E74E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5">
    <w:nsid w:val="597B4D8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6">
    <w:nsid w:val="F819E7F"/>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3"/>
    </w:lvl>
  </w:abstractNum>
  <w:abstractNum w:abstractNumId="87">
    <w:nsid w:val="57C7D42D"/>
    <w:multiLevelType w:val="hybridMultilevel"/>
    <w:lvl w:ilvl="0">
      <w:lvlJc w:val="left"/>
      <w:lvlText w:val="%1"/>
      <w:numFmt w:val="lowerLetter"/>
      <w:start w:val="1"/>
    </w:lvl>
    <w:lvl w:ilvl="1">
      <w:lvlJc w:val="left"/>
      <w:lvlText w:val="(%2)"/>
      <w:numFmt w:val="lowerRoman"/>
      <w:start w:val="4"/>
    </w:lvl>
  </w:abstractNum>
  <w:abstractNum w:abstractNumId="88">
    <w:nsid w:val="312167AD"/>
    <w:multiLevelType w:val="hybridMultilevel"/>
    <w:lvl w:ilvl="0">
      <w:lvlJc w:val="left"/>
      <w:lvlText w:val="(%1)"/>
      <w:numFmt w:val="lowerLetter"/>
      <w:start w:val="3"/>
    </w:lvl>
    <w:lvl w:ilvl="1">
      <w:lvlJc w:val="left"/>
      <w:lvlText w:val="%2"/>
      <w:numFmt w:val="lowerRoman"/>
      <w:start w:val="1"/>
    </w:lvl>
  </w:abstractNum>
  <w:abstractNum w:abstractNumId="89">
    <w:nsid w:val="631B64D4"/>
    <w:multiLevelType w:val="hybridMultilevel"/>
    <w:lvl w:ilvl="0">
      <w:lvlJc w:val="left"/>
      <w:lvlText w:val="(%1)"/>
      <w:numFmt w:val="lowerLetter"/>
      <w:start w:val="1"/>
    </w:lvl>
  </w:abstractNum>
  <w:abstractNum w:abstractNumId="90">
    <w:nsid w:val="78B5E77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75486E4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2">
    <w:nsid w:val="6E534CD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3">
    <w:nsid w:val="1A0DDE32"/>
    <w:multiLevelType w:val="hybridMultilevel"/>
    <w:lvl w:ilvl="0">
      <w:lvlJc w:val="left"/>
      <w:lvlText w:val="(%1)"/>
      <w:numFmt w:val="lowerRoman"/>
      <w:start w:val="5"/>
    </w:lvl>
  </w:abstractNum>
  <w:abstractNum w:abstractNumId="94">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6"/>
    </w:lvl>
  </w:abstractNum>
  <w:abstractNum w:abstractNumId="95">
    <w:nsid w:val="46263DEC"/>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96">
    <w:nsid w:val="260D8C4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7">
    <w:nsid w:val="73D4D3C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746F2E30"/>
    <w:multiLevelType w:val="hybridMultilevel"/>
    <w:lvl w:ilvl="0">
      <w:lvlJc w:val="left"/>
      <w:lvlText w:val="(%1)"/>
      <w:numFmt w:val="lowerRoman"/>
      <w:start w:val="4"/>
    </w:lvl>
  </w:abstractNum>
  <w:abstractNum w:abstractNumId="99">
    <w:nsid w:val="6FDE8AF6"/>
    <w:multiLevelType w:val="hybridMultilevel"/>
    <w:lvl w:ilvl="0">
      <w:lvlJc w:val="left"/>
      <w:lvlText w:val="(%1)"/>
      <w:numFmt w:val="lowerRoman"/>
      <w:start w:val="6"/>
    </w:lvl>
  </w:abstractNum>
  <w:abstractNum w:abstractNumId="100">
    <w:nsid w:val="3FC32E20"/>
    <w:multiLevelType w:val="hybridMultilevel"/>
    <w:lvl w:ilvl="0">
      <w:lvlJc w:val="left"/>
      <w:lvlText w:val="(%1)"/>
      <w:numFmt w:val="lowerLetter"/>
      <w:start w:val="2"/>
    </w:lvl>
    <w:lvl w:ilvl="1">
      <w:lvlJc w:val="left"/>
      <w:lvlText w:val="(%2)"/>
      <w:numFmt w:val="lowerRoman"/>
      <w:start w:val="1"/>
    </w:lvl>
  </w:abstractNum>
  <w:abstractNum w:abstractNumId="101">
    <w:nsid w:val="49C0E8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14D53685"/>
    <w:multiLevelType w:val="hybridMultilevel"/>
    <w:lvl w:ilvl="0">
      <w:lvlJc w:val="left"/>
      <w:lvlText w:val="(%1)"/>
      <w:numFmt w:val="decimal"/>
      <w:start w:val="12"/>
    </w:lvl>
    <w:lvl w:ilvl="1">
      <w:lvlJc w:val="left"/>
      <w:lvlText w:val="(%2)"/>
      <w:numFmt w:val="lowerLetter"/>
      <w:start w:val="4"/>
    </w:lvl>
    <w:lvl w:ilvl="2">
      <w:lvlJc w:val="left"/>
      <w:lvlText w:val="(%3)"/>
      <w:numFmt w:val="lowerRoman"/>
      <w:start w:val="1"/>
    </w:lvl>
  </w:abstractNum>
  <w:abstractNum w:abstractNumId="103">
    <w:nsid w:val="230F856C"/>
    <w:multiLevelType w:val="hybridMultilevel"/>
    <w:lvl w:ilvl="0">
      <w:lvlJc w:val="left"/>
      <w:lvlText w:val="%1"/>
      <w:numFmt w:val="decimal"/>
      <w:start w:val="1"/>
    </w:lvl>
    <w:lvl w:ilvl="1">
      <w:lvlJc w:val="left"/>
      <w:lvlText w:val="(%2)"/>
      <w:numFmt w:val="lowerLetter"/>
      <w:start w:val="8"/>
    </w:lvl>
  </w:abstractNum>
  <w:abstractNum w:abstractNumId="104">
    <w:nsid w:val="6EAA85FB"/>
    <w:multiLevelType w:val="hybridMultilevel"/>
    <w:lvl w:ilvl="0">
      <w:lvlJc w:val="left"/>
      <w:lvlText w:val="%1."/>
      <w:numFmt w:val="decimal"/>
      <w:start w:val="7"/>
    </w:lvl>
    <w:lvl w:ilvl="1">
      <w:lvlJc w:val="left"/>
      <w:lvlText w:val="(%2)"/>
      <w:numFmt w:val="lowerLetter"/>
      <w:start w:val="1"/>
    </w:lvl>
  </w:abstractNum>
  <w:abstractNum w:abstractNumId="105">
    <w:nsid w:val="3F06ECB2"/>
    <w:multiLevelType w:val="hybridMultilevel"/>
    <w:lvl w:ilvl="0">
      <w:lvlJc w:val="left"/>
      <w:lvlText w:val="(%1)"/>
      <w:numFmt w:val="lowerLetter"/>
      <w:start w:val="2"/>
    </w:lvl>
  </w:abstractNum>
  <w:abstractNum w:abstractNumId="106">
    <w:nsid w:val="3B594807"/>
    <w:multiLevelType w:val="hybridMultilevel"/>
    <w:lvl w:ilvl="0">
      <w:lvlJc w:val="left"/>
      <w:lvlText w:val="(%1)"/>
      <w:numFmt w:val="lowerLetter"/>
      <w:start w:val="4"/>
    </w:lvl>
  </w:abstractNum>
  <w:abstractNum w:abstractNumId="107">
    <w:nsid w:val="6CAA2304"/>
    <w:multiLevelType w:val="hybridMultilevel"/>
    <w:lvl w:ilvl="0">
      <w:lvlJc w:val="left"/>
      <w:lvlText w:val="%1."/>
      <w:numFmt w:val="decimal"/>
      <w:start w:val="11"/>
    </w:lvl>
    <w:lvl w:ilvl="1">
      <w:lvlJc w:val="left"/>
      <w:lvlText w:val="(%2)"/>
      <w:numFmt w:val="lowerLetter"/>
      <w:start w:val="1"/>
    </w:lvl>
  </w:abstractNum>
  <w:abstractNum w:abstractNumId="108">
    <w:nsid w:val="3F7C2FF4"/>
    <w:multiLevelType w:val="hybridMultilevel"/>
    <w:lvl w:ilvl="0">
      <w:lvlJc w:val="left"/>
      <w:lvlText w:val="%1."/>
      <w:numFmt w:val="decimal"/>
      <w:start w:val="1"/>
    </w:lvl>
  </w:abstractNum>
  <w:abstractNum w:abstractNumId="109">
    <w:nsid w:val="25413BEC"/>
    <w:multiLevelType w:val="hybridMultilevel"/>
    <w:lvl w:ilvl="0">
      <w:lvlJc w:val="left"/>
      <w:lvlText w:val="(%1)"/>
      <w:numFmt w:val="lowerLetter"/>
      <w:start w:val="1"/>
    </w:lvl>
  </w:abstractNum>
  <w:abstractNum w:abstractNumId="110">
    <w:nsid w:val="17180B0B"/>
    <w:multiLevelType w:val="hybridMultilevel"/>
    <w:lvl w:ilvl="0">
      <w:lvlJc w:val="left"/>
      <w:lvlText w:val="(%1)"/>
      <w:numFmt w:val="lowerLetter"/>
      <w:start w:val="5"/>
    </w:lvl>
  </w:abstractNum>
  <w:abstractNum w:abstractNumId="111">
    <w:nsid w:val="579328B9"/>
    <w:multiLevelType w:val="hybridMultilevel"/>
    <w:lvl w:ilvl="0">
      <w:lvlJc w:val="left"/>
      <w:lvlText w:val="%1."/>
      <w:numFmt w:val="decimal"/>
      <w:start w:val="4"/>
    </w:lvl>
  </w:abstractNum>
  <w:abstractNum w:abstractNumId="112">
    <w:nsid w:val="5D205E20"/>
    <w:multiLevelType w:val="hybridMultilevel"/>
    <w:lvl w:ilvl="0">
      <w:lvlJc w:val="left"/>
      <w:lvlText w:val="%1."/>
      <w:numFmt w:val="decimal"/>
      <w:start w:val="5"/>
    </w:lvl>
  </w:abstractNum>
  <w:abstractNum w:abstractNumId="113">
    <w:nsid w:val="11CCA8BA"/>
    <w:multiLevelType w:val="hybridMultilevel"/>
    <w:lvl w:ilvl="0">
      <w:lvlJc w:val="left"/>
      <w:lvlText w:val="%1."/>
      <w:numFmt w:val="decimal"/>
      <w:start w:val="6"/>
    </w:lvl>
  </w:abstractNum>
  <w:abstractNum w:abstractNumId="114">
    <w:nsid w:val="4D32AB86"/>
    <w:multiLevelType w:val="hybridMultilevel"/>
    <w:lvl w:ilvl="0">
      <w:lvlJc w:val="left"/>
      <w:lvlText w:val="%1."/>
      <w:numFmt w:val="decimal"/>
      <w:start w:val="7"/>
    </w:lvl>
  </w:abstractNum>
  <w:abstractNum w:abstractNumId="115">
    <w:nsid w:val="3F07ACC3"/>
    <w:multiLevelType w:val="hybridMultilevel"/>
    <w:lvl w:ilvl="0">
      <w:lvlJc w:val="left"/>
      <w:lvlText w:val="%1."/>
      <w:numFmt w:val="decimal"/>
      <w:start w:val="10"/>
    </w:lvl>
  </w:abstractNum>
  <w:abstractNum w:abstractNumId="116">
    <w:nsid w:val="6B47F63E"/>
    <w:multiLevelType w:val="hybridMultilevel"/>
    <w:lvl w:ilvl="0">
      <w:lvlJc w:val="left"/>
      <w:lvlText w:val="%1."/>
      <w:numFmt w:val="decimal"/>
      <w:start w:val="17"/>
    </w:lvl>
  </w:abstractNum>
  <w:abstractNum w:abstractNumId="117">
    <w:nsid w:val="5CB44A05"/>
    <w:multiLevelType w:val="hybridMultilevel"/>
    <w:lvl w:ilvl="0">
      <w:lvlJc w:val="left"/>
      <w:lvlText w:val="%1."/>
      <w:numFmt w:val="decimal"/>
      <w:start w:val="23"/>
    </w:lvl>
  </w:abstractNum>
  <w:abstractNum w:abstractNumId="118">
    <w:nsid w:val="16CF80F1"/>
    <w:multiLevelType w:val="hybridMultilevel"/>
    <w:lvl w:ilvl="0">
      <w:lvlJc w:val="left"/>
      <w:lvlText w:val="%1."/>
      <w:numFmt w:val="decimal"/>
      <w:start w:val="24"/>
    </w:lvl>
    <w:lvl w:ilvl="1">
      <w:lvlJc w:val="left"/>
      <w:lvlText w:val="(%2)"/>
      <w:numFmt w:val="lowerLetter"/>
      <w:start w:val="1"/>
    </w:lvl>
    <w:lvl w:ilvl="2">
      <w:lvlJc w:val="left"/>
      <w:lvlText w:val="*"/>
      <w:numFmt w:val="bullet"/>
      <w:start w:val="1"/>
    </w:lvl>
  </w:abstractNum>
  <w:abstractNum w:abstractNumId="119">
    <w:nsid w:val="1C695DEC"/>
    <w:multiLevelType w:val="hybridMultilevel"/>
    <w:lvl w:ilvl="0">
      <w:lvlJc w:val="left"/>
      <w:lvlText w:val="%1"/>
      <w:numFmt w:val="lowerRoman"/>
      <w:start w:val="1"/>
    </w:lvl>
    <w:lvl w:ilvl="1">
      <w:lvlJc w:val="left"/>
      <w:lvlText w:val="%2."/>
      <w:numFmt w:val="decimal"/>
      <w:start w:val="1"/>
    </w:lvl>
  </w:abstractNum>
  <w:abstractNum w:abstractNumId="120">
    <w:nsid w:val="3FCFAED9"/>
    <w:multiLevelType w:val="hybridMultilevel"/>
    <w:lvl w:ilvl="0">
      <w:lvlJc w:val="left"/>
      <w:lvlText w:val="(%1)"/>
      <w:numFmt w:val="lowerRoman"/>
      <w:start w:val="1"/>
    </w:lvl>
    <w:lvl w:ilvl="1">
      <w:lvlJc w:val="left"/>
      <w:lvlText w:val="%2."/>
      <w:numFmt w:val="decimal"/>
      <w:start w:val="2"/>
    </w:lvl>
  </w:abstractNum>
  <w:abstractNum w:abstractNumId="121">
    <w:nsid w:val="F856867"/>
    <w:multiLevelType w:val="hybridMultilevel"/>
    <w:lvl w:ilvl="0">
      <w:lvlJc w:val="left"/>
      <w:lvlText w:val="%1"/>
      <w:numFmt w:val="decimal"/>
      <w:start w:val="1"/>
    </w:lvl>
    <w:lvl w:ilvl="1">
      <w:lvlJc w:val="left"/>
      <w:lvlText w:val="%2."/>
      <w:numFmt w:val="decimal"/>
      <w:start w:val="1"/>
    </w:lvl>
  </w:abstractNum>
  <w:abstractNum w:abstractNumId="122">
    <w:nsid w:val="11B1CC33"/>
    <w:multiLevelType w:val="hybridMultilevel"/>
    <w:lvl w:ilvl="0">
      <w:lvlJc w:val="left"/>
      <w:lvlText w:val="(%1)"/>
      <w:numFmt w:val="decimal"/>
      <w:start w:val="12"/>
    </w:lvl>
    <w:lvl w:ilvl="1">
      <w:lvlJc w:val="left"/>
      <w:lvlText w:val="%2."/>
      <w:numFmt w:val="decimal"/>
      <w:start w:val="2"/>
    </w:lvl>
  </w:abstractNum>
  <w:abstractNum w:abstractNumId="123">
    <w:nsid w:val="2E22FBB7"/>
    <w:multiLevelType w:val="hybridMultilevel"/>
    <w:lvl w:ilvl="0">
      <w:lvlJc w:val="left"/>
      <w:lvlText w:val="(%1)"/>
      <w:numFmt w:val="lowerLetter"/>
      <w:start w:val="1"/>
    </w:lvl>
    <w:lvl w:ilvl="1">
      <w:lvlJc w:val="left"/>
      <w:lvlText w:val="(%2)"/>
      <w:numFmt w:val="lowerRoman"/>
      <w:start w:val="1"/>
    </w:lvl>
  </w:abstractNum>
  <w:abstractNum w:abstractNumId="124">
    <w:nsid w:val="29934699"/>
    <w:multiLevelType w:val="hybridMultilevel"/>
    <w:lvl w:ilvl="0">
      <w:lvlJc w:val="left"/>
      <w:lvlText w:val="(%1)"/>
      <w:numFmt w:val="lowerRoman"/>
      <w:start w:val="3"/>
    </w:lvl>
  </w:abstractNum>
  <w:abstractNum w:abstractNumId="125">
    <w:nsid w:val="7748585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6">
    <w:nsid w:val="744939A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27">
    <w:nsid w:val="4FA0D2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28">
    <w:nsid w:val="6B1D2C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9">
    <w:nsid w:val="68B867D3"/>
    <w:multiLevelType w:val="hybridMultilevel"/>
    <w:lvl w:ilvl="0">
      <w:lvlJc w:val="left"/>
      <w:lvlText w:val="(%1)"/>
      <w:numFmt w:val="lowerLetter"/>
      <w:start w:val="2"/>
    </w:lvl>
  </w:abstractNum>
  <w:abstractNum w:abstractNumId="130">
    <w:nsid w:val="3F7F5DD9"/>
    <w:multiLevelType w:val="hybridMultilevel"/>
    <w:lvl w:ilvl="0">
      <w:lvlJc w:val="left"/>
      <w:lvlText w:val="(%1)"/>
      <w:numFmt w:val="lowerRoman"/>
      <w:start w:val="3"/>
    </w:lvl>
  </w:abstractNum>
  <w:abstractNum w:abstractNumId="131">
    <w:nsid w:val="2AE05A3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2">
    <w:nsid w:val="32794FF7"/>
    <w:multiLevelType w:val="hybridMultilevel"/>
    <w:lvl w:ilvl="0">
      <w:lvlJc w:val="left"/>
      <w:lvlText w:val="(%1)"/>
      <w:numFmt w:val="lowerLetter"/>
      <w:start w:val="2"/>
    </w:lvl>
    <w:lvl w:ilvl="1">
      <w:lvlJc w:val="left"/>
      <w:lvlText w:val="(%2)"/>
      <w:numFmt w:val="lowerRoman"/>
      <w:start w:val="1"/>
    </w:lvl>
  </w:abstractNum>
  <w:abstractNum w:abstractNumId="133">
    <w:nsid w:val="5454945E"/>
    <w:multiLevelType w:val="hybridMultilevel"/>
    <w:lvl w:ilvl="0">
      <w:lvlJc w:val="left"/>
      <w:lvlText w:val="(%1)"/>
      <w:numFmt w:val="lowerLetter"/>
      <w:start w:val="3"/>
    </w:lvl>
    <w:lvl w:ilvl="1">
      <w:lvlJc w:val="left"/>
      <w:lvlText w:val="(%2)"/>
      <w:numFmt w:val="lowerRoman"/>
      <w:start w:val="1"/>
    </w:lvl>
  </w:abstractNum>
  <w:abstractNum w:abstractNumId="134">
    <w:nsid w:val="4DEFDFA0"/>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135">
    <w:nsid w:val="2123D5F2"/>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36">
    <w:nsid w:val="135B8110"/>
    <w:multiLevelType w:val="hybridMultilevel"/>
    <w:lvl w:ilvl="0">
      <w:lvlJc w:val="left"/>
      <w:lvlText w:val="(%1)"/>
      <w:numFmt w:val="decimal"/>
      <w:start w:val="90"/>
    </w:lvl>
    <w:lvl w:ilvl="1">
      <w:lvlJc w:val="left"/>
      <w:lvlText w:val="%2"/>
      <w:numFmt w:val="decimal"/>
      <w:start w:val="1"/>
    </w:lvl>
    <w:lvl w:ilvl="2">
      <w:lvlJc w:val="left"/>
      <w:lvlText w:val="%3"/>
      <w:numFmt w:val="lowerLetter"/>
      <w:start w:val="1"/>
    </w:lvl>
  </w:abstractNum>
  <w:abstractNum w:abstractNumId="137">
    <w:nsid w:val="94927A8"/>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abstractNum>
  <w:abstractNum w:abstractNumId="138">
    <w:nsid w:val="DCDF8F6"/>
    <w:multiLevelType w:val="hybridMultilevel"/>
    <w:lvl w:ilvl="0">
      <w:lvlJc w:val="left"/>
      <w:lvlText w:val="(%1)"/>
      <w:numFmt w:val="lowerLetter"/>
      <w:start w:val="3"/>
    </w:lvl>
  </w:abstractNum>
  <w:abstractNum w:abstractNumId="139">
    <w:nsid w:val="52D7B105"/>
    <w:multiLevelType w:val="hybridMultilevel"/>
    <w:lvl w:ilvl="0">
      <w:lvlJc w:val="left"/>
      <w:lvlText w:val="%1"/>
      <w:numFmt w:val="decimal"/>
      <w:start w:val="1"/>
    </w:lvl>
    <w:lvl w:ilvl="1">
      <w:lvlJc w:val="left"/>
      <w:lvlText w:val="(%2)"/>
      <w:numFmt w:val="lowerLetter"/>
      <w:start w:val="5"/>
    </w:lvl>
  </w:abstractNum>
  <w:abstractNum w:abstractNumId="140">
    <w:nsid w:val="2E8A6394"/>
    <w:multiLevelType w:val="hybridMultilevel"/>
    <w:lvl w:ilvl="0">
      <w:lvlJc w:val="left"/>
      <w:lvlText w:val="%1."/>
      <w:numFmt w:val="decimal"/>
      <w:start w:val="11"/>
    </w:lvl>
    <w:lvl w:ilvl="1">
      <w:lvlJc w:val="left"/>
      <w:lvlText w:val="(%2)"/>
      <w:numFmt w:val="lowerLetter"/>
      <w:start w:val="1"/>
    </w:lvl>
  </w:abstractNum>
  <w:abstractNum w:abstractNumId="141">
    <w:nsid w:val="24E60401"/>
    <w:multiLevelType w:val="hybridMultilevel"/>
    <w:lvl w:ilvl="0">
      <w:lvlJc w:val="left"/>
      <w:lvlText w:val="(%1)"/>
      <w:numFmt w:val="lowerLetter"/>
      <w:start w:val="6"/>
    </w:lvl>
  </w:abstractNum>
  <w:abstractNum w:abstractNumId="142">
    <w:nsid w:val="2A6AD9BE"/>
    <w:multiLevelType w:val="hybridMultilevel"/>
    <w:lvl w:ilvl="0">
      <w:lvlJc w:val="left"/>
      <w:lvlText w:val="%1."/>
      <w:numFmt w:val="decimal"/>
      <w:start w:val="1"/>
    </w:lvl>
  </w:abstractNum>
  <w:abstractNum w:abstractNumId="143">
    <w:nsid w:val="BAAC1B4"/>
    <w:multiLevelType w:val="hybridMultilevel"/>
    <w:lvl w:ilvl="0">
      <w:lvlJc w:val="left"/>
      <w:lvlText w:val="(%1)"/>
      <w:numFmt w:val="lowerLetter"/>
      <w:start w:val="1"/>
    </w:lvl>
  </w:abstractNum>
  <w:abstractNum w:abstractNumId="144">
    <w:nsid w:val="36B2ACBC"/>
    <w:multiLevelType w:val="hybridMultilevel"/>
    <w:lvl w:ilvl="0">
      <w:lvlJc w:val="left"/>
      <w:lvlText w:val="(%1)"/>
      <w:numFmt w:val="lowerLetter"/>
      <w:start w:val="5"/>
    </w:lvl>
  </w:abstractNum>
  <w:abstractNum w:abstractNumId="145">
    <w:nsid w:val="779D8544"/>
    <w:multiLevelType w:val="hybridMultilevel"/>
    <w:lvl w:ilvl="0">
      <w:lvlJc w:val="left"/>
      <w:lvlText w:val="%1"/>
      <w:numFmt w:val="lowerLetter"/>
      <w:start w:val="1"/>
    </w:lvl>
    <w:lvl w:ilvl="1">
      <w:lvlJc w:val="left"/>
      <w:lvlText w:val="%2."/>
      <w:numFmt w:val="decimal"/>
      <w:start w:val="4"/>
    </w:lvl>
  </w:abstractNum>
  <w:abstractNum w:abstractNumId="146">
    <w:nsid w:val="4AB26E78"/>
    <w:multiLevelType w:val="hybridMultilevel"/>
    <w:lvl w:ilvl="0">
      <w:lvlJc w:val="left"/>
      <w:lvlText w:val="(%1)"/>
      <w:numFmt w:val="lowerLetter"/>
      <w:start w:val="1"/>
    </w:lvl>
    <w:lvl w:ilvl="1">
      <w:lvlJc w:val="left"/>
      <w:lvlText w:val="%2"/>
      <w:numFmt w:val="decimal"/>
      <w:start w:val="1"/>
    </w:lvl>
  </w:abstractNum>
  <w:abstractNum w:abstractNumId="147">
    <w:nsid w:val="21FAA2FA"/>
    <w:multiLevelType w:val="hybridMultilevel"/>
    <w:lvl w:ilvl="0">
      <w:lvlJc w:val="left"/>
      <w:lvlText w:val="%1."/>
      <w:numFmt w:val="decimal"/>
      <w:start w:val="6"/>
    </w:lvl>
  </w:abstractNum>
  <w:abstractNum w:abstractNumId="148">
    <w:nsid w:val="5451CF49"/>
    <w:multiLevelType w:val="hybridMultilevel"/>
    <w:lvl w:ilvl="0">
      <w:lvlJc w:val="left"/>
      <w:lvlText w:val="%1."/>
      <w:numFmt w:val="decimal"/>
      <w:start w:val="7"/>
    </w:lvl>
  </w:abstractNum>
  <w:abstractNum w:abstractNumId="149">
    <w:nsid w:val="6181EF69"/>
    <w:multiLevelType w:val="hybridMultilevel"/>
    <w:lvl w:ilvl="0">
      <w:lvlJc w:val="left"/>
      <w:lvlText w:val="%1"/>
      <w:numFmt w:val="lowerLetter"/>
      <w:start w:val="1"/>
    </w:lvl>
    <w:lvl w:ilvl="1">
      <w:lvlJc w:val="left"/>
      <w:lvlText w:val="%2."/>
      <w:numFmt w:val="decimal"/>
      <w:start w:val="12"/>
    </w:lvl>
  </w:abstractNum>
  <w:abstractNum w:abstractNumId="150">
    <w:nsid w:val="3E6400E6"/>
    <w:multiLevelType w:val="hybridMultilevel"/>
    <w:lvl w:ilvl="0">
      <w:lvlJc w:val="left"/>
      <w:lvlText w:val="(%1)"/>
      <w:numFmt w:val="lowerLetter"/>
      <w:start w:val="2"/>
    </w:lvl>
    <w:lvl w:ilvl="1">
      <w:lvlJc w:val="left"/>
      <w:lvlText w:val="%2."/>
      <w:numFmt w:val="decimal"/>
      <w:start w:val="14"/>
    </w:lvl>
  </w:abstractNum>
  <w:abstractNum w:abstractNumId="151">
    <w:nsid w:val="14217E23"/>
    <w:multiLevelType w:val="hybridMultilevel"/>
    <w:lvl w:ilvl="0">
      <w:lvlJc w:val="left"/>
      <w:lvlText w:val="%1."/>
      <w:numFmt w:val="decimal"/>
      <w:start w:val="17"/>
    </w:lvl>
  </w:abstractNum>
  <w:abstractNum w:abstractNumId="152">
    <w:nsid w:val="710757D0"/>
    <w:multiLevelType w:val="hybridMultilevel"/>
    <w:lvl w:ilvl="0">
      <w:lvlJc w:val="left"/>
      <w:lvlText w:val="%1."/>
      <w:numFmt w:val="decimal"/>
      <w:start w:val="23"/>
    </w:lvl>
  </w:abstractNum>
  <w:abstractNum w:abstractNumId="153">
    <w:nsid w:val="5015CD1A"/>
    <w:multiLevelType w:val="hybridMultilevel"/>
    <w:lvl w:ilvl="0">
      <w:lvlJc w:val="left"/>
      <w:lvlText w:val="%1."/>
      <w:numFmt w:val="decimal"/>
      <w:start w:val="24"/>
    </w:lvl>
    <w:lvl w:ilvl="1">
      <w:lvlJc w:val="left"/>
      <w:lvlText w:val="(%2)"/>
      <w:numFmt w:val="lowerLetter"/>
      <w:start w:val="1"/>
    </w:lvl>
  </w:abstractNum>
  <w:abstractNum w:abstractNumId="154">
    <w:nsid w:val="424479DA"/>
    <w:multiLevelType w:val="hybridMultilevel"/>
    <w:lvl w:ilvl="0">
      <w:lvlJc w:val="left"/>
      <w:lvlText w:val="(%1)"/>
      <w:numFmt w:val="lowerLetter"/>
      <w:start w:val="2"/>
    </w:lvl>
  </w:abstractNum>
  <w:abstractNum w:abstractNumId="155">
    <w:nsid w:val="1A9A9E69"/>
    <w:multiLevelType w:val="hybridMultilevel"/>
    <w:lvl w:ilvl="0">
      <w:lvlJc w:val="left"/>
      <w:lvlText w:val="%1"/>
      <w:numFmt w:val="lowerRoman"/>
      <w:start w:val="1"/>
    </w:lvl>
    <w:lvl w:ilvl="1">
      <w:lvlJc w:val="left"/>
      <w:lvlText w:val="%2."/>
      <w:numFmt w:val="decimal"/>
      <w:start w:val="1"/>
    </w:lvl>
  </w:abstractNum>
  <w:abstractNum w:abstractNumId="156">
    <w:nsid w:val="475E256A"/>
    <w:multiLevelType w:val="hybridMultilevel"/>
    <w:lvl w:ilvl="0">
      <w:lvlJc w:val="left"/>
      <w:lvlText w:val="(%1)"/>
      <w:numFmt w:val="lowerRoman"/>
      <w:start w:val="1"/>
    </w:lvl>
    <w:lvl w:ilvl="1">
      <w:lvlJc w:val="left"/>
      <w:lvlText w:val="%2."/>
      <w:numFmt w:val="decimal"/>
      <w:start w:val="2"/>
    </w:lvl>
  </w:abstractNum>
  <w:abstractNum w:abstractNumId="157">
    <w:nsid w:val="368DB37E"/>
    <w:multiLevelType w:val="hybridMultilevel"/>
    <w:lvl w:ilvl="0">
      <w:lvlJc w:val="left"/>
      <w:lvlText w:val="%1"/>
      <w:numFmt w:val="decimal"/>
      <w:start w:val="1"/>
    </w:lvl>
    <w:lvl w:ilvl="1">
      <w:lvlJc w:val="left"/>
      <w:lvlText w:val="%2."/>
      <w:numFmt w:val="decimal"/>
      <w:start w:val="1"/>
    </w:lvl>
  </w:abstractNum>
  <w:abstractNum w:abstractNumId="158">
    <w:nsid w:val="6A3B714C"/>
    <w:multiLevelType w:val="hybridMultilevel"/>
    <w:lvl w:ilvl="0">
      <w:lvlJc w:val="left"/>
      <w:lvlText w:val="(%1)"/>
      <w:numFmt w:val="decimal"/>
      <w:start w:val="12"/>
    </w:lvl>
    <w:lvl w:ilvl="1">
      <w:lvlJc w:val="left"/>
      <w:lvlText w:val="%2."/>
      <w:numFmt w:val="decimal"/>
      <w:start w:val="2"/>
    </w:lvl>
  </w:abstractNum>
  <w:abstractNum w:abstractNumId="159">
    <w:nsid w:val="327B517E"/>
    <w:multiLevelType w:val="hybridMultilevel"/>
    <w:lvl w:ilvl="0">
      <w:lvlJc w:val="left"/>
      <w:lvlText w:val="(%1)"/>
      <w:numFmt w:val="lowerLetter"/>
      <w:start w:val="1"/>
    </w:lvl>
    <w:lvl w:ilvl="1">
      <w:lvlJc w:val="left"/>
      <w:lvlText w:val="(%2)"/>
      <w:numFmt w:val="lowerRoman"/>
      <w:start w:val="1"/>
    </w:lvl>
  </w:abstractNum>
  <w:abstractNum w:abstractNumId="160">
    <w:nsid w:val="1F461B51"/>
    <w:multiLevelType w:val="hybridMultilevel"/>
    <w:lvl w:ilvl="0">
      <w:lvlJc w:val="left"/>
      <w:lvlText w:val="(%1)"/>
      <w:numFmt w:val="lowerRoman"/>
      <w:start w:val="3"/>
    </w:lvl>
  </w:abstractNum>
  <w:abstractNum w:abstractNumId="161">
    <w:nsid w:val="29BACF2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2">
    <w:nsid w:val="5D5BABB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63">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4">
    <w:nsid w:val="7E0F638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5">
    <w:nsid w:val="2B4B8B53"/>
    <w:multiLevelType w:val="hybridMultilevel"/>
    <w:lvl w:ilvl="0">
      <w:lvlJc w:val="left"/>
      <w:lvlText w:val="(%1)"/>
      <w:numFmt w:val="lowerLetter"/>
      <w:start w:val="2"/>
    </w:lvl>
  </w:abstractNum>
  <w:abstractNum w:abstractNumId="166">
    <w:nsid w:val="72E3413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7">
    <w:nsid w:val="116AE494"/>
    <w:multiLevelType w:val="hybridMultilevel"/>
    <w:lvl w:ilvl="0">
      <w:lvlJc w:val="left"/>
      <w:lvlText w:val="(%1)"/>
      <w:numFmt w:val="lowerLetter"/>
      <w:start w:val="2"/>
    </w:lvl>
    <w:lvl w:ilvl="1">
      <w:lvlJc w:val="left"/>
      <w:lvlText w:val="(%2)"/>
      <w:numFmt w:val="lowerRoman"/>
      <w:start w:val="1"/>
    </w:lvl>
  </w:abstractNum>
  <w:abstractNum w:abstractNumId="168">
    <w:nsid w:val="3494B2FB"/>
    <w:multiLevelType w:val="hybridMultilevel"/>
    <w:lvl w:ilvl="0">
      <w:lvlJc w:val="left"/>
      <w:lvlText w:val="(%1)"/>
      <w:numFmt w:val="lowerLetter"/>
      <w:start w:val="3"/>
    </w:lvl>
    <w:lvl w:ilvl="1">
      <w:lvlJc w:val="left"/>
      <w:lvlText w:val="(%2)"/>
      <w:numFmt w:val="lowerRoman"/>
      <w:start w:val="1"/>
    </w:lvl>
  </w:abstractNum>
  <w:abstractNum w:abstractNumId="169">
    <w:nsid w:val="B13A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170">
    <w:nsid w:val="64429599"/>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71">
    <w:nsid w:val="631F1690"/>
    <w:multiLevelType w:val="hybridMultilevel"/>
    <w:lvl w:ilvl="0">
      <w:lvlJc w:val="left"/>
      <w:lvlText w:val="(%1)"/>
      <w:numFmt w:val="decimal"/>
      <w:start w:val="90"/>
    </w:lvl>
    <w:lvl w:ilvl="1">
      <w:lvlJc w:val="left"/>
      <w:lvlText w:val="%2."/>
      <w:numFmt w:val="decimal"/>
      <w:start w:val="9"/>
    </w:lvl>
    <w:lvl w:ilvl="2">
      <w:lvlJc w:val="left"/>
      <w:lvlText w:val="%3"/>
      <w:numFmt w:val="lowerLetter"/>
      <w:start w:val="1"/>
    </w:lvl>
  </w:abstractNum>
  <w:abstractNum w:abstractNumId="172">
    <w:nsid w:val="25973E32"/>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abstractNum w:abstractNumId="173">
    <w:nsid w:val="EAD6F57"/>
    <w:multiLevelType w:val="hybridMultilevel"/>
    <w:lvl w:ilvl="0">
      <w:lvlJc w:val="left"/>
      <w:lvlText w:val="(%1)"/>
      <w:numFmt w:val="lowerLetter"/>
      <w:start w:val="3"/>
    </w:lvl>
  </w:abstractNum>
  <w:abstractNum w:abstractNumId="174">
    <w:nsid w:val="6EC9D844"/>
    <w:multiLevelType w:val="hybridMultilevel"/>
    <w:lvl w:ilvl="0">
      <w:lvlJc w:val="left"/>
      <w:lvlText w:val="%1"/>
      <w:numFmt w:val="decimal"/>
      <w:start w:val="1"/>
    </w:lvl>
    <w:lvl w:ilvl="1">
      <w:lvlJc w:val="left"/>
      <w:lvlText w:val="(%2)"/>
      <w:numFmt w:val="lowerLetter"/>
      <w:start w:val="5"/>
    </w:lvl>
  </w:abstractNum>
  <w:abstractNum w:abstractNumId="175">
    <w:nsid w:val="5C49EAEE"/>
    <w:multiLevelType w:val="hybridMultilevel"/>
    <w:lvl w:ilvl="0">
      <w:lvlJc w:val="left"/>
      <w:lvlText w:val="%1."/>
      <w:numFmt w:val="decimal"/>
      <w:start w:val="11"/>
    </w:lvl>
    <w:lvl w:ilvl="1">
      <w:lvlJc w:val="left"/>
      <w:lvlText w:val="(%2)"/>
      <w:numFmt w:val="lowerLetter"/>
      <w:start w:val="1"/>
    </w:lvl>
  </w:abstractNum>
  <w:abstractNum w:abstractNumId="176">
    <w:nsid w:val="64AF49B"/>
    <w:multiLevelType w:val="hybridMultilevel"/>
    <w:lvl w:ilvl="0">
      <w:lvlJc w:val="left"/>
      <w:lvlText w:val="(%1)"/>
      <w:numFmt w:val="lowerLetter"/>
      <w:start w:val="7"/>
    </w:lvl>
  </w:abstractNum>
  <w:abstractNum w:abstractNumId="177">
    <w:nsid w:val="397C46BC"/>
    <w:multiLevelType w:val="hybridMultilevel"/>
    <w:lvl w:ilvl="0">
      <w:lvlJc w:val="left"/>
      <w:lvlText w:val="%1."/>
      <w:numFmt w:val="decimal"/>
      <w:start w:val="1"/>
    </w:lvl>
  </w:abstractNum>
  <w:abstractNum w:abstractNumId="178">
    <w:nsid w:val="7E448DE9"/>
    <w:multiLevelType w:val="hybridMultilevel"/>
    <w:lvl w:ilvl="0">
      <w:lvlJc w:val="left"/>
      <w:lvlText w:val="(%1)"/>
      <w:numFmt w:val="lowerLetter"/>
      <w:start w:val="1"/>
    </w:lvl>
  </w:abstractNum>
  <w:abstractNum w:abstractNumId="179">
    <w:nsid w:val="5A9CC3E5"/>
    <w:multiLevelType w:val="hybridMultilevel"/>
    <w:lvl w:ilvl="0">
      <w:lvlJc w:val="left"/>
      <w:lvlText w:val="(%1)"/>
      <w:numFmt w:val="lowerLetter"/>
      <w:start w:val="5"/>
    </w:lvl>
  </w:abstractNum>
  <w:abstractNum w:abstractNumId="180">
    <w:nsid w:val="1AFE3625"/>
    <w:multiLevelType w:val="hybridMultilevel"/>
    <w:lvl w:ilvl="0">
      <w:lvlJc w:val="left"/>
      <w:lvlText w:val="%1"/>
      <w:numFmt w:val="lowerLetter"/>
      <w:start w:val="1"/>
    </w:lvl>
    <w:lvl w:ilvl="1">
      <w:lvlJc w:val="left"/>
      <w:lvlText w:val="%2."/>
      <w:numFmt w:val="decimal"/>
      <w:start w:val="4"/>
    </w:lvl>
  </w:abstractNum>
  <w:abstractNum w:abstractNumId="181">
    <w:nsid w:val="3CA88ECF"/>
    <w:multiLevelType w:val="hybridMultilevel"/>
    <w:lvl w:ilvl="0">
      <w:lvlJc w:val="left"/>
      <w:lvlText w:val="(%1)"/>
      <w:numFmt w:val="lowerLetter"/>
      <w:start w:val="1"/>
    </w:lvl>
    <w:lvl w:ilvl="1">
      <w:lvlJc w:val="left"/>
      <w:lvlText w:val="%2"/>
      <w:numFmt w:val="decimal"/>
      <w:start w:val="1"/>
    </w:lvl>
  </w:abstractNum>
  <w:abstractNum w:abstractNumId="182">
    <w:nsid w:val="6EBE4208"/>
    <w:multiLevelType w:val="hybridMultilevel"/>
    <w:lvl w:ilvl="0">
      <w:lvlJc w:val="left"/>
      <w:lvlText w:val="%1."/>
      <w:numFmt w:val="decimal"/>
      <w:start w:val="6"/>
    </w:lvl>
  </w:abstractNum>
  <w:abstractNum w:abstractNumId="183">
    <w:nsid w:val="C058DF5"/>
    <w:multiLevelType w:val="hybridMultilevel"/>
    <w:lvl w:ilvl="0">
      <w:lvlJc w:val="left"/>
      <w:lvlText w:val="%1."/>
      <w:numFmt w:val="decimal"/>
      <w:start w:val="7"/>
    </w:lvl>
  </w:abstractNum>
  <w:abstractNum w:abstractNumId="184">
    <w:nsid w:val="CBE5BE9"/>
    <w:multiLevelType w:val="hybridMultilevel"/>
    <w:lvl w:ilvl="0">
      <w:lvlJc w:val="left"/>
      <w:lvlText w:val="%1"/>
      <w:numFmt w:val="lowerLetter"/>
      <w:start w:val="1"/>
    </w:lvl>
    <w:lvl w:ilvl="1">
      <w:lvlJc w:val="left"/>
      <w:lvlText w:val="%2."/>
      <w:numFmt w:val="decimal"/>
      <w:start w:val="12"/>
    </w:lvl>
  </w:abstractNum>
  <w:abstractNum w:abstractNumId="185">
    <w:nsid w:val="3102BBE2"/>
    <w:multiLevelType w:val="hybridMultilevel"/>
    <w:lvl w:ilvl="0">
      <w:lvlJc w:val="left"/>
      <w:lvlText w:val="(%1)"/>
      <w:numFmt w:val="lowerLetter"/>
      <w:start w:val="2"/>
    </w:lvl>
    <w:lvl w:ilvl="1">
      <w:lvlJc w:val="left"/>
      <w:lvlText w:val="%2."/>
      <w:numFmt w:val="decimal"/>
      <w:start w:val="14"/>
    </w:lvl>
  </w:abstractNum>
  <w:abstractNum w:abstractNumId="186">
    <w:nsid w:val="26A02C5E"/>
    <w:multiLevelType w:val="hybridMultilevel"/>
    <w:lvl w:ilvl="0">
      <w:lvlJc w:val="left"/>
      <w:lvlText w:val="%1."/>
      <w:numFmt w:val="decimal"/>
      <w:start w:val="17"/>
    </w:lvl>
  </w:abstractNum>
  <w:abstractNum w:abstractNumId="187">
    <w:nsid w:val="541C8153"/>
    <w:multiLevelType w:val="hybridMultilevel"/>
    <w:lvl w:ilvl="0">
      <w:lvlJc w:val="left"/>
      <w:lvlText w:val="%1."/>
      <w:numFmt w:val="decimal"/>
      <w:start w:val="23"/>
    </w:lvl>
  </w:abstractNum>
  <w:abstractNum w:abstractNumId="188">
    <w:nsid w:val="67906F60"/>
    <w:multiLevelType w:val="hybridMultilevel"/>
    <w:lvl w:ilvl="0">
      <w:lvlJc w:val="left"/>
      <w:lvlText w:val="%1."/>
      <w:numFmt w:val="decimal"/>
      <w:start w:val="24"/>
    </w:lvl>
    <w:lvl w:ilvl="1">
      <w:lvlJc w:val="left"/>
      <w:lvlText w:val="(%2)"/>
      <w:numFmt w:val="lowerLetter"/>
      <w:start w:val="1"/>
    </w:lvl>
  </w:abstractNum>
  <w:abstractNum w:abstractNumId="189">
    <w:nsid w:val="10DB9DAA"/>
    <w:multiLevelType w:val="hybridMultilevel"/>
    <w:lvl w:ilvl="0">
      <w:lvlJc w:val="left"/>
      <w:lvlText w:val="(%1)"/>
      <w:numFmt w:val="lowerLetter"/>
      <w:start w:val="2"/>
    </w:lvl>
  </w:abstractNum>
  <w:abstractNum w:abstractNumId="190">
    <w:nsid w:val="697D2D2"/>
    <w:multiLevelType w:val="hybridMultilevel"/>
    <w:lvl w:ilvl="0">
      <w:lvlJc w:val="left"/>
      <w:lvlText w:val="%1."/>
      <w:numFmt w:val="decimal"/>
      <w:start w:val="1"/>
    </w:lvl>
  </w:abstractNum>
  <w:abstractNum w:abstractNumId="191">
    <w:nsid w:val="6D68AB2"/>
    <w:multiLevelType w:val="hybridMultilevel"/>
    <w:lvl w:ilvl="0">
      <w:lvlJc w:val="left"/>
      <w:lvlText w:val="%1."/>
      <w:numFmt w:val="decimal"/>
      <w:start w:val="3"/>
    </w:lvl>
  </w:abstractNum>
  <w:abstractNum w:abstractNumId="192">
    <w:nsid w:val="3A966CD0"/>
    <w:multiLevelType w:val="hybridMultilevel"/>
    <w:lvl w:ilvl="0">
      <w:lvlJc w:val="left"/>
      <w:lvlText w:val="%1)"/>
      <w:numFmt w:val="lowerLetter"/>
      <w:start w:val="1"/>
    </w:lvl>
  </w:abstractNum>
  <w:abstractNum w:abstractNumId="193">
    <w:nsid w:val="63F37E85"/>
    <w:multiLevelType w:val="hybridMultilevel"/>
    <w:lvl w:ilvl="0">
      <w:lvlJc w:val="left"/>
      <w:lvlText w:val="%1)"/>
      <w:numFmt w:val="lowerLetter"/>
      <w:start w:val="2"/>
    </w:lvl>
  </w:abstractNum>
  <w:abstractNum w:abstractNumId="194">
    <w:nsid w:val="5895F5FA"/>
    <w:multiLevelType w:val="hybridMultilevel"/>
    <w:lvl w:ilvl="0">
      <w:lvlJc w:val="left"/>
      <w:lvlText w:val="%1)"/>
      <w:numFmt w:val="lowerLetter"/>
      <w:start w:val="3"/>
    </w:lvl>
  </w:abstractNum>
  <w:abstractNum w:abstractNumId="195">
    <w:nsid w:val="38A5D054"/>
    <w:multiLevelType w:val="hybridMultilevel"/>
    <w:lvl w:ilvl="0">
      <w:lvlJc w:val="left"/>
      <w:lvlText w:val="%1."/>
      <w:numFmt w:val="decimal"/>
      <w:start w:val="5"/>
    </w:lvl>
    <w:lvl w:ilvl="1">
      <w:lvlJc w:val="left"/>
      <w:lvlText w:val="%2)"/>
      <w:numFmt w:val="lowerLetter"/>
      <w:start w:val="1"/>
    </w:lvl>
  </w:abstractNum>
  <w:abstractNum w:abstractNumId="196">
    <w:nsid w:val="F3F09D8"/>
    <w:multiLevelType w:val="hybridMultilevel"/>
    <w:lvl w:ilvl="0">
      <w:lvlJc w:val="left"/>
      <w:lvlText w:val="%1."/>
      <w:numFmt w:val="decimal"/>
      <w:start w:val="1"/>
    </w:lvl>
  </w:abstractNum>
  <w:abstractNum w:abstractNumId="197">
    <w:nsid w:val="4B793735"/>
    <w:multiLevelType w:val="hybridMultilevel"/>
    <w:lvl w:ilvl="0">
      <w:lvlJc w:val="left"/>
      <w:lvlText w:val="%1."/>
      <w:numFmt w:val="decimal"/>
      <w:start w:val="3"/>
    </w:lvl>
  </w:abstractNum>
  <w:abstractNum w:abstractNumId="198">
    <w:nsid w:val="4A10B4E8"/>
    <w:multiLevelType w:val="hybridMultilevel"/>
    <w:lvl w:ilvl="0">
      <w:lvlJc w:val="left"/>
      <w:lvlText w:val="%1)"/>
      <w:numFmt w:val="lowerLetter"/>
      <w:start w:val="1"/>
    </w:lvl>
  </w:abstractNum>
  <w:abstractNum w:abstractNumId="199">
    <w:nsid w:val="43D3BCD4"/>
    <w:multiLevelType w:val="hybridMultilevel"/>
    <w:lvl w:ilvl="0">
      <w:lvlJc w:val="left"/>
      <w:lvlText w:val="%1)"/>
      <w:numFmt w:val="lowerLetter"/>
      <w:start w:val="2"/>
    </w:lvl>
  </w:abstractNum>
  <w:abstractNum w:abstractNumId="200">
    <w:nsid w:val="4C2A7166"/>
    <w:multiLevelType w:val="hybridMultilevel"/>
    <w:lvl w:ilvl="0">
      <w:lvlJc w:val="left"/>
      <w:lvlText w:val="%1)"/>
      <w:numFmt w:val="lowerLetter"/>
      <w:start w:val="3"/>
    </w:lvl>
  </w:abstractNum>
  <w:abstractNum w:abstractNumId="201">
    <w:nsid w:val="2E534A82"/>
    <w:multiLevelType w:val="hybridMultilevel"/>
    <w:lvl w:ilvl="0">
      <w:lvlJc w:val="left"/>
      <w:lvlText w:val="%1."/>
      <w:numFmt w:val="decimal"/>
      <w:start w:val="5"/>
    </w:lvl>
    <w:lvl w:ilvl="1">
      <w:lvlJc w:val="left"/>
      <w:lvlText w:val="%2)"/>
      <w:numFmt w:val="lowerLetter"/>
      <w:start w:val="1"/>
    </w:lvl>
  </w:abstractNum>
  <w:abstractNum w:abstractNumId="202">
    <w:nsid w:val="26F2D364"/>
    <w:multiLevelType w:val="hybridMultilevel"/>
    <w:lvl w:ilvl="0">
      <w:lvlJc w:val="left"/>
      <w:lvlText w:val="(%1)"/>
      <w:numFmt w:val="decimal"/>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2019-12-28T09:52:41Z</dcterms:created>
  <dcterms:modified xsi:type="dcterms:W3CDTF">2019-12-28T09:52:41Z</dcterms:modified>
</cp:coreProperties>
</file>