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79" w:lineRule="exact"/>
        <w:rPr>
          <w:sz w:val="24"/>
          <w:szCs w:val="24"/>
          <w:color w:val="auto"/>
        </w:rPr>
      </w:pPr>
    </w:p>
    <w:p>
      <w:pPr>
        <w:jc w:val="center"/>
        <w:ind w:right="-110"/>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Date of Report (Date of earliest event reported): February 25, 2019</w:t>
      </w:r>
    </w:p>
    <w:p>
      <w:pPr>
        <w:spacing w:after="0" w:line="255" w:lineRule="exact"/>
        <w:rPr>
          <w:sz w:val="24"/>
          <w:szCs w:val="24"/>
          <w:color w:val="auto"/>
        </w:rPr>
      </w:pPr>
    </w:p>
    <w:p>
      <w:pPr>
        <w:jc w:val="center"/>
        <w:ind w:right="-110"/>
        <w:spacing w:after="0"/>
        <w:rPr>
          <w:sz w:val="20"/>
          <w:szCs w:val="20"/>
          <w:color w:val="auto"/>
        </w:rPr>
      </w:pPr>
      <w:r>
        <w:rPr>
          <w:rFonts w:ascii="Arial" w:cs="Arial" w:eastAsia="Arial" w:hAnsi="Arial"/>
          <w:sz w:val="36"/>
          <w:szCs w:val="36"/>
          <w:b w:val="1"/>
          <w:bCs w:val="1"/>
          <w:color w:val="auto"/>
        </w:rPr>
        <w:t>VERACYTE, INC.</w:t>
      </w:r>
    </w:p>
    <w:p>
      <w:pPr>
        <w:spacing w:after="0" w:line="37" w:lineRule="exact"/>
        <w:rPr>
          <w:sz w:val="24"/>
          <w:szCs w:val="24"/>
          <w:color w:val="auto"/>
        </w:rPr>
      </w:pPr>
    </w:p>
    <w:p>
      <w:pPr>
        <w:jc w:val="center"/>
        <w:ind w:right="-110"/>
        <w:spacing w:after="0"/>
        <w:rPr>
          <w:sz w:val="20"/>
          <w:szCs w:val="20"/>
          <w:color w:val="auto"/>
        </w:rPr>
      </w:pPr>
      <w:r>
        <w:rPr>
          <w:rFonts w:ascii="Arial" w:cs="Arial" w:eastAsia="Arial" w:hAnsi="Arial"/>
          <w:sz w:val="19"/>
          <w:szCs w:val="19"/>
          <w:color w:val="auto"/>
        </w:rPr>
        <w:t>(Exact name of registrant as specified in its charter)</w:t>
      </w:r>
    </w:p>
    <w:p>
      <w:pPr>
        <w:spacing w:after="0" w:line="364" w:lineRule="exact"/>
        <w:rPr>
          <w:sz w:val="24"/>
          <w:szCs w:val="24"/>
          <w:color w:val="auto"/>
        </w:rPr>
      </w:pPr>
    </w:p>
    <w:tbl>
      <w:tblPr>
        <w:tblLayout w:type="fixed"/>
        <w:tblInd w:w="771" w:type="dxa"/>
        <w:tblCellMar>
          <w:top w:w="0" w:type="dxa"/>
          <w:left w:w="0" w:type="dxa"/>
          <w:bottom w:w="0" w:type="dxa"/>
          <w:right w:w="0" w:type="dxa"/>
        </w:tblCellMar>
      </w:tblPr>
      <w:tr>
        <w:trPr>
          <w:trHeight w:val="234"/>
        </w:trPr>
        <w:tc>
          <w:tcPr>
            <w:tcW w:w="302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DELAWARE</w:t>
            </w:r>
          </w:p>
        </w:tc>
        <w:tc>
          <w:tcPr>
            <w:tcW w:w="3720" w:type="dxa"/>
            <w:vAlign w:val="bottom"/>
          </w:tcPr>
          <w:p>
            <w:pPr>
              <w:jc w:val="right"/>
              <w:ind w:right="1370"/>
              <w:spacing w:after="0"/>
              <w:rPr>
                <w:sz w:val="20"/>
                <w:szCs w:val="20"/>
                <w:color w:val="auto"/>
              </w:rPr>
            </w:pPr>
            <w:r>
              <w:rPr>
                <w:rFonts w:ascii="Arial" w:cs="Arial" w:eastAsia="Arial" w:hAnsi="Arial"/>
                <w:sz w:val="18"/>
                <w:szCs w:val="18"/>
                <w:b w:val="1"/>
                <w:bCs w:val="1"/>
                <w:color w:val="auto"/>
              </w:rPr>
              <w:t>001-36156</w:t>
            </w:r>
          </w:p>
        </w:tc>
        <w:tc>
          <w:tcPr>
            <w:tcW w:w="3040" w:type="dxa"/>
            <w:vAlign w:val="bottom"/>
          </w:tcPr>
          <w:p>
            <w:pPr>
              <w:jc w:val="center"/>
              <w:ind w:left="850"/>
              <w:spacing w:after="0"/>
              <w:rPr>
                <w:sz w:val="20"/>
                <w:szCs w:val="20"/>
                <w:color w:val="auto"/>
              </w:rPr>
            </w:pPr>
            <w:r>
              <w:rPr>
                <w:rFonts w:ascii="Arial" w:cs="Arial" w:eastAsia="Arial" w:hAnsi="Arial"/>
                <w:sz w:val="18"/>
                <w:szCs w:val="18"/>
                <w:b w:val="1"/>
                <w:bCs w:val="1"/>
                <w:color w:val="auto"/>
                <w:w w:val="89"/>
              </w:rPr>
              <w:t>20-5455398</w:t>
            </w:r>
          </w:p>
        </w:tc>
      </w:tr>
      <w:tr>
        <w:trPr>
          <w:trHeight w:val="31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2"/>
              </w:rPr>
              <w:t>(State or other jurisdiction of</w:t>
            </w:r>
          </w:p>
        </w:tc>
        <w:tc>
          <w:tcPr>
            <w:tcW w:w="372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3020" w:type="dxa"/>
            <w:vAlign w:val="bottom"/>
          </w:tcPr>
          <w:p>
            <w:pPr>
              <w:jc w:val="center"/>
              <w:ind w:right="850"/>
              <w:spacing w:after="0"/>
              <w:rPr>
                <w:sz w:val="20"/>
                <w:szCs w:val="20"/>
                <w:color w:val="auto"/>
              </w:rPr>
            </w:pPr>
            <w:r>
              <w:rPr>
                <w:rFonts w:ascii="Arial" w:cs="Arial" w:eastAsia="Arial" w:hAnsi="Arial"/>
                <w:sz w:val="18"/>
                <w:szCs w:val="18"/>
                <w:color w:val="auto"/>
                <w:w w:val="94"/>
              </w:rPr>
              <w:t>incorporation)</w:t>
            </w:r>
          </w:p>
        </w:tc>
        <w:tc>
          <w:tcPr>
            <w:tcW w:w="372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Arial" w:cs="Arial" w:eastAsia="Arial" w:hAnsi="Arial"/>
                <w:sz w:val="18"/>
                <w:szCs w:val="18"/>
                <w:color w:val="auto"/>
                <w:w w:val="99"/>
              </w:rPr>
              <w:t>No.)</w:t>
            </w:r>
          </w:p>
        </w:tc>
      </w:tr>
      <w:tr>
        <w:trPr>
          <w:trHeight w:val="648"/>
        </w:trPr>
        <w:tc>
          <w:tcPr>
            <w:tcW w:w="6740" w:type="dxa"/>
            <w:vAlign w:val="bottom"/>
            <w:gridSpan w:val="2"/>
          </w:tcPr>
          <w:p>
            <w:pPr>
              <w:jc w:val="center"/>
              <w:ind w:right="1510"/>
              <w:spacing w:after="0"/>
              <w:rPr>
                <w:sz w:val="20"/>
                <w:szCs w:val="20"/>
                <w:color w:val="auto"/>
              </w:rPr>
            </w:pPr>
            <w:r>
              <w:rPr>
                <w:rFonts w:ascii="Arial" w:cs="Arial" w:eastAsia="Arial" w:hAnsi="Arial"/>
                <w:sz w:val="18"/>
                <w:szCs w:val="18"/>
                <w:b w:val="1"/>
                <w:bCs w:val="1"/>
                <w:color w:val="auto"/>
                <w:w w:val="90"/>
              </w:rPr>
              <w:t>6000 Shoreline Court, Suite 300, South San Francisco, California</w:t>
            </w:r>
          </w:p>
        </w:tc>
        <w:tc>
          <w:tcPr>
            <w:tcW w:w="3040" w:type="dxa"/>
            <w:vAlign w:val="bottom"/>
          </w:tcPr>
          <w:p>
            <w:pPr>
              <w:jc w:val="right"/>
              <w:ind w:right="690"/>
              <w:spacing w:after="0"/>
              <w:rPr>
                <w:sz w:val="20"/>
                <w:szCs w:val="20"/>
                <w:color w:val="auto"/>
              </w:rPr>
            </w:pPr>
            <w:r>
              <w:rPr>
                <w:rFonts w:ascii="Arial" w:cs="Arial" w:eastAsia="Arial" w:hAnsi="Arial"/>
                <w:sz w:val="18"/>
                <w:szCs w:val="18"/>
                <w:b w:val="1"/>
                <w:bCs w:val="1"/>
                <w:color w:val="auto"/>
              </w:rPr>
              <w:t>94080</w:t>
            </w:r>
          </w:p>
        </w:tc>
      </w:tr>
      <w:tr>
        <w:trPr>
          <w:trHeight w:val="297"/>
        </w:trPr>
        <w:tc>
          <w:tcPr>
            <w:tcW w:w="6740" w:type="dxa"/>
            <w:vAlign w:val="bottom"/>
            <w:gridSpan w:val="2"/>
          </w:tcPr>
          <w:p>
            <w:pPr>
              <w:jc w:val="center"/>
              <w:ind w:right="1510"/>
              <w:spacing w:after="0"/>
              <w:rPr>
                <w:sz w:val="20"/>
                <w:szCs w:val="20"/>
                <w:color w:val="auto"/>
              </w:rPr>
            </w:pPr>
            <w:r>
              <w:rPr>
                <w:rFonts w:ascii="Arial" w:cs="Arial" w:eastAsia="Arial" w:hAnsi="Arial"/>
                <w:sz w:val="18"/>
                <w:szCs w:val="18"/>
                <w:color w:val="auto"/>
                <w:w w:val="92"/>
              </w:rPr>
              <w:t>(Address of principal executive offices)</w:t>
            </w:r>
          </w:p>
        </w:tc>
        <w:tc>
          <w:tcPr>
            <w:tcW w:w="304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252"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Arial" w:cs="Arial" w:eastAsia="Arial" w:hAnsi="Arial"/>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84" w:lineRule="exact"/>
        <w:rPr>
          <w:sz w:val="24"/>
          <w:szCs w:val="24"/>
          <w:color w:val="auto"/>
        </w:rPr>
      </w:pPr>
    </w:p>
    <w:p>
      <w:pPr>
        <w:ind w:left="51" w:right="360"/>
        <w:spacing w:after="0" w:line="274"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88" w:lineRule="exact"/>
        <w:rPr>
          <w:rFonts w:ascii="Arial" w:cs="Arial" w:eastAsia="Arial" w:hAnsi="Arial"/>
          <w:sz w:val="17"/>
          <w:szCs w:val="17"/>
          <w:color w:val="auto"/>
        </w:rPr>
      </w:pPr>
    </w:p>
    <w:p>
      <w:pPr>
        <w:ind w:left="631" w:hanging="631"/>
        <w:spacing w:after="0"/>
        <w:tabs>
          <w:tab w:leader="none" w:pos="631"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 w:lineRule="exact"/>
        <w:rPr>
          <w:sz w:val="24"/>
          <w:szCs w:val="24"/>
          <w:color w:val="auto"/>
        </w:rPr>
      </w:pPr>
    </w:p>
    <w:p>
      <w:pPr>
        <w:ind w:left="71"/>
        <w:spacing w:after="0"/>
        <w:rPr>
          <w:sz w:val="20"/>
          <w:szCs w:val="20"/>
          <w:color w:val="auto"/>
        </w:rPr>
      </w:pPr>
      <w:r>
        <w:rPr>
          <w:rFonts w:ascii="Arial" w:cs="Arial" w:eastAsia="Arial" w:hAnsi="Arial"/>
          <w:sz w:val="18"/>
          <w:szCs w:val="18"/>
          <w:color w:val="auto"/>
        </w:rPr>
        <w:t>Emerging growth company o</w:t>
      </w:r>
    </w:p>
    <w:p>
      <w:pPr>
        <w:spacing w:after="0" w:line="63" w:lineRule="exact"/>
        <w:rPr>
          <w:sz w:val="24"/>
          <w:szCs w:val="24"/>
          <w:color w:val="auto"/>
        </w:rPr>
      </w:pPr>
    </w:p>
    <w:p>
      <w:pPr>
        <w:ind w:left="7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327660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490855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2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February 25, 2019, Veracyte, Inc. issued a press release announcing its financial results for the quarter and year ended December 31, 2018. The full text of the press release is furnished as Exhibit 99.1 to this report.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Exhibit No.</w:t>
            </w:r>
          </w:p>
        </w:tc>
        <w:tc>
          <w:tcPr>
            <w:tcW w:w="9840" w:type="dxa"/>
            <w:vAlign w:val="bottom"/>
            <w:gridSpan w:val="2"/>
          </w:tcPr>
          <w:p>
            <w:pPr>
              <w:ind w:left="446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58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5320" w:type="dxa"/>
            <w:vAlign w:val="bottom"/>
            <w:tcBorders>
              <w:bottom w:val="single" w:sz="8" w:color="auto"/>
            </w:tcBorders>
          </w:tcPr>
          <w:p>
            <w:pPr>
              <w:spacing w:after="0"/>
              <w:rPr>
                <w:sz w:val="4"/>
                <w:szCs w:val="4"/>
                <w:color w:val="auto"/>
              </w:rPr>
            </w:pPr>
          </w:p>
        </w:tc>
      </w:tr>
      <w:tr>
        <w:trPr>
          <w:trHeight w:val="493"/>
        </w:trPr>
        <w:tc>
          <w:tcPr>
            <w:tcW w:w="1580" w:type="dxa"/>
            <w:vAlign w:val="bottom"/>
          </w:tcPr>
          <w:p>
            <w:pPr>
              <w:jc w:val="right"/>
              <w:ind w:right="630"/>
              <w:spacing w:after="0"/>
              <w:rPr>
                <w:sz w:val="20"/>
                <w:szCs w:val="20"/>
                <w:color w:val="auto"/>
              </w:rPr>
            </w:pPr>
            <w:r>
              <w:rPr>
                <w:rFonts w:ascii="Arial" w:cs="Arial" w:eastAsia="Arial" w:hAnsi="Arial"/>
                <w:sz w:val="18"/>
                <w:szCs w:val="18"/>
                <w:color w:val="auto"/>
              </w:rPr>
              <w:t>99.1</w:t>
            </w:r>
          </w:p>
        </w:tc>
        <w:tc>
          <w:tcPr>
            <w:tcW w:w="984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issued by Veracyte, Inc. dated February 25, 2019.</w:t>
              </w:r>
            </w:hyperlink>
          </w:p>
        </w:tc>
      </w:tr>
      <w:tr>
        <w:trPr>
          <w:trHeight w:val="20"/>
        </w:trPr>
        <w:tc>
          <w:tcPr>
            <w:tcW w:w="158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37"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February 25, 2019</w:t>
      </w:r>
    </w:p>
    <w:p>
      <w:pPr>
        <w:spacing w:after="0" w:line="387"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6200" w:type="dxa"/>
            <w:vAlign w:val="bottom"/>
          </w:tcPr>
          <w:p>
            <w:pPr>
              <w:ind w:left="80"/>
              <w:spacing w:after="0"/>
              <w:rPr>
                <w:sz w:val="20"/>
                <w:szCs w:val="20"/>
                <w:color w:val="auto"/>
              </w:rPr>
            </w:pPr>
            <w:r>
              <w:rPr>
                <w:rFonts w:ascii="Arial" w:cs="Arial" w:eastAsia="Arial" w:hAnsi="Arial"/>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Arial" w:cs="Arial" w:eastAsia="Arial" w:hAnsi="Arial"/>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Arial" w:cs="Arial" w:eastAsia="Arial" w:hAnsi="Arial"/>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80"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157480</wp:posOffset>
            </wp:positionV>
            <wp:extent cx="1166495" cy="87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Announces Fourth Quarter and Full-Year 2018 Financial Results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 Provides 2019 Financial Outlook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2018 Revenue Grew 28% to $92 million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Three Commercial Products and Biopharma Collaborations to Drive Growth in 2019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Company to Host Conference Call and Webcast Today at 5:00 p.m. ET</w:t>
      </w:r>
    </w:p>
    <w:p>
      <w:pPr>
        <w:spacing w:after="0" w:line="200" w:lineRule="exact"/>
        <w:rPr>
          <w:sz w:val="20"/>
          <w:szCs w:val="20"/>
          <w:color w:val="auto"/>
        </w:rPr>
      </w:pPr>
    </w:p>
    <w:p>
      <w:pPr>
        <w:spacing w:after="0" w:line="252"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SOUTH SAN FRANCISCO, Calif., February 25, 2019 --- Veracyte, Inc. (Nasdaq: VCYT) today announced financial results and business progress for the quarter and full year ended December 31, 2018, and provided financial guidance for 2019.</w:t>
      </w:r>
    </w:p>
    <w:p>
      <w:pPr>
        <w:spacing w:after="0" w:line="20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“We delivered exceptional growth in 2018 and are off to a strong start in 2019,” said Bonnie Anderson, Veracyte’s chairman and chief executive officer. “Our 2018 performance was driven by several factors. Our Afirma GSC and Xpression Atlas launch broadened our thyroid offering to inform both diagnosis and treatment decisions, and the first full year of Percepta classifier adoption was strong with the fourth quarter acceleration in growth positioning us for a strong 2019. Clearly, our multi-product sales strategy that is designed to give us the leverage we need to be a profitable enterprise is working.”</w:t>
      </w:r>
    </w:p>
    <w:p>
      <w:pPr>
        <w:spacing w:after="0" w:line="20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Anderson added, “In 2018, we also entered into biopharmaceutical collaborations with Loxo Oncology and Johnson &amp; Johnson Innovation and the Johnson &amp; Johnson Lung Cancer Initiative that recognize the value of our novel scientific platform and can help advance our pipeline. As we look to 2019 and beyond, we believe we are well-positioned for continued success as we further increase the number of patients whose lives can be improved by our innovative tests.”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Full-Year 2018 Financial Results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For the three- and twelve-month periods ended December 31, 2018, compared to the prior year:</w:t>
      </w:r>
    </w:p>
    <w:p>
      <w:pPr>
        <w:spacing w:after="0" w:line="196" w:lineRule="exact"/>
        <w:rPr>
          <w:sz w:val="20"/>
          <w:szCs w:val="20"/>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Revenue </w:t>
      </w:r>
      <w:r>
        <w:rPr>
          <w:rFonts w:ascii="Arial" w:cs="Arial" w:eastAsia="Arial" w:hAnsi="Arial"/>
          <w:sz w:val="20"/>
          <w:szCs w:val="20"/>
          <w:color w:val="auto"/>
        </w:rPr>
        <w:t>was $25.8 million and $92.0 million, respectively, an increase of 31% and 28%;</w:t>
      </w:r>
    </w:p>
    <w:p>
      <w:pPr>
        <w:spacing w:after="0" w:line="19" w:lineRule="exact"/>
        <w:rPr>
          <w:rFonts w:ascii="Arial" w:cs="Arial" w:eastAsia="Arial" w:hAnsi="Arial"/>
          <w:sz w:val="18"/>
          <w:szCs w:val="18"/>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Gross Margin </w:t>
      </w:r>
      <w:r>
        <w:rPr>
          <w:rFonts w:ascii="Arial" w:cs="Arial" w:eastAsia="Arial" w:hAnsi="Arial"/>
          <w:sz w:val="20"/>
          <w:szCs w:val="20"/>
          <w:color w:val="auto"/>
        </w:rPr>
        <w:t>was 66% and 64%, respectively, an increase of 6% and 3%;</w:t>
      </w:r>
    </w:p>
    <w:p>
      <w:pPr>
        <w:ind w:left="500" w:right="40" w:hanging="330"/>
        <w:spacing w:after="0" w:line="23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Operating Expenses, Excluding Cost of Revenue, </w:t>
      </w:r>
      <w:r>
        <w:rPr>
          <w:rFonts w:ascii="Arial" w:cs="Arial" w:eastAsia="Arial" w:hAnsi="Arial"/>
          <w:sz w:val="20"/>
          <w:szCs w:val="20"/>
          <w:color w:val="auto"/>
        </w:rPr>
        <w:t>were $20.1 million and $81.2 million, respectively, an increase of 12% and</w:t>
      </w:r>
      <w:r>
        <w:rPr>
          <w:rFonts w:ascii="Arial" w:cs="Arial" w:eastAsia="Arial" w:hAnsi="Arial"/>
          <w:sz w:val="20"/>
          <w:szCs w:val="20"/>
          <w:i w:val="1"/>
          <w:iCs w:val="1"/>
          <w:color w:val="auto"/>
        </w:rPr>
        <w:t xml:space="preserve"> </w:t>
      </w:r>
      <w:r>
        <w:rPr>
          <w:rFonts w:ascii="Arial" w:cs="Arial" w:eastAsia="Arial" w:hAnsi="Arial"/>
          <w:sz w:val="20"/>
          <w:szCs w:val="20"/>
          <w:color w:val="auto"/>
        </w:rPr>
        <w:t>15%;</w:t>
      </w:r>
    </w:p>
    <w:p>
      <w:pPr>
        <w:spacing w:after="0" w:line="1" w:lineRule="exact"/>
        <w:rPr>
          <w:rFonts w:ascii="Arial" w:cs="Arial" w:eastAsia="Arial" w:hAnsi="Arial"/>
          <w:sz w:val="18"/>
          <w:szCs w:val="18"/>
          <w:color w:val="auto"/>
        </w:rPr>
      </w:pP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Net Loss and Comprehensive Loss </w:t>
      </w:r>
      <w:r>
        <w:rPr>
          <w:rFonts w:ascii="Arial" w:cs="Arial" w:eastAsia="Arial" w:hAnsi="Arial"/>
          <w:sz w:val="20"/>
          <w:szCs w:val="20"/>
          <w:color w:val="auto"/>
        </w:rPr>
        <w:t>was ($3.1) million and ($23.0) million, respectively, an improvement of 63% and 26%;</w:t>
      </w: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Basic and Diluted Net Loss Per Common Share </w:t>
      </w:r>
      <w:r>
        <w:rPr>
          <w:rFonts w:ascii="Arial" w:cs="Arial" w:eastAsia="Arial" w:hAnsi="Arial"/>
          <w:sz w:val="20"/>
          <w:szCs w:val="20"/>
          <w:color w:val="auto"/>
        </w:rPr>
        <w:t>was ($0.08) and ($0.62), respectively, an improvement of 67% and 32%;</w:t>
      </w: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Net Cash Used in Operating Activities </w:t>
      </w:r>
      <w:r>
        <w:rPr>
          <w:rFonts w:ascii="Arial" w:cs="Arial" w:eastAsia="Arial" w:hAnsi="Arial"/>
          <w:sz w:val="20"/>
          <w:szCs w:val="20"/>
          <w:color w:val="auto"/>
        </w:rPr>
        <w:t>was $1.2 million and $13.5 million, respectively, an improvement of 79% and 44%;</w:t>
      </w:r>
    </w:p>
    <w:p>
      <w:pPr>
        <w:ind w:left="500" w:hanging="330"/>
        <w:spacing w:after="0" w:line="191"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Cash Burn</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w:t>
      </w:r>
      <w:r>
        <w:rPr>
          <w:rFonts w:ascii="Arial" w:cs="Arial" w:eastAsia="Arial" w:hAnsi="Arial"/>
          <w:sz w:val="20"/>
          <w:szCs w:val="20"/>
          <w:color w:val="auto"/>
        </w:rPr>
        <w:t>was $1.7 million and $15.4 million, respectively, an improvement of 73% and 39%; and</w:t>
      </w:r>
    </w:p>
    <w:p>
      <w:pPr>
        <w:ind w:left="500" w:hanging="330"/>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 xml:space="preserve">Cash and Cash Equivalents </w:t>
      </w:r>
      <w:r>
        <w:rPr>
          <w:rFonts w:ascii="Arial" w:cs="Arial" w:eastAsia="Arial" w:hAnsi="Arial"/>
          <w:sz w:val="20"/>
          <w:szCs w:val="20"/>
          <w:color w:val="auto"/>
        </w:rPr>
        <w:t>were $78.0 million at December 31, 2018.</w:t>
      </w:r>
    </w:p>
    <w:p>
      <w:pPr>
        <w:sectPr>
          <w:pgSz w:w="11900" w:h="16838" w:orient="portrait"/>
          <w:cols w:equalWidth="0" w:num="1">
            <w:col w:w="11420"/>
          </w:cols>
          <w:pgMar w:left="240" w:top="576" w:right="239" w:bottom="1440" w:gutter="0" w:footer="0" w:header="0"/>
        </w:sectPr>
      </w:pPr>
    </w:p>
    <w:bookmarkStart w:id="4" w:name="page5"/>
    <w:bookmarkEnd w:id="4"/>
    <w:p>
      <w:pPr>
        <w:ind w:right="160"/>
        <w:spacing w:after="0" w:line="233"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8"/>
          <w:szCs w:val="18"/>
          <w:color w:val="auto"/>
        </w:rPr>
        <w:t>A reconciliation of net cash used in operating activities to cash burn has been provided in the financial statement tables included in this press release. An explanation of cash burn is also included below under “Non-GAAP Financial Measures.”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Full-Year and Recent Business Highlights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Commercial Expansion:</w:t>
      </w:r>
    </w:p>
    <w:p>
      <w:pPr>
        <w:spacing w:after="0" w:line="249" w:lineRule="exact"/>
        <w:rPr>
          <w:sz w:val="20"/>
          <w:szCs w:val="20"/>
          <w:color w:val="auto"/>
        </w:rPr>
      </w:pPr>
    </w:p>
    <w:p>
      <w:pPr>
        <w:ind w:left="560" w:right="480" w:hanging="417"/>
        <w:spacing w:after="0" w:line="239" w:lineRule="auto"/>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Grew total genomic test volume to 9,154 tests in the fourth quarter of 2018, representing 28% growth over 2017, which resulted in full-year 2018 growth of 22% over 2017, or 31,710 tests.</w:t>
      </w:r>
    </w:p>
    <w:p>
      <w:pPr>
        <w:spacing w:after="0" w:line="1" w:lineRule="exact"/>
        <w:rPr>
          <w:rFonts w:ascii="Arial" w:cs="Arial" w:eastAsia="Arial" w:hAnsi="Arial"/>
          <w:sz w:val="20"/>
          <w:szCs w:val="20"/>
          <w:color w:val="auto"/>
        </w:rPr>
      </w:pPr>
    </w:p>
    <w:p>
      <w:pPr>
        <w:ind w:left="560" w:right="340" w:hanging="417"/>
        <w:spacing w:after="0" w:line="239" w:lineRule="auto"/>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Transitioned all Afirma customers to the second-generation Afirma Genomic Sequencing Classifier (GSC) platform and launched the Afirma Xpression Atlas to provide a comprehensive solution that informs both thyroid cancer diagnosis and treatment decisions. Notably, 30% of Afirma GSC orders included Xpression Atlas in 2018, ahead of the company’s expectations.</w:t>
      </w:r>
    </w:p>
    <w:p>
      <w:pPr>
        <w:spacing w:after="0" w:line="2" w:lineRule="exact"/>
        <w:rPr>
          <w:rFonts w:ascii="Arial" w:cs="Arial" w:eastAsia="Arial" w:hAnsi="Arial"/>
          <w:sz w:val="20"/>
          <w:szCs w:val="20"/>
          <w:color w:val="auto"/>
        </w:rPr>
      </w:pPr>
    </w:p>
    <w:p>
      <w:pPr>
        <w:ind w:left="560" w:right="500" w:hanging="417"/>
        <w:spacing w:after="0" w:line="239" w:lineRule="auto"/>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Grew Percepta Bronchial Genomic Classifier volume to nearly 1,550 tests in its first full year of commercialization, with genomic volume accelerating 74% sequentially from the third quarter to the fourth quarter of 2018.</w:t>
      </w:r>
    </w:p>
    <w:p>
      <w:pPr>
        <w:spacing w:after="0" w:line="1" w:lineRule="exact"/>
        <w:rPr>
          <w:rFonts w:ascii="Arial" w:cs="Arial" w:eastAsia="Arial" w:hAnsi="Arial"/>
          <w:sz w:val="20"/>
          <w:szCs w:val="20"/>
          <w:color w:val="auto"/>
        </w:rPr>
      </w:pPr>
    </w:p>
    <w:p>
      <w:pPr>
        <w:ind w:left="560" w:right="540" w:hanging="417"/>
        <w:spacing w:after="0" w:line="243" w:lineRule="auto"/>
        <w:tabs>
          <w:tab w:leader="none" w:pos="5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Established 20 leading Early Access Program (EAP) sites across the United States for Envisia in 2018, addressing physician demand for patient access to the classifier which improves idiopathic pulmonary fibrosis (IPF) diagnosis and builds a solid foundation for the company to commercially expand it in 2019.</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Biopharmaceutical Collaborations</w:t>
      </w:r>
    </w:p>
    <w:p>
      <w:pPr>
        <w:spacing w:after="0" w:line="236" w:lineRule="exact"/>
        <w:rPr>
          <w:sz w:val="20"/>
          <w:szCs w:val="20"/>
          <w:color w:val="auto"/>
        </w:rPr>
      </w:pPr>
    </w:p>
    <w:p>
      <w:pPr>
        <w:ind w:left="560" w:right="40" w:hanging="322"/>
        <w:spacing w:after="0" w:line="239"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20"/>
          <w:szCs w:val="20"/>
          <w:color w:val="auto"/>
        </w:rPr>
        <w:t>Executed a long-term strategic collaboration with Johnson &amp; Johnson, LLC and Johnson &amp; Johnson’s Lung Cancer Initiative to advance diagnostics, including a nasal swab test, for early lung cancer detection. Veracyte estimates the combined monetary and non-monetary value of the collaboration to be more than $50 million. The company believes this collaboration expands its addressable lung cancer diagnostic market to a more than $30 billion global opportunity.</w:t>
      </w:r>
    </w:p>
    <w:p>
      <w:pPr>
        <w:spacing w:after="0" w:line="2" w:lineRule="exact"/>
        <w:rPr>
          <w:rFonts w:ascii="Arial" w:cs="Arial" w:eastAsia="Arial" w:hAnsi="Arial"/>
          <w:sz w:val="18"/>
          <w:szCs w:val="18"/>
          <w:color w:val="auto"/>
        </w:rPr>
      </w:pPr>
    </w:p>
    <w:p>
      <w:pPr>
        <w:jc w:val="both"/>
        <w:ind w:left="560" w:hanging="322"/>
        <w:spacing w:after="0" w:line="243"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20"/>
          <w:szCs w:val="20"/>
          <w:color w:val="auto"/>
        </w:rPr>
        <w:t>Entered into a research collaboration with Loxo Oncology, through which Loxo has access to data from Veracyte’s Afirma Xpression Atlas platform to help in its development of therapies for patients with genetically defined cancers, including thyroid cancer.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Reimbursement Progress:</w:t>
      </w:r>
    </w:p>
    <w:p>
      <w:pPr>
        <w:spacing w:after="0" w:line="236" w:lineRule="exact"/>
        <w:rPr>
          <w:sz w:val="20"/>
          <w:szCs w:val="20"/>
          <w:color w:val="auto"/>
        </w:rPr>
      </w:pPr>
    </w:p>
    <w:p>
      <w:pPr>
        <w:ind w:left="660" w:right="460" w:hanging="328"/>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20"/>
          <w:szCs w:val="20"/>
          <w:color w:val="auto"/>
        </w:rPr>
        <w:t>Received draft Medicare coverage for the Envisia Genomic Classifier through the MolDX program, with a final positive coverage decision expected in early 2019.</w:t>
      </w:r>
    </w:p>
    <w:p>
      <w:pPr>
        <w:spacing w:after="0" w:line="1" w:lineRule="exact"/>
        <w:rPr>
          <w:rFonts w:ascii="Arial" w:cs="Arial" w:eastAsia="Arial" w:hAnsi="Arial"/>
          <w:sz w:val="18"/>
          <w:szCs w:val="18"/>
          <w:color w:val="auto"/>
        </w:rPr>
      </w:pPr>
    </w:p>
    <w:p>
      <w:pPr>
        <w:ind w:left="660" w:right="680" w:hanging="328"/>
        <w:spacing w:after="0" w:line="247" w:lineRule="auto"/>
        <w:tabs>
          <w:tab w:leader="none" w:pos="660" w:val="left"/>
        </w:tabs>
        <w:numPr>
          <w:ilvl w:val="0"/>
          <w:numId w:val="5"/>
        </w:numPr>
        <w:rPr>
          <w:rFonts w:ascii="Arial" w:cs="Arial" w:eastAsia="Arial" w:hAnsi="Arial"/>
          <w:sz w:val="20"/>
          <w:szCs w:val="20"/>
          <w:color w:val="auto"/>
        </w:rPr>
      </w:pPr>
      <w:r>
        <w:rPr>
          <w:rFonts w:ascii="Arial" w:cs="Arial" w:eastAsia="Arial" w:hAnsi="Arial"/>
          <w:sz w:val="20"/>
          <w:szCs w:val="20"/>
          <w:color w:val="auto"/>
        </w:rPr>
        <w:t>Achieved in-network status as a service provider with the last of the major commercial health plans, which Veracyte believes will facilitate coverage and reimbursement for its Percepta and Envisia classifiers.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Evidence Development:</w:t>
      </w:r>
    </w:p>
    <w:p>
      <w:pPr>
        <w:spacing w:after="0" w:line="229" w:lineRule="exact"/>
        <w:rPr>
          <w:sz w:val="20"/>
          <w:szCs w:val="20"/>
          <w:color w:val="auto"/>
        </w:rPr>
      </w:pPr>
    </w:p>
    <w:p>
      <w:pPr>
        <w:ind w:left="660" w:right="120" w:hanging="328"/>
        <w:spacing w:after="0" w:line="24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222222"/>
        </w:rPr>
        <w:t xml:space="preserve">Afirma </w:t>
      </w:r>
      <w:r>
        <w:rPr>
          <w:rFonts w:ascii="Arial" w:cs="Arial" w:eastAsia="Arial" w:hAnsi="Arial"/>
          <w:sz w:val="20"/>
          <w:szCs w:val="20"/>
          <w:color w:val="222222"/>
        </w:rPr>
        <w:t>-</w:t>
      </w:r>
      <w:r>
        <w:rPr>
          <w:rFonts w:ascii="Arial" w:cs="Arial" w:eastAsia="Arial" w:hAnsi="Arial"/>
          <w:sz w:val="20"/>
          <w:szCs w:val="20"/>
          <w:b w:val="1"/>
          <w:bCs w:val="1"/>
          <w:color w:val="222222"/>
        </w:rPr>
        <w:t xml:space="preserve"> </w:t>
      </w:r>
      <w:r>
        <w:rPr>
          <w:rFonts w:ascii="Arial" w:cs="Arial" w:eastAsia="Arial" w:hAnsi="Arial"/>
          <w:sz w:val="20"/>
          <w:szCs w:val="20"/>
          <w:color w:val="000000"/>
        </w:rPr>
        <w:t>Published clinical validation data for the Afirma GSC in</w:t>
      </w:r>
      <w:r>
        <w:rPr>
          <w:rFonts w:ascii="Arial" w:cs="Arial" w:eastAsia="Arial" w:hAnsi="Arial"/>
          <w:sz w:val="20"/>
          <w:szCs w:val="20"/>
          <w:b w:val="1"/>
          <w:bCs w:val="1"/>
          <w:color w:val="222222"/>
        </w:rPr>
        <w:t xml:space="preserve"> </w:t>
      </w:r>
      <w:r>
        <w:rPr>
          <w:rFonts w:ascii="Arial" w:cs="Arial" w:eastAsia="Arial" w:hAnsi="Arial"/>
          <w:sz w:val="20"/>
          <w:szCs w:val="20"/>
          <w:i w:val="1"/>
          <w:iCs w:val="1"/>
          <w:color w:val="000000"/>
        </w:rPr>
        <w:t>JAMA Surgery</w:t>
      </w:r>
      <w:r>
        <w:rPr>
          <w:rFonts w:ascii="Arial" w:cs="Arial" w:eastAsia="Arial" w:hAnsi="Arial"/>
          <w:sz w:val="20"/>
          <w:szCs w:val="20"/>
          <w:color w:val="000000"/>
        </w:rPr>
        <w:t>, demonstrating the next-generation test’s</w:t>
      </w:r>
      <w:r>
        <w:rPr>
          <w:rFonts w:ascii="Arial" w:cs="Arial" w:eastAsia="Arial" w:hAnsi="Arial"/>
          <w:sz w:val="20"/>
          <w:szCs w:val="20"/>
          <w:b w:val="1"/>
          <w:bCs w:val="1"/>
          <w:color w:val="222222"/>
        </w:rPr>
        <w:t xml:space="preserve"> </w:t>
      </w:r>
      <w:r>
        <w:rPr>
          <w:rFonts w:ascii="Arial" w:cs="Arial" w:eastAsia="Arial" w:hAnsi="Arial"/>
          <w:sz w:val="20"/>
          <w:szCs w:val="20"/>
          <w:color w:val="000000"/>
        </w:rPr>
        <w:t>ability to help approximately 70% of patients with indeterminate thyroid nodules avoid unnecessary surgery. Presented 12 Afirma studies at three endocrinology conferences, including real-world data showing that the Afirma GSC is helping even more patients avoid unnecessary surgery than is suggested by the clinical validation study findings.</w:t>
      </w:r>
    </w:p>
    <w:p>
      <w:pPr>
        <w:spacing w:after="0" w:line="3" w:lineRule="exact"/>
        <w:rPr>
          <w:rFonts w:ascii="Arial" w:cs="Arial" w:eastAsia="Arial" w:hAnsi="Arial"/>
          <w:sz w:val="18"/>
          <w:szCs w:val="18"/>
          <w:color w:val="auto"/>
        </w:rPr>
      </w:pPr>
    </w:p>
    <w:p>
      <w:pPr>
        <w:ind w:left="660" w:right="260" w:hanging="328"/>
        <w:spacing w:after="0" w:line="23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Percepta </w:t>
      </w:r>
      <w:r>
        <w:rPr>
          <w:rFonts w:ascii="Arial" w:cs="Arial" w:eastAsia="Arial" w:hAnsi="Arial"/>
          <w:sz w:val="20"/>
          <w:szCs w:val="20"/>
          <w:color w:val="auto"/>
        </w:rPr>
        <w:t>- Presented early, interim results at the 2018 CHEST Annual Meeting from the ongoing registry clinical utility</w:t>
      </w:r>
      <w:r>
        <w:rPr>
          <w:rFonts w:ascii="Arial" w:cs="Arial" w:eastAsia="Arial" w:hAnsi="Arial"/>
          <w:sz w:val="20"/>
          <w:szCs w:val="20"/>
          <w:b w:val="1"/>
          <w:bCs w:val="1"/>
          <w:color w:val="auto"/>
        </w:rPr>
        <w:t xml:space="preserve"> </w:t>
      </w:r>
      <w:r>
        <w:rPr>
          <w:rFonts w:ascii="Arial" w:cs="Arial" w:eastAsia="Arial" w:hAnsi="Arial"/>
          <w:sz w:val="20"/>
          <w:szCs w:val="20"/>
          <w:color w:val="auto"/>
        </w:rPr>
        <w:t>study showing the test changed clinical decision-making and reduced invasive procedures at every evaluation time point up to 12 months post-testing.</w:t>
      </w:r>
    </w:p>
    <w:p>
      <w:pPr>
        <w:spacing w:after="0" w:line="1" w:lineRule="exact"/>
        <w:rPr>
          <w:rFonts w:ascii="Arial" w:cs="Arial" w:eastAsia="Arial" w:hAnsi="Arial"/>
          <w:sz w:val="18"/>
          <w:szCs w:val="18"/>
          <w:color w:val="auto"/>
        </w:rPr>
      </w:pPr>
    </w:p>
    <w:p>
      <w:pPr>
        <w:ind w:left="660" w:right="360" w:hanging="328"/>
        <w:spacing w:after="0" w:line="24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0"/>
          <w:szCs w:val="20"/>
          <w:b w:val="1"/>
          <w:bCs w:val="1"/>
          <w:color w:val="auto"/>
        </w:rPr>
        <w:t xml:space="preserve">Envisia </w:t>
      </w:r>
      <w:r>
        <w:rPr>
          <w:rFonts w:ascii="Arial" w:cs="Arial" w:eastAsia="Arial" w:hAnsi="Arial"/>
          <w:sz w:val="20"/>
          <w:szCs w:val="20"/>
          <w:color w:val="auto"/>
        </w:rPr>
        <w:t>- Published a study quantifying and qualifying the challenges in obtaining timely, accurate diagnosis of IPF and</w:t>
      </w:r>
      <w:r>
        <w:rPr>
          <w:rFonts w:ascii="Arial" w:cs="Arial" w:eastAsia="Arial" w:hAnsi="Arial"/>
          <w:sz w:val="20"/>
          <w:szCs w:val="20"/>
          <w:b w:val="1"/>
          <w:bCs w:val="1"/>
          <w:color w:val="auto"/>
        </w:rPr>
        <w:t xml:space="preserve"> </w:t>
      </w:r>
      <w:r>
        <w:rPr>
          <w:rFonts w:ascii="Arial" w:cs="Arial" w:eastAsia="Arial" w:hAnsi="Arial"/>
          <w:sz w:val="20"/>
          <w:szCs w:val="20"/>
          <w:color w:val="auto"/>
        </w:rPr>
        <w:t>other interstitial lung diseases, thus underscoring the clinical need for the</w:t>
      </w:r>
    </w:p>
    <w:p>
      <w:pPr>
        <w:sectPr>
          <w:pgSz w:w="11900" w:h="16838" w:orient="portrait"/>
          <w:cols w:equalWidth="0" w:num="1">
            <w:col w:w="11420"/>
          </w:cols>
          <w:pgMar w:left="240" w:top="595" w:right="239" w:bottom="1440" w:gutter="0" w:footer="0" w:header="0"/>
        </w:sectPr>
      </w:pPr>
    </w:p>
    <w:bookmarkStart w:id="5" w:name="page6"/>
    <w:bookmarkEnd w:id="5"/>
    <w:p>
      <w:pPr>
        <w:ind w:left="660" w:right="420"/>
        <w:spacing w:after="0" w:line="275" w:lineRule="auto"/>
        <w:rPr>
          <w:sz w:val="20"/>
          <w:szCs w:val="20"/>
          <w:color w:val="auto"/>
        </w:rPr>
      </w:pPr>
      <w:r>
        <w:rPr>
          <w:rFonts w:ascii="Arial" w:cs="Arial" w:eastAsia="Arial" w:hAnsi="Arial"/>
          <w:sz w:val="20"/>
          <w:szCs w:val="20"/>
          <w:color w:val="auto"/>
        </w:rPr>
        <w:t>Envisia classifier. Presented data at a leading pulmonology conference demonstrating the test’s ability to improve the diagnosis of IPF without the need for surgery.</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and Debt Facility:</w:t>
      </w:r>
    </w:p>
    <w:p>
      <w:pPr>
        <w:spacing w:after="0" w:line="236" w:lineRule="exact"/>
        <w:rPr>
          <w:sz w:val="20"/>
          <w:szCs w:val="20"/>
          <w:color w:val="auto"/>
        </w:rPr>
      </w:pPr>
    </w:p>
    <w:p>
      <w:pPr>
        <w:ind w:left="660" w:hanging="328"/>
        <w:spacing w:after="0" w:line="239"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In July 2018, Veracyte issued and sold 5,750,000 shares of common stock in a registered public offering, including the underwriters' exercise in full of their option to purchase an additional 750,000 shares, at a price to the public of $10.25 per share. Net proceeds from the offering were approximately $55.0 million.</w:t>
      </w:r>
    </w:p>
    <w:p>
      <w:pPr>
        <w:spacing w:after="0" w:line="1" w:lineRule="exact"/>
        <w:rPr>
          <w:rFonts w:ascii="Arial" w:cs="Arial" w:eastAsia="Arial" w:hAnsi="Arial"/>
          <w:sz w:val="20"/>
          <w:szCs w:val="20"/>
          <w:color w:val="auto"/>
        </w:rPr>
      </w:pPr>
    </w:p>
    <w:p>
      <w:pPr>
        <w:ind w:left="660" w:right="160" w:hanging="328"/>
        <w:spacing w:after="0" w:line="24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0"/>
          <w:szCs w:val="20"/>
          <w:color w:val="auto"/>
        </w:rPr>
        <w:t>In January 2019, the company used $12.5 million of cash and cash equivalents to reduce its principal debt balance from $25.0 million to $12.5 million.</w:t>
      </w: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2019 Outlook</w:t>
      </w:r>
    </w:p>
    <w:p>
      <w:pPr>
        <w:spacing w:after="0" w:line="240" w:lineRule="exact"/>
        <w:rPr>
          <w:sz w:val="20"/>
          <w:szCs w:val="20"/>
          <w:color w:val="auto"/>
        </w:rPr>
      </w:pPr>
    </w:p>
    <w:p>
      <w:pPr>
        <w:ind w:right="480"/>
        <w:spacing w:after="0" w:line="247" w:lineRule="auto"/>
        <w:rPr>
          <w:sz w:val="20"/>
          <w:szCs w:val="20"/>
          <w:color w:val="auto"/>
        </w:rPr>
      </w:pPr>
      <w:r>
        <w:rPr>
          <w:rFonts w:ascii="Arial" w:cs="Arial" w:eastAsia="Arial" w:hAnsi="Arial"/>
          <w:sz w:val="20"/>
          <w:szCs w:val="20"/>
          <w:color w:val="auto"/>
        </w:rPr>
        <w:t>Veracyte is guiding to full-year 2019 revenue in the range of $113 million to $117 million and full-year 2019 net cash used in operating activities in the range of $4 million to $6 million.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Details</w:t>
      </w:r>
    </w:p>
    <w:p>
      <w:pPr>
        <w:spacing w:after="0" w:line="24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Veracyte will host a conference call and webcast today at 5:00 p.m. Eastern Time to discuss the company's financial results and provide a general business update. The conference call will be webcast live from the company’s website and will be available via the following link: https://edge.media-server.com/m6/p/az9uzsk7. The webcast should be accessed 10 minutes prior to the conference call start time. A replay of the webcast will be available for one year following the conclusion of the live broadcast and will be accessible on the company’s website at https://investor.veracyte.com/events-presentations approximately two hours following the completion of the call.</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The conference call can be accessed as follows:</w:t>
      </w:r>
    </w:p>
    <w:p>
      <w:pPr>
        <w:spacing w:after="0" w:line="378" w:lineRule="exact"/>
        <w:rPr>
          <w:sz w:val="20"/>
          <w:szCs w:val="20"/>
          <w:color w:val="auto"/>
        </w:rPr>
      </w:pPr>
    </w:p>
    <w:tbl>
      <w:tblPr>
        <w:tblLayout w:type="fixed"/>
        <w:tblInd w:w="1600" w:type="dxa"/>
        <w:tblCellMar>
          <w:top w:w="0" w:type="dxa"/>
          <w:left w:w="0" w:type="dxa"/>
          <w:bottom w:w="0" w:type="dxa"/>
          <w:right w:w="0" w:type="dxa"/>
        </w:tblCellMar>
      </w:tblPr>
      <w:tr>
        <w:trPr>
          <w:trHeight w:val="237"/>
        </w:trPr>
        <w:tc>
          <w:tcPr>
            <w:tcW w:w="5180" w:type="dxa"/>
            <w:vAlign w:val="bottom"/>
          </w:tcPr>
          <w:p>
            <w:pPr>
              <w:spacing w:after="0"/>
              <w:rPr>
                <w:sz w:val="20"/>
                <w:szCs w:val="20"/>
                <w:color w:val="auto"/>
              </w:rPr>
            </w:pPr>
            <w:r>
              <w:rPr>
                <w:rFonts w:ascii="Arial" w:cs="Arial" w:eastAsia="Arial" w:hAnsi="Arial"/>
                <w:sz w:val="20"/>
                <w:szCs w:val="20"/>
                <w:color w:val="auto"/>
              </w:rPr>
              <w:t>U.S./Canada participant dial-in number (toll-free):</w:t>
            </w:r>
          </w:p>
        </w:tc>
        <w:tc>
          <w:tcPr>
            <w:tcW w:w="2220" w:type="dxa"/>
            <w:vAlign w:val="bottom"/>
          </w:tcPr>
          <w:p>
            <w:pPr>
              <w:ind w:left="880"/>
              <w:spacing w:after="0"/>
              <w:rPr>
                <w:sz w:val="20"/>
                <w:szCs w:val="20"/>
                <w:color w:val="auto"/>
              </w:rPr>
            </w:pPr>
            <w:r>
              <w:rPr>
                <w:rFonts w:ascii="Arial" w:cs="Arial" w:eastAsia="Arial" w:hAnsi="Arial"/>
                <w:sz w:val="20"/>
                <w:szCs w:val="20"/>
                <w:color w:val="auto"/>
                <w:w w:val="96"/>
              </w:rPr>
              <w:t>(855) 541-0980</w:t>
            </w:r>
          </w:p>
        </w:tc>
      </w:tr>
      <w:tr>
        <w:trPr>
          <w:trHeight w:val="270"/>
        </w:trPr>
        <w:tc>
          <w:tcPr>
            <w:tcW w:w="5180" w:type="dxa"/>
            <w:vAlign w:val="bottom"/>
          </w:tcPr>
          <w:p>
            <w:pPr>
              <w:spacing w:after="0"/>
              <w:rPr>
                <w:sz w:val="20"/>
                <w:szCs w:val="20"/>
                <w:color w:val="auto"/>
              </w:rPr>
            </w:pPr>
            <w:r>
              <w:rPr>
                <w:rFonts w:ascii="Arial" w:cs="Arial" w:eastAsia="Arial" w:hAnsi="Arial"/>
                <w:sz w:val="20"/>
                <w:szCs w:val="20"/>
                <w:color w:val="auto"/>
              </w:rPr>
              <w:t>International participant dial-in number:</w:t>
            </w:r>
          </w:p>
        </w:tc>
        <w:tc>
          <w:tcPr>
            <w:tcW w:w="2220" w:type="dxa"/>
            <w:vAlign w:val="bottom"/>
          </w:tcPr>
          <w:p>
            <w:pPr>
              <w:ind w:left="880"/>
              <w:spacing w:after="0"/>
              <w:rPr>
                <w:sz w:val="20"/>
                <w:szCs w:val="20"/>
                <w:color w:val="auto"/>
              </w:rPr>
            </w:pPr>
            <w:r>
              <w:rPr>
                <w:rFonts w:ascii="Arial" w:cs="Arial" w:eastAsia="Arial" w:hAnsi="Arial"/>
                <w:sz w:val="20"/>
                <w:szCs w:val="20"/>
                <w:color w:val="auto"/>
                <w:w w:val="96"/>
              </w:rPr>
              <w:t>(970) 315-0440</w:t>
            </w:r>
          </w:p>
        </w:tc>
      </w:tr>
      <w:tr>
        <w:trPr>
          <w:trHeight w:val="270"/>
        </w:trPr>
        <w:tc>
          <w:tcPr>
            <w:tcW w:w="5180" w:type="dxa"/>
            <w:vAlign w:val="bottom"/>
          </w:tcPr>
          <w:p>
            <w:pPr>
              <w:spacing w:after="0"/>
              <w:rPr>
                <w:sz w:val="20"/>
                <w:szCs w:val="20"/>
                <w:color w:val="auto"/>
              </w:rPr>
            </w:pPr>
            <w:r>
              <w:rPr>
                <w:rFonts w:ascii="Arial" w:cs="Arial" w:eastAsia="Arial" w:hAnsi="Arial"/>
                <w:sz w:val="20"/>
                <w:szCs w:val="20"/>
                <w:color w:val="auto"/>
              </w:rPr>
              <w:t>Conference I.D.:</w:t>
            </w:r>
          </w:p>
        </w:tc>
        <w:tc>
          <w:tcPr>
            <w:tcW w:w="2220" w:type="dxa"/>
            <w:vAlign w:val="bottom"/>
          </w:tcPr>
          <w:p>
            <w:pPr>
              <w:ind w:left="880"/>
              <w:spacing w:after="0"/>
              <w:rPr>
                <w:sz w:val="20"/>
                <w:szCs w:val="20"/>
                <w:color w:val="auto"/>
              </w:rPr>
            </w:pPr>
            <w:r>
              <w:rPr>
                <w:rFonts w:ascii="Arial" w:cs="Arial" w:eastAsia="Arial" w:hAnsi="Arial"/>
                <w:sz w:val="20"/>
                <w:szCs w:val="20"/>
                <w:color w:val="auto"/>
              </w:rPr>
              <w:t>5498321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Veracyte</w:t>
      </w:r>
    </w:p>
    <w:p>
      <w:pPr>
        <w:spacing w:after="0" w:line="24" w:lineRule="exact"/>
        <w:rPr>
          <w:sz w:val="20"/>
          <w:szCs w:val="20"/>
          <w:color w:val="auto"/>
        </w:rPr>
      </w:pPr>
    </w:p>
    <w:p>
      <w:pPr>
        <w:ind w:right="20"/>
        <w:spacing w:after="0"/>
        <w:rPr>
          <w:sz w:val="20"/>
          <w:szCs w:val="20"/>
          <w:color w:val="auto"/>
        </w:rPr>
      </w:pPr>
      <w:r>
        <w:rPr>
          <w:rFonts w:ascii="Arial" w:cs="Arial" w:eastAsia="Arial" w:hAnsi="Arial"/>
          <w:sz w:val="20"/>
          <w:szCs w:val="20"/>
          <w:color w:val="auto"/>
        </w:rPr>
        <w:t>Veracyte (Nasdaq: VCYT) is a leading genomic diagnostics company that improves patient care by providing trustworthy and actionable answers to challenging clinical questions. The company's products uniquely combine advanced genomic technology, clinical science and machine learning to provide answers that give physicians and patients a clear path forward, informing both diagnosis and treatment decisions without the need for costly, risky surgeries that are often unnecessary. Since its founding in 2008, Veracyte has commercialized three genomic tests, which are transforming the diagnosis of thyroid cancer, lung cancer and idiopathic pulmonary fibrosis. Veracyte is based in South San Francisco, California. For more information, please visit www.veracyte.com and follow the company on Twitter (@veracyte).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Veracyte, Afirma, Percepta, Envisia and the Veracyte logo are trademarks of Veracyte, Inc.</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0"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w:t>
      </w:r>
    </w:p>
    <w:p>
      <w:pPr>
        <w:sectPr>
          <w:pgSz w:w="11900" w:h="16838" w:orient="portrait"/>
          <w:cols w:equalWidth="0" w:num="1">
            <w:col w:w="11300"/>
          </w:cols>
          <w:pgMar w:left="240" w:top="609" w:right="359" w:bottom="1440" w:gutter="0" w:footer="0" w:header="0"/>
        </w:sectPr>
      </w:pPr>
    </w:p>
    <w:bookmarkStart w:id="6" w:name="page7"/>
    <w:bookmarkEnd w:id="6"/>
    <w:p>
      <w:pPr>
        <w:spacing w:after="0" w:line="253" w:lineRule="auto"/>
        <w:rPr>
          <w:sz w:val="20"/>
          <w:szCs w:val="20"/>
          <w:color w:val="auto"/>
        </w:rPr>
      </w:pPr>
      <w:r>
        <w:rPr>
          <w:rFonts w:ascii="Arial" w:cs="Arial" w:eastAsia="Arial" w:hAnsi="Arial"/>
          <w:sz w:val="19"/>
          <w:szCs w:val="19"/>
          <w:color w:val="auto"/>
        </w:rPr>
        <w:t>our belief that we have a strong foundation in place to drive revenue growth, our beliefs regarding momentum in our business and potential drivers of future growth, our expectations regarding full-year 2019 revenue and net cash used in operating activities, the success of our Afirma Xpression Atlas platform, our expectations regarding our ability to receive Medicare reimbursement and expand commercialization of our Percepta and Envisia Genomic Classifiers, our expectations regarding our strategic collaboration with Johnson &amp; Johnson, and our ability to drive revenue growth across our endocrinology and pulmonology franchises.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history of losses since inception; our ability to successfully commercialize our Afirma classifier; the performance and acceptance of our Percepta and Envisia classifiers; our dependence on a few payers for reimbursements and payments of our tests and a significant portion of our revenue; the complexity, time and expense associated with billing and collecting from payers for our classifiers; our ability to increase usage of and reimbursement for the Afirma and Percepta classifiers and to obtain adequate reimbursement for our Envisia classifier, as well as any future products we may develop or sell; our dependence on physicians and patients who decide whether to order and use our tests; the fluctuation of our quarterly operating results; our ability to comply with federal and state licensing requirements and other laws and regulations applicable to our business, including potential regulation by the Food and Drug Administration or other regulatory bodies; our dependence on supplies for equipment and other materials used for our tests; our ability to continue our momentum and growth; our ability to develop and commercialize new products and the timing and speed of commercialization; the amount by which use of our products is able to reduce invasive procedures and reduce healthcare costs; our ability to attract and retain key personnel; our ability to achieve sales penetration in complex commercial accounts; the occurrence and outcome of clinical studies; the timing and publication of study results; the applicability of clinical results to actual outcomes; the continued application of clinical guidelines to our products and their inclusion in such clinical practice guidelines; our ability to compete; our ability to obtain capital when needed; and other risks set forth in the company's filings with the Securities and Exchange Commission, including the risks set forth in the company's Annual Report on Form 10-K for the year ended December 31, 2018. These forward-looking statements speak only as of the date hereof and Veracyte specifically disclaims any obligation to update these forward-looking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35" w:lineRule="exact"/>
        <w:rPr>
          <w:sz w:val="20"/>
          <w:szCs w:val="20"/>
          <w:color w:val="auto"/>
        </w:rPr>
      </w:pPr>
    </w:p>
    <w:p>
      <w:pPr>
        <w:ind w:right="80"/>
        <w:spacing w:after="0"/>
        <w:rPr>
          <w:sz w:val="20"/>
          <w:szCs w:val="20"/>
          <w:color w:val="auto"/>
        </w:rPr>
      </w:pPr>
      <w:r>
        <w:rPr>
          <w:rFonts w:ascii="Arial" w:cs="Arial" w:eastAsia="Arial" w:hAnsi="Arial"/>
          <w:sz w:val="20"/>
          <w:szCs w:val="20"/>
          <w:color w:val="auto"/>
        </w:rPr>
        <w:t>To supplement our consolidated financial statements prepared in accordance with generally accepted accounting principles in the United States (GAAP), we monitor and consider cash burn, which is a non-GAAP financial measure. This non-GAAP financial measure is not based on any standardized methodology prescribed by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non-GAAP measure is that cash burn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in our Annual Report on Form 10-K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ectPr>
          <w:pgSz w:w="11900" w:h="16838" w:orient="portrait"/>
          <w:cols w:equalWidth="0" w:num="1">
            <w:col w:w="11420"/>
          </w:cols>
          <w:pgMar w:left="240" w:top="595" w:right="239" w:bottom="1440" w:gutter="0" w:footer="0" w:header="0"/>
        </w:sectPr>
      </w:pPr>
    </w:p>
    <w:bookmarkStart w:id="7" w:name="page8"/>
    <w:bookmarkEnd w:id="7"/>
    <w:p>
      <w:pPr>
        <w:ind w:right="340"/>
        <w:spacing w:after="0" w:line="243" w:lineRule="auto"/>
        <w:rPr>
          <w:sz w:val="20"/>
          <w:szCs w:val="20"/>
          <w:color w:val="auto"/>
        </w:rPr>
      </w:pPr>
      <w:r>
        <w:rPr>
          <w:rFonts w:ascii="Arial" w:cs="Arial" w:eastAsia="Arial" w:hAnsi="Arial"/>
          <w:sz w:val="20"/>
          <w:szCs w:val="20"/>
          <w:color w:val="auto"/>
        </w:rPr>
        <w:t>Because of these limitations, cash burn should not be considered in isolation from, or as a substitute for, financial information prepared in accordance with GAAP. Investors are encouraged to review the reconciliation of cash burn to net cash used in operating activities provided in the tables below.</w:t>
      </w: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4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900" w:type="dxa"/>
            <w:vAlign w:val="bottom"/>
            <w:gridSpan w:val="6"/>
          </w:tcPr>
          <w:p>
            <w:pPr>
              <w:ind w:left="60"/>
              <w:spacing w:after="0"/>
              <w:rPr>
                <w:sz w:val="20"/>
                <w:szCs w:val="20"/>
                <w:color w:val="auto"/>
              </w:rPr>
            </w:pPr>
            <w:r>
              <w:rPr>
                <w:rFonts w:ascii="Arial" w:cs="Arial" w:eastAsia="Arial" w:hAnsi="Arial"/>
                <w:sz w:val="18"/>
                <w:szCs w:val="18"/>
                <w:b w:val="1"/>
                <w:bCs w:val="1"/>
                <w:color w:val="auto"/>
              </w:rPr>
              <w:t>Three Months Ended December</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3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25,750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19,596</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92,008</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71,953</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7,769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33,078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28,195</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14,820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13,881</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10,066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41,313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32,260</w:t>
            </w:r>
          </w:p>
        </w:tc>
        <w:tc>
          <w:tcPr>
            <w:tcW w:w="0" w:type="dxa"/>
            <w:vAlign w:val="bottom"/>
          </w:tcPr>
          <w:p>
            <w:pPr>
              <w:spacing w:after="0"/>
              <w:rPr>
                <w:sz w:val="1"/>
                <w:szCs w:val="1"/>
                <w:color w:val="auto"/>
              </w:rPr>
            </w:pPr>
          </w:p>
        </w:tc>
      </w:tr>
      <w:tr>
        <w:trPr>
          <w:trHeight w:val="270"/>
        </w:trPr>
        <w:tc>
          <w:tcPr>
            <w:tcW w:w="53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6,645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23,963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23,088</w:t>
            </w:r>
          </w:p>
        </w:tc>
        <w:tc>
          <w:tcPr>
            <w:tcW w:w="0" w:type="dxa"/>
            <w:vAlign w:val="bottom"/>
          </w:tcPr>
          <w:p>
            <w:pPr>
              <w:spacing w:after="0"/>
              <w:rPr>
                <w:sz w:val="1"/>
                <w:szCs w:val="1"/>
                <w:color w:val="auto"/>
              </w:rPr>
            </w:pPr>
          </w:p>
        </w:tc>
      </w:tr>
      <w:tr>
        <w:trPr>
          <w:trHeight w:val="277"/>
        </w:trPr>
        <w:tc>
          <w:tcPr>
            <w:tcW w:w="534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50"/>
        </w:trPr>
        <w:tc>
          <w:tcPr>
            <w:tcW w:w="53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28,807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25,640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114,241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98,491</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(26,538)</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(4,941)</w:t>
            </w:r>
          </w:p>
        </w:tc>
        <w:tc>
          <w:tcPr>
            <w:tcW w:w="0" w:type="dxa"/>
            <w:vAlign w:val="bottom"/>
          </w:tcPr>
          <w:p>
            <w:pPr>
              <w:spacing w:after="0"/>
              <w:rPr>
                <w:sz w:val="1"/>
                <w:szCs w:val="1"/>
                <w:color w:val="auto"/>
              </w:rPr>
            </w:pPr>
          </w:p>
        </w:tc>
      </w:tr>
      <w:tr>
        <w:trPr>
          <w:trHeight w:val="277"/>
        </w:trPr>
        <w:tc>
          <w:tcPr>
            <w:tcW w:w="534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(22,999)</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40,731,334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34,055,524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37,020,246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8"/>
                <w:szCs w:val="18"/>
                <w:color w:val="auto"/>
              </w:rPr>
              <w:t>33,925,617</w:t>
            </w:r>
          </w:p>
        </w:tc>
        <w:tc>
          <w:tcPr>
            <w:tcW w:w="0" w:type="dxa"/>
            <w:vAlign w:val="bottom"/>
          </w:tcPr>
          <w:p>
            <w:pPr>
              <w:spacing w:after="0"/>
              <w:rPr>
                <w:sz w:val="1"/>
                <w:szCs w:val="1"/>
                <w:color w:val="auto"/>
              </w:rPr>
            </w:pPr>
          </w:p>
        </w:tc>
      </w:tr>
      <w:tr>
        <w:trPr>
          <w:trHeight w:val="217"/>
        </w:trPr>
        <w:tc>
          <w:tcPr>
            <w:tcW w:w="5340" w:type="dxa"/>
            <w:vAlign w:val="bottom"/>
          </w:tcPr>
          <w:p>
            <w:pPr>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240" w:top="825" w:right="3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BALANCE SHEETS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7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December 31, 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1"/>
                <w:szCs w:val="21"/>
                <w:color w:val="auto"/>
              </w:rPr>
            </w:pPr>
          </w:p>
        </w:tc>
        <w:tc>
          <w:tcPr>
            <w:tcW w:w="1960" w:type="dxa"/>
            <w:vAlign w:val="bottom"/>
          </w:tcPr>
          <w:p>
            <w:pPr>
              <w:jc w:val="right"/>
              <w:ind w:right="87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77,995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33,891</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13,168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Supplies</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277"/>
        </w:trPr>
        <w:tc>
          <w:tcPr>
            <w:tcW w:w="67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3"/>
        </w:trPr>
        <w:tc>
          <w:tcPr>
            <w:tcW w:w="676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96,952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53,928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8,940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13,067</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57"/>
        </w:trPr>
        <w:tc>
          <w:tcPr>
            <w:tcW w:w="67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70"/>
        </w:trPr>
        <w:tc>
          <w:tcPr>
            <w:tcW w:w="67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9,186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8,175</w:t>
            </w:r>
          </w:p>
        </w:tc>
        <w:tc>
          <w:tcPr>
            <w:tcW w:w="0" w:type="dxa"/>
            <w:vAlign w:val="bottom"/>
          </w:tcPr>
          <w:p>
            <w:pPr>
              <w:spacing w:after="0"/>
              <w:rPr>
                <w:sz w:val="1"/>
                <w:szCs w:val="1"/>
                <w:color w:val="auto"/>
              </w:rPr>
            </w:pPr>
          </w:p>
        </w:tc>
      </w:tr>
      <w:tr>
        <w:trPr>
          <w:trHeight w:val="277"/>
        </w:trPr>
        <w:tc>
          <w:tcPr>
            <w:tcW w:w="676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13,059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23,925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24,938</w:t>
            </w:r>
          </w:p>
        </w:tc>
        <w:tc>
          <w:tcPr>
            <w:tcW w:w="0" w:type="dxa"/>
            <w:vAlign w:val="bottom"/>
          </w:tcPr>
          <w:p>
            <w:pPr>
              <w:spacing w:after="0"/>
              <w:rPr>
                <w:sz w:val="1"/>
                <w:szCs w:val="1"/>
                <w:color w:val="auto"/>
              </w:rPr>
            </w:pPr>
          </w:p>
        </w:tc>
      </w:tr>
      <w:tr>
        <w:trPr>
          <w:trHeight w:val="270"/>
        </w:trPr>
        <w:tc>
          <w:tcPr>
            <w:tcW w:w="6760" w:type="dxa"/>
            <w:vAlign w:val="bottom"/>
          </w:tcPr>
          <w:p>
            <w:pPr>
              <w:spacing w:after="0"/>
              <w:rPr>
                <w:sz w:val="20"/>
                <w:szCs w:val="20"/>
                <w:color w:val="auto"/>
              </w:rPr>
            </w:pPr>
            <w:r>
              <w:rPr>
                <w:rFonts w:ascii="Arial" w:cs="Arial" w:eastAsia="Arial" w:hAnsi="Arial"/>
                <w:sz w:val="18"/>
                <w:szCs w:val="18"/>
                <w:color w:val="auto"/>
              </w:rPr>
              <w:t>Capital lease liability, net of current portion</w:t>
            </w:r>
          </w:p>
        </w:tc>
        <w:tc>
          <w:tcPr>
            <w:tcW w:w="180" w:type="dxa"/>
            <w:vAlign w:val="bottom"/>
          </w:tcPr>
          <w:p>
            <w:pPr>
              <w:spacing w:after="0"/>
              <w:rPr>
                <w:sz w:val="23"/>
                <w:szCs w:val="23"/>
                <w:color w:val="auto"/>
              </w:rPr>
            </w:pP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243"/>
        </w:trPr>
        <w:tc>
          <w:tcPr>
            <w:tcW w:w="676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40,883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41,444</w:t>
            </w:r>
          </w:p>
        </w:tc>
        <w:tc>
          <w:tcPr>
            <w:tcW w:w="0" w:type="dxa"/>
            <w:vAlign w:val="bottom"/>
          </w:tcPr>
          <w:p>
            <w:pPr>
              <w:spacing w:after="0"/>
              <w:rPr>
                <w:sz w:val="1"/>
                <w:szCs w:val="1"/>
                <w:color w:val="auto"/>
              </w:rPr>
            </w:pPr>
          </w:p>
        </w:tc>
      </w:tr>
      <w:tr>
        <w:trPr>
          <w:trHeight w:val="277"/>
        </w:trPr>
        <w:tc>
          <w:tcPr>
            <w:tcW w:w="67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79,755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37,225</w:t>
            </w:r>
          </w:p>
        </w:tc>
        <w:tc>
          <w:tcPr>
            <w:tcW w:w="0" w:type="dxa"/>
            <w:vAlign w:val="bottom"/>
          </w:tcPr>
          <w:p>
            <w:pPr>
              <w:spacing w:after="0"/>
              <w:rPr>
                <w:sz w:val="1"/>
                <w:szCs w:val="1"/>
                <w:color w:val="auto"/>
              </w:rPr>
            </w:pPr>
          </w:p>
        </w:tc>
      </w:tr>
      <w:tr>
        <w:trPr>
          <w:trHeight w:val="257"/>
        </w:trPr>
        <w:tc>
          <w:tcPr>
            <w:tcW w:w="67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78,669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firstLine="3"/>
        <w:spacing w:after="0" w:line="246" w:lineRule="auto"/>
        <w:tabs>
          <w:tab w:leader="none" w:pos="27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condensed balance sheet at December 31, 2017 has been derived from the audited financial statements at that date included in the Company's Form 10-K filed with the Securities and Exchange Commission dated February 27, 2018.</w:t>
      </w:r>
    </w:p>
    <w:p>
      <w:pPr>
        <w:sectPr>
          <w:pgSz w:w="11900" w:h="16838" w:orient="portrait"/>
          <w:cols w:equalWidth="0" w:num="1">
            <w:col w:w="11140"/>
          </w:cols>
          <w:pgMar w:left="400" w:top="738"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9"/>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VERACYTE, INC.</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Condensed Statements of Cash Flows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(In thousands of dollars)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64"/>
        </w:trPr>
        <w:tc>
          <w:tcPr>
            <w:tcW w:w="64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(22,999)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(31,003)</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20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6,617</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Amortization and write-off of debt discount and issuance costs</w:t>
            </w:r>
          </w:p>
        </w:tc>
        <w:tc>
          <w:tcPr>
            <w:tcW w:w="2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Interest on end-of-term debt obligations and prepayment penalty</w:t>
            </w:r>
          </w:p>
        </w:tc>
        <w:tc>
          <w:tcPr>
            <w:tcW w:w="2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70"/>
        </w:trPr>
        <w:tc>
          <w:tcPr>
            <w:tcW w:w="640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Supplies</w:t>
            </w:r>
          </w:p>
        </w:tc>
        <w:tc>
          <w:tcPr>
            <w:tcW w:w="2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Prepaid expenses and current other assets</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77"/>
        </w:trPr>
        <w:tc>
          <w:tcPr>
            <w:tcW w:w="6400" w:type="dxa"/>
            <w:vAlign w:val="bottom"/>
          </w:tcPr>
          <w:p>
            <w:pPr>
              <w:ind w:left="340"/>
              <w:spacing w:after="0"/>
              <w:rPr>
                <w:sz w:val="20"/>
                <w:szCs w:val="20"/>
                <w:color w:val="auto"/>
              </w:rPr>
            </w:pPr>
            <w:r>
              <w:rPr>
                <w:rFonts w:ascii="Arial" w:cs="Arial" w:eastAsia="Arial" w:hAnsi="Arial"/>
                <w:sz w:val="18"/>
                <w:szCs w:val="18"/>
                <w:color w:val="auto"/>
              </w:rPr>
              <w:t>Accrued liabilities and deferred rent</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(13,521)</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(23,915)</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0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long-term debt, net of debt issuance costs</w:t>
            </w:r>
          </w:p>
        </w:tc>
        <w:tc>
          <w:tcPr>
            <w:tcW w:w="20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24,880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the issuance of common stock in a public offering, net of costs</w:t>
            </w:r>
          </w:p>
        </w:tc>
        <w:tc>
          <w:tcPr>
            <w:tcW w:w="2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55,038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long-term debt</w:t>
            </w:r>
          </w:p>
        </w:tc>
        <w:tc>
          <w:tcPr>
            <w:tcW w:w="20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(25,385)</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end-of-term debt obligation and prepayment penalty</w:t>
            </w:r>
          </w:p>
        </w:tc>
        <w:tc>
          <w:tcPr>
            <w:tcW w:w="20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Proceeds from legal settlement regard short-swing profits</w:t>
            </w:r>
          </w:p>
        </w:tc>
        <w:tc>
          <w:tcPr>
            <w:tcW w:w="20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Payment of capital lease liability</w:t>
            </w: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0"/>
                <w:szCs w:val="20"/>
                <w:color w:val="auto"/>
              </w:rPr>
            </w:pPr>
            <w:r>
              <w:rPr>
                <w:rFonts w:ascii="Arial" w:cs="Arial" w:eastAsia="Arial" w:hAnsi="Arial"/>
                <w:sz w:val="18"/>
                <w:szCs w:val="18"/>
                <w:color w:val="auto"/>
              </w:rPr>
              <w:t>Proceeds from the exercise of common stock options and employee stock</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400" w:type="dxa"/>
            <w:vAlign w:val="bottom"/>
          </w:tcPr>
          <w:p>
            <w:pPr>
              <w:spacing w:after="0"/>
              <w:rPr>
                <w:sz w:val="20"/>
                <w:szCs w:val="20"/>
                <w:color w:val="auto"/>
              </w:rPr>
            </w:pPr>
            <w:r>
              <w:rPr>
                <w:rFonts w:ascii="Arial" w:cs="Arial" w:eastAsia="Arial" w:hAnsi="Arial"/>
                <w:sz w:val="18"/>
                <w:szCs w:val="18"/>
                <w:color w:val="auto"/>
              </w:rPr>
              <w:t>purchases</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59,499</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44,104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(25,448)</w:t>
            </w:r>
          </w:p>
        </w:tc>
        <w:tc>
          <w:tcPr>
            <w:tcW w:w="0" w:type="dxa"/>
            <w:vAlign w:val="bottom"/>
          </w:tcPr>
          <w:p>
            <w:pPr>
              <w:spacing w:after="0"/>
              <w:rPr>
                <w:sz w:val="1"/>
                <w:szCs w:val="1"/>
                <w:color w:val="auto"/>
              </w:rPr>
            </w:pPr>
          </w:p>
        </w:tc>
      </w:tr>
      <w:tr>
        <w:trPr>
          <w:trHeight w:val="27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34,494</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59,942</w:t>
            </w:r>
          </w:p>
        </w:tc>
        <w:tc>
          <w:tcPr>
            <w:tcW w:w="0" w:type="dxa"/>
            <w:vAlign w:val="bottom"/>
          </w:tcPr>
          <w:p>
            <w:pPr>
              <w:spacing w:after="0"/>
              <w:rPr>
                <w:sz w:val="1"/>
                <w:szCs w:val="1"/>
                <w:color w:val="auto"/>
              </w:rPr>
            </w:pPr>
          </w:p>
        </w:tc>
      </w:tr>
      <w:tr>
        <w:trPr>
          <w:trHeight w:val="257"/>
        </w:trPr>
        <w:tc>
          <w:tcPr>
            <w:tcW w:w="64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78,598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34,494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line="201" w:lineRule="exact"/>
              <w:rPr>
                <w:sz w:val="20"/>
                <w:szCs w:val="20"/>
                <w:color w:val="auto"/>
              </w:rPr>
            </w:pPr>
            <w:r>
              <w:rPr>
                <w:rFonts w:ascii="Arial" w:cs="Arial" w:eastAsia="Arial" w:hAnsi="Arial"/>
                <w:sz w:val="18"/>
                <w:szCs w:val="18"/>
                <w:b w:val="1"/>
                <w:bCs w:val="1"/>
                <w:color w:val="auto"/>
              </w:rPr>
              <w:t>Supplementary cash flow information of non-cash investing and financing</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6400" w:type="dxa"/>
            <w:vAlign w:val="bottom"/>
          </w:tcPr>
          <w:p>
            <w:pPr>
              <w:spacing w:after="0"/>
              <w:rPr>
                <w:sz w:val="20"/>
                <w:szCs w:val="20"/>
                <w:color w:val="auto"/>
              </w:rPr>
            </w:pPr>
            <w:r>
              <w:rPr>
                <w:rFonts w:ascii="Arial" w:cs="Arial" w:eastAsia="Arial" w:hAnsi="Arial"/>
                <w:sz w:val="18"/>
                <w:szCs w:val="18"/>
                <w:b w:val="1"/>
                <w:bCs w:val="1"/>
                <w:color w:val="auto"/>
              </w:rPr>
              <w:t>activities: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Cash paid for interest on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2,718</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0"/>
                <w:szCs w:val="20"/>
                <w:color w:val="auto"/>
              </w:rPr>
            </w:pPr>
            <w:r>
              <w:rPr>
                <w:rFonts w:ascii="Arial" w:cs="Arial" w:eastAsia="Arial" w:hAnsi="Arial"/>
                <w:sz w:val="18"/>
                <w:szCs w:val="18"/>
                <w:color w:val="auto"/>
              </w:rPr>
              <w:t>Cash paid for tax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9100"/>
          </w:cols>
          <w:pgMar w:left="1420" w:top="738" w:right="137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Pr>
          <w:p>
            <w:pPr>
              <w:spacing w:after="0"/>
              <w:rPr>
                <w:sz w:val="17"/>
                <w:szCs w:val="17"/>
                <w:color w:val="auto"/>
              </w:rPr>
            </w:pPr>
          </w:p>
        </w:tc>
        <w:tc>
          <w:tcPr>
            <w:tcW w:w="146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 2017</w:t>
            </w: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77,995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33,891</w:t>
            </w:r>
          </w:p>
        </w:tc>
      </w:tr>
      <w:tr>
        <w:trPr>
          <w:trHeight w:val="277"/>
        </w:trPr>
        <w:tc>
          <w:tcPr>
            <w:tcW w:w="8060" w:type="dxa"/>
            <w:vAlign w:val="bottom"/>
          </w:tcPr>
          <w:p>
            <w:pPr>
              <w:spacing w:after="0"/>
              <w:rPr>
                <w:sz w:val="20"/>
                <w:szCs w:val="20"/>
                <w:color w:val="auto"/>
              </w:rPr>
            </w:pPr>
            <w:r>
              <w:rPr>
                <w:rFonts w:ascii="Arial" w:cs="Arial" w:eastAsia="Arial" w:hAnsi="Arial"/>
                <w:sz w:val="18"/>
                <w:szCs w:val="18"/>
                <w:color w:val="auto"/>
              </w:rPr>
              <w:t>Restricted cash - long-term</w:t>
            </w: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r>
      <w:tr>
        <w:trPr>
          <w:trHeight w:val="257"/>
        </w:trPr>
        <w:tc>
          <w:tcPr>
            <w:tcW w:w="80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78,598</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34,494</w:t>
            </w: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4880" w:type="dxa"/>
            <w:vAlign w:val="bottom"/>
          </w:tcPr>
          <w:p>
            <w:pPr>
              <w:spacing w:after="0"/>
              <w:rPr>
                <w:sz w:val="21"/>
                <w:szCs w:val="21"/>
                <w:color w:val="auto"/>
              </w:rPr>
            </w:pPr>
          </w:p>
        </w:tc>
        <w:tc>
          <w:tcPr>
            <w:tcW w:w="342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 December 31,</w:t>
            </w:r>
          </w:p>
        </w:tc>
        <w:tc>
          <w:tcPr>
            <w:tcW w:w="300" w:type="dxa"/>
            <w:vAlign w:val="bottom"/>
          </w:tcPr>
          <w:p>
            <w:pPr>
              <w:spacing w:after="0"/>
              <w:rPr>
                <w:sz w:val="21"/>
                <w:szCs w:val="21"/>
                <w:color w:val="auto"/>
              </w:rPr>
            </w:pPr>
          </w:p>
        </w:tc>
        <w:tc>
          <w:tcPr>
            <w:tcW w:w="27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Year Ended December 31,</w:t>
            </w:r>
          </w:p>
        </w:tc>
      </w:tr>
      <w:tr>
        <w:trPr>
          <w:trHeight w:val="264"/>
        </w:trPr>
        <w:tc>
          <w:tcPr>
            <w:tcW w:w="48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(1,226)</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(5,816)</w:t>
            </w:r>
          </w:p>
        </w:tc>
        <w:tc>
          <w:tcPr>
            <w:tcW w:w="2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(13,521)</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(23,915)</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Plus purchases of property and equipment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(1,874)</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77"/>
        </w:trPr>
        <w:tc>
          <w:tcPr>
            <w:tcW w:w="4880" w:type="dxa"/>
            <w:vAlign w:val="bottom"/>
          </w:tcPr>
          <w:p>
            <w:pPr>
              <w:spacing w:after="0"/>
              <w:rPr>
                <w:sz w:val="20"/>
                <w:szCs w:val="20"/>
                <w:color w:val="auto"/>
              </w:rPr>
            </w:pPr>
            <w:r>
              <w:rPr>
                <w:rFonts w:ascii="Arial" w:cs="Arial" w:eastAsia="Arial" w:hAnsi="Arial"/>
                <w:sz w:val="18"/>
                <w:szCs w:val="18"/>
                <w:color w:val="auto"/>
              </w:rPr>
              <w:t>Less proceeds from the sale of property and equipment</w:t>
            </w:r>
          </w:p>
        </w:tc>
        <w:tc>
          <w:tcPr>
            <w:tcW w:w="340" w:type="dxa"/>
            <w:vAlign w:val="bottom"/>
          </w:tcPr>
          <w:p>
            <w:pPr>
              <w:spacing w:after="0"/>
              <w:rPr>
                <w:sz w:val="24"/>
                <w:szCs w:val="24"/>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440</w:t>
            </w:r>
          </w:p>
        </w:tc>
      </w:tr>
      <w:tr>
        <w:trPr>
          <w:trHeight w:val="257"/>
        </w:trPr>
        <w:tc>
          <w:tcPr>
            <w:tcW w:w="4880" w:type="dxa"/>
            <w:vAlign w:val="bottom"/>
          </w:tcPr>
          <w:p>
            <w:pPr>
              <w:spacing w:after="0"/>
              <w:rPr>
                <w:sz w:val="20"/>
                <w:szCs w:val="20"/>
                <w:color w:val="auto"/>
              </w:rPr>
            </w:pPr>
            <w:r>
              <w:rPr>
                <w:rFonts w:ascii="Arial" w:cs="Arial" w:eastAsia="Arial" w:hAnsi="Arial"/>
                <w:sz w:val="18"/>
                <w:szCs w:val="18"/>
                <w:color w:val="auto"/>
              </w:rPr>
              <w:t>Cash burn</w:t>
            </w: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2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(15,395)</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(25,230)</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1,829</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59,499</w:t>
            </w:r>
          </w:p>
        </w:tc>
        <w:tc>
          <w:tcPr>
            <w:tcW w:w="22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Veracyte Investor &amp; 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Angie McCabe</w:t>
      </w:r>
    </w:p>
    <w:p>
      <w:pPr>
        <w:spacing w:after="0"/>
        <w:rPr>
          <w:sz w:val="20"/>
          <w:szCs w:val="20"/>
          <w:color w:val="auto"/>
        </w:rPr>
      </w:pPr>
      <w:r>
        <w:rPr>
          <w:rFonts w:ascii="Arial" w:cs="Arial" w:eastAsia="Arial" w:hAnsi="Arial"/>
          <w:sz w:val="20"/>
          <w:szCs w:val="20"/>
          <w:color w:val="auto"/>
        </w:rPr>
        <w:t>Vice President, Investor Relations &amp; Corporate Communications</w:t>
      </w:r>
    </w:p>
    <w:p>
      <w:pPr>
        <w:spacing w:after="0"/>
        <w:rPr>
          <w:sz w:val="20"/>
          <w:szCs w:val="20"/>
          <w:color w:val="auto"/>
        </w:rPr>
      </w:pPr>
      <w:r>
        <w:rPr>
          <w:rFonts w:ascii="Arial" w:cs="Arial" w:eastAsia="Arial" w:hAnsi="Arial"/>
          <w:sz w:val="20"/>
          <w:szCs w:val="20"/>
          <w:color w:val="auto"/>
        </w:rPr>
        <w:t>650-243-6371</w:t>
      </w:r>
    </w:p>
    <w:p>
      <w:pPr>
        <w:spacing w:after="0"/>
        <w:rPr>
          <w:sz w:val="20"/>
          <w:szCs w:val="20"/>
          <w:color w:val="auto"/>
        </w:rPr>
      </w:pPr>
      <w:r>
        <w:rPr>
          <w:rFonts w:ascii="Arial" w:cs="Arial" w:eastAsia="Arial" w:hAnsi="Arial"/>
          <w:sz w:val="20"/>
          <w:szCs w:val="20"/>
          <w:color w:val="auto"/>
        </w:rPr>
        <w:t>angie@veracyte.com</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2019-12-28T16:03:54Z</dcterms:created>
  <dcterms:modified xsi:type="dcterms:W3CDTF">2019-12-28T16:03:54Z</dcterms:modified>
</cp:coreProperties>
</file>