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277735" cy="9385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9385300"/>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tbl>
      <w:tblPr>
        <w:tblLayout w:type="fixed"/>
        <w:tblInd w:w="80" w:type="dxa"/>
        <w:tblCellMar>
          <w:top w:w="0" w:type="dxa"/>
          <w:left w:w="0" w:type="dxa"/>
          <w:bottom w:w="0" w:type="dxa"/>
          <w:right w:w="0" w:type="dxa"/>
        </w:tblCellMar>
      </w:tblPr>
      <w:tr>
        <w:trPr>
          <w:trHeight w:val="241"/>
        </w:trPr>
        <w:tc>
          <w:tcPr>
            <w:tcW w:w="254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9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KLEINER PERKINS CAUFIELD &amp;</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Borders>
              <w:bottom w:val="single" w:sz="8" w:color="0000EE"/>
            </w:tcBorders>
          </w:tcPr>
          <w:p>
            <w:pPr>
              <w:spacing w:after="0" w:line="162" w:lineRule="exact"/>
              <w:rPr>
                <w:rFonts w:ascii="Arial" w:cs="Arial" w:eastAsia="Arial" w:hAnsi="Arial"/>
                <w:sz w:val="18"/>
                <w:szCs w:val="18"/>
                <w:color w:val="0000EE"/>
              </w:rPr>
            </w:pPr>
            <w:hyperlink r:id="rId13">
              <w:r>
                <w:rPr>
                  <w:rFonts w:ascii="Arial" w:cs="Arial" w:eastAsia="Arial" w:hAnsi="Arial"/>
                  <w:sz w:val="18"/>
                  <w:szCs w:val="18"/>
                  <w:color w:val="0000EE"/>
                </w:rPr>
                <w:t>VERACYTE, INC.</w:t>
              </w:r>
            </w:hyperlink>
          </w:p>
        </w:tc>
        <w:tc>
          <w:tcPr>
            <w:tcW w:w="2320" w:type="dxa"/>
            <w:vAlign w:val="bottom"/>
            <w:vMerge w:val="restart"/>
          </w:tcPr>
          <w:p>
            <w:pPr>
              <w:ind w:left="60"/>
              <w:spacing w:after="0"/>
              <w:rPr>
                <w:sz w:val="20"/>
                <w:szCs w:val="20"/>
                <w:color w:val="auto"/>
              </w:rPr>
            </w:pPr>
            <w:r>
              <w:rPr>
                <w:rFonts w:ascii="Arial" w:cs="Arial" w:eastAsia="Arial" w:hAnsi="Arial"/>
                <w:sz w:val="21"/>
                <w:szCs w:val="21"/>
                <w:color w:val="auto"/>
              </w:rPr>
              <w:t xml:space="preserve">[ </w:t>
            </w:r>
            <w:r>
              <w:rPr>
                <w:rFonts w:ascii="Arial" w:cs="Arial" w:eastAsia="Arial" w:hAnsi="Arial"/>
                <w:sz w:val="16"/>
                <w:szCs w:val="16"/>
                <w:color w:val="0000FF"/>
              </w:rPr>
              <w:t>VCYT</w:t>
            </w:r>
            <w:r>
              <w:rPr>
                <w:rFonts w:ascii="Arial" w:cs="Arial" w:eastAsia="Arial" w:hAnsi="Arial"/>
                <w:sz w:val="21"/>
                <w:szCs w:val="21"/>
                <w:color w:val="auto"/>
              </w:rPr>
              <w:t xml:space="preserve"> ]</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0" w:type="dxa"/>
            <w:vAlign w:val="bottom"/>
            <w:gridSpan w:val="5"/>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Borders>
              <w:top w:val="single" w:sz="8" w:color="0000EE"/>
            </w:tcBorders>
            <w:gridSpan w:val="3"/>
          </w:tcPr>
          <w:p>
            <w:pPr>
              <w:spacing w:after="0" w:line="213" w:lineRule="exact"/>
              <w:rPr>
                <w:rFonts w:ascii="Arial" w:cs="Arial" w:eastAsia="Arial" w:hAnsi="Arial"/>
                <w:sz w:val="21"/>
                <w:szCs w:val="21"/>
                <w:color w:val="0000EE"/>
              </w:rPr>
            </w:pPr>
            <w:hyperlink r:id="rId12">
              <w:r>
                <w:rPr>
                  <w:rFonts w:ascii="Arial" w:cs="Arial" w:eastAsia="Arial" w:hAnsi="Arial"/>
                  <w:sz w:val="21"/>
                  <w:szCs w:val="21"/>
                  <w:color w:val="0000EE"/>
                </w:rPr>
                <w:t>BYERS XII, LLC</w:t>
              </w:r>
            </w:hyperlink>
          </w:p>
        </w:tc>
        <w:tc>
          <w:tcPr>
            <w:tcW w:w="600" w:type="dxa"/>
            <w:vAlign w:val="bottom"/>
            <w:tcBorders>
              <w:top w:val="single" w:sz="8" w:color="0000EE"/>
            </w:tcBorders>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3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8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9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9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rPr>
              <w:t>(Middle)</w:t>
            </w:r>
          </w:p>
        </w:tc>
        <w:tc>
          <w:tcPr>
            <w:tcW w:w="1760" w:type="dxa"/>
            <w:vAlign w:val="bottom"/>
            <w:gridSpan w:val="3"/>
          </w:tcPr>
          <w:p>
            <w:pPr>
              <w:ind w:left="140"/>
              <w:spacing w:after="0"/>
              <w:rPr>
                <w:sz w:val="20"/>
                <w:szCs w:val="20"/>
                <w:color w:val="auto"/>
              </w:rPr>
            </w:pPr>
            <w:r>
              <w:rPr>
                <w:rFonts w:ascii="Arial" w:cs="Arial" w:eastAsia="Arial" w:hAnsi="Arial"/>
                <w:sz w:val="17"/>
                <w:szCs w:val="17"/>
                <w:color w:val="0000FF"/>
              </w:rPr>
              <w:t>11/04/2013</w:t>
            </w:r>
          </w:p>
        </w:tc>
        <w:tc>
          <w:tcPr>
            <w:tcW w:w="2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2750 SAND HILL ROAD</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0"/>
          <w:szCs w:val="20"/>
          <w:color w:val="auto"/>
        </w:rPr>
      </w:pPr>
    </w:p>
    <w:p>
      <w:pPr>
        <w:ind w:left="542"/>
        <w:spacing w:after="0"/>
        <w:tabs>
          <w:tab w:leader="none" w:pos="1822" w:val="left"/>
          <w:tab w:leader="none" w:pos="216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0"/>
          <w:szCs w:val="20"/>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2"/>
        <w:spacing w:after="0"/>
        <w:tabs>
          <w:tab w:leader="none" w:pos="21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8000" w:space="58"/>
            <w:col w:w="3462"/>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3720" w:type="dxa"/>
            <w:vAlign w:val="bottom"/>
            <w:gridSpan w:val="11"/>
          </w:tcPr>
          <w:p>
            <w:pPr>
              <w:jc w:val="center"/>
              <w:ind w:right="85"/>
              <w:spacing w:after="0"/>
              <w:rPr>
                <w:sz w:val="20"/>
                <w:szCs w:val="20"/>
                <w:color w:val="auto"/>
              </w:rPr>
            </w:pPr>
            <w:r>
              <w:rPr>
                <w:rFonts w:ascii="Arial" w:cs="Arial" w:eastAsia="Arial" w:hAnsi="Arial"/>
                <w:sz w:val="13"/>
                <w:szCs w:val="13"/>
                <w:color w:val="auto"/>
                <w:w w:val="99"/>
              </w:rPr>
              <w:t>4. If Amendment, Date of Original Filed (Month/Day/Year)</w:t>
            </w:r>
          </w:p>
        </w:tc>
        <w:tc>
          <w:tcPr>
            <w:tcW w:w="388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ind w:left="42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13"/>
                <w:szCs w:val="13"/>
                <w:color w:val="auto"/>
              </w:rPr>
            </w:pPr>
          </w:p>
        </w:tc>
        <w:tc>
          <w:tcPr>
            <w:tcW w:w="238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500" w:type="dxa"/>
            <w:vAlign w:val="bottom"/>
            <w:gridSpan w:val="4"/>
            <w:vMerge w:val="restart"/>
          </w:tcPr>
          <w:p>
            <w:pPr>
              <w:spacing w:after="0"/>
              <w:rPr>
                <w:sz w:val="20"/>
                <w:szCs w:val="20"/>
                <w:color w:val="auto"/>
              </w:rPr>
            </w:pPr>
            <w:r>
              <w:rPr>
                <w:rFonts w:ascii="Arial" w:cs="Arial" w:eastAsia="Arial" w:hAnsi="Arial"/>
                <w:sz w:val="17"/>
                <w:szCs w:val="17"/>
                <w:color w:val="0000FF"/>
              </w:rPr>
              <w:t>MENLO PARK   CA</w:t>
            </w:r>
          </w:p>
        </w:tc>
        <w:tc>
          <w:tcPr>
            <w:tcW w:w="1100" w:type="dxa"/>
            <w:vAlign w:val="bottom"/>
            <w:gridSpan w:val="2"/>
            <w:vMerge w:val="restart"/>
          </w:tcPr>
          <w:p>
            <w:pPr>
              <w:ind w:left="60"/>
              <w:spacing w:after="0"/>
              <w:rPr>
                <w:sz w:val="20"/>
                <w:szCs w:val="20"/>
                <w:color w:val="auto"/>
              </w:rPr>
            </w:pPr>
            <w:r>
              <w:rPr>
                <w:rFonts w:ascii="Arial" w:cs="Arial" w:eastAsia="Arial" w:hAnsi="Arial"/>
                <w:sz w:val="17"/>
                <w:szCs w:val="17"/>
                <w:color w:val="0000FF"/>
              </w:rPr>
              <w:t>94025</w:t>
            </w: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gridSpan w:val="4"/>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80" w:type="dxa"/>
            <w:vAlign w:val="bottom"/>
            <w:gridSpan w:val="9"/>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860" w:type="dxa"/>
            <w:vAlign w:val="bottom"/>
            <w:tcBorders>
              <w:bottom w:val="single" w:sz="8" w:color="9A9A9A"/>
            </w:tcBorders>
            <w:gridSpan w:val="2"/>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186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gridSpan w:val="3"/>
          </w:tcPr>
          <w:p>
            <w:pPr>
              <w:spacing w:after="0"/>
              <w:rPr>
                <w:sz w:val="10"/>
                <w:szCs w:val="10"/>
                <w:color w:val="auto"/>
              </w:rPr>
            </w:pPr>
          </w:p>
        </w:tc>
        <w:tc>
          <w:tcPr>
            <w:tcW w:w="284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8"/>
          </w:tcPr>
          <w:p>
            <w:pPr>
              <w:jc w:val="center"/>
              <w:ind w:left="69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 w:type="dxa"/>
            <w:vAlign w:val="bottom"/>
          </w:tcPr>
          <w:p>
            <w:pPr>
              <w:spacing w:after="0"/>
              <w:rPr>
                <w:sz w:val="14"/>
                <w:szCs w:val="14"/>
                <w:color w:val="auto"/>
              </w:rPr>
            </w:pPr>
          </w:p>
        </w:tc>
        <w:tc>
          <w:tcPr>
            <w:tcW w:w="166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640"/>
              <w:spacing w:after="0" w:line="127" w:lineRule="exact"/>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27"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4"/>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1"/>
                <w:szCs w:val="11"/>
                <w:color w:val="auto"/>
              </w:rPr>
            </w:pPr>
          </w:p>
        </w:tc>
        <w:tc>
          <w:tcPr>
            <w:tcW w:w="5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KPCB</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700" w:type="dxa"/>
            <w:vAlign w:val="bottom"/>
            <w:gridSpan w:val="4"/>
            <w:vMerge w:val="restart"/>
          </w:tcPr>
          <w:p>
            <w:pPr>
              <w:jc w:val="center"/>
              <w:ind w:left="828"/>
              <w:spacing w:after="0"/>
              <w:rPr>
                <w:sz w:val="20"/>
                <w:szCs w:val="20"/>
                <w:color w:val="auto"/>
              </w:rPr>
            </w:pPr>
            <w:r>
              <w:rPr>
                <w:rFonts w:ascii="Arial" w:cs="Arial" w:eastAsia="Arial" w:hAnsi="Arial"/>
                <w:sz w:val="17"/>
                <w:szCs w:val="17"/>
                <w:color w:val="0000FF"/>
                <w:w w:val="89"/>
              </w:rPr>
              <w:t>11/04/2013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3"/>
                <w:szCs w:val="13"/>
                <w:color w:val="0000FF"/>
                <w:w w:val="84"/>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3,551,929</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620" w:type="dxa"/>
            <w:vAlign w:val="bottom"/>
            <w:gridSpan w:val="3"/>
            <w:vMerge w:val="restart"/>
          </w:tcPr>
          <w:p>
            <w:pPr>
              <w:ind w:left="260"/>
              <w:spacing w:after="0"/>
              <w:rPr>
                <w:sz w:val="20"/>
                <w:szCs w:val="20"/>
                <w:color w:val="auto"/>
              </w:rPr>
            </w:pPr>
            <w:r>
              <w:rPr>
                <w:rFonts w:ascii="Arial" w:cs="Arial" w:eastAsia="Arial" w:hAnsi="Arial"/>
                <w:sz w:val="17"/>
                <w:szCs w:val="17"/>
                <w:color w:val="0000FF"/>
              </w:rPr>
              <w:t>3,551,929</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Inc., As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Nominee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540" w:type="dxa"/>
            <w:vAlign w:val="bottom"/>
            <w:gridSpan w:val="17"/>
          </w:tcPr>
          <w:p>
            <w:pPr>
              <w:jc w:val="center"/>
              <w:ind w:right="18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580" w:type="dxa"/>
            <w:vAlign w:val="bottom"/>
            <w:gridSpan w:val="14"/>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20" w:type="dxa"/>
            <w:vAlign w:val="bottom"/>
          </w:tcPr>
          <w:p>
            <w:pPr>
              <w:spacing w:after="0"/>
              <w:rPr>
                <w:sz w:val="14"/>
                <w:szCs w:val="14"/>
                <w:color w:val="auto"/>
              </w:rPr>
            </w:pPr>
          </w:p>
        </w:tc>
        <w:tc>
          <w:tcPr>
            <w:tcW w:w="760" w:type="dxa"/>
            <w:vAlign w:val="bottom"/>
          </w:tcPr>
          <w:p>
            <w:pPr>
              <w:jc w:val="center"/>
              <w:ind w:right="1"/>
              <w:spacing w:after="0"/>
              <w:rPr>
                <w:sz w:val="20"/>
                <w:szCs w:val="20"/>
                <w:color w:val="auto"/>
              </w:rPr>
            </w:pPr>
            <w:r>
              <w:rPr>
                <w:rFonts w:ascii="Arial" w:cs="Arial" w:eastAsia="Arial" w:hAnsi="Arial"/>
                <w:sz w:val="12"/>
                <w:szCs w:val="12"/>
                <w:b w:val="1"/>
                <w:bCs w:val="1"/>
                <w:color w:val="auto"/>
                <w:w w:val="94"/>
              </w:rPr>
              <w:t>8. Price of</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20" w:type="dxa"/>
            <w:vAlign w:val="bottom"/>
          </w:tcPr>
          <w:p>
            <w:pPr>
              <w:spacing w:after="0"/>
              <w:rPr>
                <w:sz w:val="11"/>
                <w:szCs w:val="11"/>
                <w:color w:val="auto"/>
              </w:rPr>
            </w:pPr>
          </w:p>
        </w:tc>
        <w:tc>
          <w:tcPr>
            <w:tcW w:w="760" w:type="dxa"/>
            <w:vAlign w:val="bottom"/>
          </w:tcPr>
          <w:p>
            <w:pPr>
              <w:jc w:val="center"/>
              <w:ind w:right="1"/>
              <w:spacing w:after="0" w:line="130"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0000FF"/>
              </w:rPr>
              <w:t>Series A</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KPCB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0000FF"/>
              </w:rPr>
              <w:t>Convertible</w:t>
            </w:r>
          </w:p>
        </w:tc>
        <w:tc>
          <w:tcPr>
            <w:tcW w:w="76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ind w:left="280"/>
              <w:spacing w:after="0"/>
              <w:rPr>
                <w:sz w:val="20"/>
                <w:szCs w:val="20"/>
                <w:color w:val="auto"/>
              </w:rPr>
            </w:pPr>
            <w:r>
              <w:rPr>
                <w:rFonts w:ascii="Arial" w:cs="Arial" w:eastAsia="Arial" w:hAnsi="Arial"/>
                <w:sz w:val="13"/>
                <w:szCs w:val="13"/>
                <w:color w:val="0000FF"/>
              </w:rPr>
              <w:t>11/04/2013</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3"/>
                <w:szCs w:val="13"/>
                <w:color w:val="0000FF"/>
                <w:w w:val="84"/>
              </w:rPr>
              <w:t>C</w:t>
            </w:r>
          </w:p>
        </w:tc>
        <w:tc>
          <w:tcPr>
            <w:tcW w:w="760" w:type="dxa"/>
            <w:vAlign w:val="bottom"/>
            <w:gridSpan w:val="3"/>
          </w:tcPr>
          <w:p>
            <w:pPr>
              <w:ind w:left="140"/>
              <w:spacing w:after="0"/>
              <w:rPr>
                <w:sz w:val="20"/>
                <w:szCs w:val="20"/>
                <w:color w:val="auto"/>
              </w:rPr>
            </w:pPr>
            <w:r>
              <w:rPr>
                <w:rFonts w:ascii="Arial" w:cs="Arial" w:eastAsia="Arial" w:hAnsi="Arial"/>
                <w:sz w:val="13"/>
                <w:szCs w:val="13"/>
                <w:color w:val="0000FF"/>
              </w:rPr>
              <w:t>7,033,333</w:t>
            </w:r>
          </w:p>
        </w:tc>
        <w:tc>
          <w:tcPr>
            <w:tcW w:w="3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1,758,333</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40" w:type="dxa"/>
            <w:vAlign w:val="bottom"/>
          </w:tcPr>
          <w:p>
            <w:pPr>
              <w:ind w:left="380"/>
              <w:spacing w:after="0"/>
              <w:rPr>
                <w:sz w:val="20"/>
                <w:szCs w:val="20"/>
                <w:color w:val="auto"/>
              </w:rPr>
            </w:pPr>
            <w:r>
              <w:rPr>
                <w:rFonts w:ascii="Arial" w:cs="Arial" w:eastAsia="Arial" w:hAnsi="Arial"/>
                <w:sz w:val="13"/>
                <w:szCs w:val="13"/>
                <w:color w:val="0000FF"/>
              </w:rPr>
              <w:t>0</w:t>
            </w:r>
          </w:p>
        </w:tc>
        <w:tc>
          <w:tcPr>
            <w:tcW w:w="520" w:type="dxa"/>
            <w:vAlign w:val="bottom"/>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4"/>
          </w:tcPr>
          <w:p>
            <w:pPr>
              <w:ind w:left="60"/>
              <w:spacing w:after="0" w:line="65" w:lineRule="exact"/>
              <w:rPr>
                <w:sz w:val="20"/>
                <w:szCs w:val="20"/>
                <w:color w:val="auto"/>
              </w:rPr>
            </w:pPr>
            <w:r>
              <w:rPr>
                <w:rFonts w:ascii="Arial" w:cs="Arial" w:eastAsia="Arial" w:hAnsi="Arial"/>
                <w:sz w:val="6"/>
                <w:szCs w:val="6"/>
                <w:color w:val="0000FF"/>
              </w:rPr>
              <w:t>Preferred</w:t>
            </w: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line="65" w:lineRule="exact"/>
              <w:rPr>
                <w:sz w:val="20"/>
                <w:szCs w:val="20"/>
                <w:color w:val="auto"/>
              </w:rPr>
            </w:pPr>
            <w:r>
              <w:rPr>
                <w:rFonts w:ascii="Arial" w:cs="Arial" w:eastAsia="Arial" w:hAnsi="Arial"/>
                <w:sz w:val="6"/>
                <w:szCs w:val="6"/>
                <w:color w:val="0000FF"/>
              </w:rPr>
              <w:t>Stock</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3"/>
          </w:tcPr>
          <w:p>
            <w:pPr>
              <w:ind w:left="60"/>
              <w:spacing w:after="0" w:line="65" w:lineRule="exact"/>
              <w:rPr>
                <w:sz w:val="20"/>
                <w:szCs w:val="20"/>
                <w:color w:val="auto"/>
              </w:rPr>
            </w:pPr>
            <w:r>
              <w:rPr>
                <w:rFonts w:ascii="Arial" w:cs="Arial" w:eastAsia="Arial" w:hAnsi="Arial"/>
                <w:sz w:val="6"/>
                <w:szCs w:val="6"/>
                <w:color w:val="0000FF"/>
              </w:rPr>
              <w:t>Inc., As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4"/>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gridSpan w:val="3"/>
          </w:tcPr>
          <w:p>
            <w:pPr>
              <w:ind w:left="60"/>
              <w:spacing w:after="0" w:line="233" w:lineRule="exact"/>
              <w:rPr>
                <w:sz w:val="20"/>
                <w:szCs w:val="20"/>
                <w:color w:val="auto"/>
              </w:rPr>
            </w:pPr>
            <w:r>
              <w:rPr>
                <w:rFonts w:ascii="Arial" w:cs="Arial" w:eastAsia="Arial" w:hAnsi="Arial"/>
                <w:sz w:val="13"/>
                <w:szCs w:val="13"/>
                <w:color w:val="0000FF"/>
                <w:w w:val="95"/>
              </w:rPr>
              <w:t>Nominee</w:t>
            </w:r>
            <w:r>
              <w:rPr>
                <w:rFonts w:ascii="Arial" w:cs="Arial" w:eastAsia="Arial" w:hAnsi="Arial"/>
                <w:sz w:val="21"/>
                <w:szCs w:val="21"/>
                <w:color w:val="008000"/>
                <w:w w:val="95"/>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0000FF"/>
              </w:rPr>
              <w:t>Series B</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KPCB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0000FF"/>
              </w:rPr>
              <w:t>Convertible</w:t>
            </w:r>
          </w:p>
        </w:tc>
        <w:tc>
          <w:tcPr>
            <w:tcW w:w="760" w:type="dxa"/>
            <w:vAlign w:val="bottom"/>
          </w:tcPr>
          <w:p>
            <w:pPr>
              <w:ind w:left="340"/>
              <w:spacing w:after="0"/>
              <w:rPr>
                <w:sz w:val="20"/>
                <w:szCs w:val="20"/>
                <w:color w:val="auto"/>
              </w:rPr>
            </w:pPr>
            <w:r>
              <w:rPr>
                <w:rFonts w:ascii="Arial" w:cs="Arial" w:eastAsia="Arial" w:hAnsi="Arial"/>
                <w:sz w:val="11"/>
                <w:szCs w:val="11"/>
                <w:color w:val="008000"/>
              </w:rPr>
              <w:t>(1)</w:t>
            </w:r>
          </w:p>
        </w:tc>
        <w:tc>
          <w:tcPr>
            <w:tcW w:w="1100" w:type="dxa"/>
            <w:vAlign w:val="bottom"/>
          </w:tcPr>
          <w:p>
            <w:pPr>
              <w:ind w:left="280"/>
              <w:spacing w:after="0"/>
              <w:rPr>
                <w:sz w:val="20"/>
                <w:szCs w:val="20"/>
                <w:color w:val="auto"/>
              </w:rPr>
            </w:pPr>
            <w:r>
              <w:rPr>
                <w:rFonts w:ascii="Arial" w:cs="Arial" w:eastAsia="Arial" w:hAnsi="Arial"/>
                <w:sz w:val="13"/>
                <w:szCs w:val="13"/>
                <w:color w:val="0000FF"/>
              </w:rPr>
              <w:t>11/04/2013</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gridSpan w:val="3"/>
          </w:tcPr>
          <w:p>
            <w:pPr>
              <w:jc w:val="center"/>
              <w:ind w:right="300"/>
              <w:spacing w:after="0"/>
              <w:rPr>
                <w:sz w:val="20"/>
                <w:szCs w:val="20"/>
                <w:color w:val="auto"/>
              </w:rPr>
            </w:pPr>
            <w:r>
              <w:rPr>
                <w:rFonts w:ascii="Arial" w:cs="Arial" w:eastAsia="Arial" w:hAnsi="Arial"/>
                <w:sz w:val="13"/>
                <w:szCs w:val="13"/>
                <w:color w:val="0000FF"/>
                <w:w w:val="84"/>
              </w:rPr>
              <w:t>C</w:t>
            </w:r>
          </w:p>
        </w:tc>
        <w:tc>
          <w:tcPr>
            <w:tcW w:w="760" w:type="dxa"/>
            <w:vAlign w:val="bottom"/>
            <w:gridSpan w:val="3"/>
          </w:tcPr>
          <w:p>
            <w:pPr>
              <w:ind w:left="140"/>
              <w:spacing w:after="0"/>
              <w:rPr>
                <w:sz w:val="20"/>
                <w:szCs w:val="20"/>
                <w:color w:val="auto"/>
              </w:rPr>
            </w:pPr>
            <w:r>
              <w:rPr>
                <w:rFonts w:ascii="Arial" w:cs="Arial" w:eastAsia="Arial" w:hAnsi="Arial"/>
                <w:sz w:val="13"/>
                <w:szCs w:val="13"/>
                <w:color w:val="0000FF"/>
              </w:rPr>
              <w:t>4,016,000</w:t>
            </w:r>
          </w:p>
        </w:tc>
        <w:tc>
          <w:tcPr>
            <w:tcW w:w="3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1,004,000</w:t>
            </w:r>
          </w:p>
        </w:tc>
        <w:tc>
          <w:tcPr>
            <w:tcW w:w="780" w:type="dxa"/>
            <w:vAlign w:val="bottom"/>
            <w:gridSpan w:val="2"/>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40" w:type="dxa"/>
            <w:vAlign w:val="bottom"/>
          </w:tcPr>
          <w:p>
            <w:pPr>
              <w:ind w:left="380"/>
              <w:spacing w:after="0"/>
              <w:rPr>
                <w:sz w:val="20"/>
                <w:szCs w:val="20"/>
                <w:color w:val="auto"/>
              </w:rPr>
            </w:pPr>
            <w:r>
              <w:rPr>
                <w:rFonts w:ascii="Arial" w:cs="Arial" w:eastAsia="Arial" w:hAnsi="Arial"/>
                <w:sz w:val="13"/>
                <w:szCs w:val="13"/>
                <w:color w:val="0000FF"/>
              </w:rPr>
              <w:t>0</w:t>
            </w:r>
          </w:p>
        </w:tc>
        <w:tc>
          <w:tcPr>
            <w:tcW w:w="520" w:type="dxa"/>
            <w:vAlign w:val="bottom"/>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4"/>
          </w:tcPr>
          <w:p>
            <w:pPr>
              <w:ind w:left="60"/>
              <w:spacing w:after="0" w:line="65" w:lineRule="exact"/>
              <w:rPr>
                <w:sz w:val="20"/>
                <w:szCs w:val="20"/>
                <w:color w:val="auto"/>
              </w:rPr>
            </w:pPr>
            <w:r>
              <w:rPr>
                <w:rFonts w:ascii="Arial" w:cs="Arial" w:eastAsia="Arial" w:hAnsi="Arial"/>
                <w:sz w:val="6"/>
                <w:szCs w:val="6"/>
                <w:color w:val="0000FF"/>
              </w:rPr>
              <w:t>Preferred</w:t>
            </w: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line="65" w:lineRule="exact"/>
              <w:rPr>
                <w:sz w:val="20"/>
                <w:szCs w:val="20"/>
                <w:color w:val="auto"/>
              </w:rPr>
            </w:pPr>
            <w:r>
              <w:rPr>
                <w:rFonts w:ascii="Arial" w:cs="Arial" w:eastAsia="Arial" w:hAnsi="Arial"/>
                <w:sz w:val="6"/>
                <w:szCs w:val="6"/>
                <w:color w:val="0000FF"/>
              </w:rPr>
              <w:t>Stock</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3"/>
          </w:tcPr>
          <w:p>
            <w:pPr>
              <w:ind w:left="60"/>
              <w:spacing w:after="0" w:line="65" w:lineRule="exact"/>
              <w:rPr>
                <w:sz w:val="20"/>
                <w:szCs w:val="20"/>
                <w:color w:val="auto"/>
              </w:rPr>
            </w:pPr>
            <w:r>
              <w:rPr>
                <w:rFonts w:ascii="Arial" w:cs="Arial" w:eastAsia="Arial" w:hAnsi="Arial"/>
                <w:sz w:val="6"/>
                <w:szCs w:val="6"/>
                <w:color w:val="0000FF"/>
              </w:rPr>
              <w:t>Inc., As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4"/>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40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gridSpan w:val="3"/>
          </w:tcPr>
          <w:p>
            <w:pPr>
              <w:ind w:left="60"/>
              <w:spacing w:after="0" w:line="233" w:lineRule="exact"/>
              <w:rPr>
                <w:sz w:val="20"/>
                <w:szCs w:val="20"/>
                <w:color w:val="auto"/>
              </w:rPr>
            </w:pPr>
            <w:r>
              <w:rPr>
                <w:rFonts w:ascii="Arial" w:cs="Arial" w:eastAsia="Arial" w:hAnsi="Arial"/>
                <w:sz w:val="13"/>
                <w:szCs w:val="13"/>
                <w:color w:val="0000FF"/>
                <w:w w:val="95"/>
              </w:rPr>
              <w:t>Nominee</w:t>
            </w:r>
            <w:r>
              <w:rPr>
                <w:rFonts w:ascii="Arial" w:cs="Arial" w:eastAsia="Arial" w:hAnsi="Arial"/>
                <w:sz w:val="21"/>
                <w:szCs w:val="21"/>
                <w:color w:val="008000"/>
                <w:w w:val="95"/>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0000FF"/>
              </w:rPr>
              <w:t>Series C</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KPCB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4"/>
          </w:tcPr>
          <w:p>
            <w:pPr>
              <w:ind w:left="60"/>
              <w:spacing w:after="0" w:line="143" w:lineRule="exact"/>
              <w:rPr>
                <w:sz w:val="20"/>
                <w:szCs w:val="20"/>
                <w:color w:val="auto"/>
              </w:rPr>
            </w:pPr>
            <w:r>
              <w:rPr>
                <w:rFonts w:ascii="Arial" w:cs="Arial" w:eastAsia="Arial" w:hAnsi="Arial"/>
                <w:sz w:val="13"/>
                <w:szCs w:val="13"/>
                <w:color w:val="0000FF"/>
              </w:rPr>
              <w:t>Convertible</w:t>
            </w:r>
          </w:p>
        </w:tc>
        <w:tc>
          <w:tcPr>
            <w:tcW w:w="7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ind w:left="280"/>
              <w:spacing w:after="0"/>
              <w:rPr>
                <w:sz w:val="20"/>
                <w:szCs w:val="20"/>
                <w:color w:val="auto"/>
              </w:rPr>
            </w:pPr>
            <w:r>
              <w:rPr>
                <w:rFonts w:ascii="Arial" w:cs="Arial" w:eastAsia="Arial" w:hAnsi="Arial"/>
                <w:sz w:val="13"/>
                <w:szCs w:val="13"/>
                <w:color w:val="0000FF"/>
              </w:rPr>
              <w:t>11/04/2013</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3"/>
            <w:vMerge w:val="restart"/>
          </w:tcPr>
          <w:p>
            <w:pPr>
              <w:jc w:val="center"/>
              <w:ind w:right="300"/>
              <w:spacing w:after="0"/>
              <w:rPr>
                <w:sz w:val="20"/>
                <w:szCs w:val="20"/>
                <w:color w:val="auto"/>
              </w:rPr>
            </w:pPr>
            <w:r>
              <w:rPr>
                <w:rFonts w:ascii="Arial" w:cs="Arial" w:eastAsia="Arial" w:hAnsi="Arial"/>
                <w:sz w:val="13"/>
                <w:szCs w:val="13"/>
                <w:color w:val="0000FF"/>
                <w:w w:val="84"/>
              </w:rPr>
              <w:t>C</w:t>
            </w:r>
          </w:p>
        </w:tc>
        <w:tc>
          <w:tcPr>
            <w:tcW w:w="760" w:type="dxa"/>
            <w:vAlign w:val="bottom"/>
            <w:gridSpan w:val="3"/>
            <w:vMerge w:val="restart"/>
          </w:tcPr>
          <w:p>
            <w:pPr>
              <w:ind w:left="140"/>
              <w:spacing w:after="0"/>
              <w:rPr>
                <w:sz w:val="20"/>
                <w:szCs w:val="20"/>
                <w:color w:val="auto"/>
              </w:rPr>
            </w:pPr>
            <w:r>
              <w:rPr>
                <w:rFonts w:ascii="Arial" w:cs="Arial" w:eastAsia="Arial" w:hAnsi="Arial"/>
                <w:sz w:val="13"/>
                <w:szCs w:val="13"/>
                <w:color w:val="0000FF"/>
              </w:rPr>
              <w:t>3,158,385</w:t>
            </w:r>
          </w:p>
        </w:tc>
        <w:tc>
          <w:tcPr>
            <w:tcW w:w="30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789,596</w:t>
            </w:r>
          </w:p>
        </w:tc>
        <w:tc>
          <w:tcPr>
            <w:tcW w:w="78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12"/>
                <w:szCs w:val="12"/>
                <w:color w:val="auto"/>
              </w:rPr>
            </w:pPr>
          </w:p>
        </w:tc>
        <w:tc>
          <w:tcPr>
            <w:tcW w:w="74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4"/>
          </w:tcPr>
          <w:p>
            <w:pPr>
              <w:ind w:left="60"/>
              <w:spacing w:after="0" w:line="139" w:lineRule="exact"/>
              <w:rPr>
                <w:sz w:val="20"/>
                <w:szCs w:val="20"/>
                <w:color w:val="auto"/>
              </w:rPr>
            </w:pPr>
            <w:r>
              <w:rPr>
                <w:rFonts w:ascii="Arial" w:cs="Arial" w:eastAsia="Arial" w:hAnsi="Arial"/>
                <w:sz w:val="13"/>
                <w:szCs w:val="13"/>
                <w:color w:val="0000FF"/>
              </w:rPr>
              <w:t>Preferred</w:t>
            </w:r>
          </w:p>
        </w:tc>
        <w:tc>
          <w:tcPr>
            <w:tcW w:w="7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line="139"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Inc., As</w:t>
            </w:r>
          </w:p>
        </w:tc>
        <w:tc>
          <w:tcPr>
            <w:tcW w:w="0" w:type="dxa"/>
            <w:vAlign w:val="bottom"/>
          </w:tcPr>
          <w:p>
            <w:pPr>
              <w:spacing w:after="0"/>
              <w:rPr>
                <w:sz w:val="1"/>
                <w:szCs w:val="1"/>
                <w:color w:val="auto"/>
              </w:rPr>
            </w:pPr>
          </w:p>
        </w:tc>
      </w:tr>
      <w:tr>
        <w:trPr>
          <w:trHeight w:val="279"/>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4"/>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line="233" w:lineRule="exact"/>
              <w:rPr>
                <w:sz w:val="20"/>
                <w:szCs w:val="20"/>
                <w:color w:val="auto"/>
              </w:rPr>
            </w:pPr>
            <w:r>
              <w:rPr>
                <w:rFonts w:ascii="Arial" w:cs="Arial" w:eastAsia="Arial" w:hAnsi="Arial"/>
                <w:sz w:val="13"/>
                <w:szCs w:val="13"/>
                <w:color w:val="0000FF"/>
                <w:w w:val="95"/>
              </w:rPr>
              <w:t>Nominee</w:t>
            </w:r>
            <w:r>
              <w:rPr>
                <w:rFonts w:ascii="Arial" w:cs="Arial" w:eastAsia="Arial" w:hAnsi="Arial"/>
                <w:sz w:val="21"/>
                <w:szCs w:val="21"/>
                <w:color w:val="008000"/>
                <w:w w:val="95"/>
                <w:vertAlign w:val="superscript"/>
              </w:rPr>
              <w:t>(2)</w:t>
            </w: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8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40" w:type="dxa"/>
            <w:vAlign w:val="bottom"/>
            <w:gridSpan w:val="9"/>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KLEINER PERKINS CAUFIELD &amp; BYERS XII,</w:t>
              </w:r>
            </w:hyperlink>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0000EE"/>
            </w:tcBorders>
            <w:gridSpan w:val="2"/>
          </w:tcPr>
          <w:p>
            <w:pPr>
              <w:spacing w:after="0" w:line="213" w:lineRule="exact"/>
              <w:rPr>
                <w:rFonts w:ascii="Arial" w:cs="Arial" w:eastAsia="Arial" w:hAnsi="Arial"/>
                <w:sz w:val="21"/>
                <w:szCs w:val="21"/>
                <w:color w:val="0000EE"/>
              </w:rPr>
            </w:pPr>
            <w:hyperlink r:id="rId12">
              <w:r>
                <w:rPr>
                  <w:rFonts w:ascii="Arial" w:cs="Arial" w:eastAsia="Arial" w:hAnsi="Arial"/>
                  <w:sz w:val="21"/>
                  <w:szCs w:val="21"/>
                  <w:color w:val="0000EE"/>
                </w:rPr>
                <w:t>LLC</w:t>
              </w:r>
            </w:hyperlink>
          </w:p>
        </w:tc>
        <w:tc>
          <w:tcPr>
            <w:tcW w:w="7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2750 SAND HILL ROAD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100" w:type="dxa"/>
            <w:vAlign w:val="bottom"/>
          </w:tcPr>
          <w:p>
            <w:pPr>
              <w:ind w:left="60"/>
              <w:spacing w:after="0"/>
              <w:rPr>
                <w:sz w:val="20"/>
                <w:szCs w:val="20"/>
                <w:color w:val="auto"/>
              </w:rPr>
            </w:pPr>
            <w:r>
              <w:rPr>
                <w:rFonts w:ascii="Arial" w:cs="Arial" w:eastAsia="Arial" w:hAnsi="Arial"/>
                <w:sz w:val="17"/>
                <w:szCs w:val="17"/>
                <w:color w:val="0000FF"/>
              </w:rPr>
              <w:t>CA</w:t>
            </w:r>
          </w:p>
        </w:tc>
        <w:tc>
          <w:tcPr>
            <w:tcW w:w="1100" w:type="dxa"/>
            <w:vAlign w:val="bottom"/>
            <w:gridSpan w:val="2"/>
          </w:tcPr>
          <w:p>
            <w:pPr>
              <w:ind w:left="420"/>
              <w:spacing w:after="0"/>
              <w:rPr>
                <w:sz w:val="20"/>
                <w:szCs w:val="20"/>
                <w:color w:val="auto"/>
              </w:rPr>
            </w:pPr>
            <w:r>
              <w:rPr>
                <w:rFonts w:ascii="Arial" w:cs="Arial" w:eastAsia="Arial" w:hAnsi="Arial"/>
                <w:sz w:val="17"/>
                <w:szCs w:val="17"/>
                <w:color w:val="0000FF"/>
              </w:rPr>
              <w:t>94025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6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0" w:type="dxa"/>
            <w:vAlign w:val="bottom"/>
            <w:gridSpan w:val="6"/>
          </w:tcPr>
          <w:p>
            <w:pPr>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KPCB XII Founders Fund, LLC</w:t>
              </w:r>
            </w:hyperlink>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top w:val="single" w:sz="8" w:color="0000EE"/>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3"/>
                <w:szCs w:val="13"/>
                <w:color w:val="auto"/>
              </w:rPr>
              <w:t>(Middle)</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00" w:type="dxa"/>
            <w:vAlign w:val="bottom"/>
            <w:gridSpan w:val="4"/>
          </w:tcPr>
          <w:p>
            <w:pPr>
              <w:spacing w:after="0"/>
              <w:rPr>
                <w:sz w:val="20"/>
                <w:szCs w:val="20"/>
                <w:color w:val="auto"/>
              </w:rPr>
            </w:pPr>
            <w:r>
              <w:rPr>
                <w:rFonts w:ascii="Arial" w:cs="Arial" w:eastAsia="Arial" w:hAnsi="Arial"/>
                <w:sz w:val="17"/>
                <w:szCs w:val="17"/>
                <w:color w:val="0000FF"/>
              </w:rPr>
              <w:t>2750 SAND HILL ROAD</w:t>
            </w: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92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4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Arial" w:cs="Arial" w:eastAsia="Arial" w:hAnsi="Arial"/>
                <w:sz w:val="17"/>
                <w:szCs w:val="17"/>
                <w:color w:val="0000FF"/>
              </w:rPr>
              <w:t>MENLO PARK</w:t>
            </w:r>
          </w:p>
        </w:tc>
        <w:tc>
          <w:tcPr>
            <w:tcW w:w="1100" w:type="dxa"/>
            <w:vAlign w:val="bottom"/>
          </w:tcPr>
          <w:p>
            <w:pPr>
              <w:ind w:left="60"/>
              <w:spacing w:after="0"/>
              <w:rPr>
                <w:sz w:val="20"/>
                <w:szCs w:val="20"/>
                <w:color w:val="auto"/>
              </w:rPr>
            </w:pPr>
            <w:r>
              <w:rPr>
                <w:rFonts w:ascii="Arial" w:cs="Arial" w:eastAsia="Arial" w:hAnsi="Arial"/>
                <w:sz w:val="17"/>
                <w:szCs w:val="17"/>
                <w:color w:val="0000FF"/>
              </w:rPr>
              <w:t>CA</w:t>
            </w:r>
          </w:p>
        </w:tc>
        <w:tc>
          <w:tcPr>
            <w:tcW w:w="1100" w:type="dxa"/>
            <w:vAlign w:val="bottom"/>
            <w:gridSpan w:val="2"/>
          </w:tcPr>
          <w:p>
            <w:pPr>
              <w:ind w:left="420"/>
              <w:spacing w:after="0"/>
              <w:rPr>
                <w:sz w:val="20"/>
                <w:szCs w:val="20"/>
                <w:color w:val="auto"/>
              </w:rPr>
            </w:pPr>
            <w:r>
              <w:rPr>
                <w:rFonts w:ascii="Arial" w:cs="Arial" w:eastAsia="Arial" w:hAnsi="Arial"/>
                <w:sz w:val="17"/>
                <w:szCs w:val="17"/>
                <w:color w:val="0000FF"/>
              </w:rPr>
              <w:t>94025</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-5734050</wp:posOffset>
            </wp:positionV>
            <wp:extent cx="24130" cy="2738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738755"/>
                    </a:xfrm>
                    <a:prstGeom prst="rect">
                      <a:avLst/>
                    </a:prstGeom>
                    <a:noFill/>
                  </pic:spPr>
                </pic:pic>
              </a:graphicData>
            </a:graphic>
          </wp:anchor>
        </w:drawing>
      </w:r>
    </w:p>
    <w:p>
      <w:pPr>
        <w:sectPr>
          <w:pgSz w:w="11900" w:h="16838" w:orient="portrait"/>
          <w:cols w:equalWidth="0" w:num="1">
            <w:col w:w="11520"/>
          </w:cols>
          <w:pgMar w:left="240" w:top="222" w:right="139" w:bottom="0" w:gutter="0" w:footer="0" w:header="0"/>
          <w:type w:val="continuous"/>
        </w:sectPr>
      </w:pPr>
    </w:p>
    <w:p>
      <w:pPr>
        <w:spacing w:after="0" w:line="312"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520"/>
          </w:cols>
          <w:pgMar w:left="240" w:top="222" w:right="13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142240</wp:posOffset>
            </wp:positionH>
            <wp:positionV relativeFrom="page">
              <wp:posOffset>88900</wp:posOffset>
            </wp:positionV>
            <wp:extent cx="2919730" cy="1583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19730" cy="1583055"/>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KPCB XII Associates, LLC</w:t>
        </w:r>
      </w:hyperlink>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20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2400" w:type="dxa"/>
            <w:vAlign w:val="bottom"/>
            <w:gridSpan w:val="2"/>
          </w:tcPr>
          <w:p>
            <w:pPr>
              <w:ind w:left="20"/>
              <w:spacing w:after="0"/>
              <w:rPr>
                <w:sz w:val="20"/>
                <w:szCs w:val="20"/>
                <w:color w:val="auto"/>
              </w:rPr>
            </w:pPr>
            <w:r>
              <w:rPr>
                <w:rFonts w:ascii="Arial" w:cs="Arial" w:eastAsia="Arial" w:hAnsi="Arial"/>
                <w:sz w:val="17"/>
                <w:szCs w:val="17"/>
                <w:color w:val="0000FF"/>
              </w:rPr>
              <w:t>2750 SAND HILL ROAD</w:t>
            </w:r>
          </w:p>
        </w:tc>
        <w:tc>
          <w:tcPr>
            <w:tcW w:w="1960" w:type="dxa"/>
            <w:vAlign w:val="bottom"/>
          </w:tcPr>
          <w:p>
            <w:pPr>
              <w:spacing w:after="0"/>
              <w:rPr>
                <w:sz w:val="23"/>
                <w:szCs w:val="23"/>
                <w:color w:val="auto"/>
              </w:rPr>
            </w:pPr>
          </w:p>
        </w:tc>
      </w:tr>
      <w:tr>
        <w:trPr>
          <w:trHeight w:val="202"/>
        </w:trPr>
        <w:tc>
          <w:tcPr>
            <w:tcW w:w="20" w:type="dxa"/>
            <w:vAlign w:val="bottom"/>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r>
      <w:tr>
        <w:trPr>
          <w:trHeight w:val="258"/>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120" w:type="dxa"/>
            <w:vAlign w:val="bottom"/>
          </w:tcPr>
          <w:p>
            <w:pPr>
              <w:ind w:left="200"/>
              <w:spacing w:after="0"/>
              <w:rPr>
                <w:sz w:val="20"/>
                <w:szCs w:val="20"/>
                <w:color w:val="auto"/>
              </w:rPr>
            </w:pPr>
            <w:r>
              <w:rPr>
                <w:rFonts w:ascii="Arial" w:cs="Arial" w:eastAsia="Arial" w:hAnsi="Arial"/>
                <w:sz w:val="17"/>
                <w:szCs w:val="17"/>
                <w:color w:val="0000FF"/>
              </w:rPr>
              <w:t>CA</w:t>
            </w:r>
          </w:p>
        </w:tc>
        <w:tc>
          <w:tcPr>
            <w:tcW w:w="1960" w:type="dxa"/>
            <w:vAlign w:val="bottom"/>
          </w:tcPr>
          <w:p>
            <w:pPr>
              <w:ind w:left="540"/>
              <w:spacing w:after="0"/>
              <w:rPr>
                <w:sz w:val="20"/>
                <w:szCs w:val="20"/>
                <w:color w:val="auto"/>
              </w:rPr>
            </w:pPr>
            <w:r>
              <w:rPr>
                <w:rFonts w:ascii="Arial" w:cs="Arial" w:eastAsia="Arial" w:hAnsi="Arial"/>
                <w:sz w:val="17"/>
                <w:szCs w:val="17"/>
                <w:color w:val="0000FF"/>
              </w:rPr>
              <w:t>94025</w:t>
            </w:r>
          </w:p>
        </w:tc>
      </w:tr>
      <w:tr>
        <w:trPr>
          <w:trHeight w:val="150"/>
        </w:trPr>
        <w:tc>
          <w:tcPr>
            <w:tcW w:w="2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0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40" w:hanging="138"/>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outstanding share of convertible preferred stock automatically converted into 0.25 shares of common stock upon closing of the Issuer's initial public offering and has no expiration date.</w:t>
      </w:r>
    </w:p>
    <w:p>
      <w:pPr>
        <w:spacing w:after="0" w:line="44" w:lineRule="exact"/>
        <w:rPr>
          <w:rFonts w:ascii="Arial" w:cs="Arial" w:eastAsia="Arial" w:hAnsi="Arial"/>
          <w:sz w:val="13"/>
          <w:szCs w:val="13"/>
          <w:color w:val="008000"/>
        </w:rPr>
      </w:pPr>
    </w:p>
    <w:p>
      <w:pPr>
        <w:ind w:firstLine="2"/>
        <w:spacing w:after="0" w:line="235" w:lineRule="auto"/>
        <w:tabs>
          <w:tab w:leader="none" w:pos="13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shares beneficially owned by Kleiner Perkins Caufield &amp; Byers XII, LLC, or KPCB XII; shares beneficially owned by KPCB XII Founders Fund, LLC, or KPCB XII FF; shares beneficially owned by Brook H. Byers, a member of the Issuer's board of directors; and shares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and Theodore E. Schlein, the managers of KPCB XII Associates, exercise shared voting and dispositive power over the shares directly held by KPCB XII and KPCB XII FF.</w:t>
      </w:r>
    </w:p>
    <w:p>
      <w:pPr>
        <w:spacing w:after="0" w:line="40"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Paul M. Vronsky, General</w:t>
            </w:r>
          </w:p>
        </w:tc>
        <w:tc>
          <w:tcPr>
            <w:tcW w:w="3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11/04/2013</w:t>
            </w:r>
          </w:p>
        </w:tc>
        <w:tc>
          <w:tcPr>
            <w:tcW w:w="0" w:type="dxa"/>
            <w:vAlign w:val="bottom"/>
          </w:tcPr>
          <w:p>
            <w:pPr>
              <w:spacing w:after="0"/>
              <w:rPr>
                <w:sz w:val="1"/>
                <w:szCs w:val="1"/>
                <w:color w:val="auto"/>
              </w:rPr>
            </w:pPr>
          </w:p>
        </w:tc>
      </w:tr>
      <w:tr>
        <w:trPr>
          <w:trHeight w:val="89"/>
        </w:trPr>
        <w:tc>
          <w:tcPr>
            <w:tcW w:w="560" w:type="dxa"/>
            <w:vAlign w:val="bottom"/>
            <w:vMerge w:val="restart"/>
          </w:tcPr>
          <w:p>
            <w:pPr>
              <w:spacing w:after="0" w:line="187" w:lineRule="exact"/>
              <w:rPr>
                <w:sz w:val="20"/>
                <w:szCs w:val="20"/>
                <w:color w:val="auto"/>
              </w:rPr>
            </w:pPr>
            <w:r>
              <w:rPr>
                <w:rFonts w:ascii="Arial" w:cs="Arial" w:eastAsia="Arial" w:hAnsi="Arial"/>
                <w:sz w:val="17"/>
                <w:szCs w:val="17"/>
                <w:color w:val="0000FF"/>
                <w:w w:val="86"/>
              </w:rPr>
              <w:t>Counsel</w:t>
            </w:r>
          </w:p>
        </w:tc>
        <w:tc>
          <w:tcPr>
            <w:tcW w:w="17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Paul M. Vronsky, General</w:t>
            </w:r>
          </w:p>
        </w:tc>
        <w:tc>
          <w:tcPr>
            <w:tcW w:w="34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11/04/2013</w:t>
            </w:r>
          </w:p>
        </w:tc>
        <w:tc>
          <w:tcPr>
            <w:tcW w:w="0" w:type="dxa"/>
            <w:vAlign w:val="bottom"/>
          </w:tcPr>
          <w:p>
            <w:pPr>
              <w:spacing w:after="0"/>
              <w:rPr>
                <w:sz w:val="1"/>
                <w:szCs w:val="1"/>
                <w:color w:val="auto"/>
              </w:rPr>
            </w:pPr>
          </w:p>
        </w:tc>
      </w:tr>
      <w:tr>
        <w:trPr>
          <w:trHeight w:val="89"/>
        </w:trPr>
        <w:tc>
          <w:tcPr>
            <w:tcW w:w="560" w:type="dxa"/>
            <w:vAlign w:val="bottom"/>
            <w:vMerge w:val="restart"/>
          </w:tcPr>
          <w:p>
            <w:pPr>
              <w:spacing w:after="0" w:line="187" w:lineRule="exact"/>
              <w:rPr>
                <w:sz w:val="20"/>
                <w:szCs w:val="20"/>
                <w:color w:val="auto"/>
              </w:rPr>
            </w:pPr>
            <w:r>
              <w:rPr>
                <w:rFonts w:ascii="Arial" w:cs="Arial" w:eastAsia="Arial" w:hAnsi="Arial"/>
                <w:sz w:val="17"/>
                <w:szCs w:val="17"/>
                <w:color w:val="0000FF"/>
                <w:w w:val="86"/>
              </w:rPr>
              <w:t>Counsel</w:t>
            </w:r>
          </w:p>
        </w:tc>
        <w:tc>
          <w:tcPr>
            <w:tcW w:w="17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Paul M. Vronsky, General</w:t>
            </w:r>
          </w:p>
        </w:tc>
        <w:tc>
          <w:tcPr>
            <w:tcW w:w="340" w:type="dxa"/>
            <w:vAlign w:val="bottom"/>
          </w:tcPr>
          <w:p>
            <w:pPr>
              <w:spacing w:after="0"/>
              <w:rPr>
                <w:sz w:val="20"/>
                <w:szCs w:val="20"/>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11/04/2013</w:t>
            </w:r>
          </w:p>
        </w:tc>
        <w:tc>
          <w:tcPr>
            <w:tcW w:w="0" w:type="dxa"/>
            <w:vAlign w:val="bottom"/>
          </w:tcPr>
          <w:p>
            <w:pPr>
              <w:spacing w:after="0"/>
              <w:rPr>
                <w:sz w:val="1"/>
                <w:szCs w:val="1"/>
                <w:color w:val="auto"/>
              </w:rPr>
            </w:pPr>
          </w:p>
        </w:tc>
      </w:tr>
      <w:tr>
        <w:trPr>
          <w:trHeight w:val="89"/>
        </w:trPr>
        <w:tc>
          <w:tcPr>
            <w:tcW w:w="560" w:type="dxa"/>
            <w:vAlign w:val="bottom"/>
            <w:vMerge w:val="restart"/>
          </w:tcPr>
          <w:p>
            <w:pPr>
              <w:spacing w:after="0" w:line="187" w:lineRule="exact"/>
              <w:rPr>
                <w:sz w:val="20"/>
                <w:szCs w:val="20"/>
                <w:color w:val="auto"/>
              </w:rPr>
            </w:pPr>
            <w:r>
              <w:rPr>
                <w:rFonts w:ascii="Arial" w:cs="Arial" w:eastAsia="Arial" w:hAnsi="Arial"/>
                <w:sz w:val="17"/>
                <w:szCs w:val="17"/>
                <w:color w:val="0000FF"/>
                <w:w w:val="86"/>
              </w:rPr>
              <w:t>Counsel</w:t>
            </w:r>
          </w:p>
        </w:tc>
        <w:tc>
          <w:tcPr>
            <w:tcW w:w="174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60" w:type="dxa"/>
            <w:vAlign w:val="bottom"/>
            <w:tcBorders>
              <w:bottom w:val="single" w:sz="8" w:color="auto"/>
            </w:tcBorders>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860" w:firstLine="2"/>
        <w:spacing w:after="0" w:line="336"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355934" TargetMode="External"/><Relationship Id="rId13" Type="http://schemas.openxmlformats.org/officeDocument/2006/relationships/hyperlink" Target="http://www.sec.gov/cgi-bin/browse-edgar?action=getcompany&amp;CIK=0001384101" TargetMode="External"/><Relationship Id="rId14" Type="http://schemas.openxmlformats.org/officeDocument/2006/relationships/hyperlink" Target="http://www.sec.gov/cgi-bin/browse-edgar?action=getcompany&amp;CIK=0001500600" TargetMode="External"/><Relationship Id="rId17" Type="http://schemas.openxmlformats.org/officeDocument/2006/relationships/hyperlink" Target="http://www.sec.gov/cgi-bin/browse-edgar?action=getcompany&amp;CIK=00015005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2019-12-17T10:42:56Z</dcterms:created>
  <dcterms:modified xsi:type="dcterms:W3CDTF">2019-12-17T10:42:56Z</dcterms:modified>
</cp:coreProperties>
</file>