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November 7,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VERACYTE,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(650) 243-6300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2023, Veracyte, Inc. (the “Company”) issued a press release announcing its financial results for the quarter ended September 30, 2023.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11x0720238xkearningsr.htm">
              <w:r>
                <w:rPr>
                  <w:rStyle w:val="InternetLink"/>
                  <w:rFonts w:ascii="Times New Roman;sans-serif" w:hAnsi="Times New Roman;sans-serif"/>
                  <w:b w:val="false"/>
                  <w:color w:val="000080"/>
                  <w:sz w:val="20"/>
                  <w:u w:val="single"/>
                </w:rPr>
                <w:t xml:space="preserve">Press release issued by Veracyte, Inc. dated </w:t>
              </w:r>
            </w:hyperlink>
            <w:hyperlink w:anchor="vcyt-11x0720238xkearningsr.htm">
              <w:r>
                <w:rPr>
                  <w:rStyle w:val="InternetLink"/>
                  <w:rFonts w:ascii="Times New Roman;sans-serif" w:hAnsi="Times New Roman;sans-serif"/>
                  <w:b w:val="false"/>
                  <w:color w:val="000080"/>
                  <w:sz w:val="20"/>
                  <w:u w:val="single"/>
                </w:rPr>
                <w:t>November 7</w:t>
              </w:r>
            </w:hyperlink>
            <w:hyperlink w:anchor="vcyt-11x0720238xkearningsr.htm">
              <w:r>
                <w:rPr>
                  <w:rStyle w:val="InternetLink"/>
                  <w:rFonts w:ascii="Times New Roman;sans-serif" w:hAnsi="Times New Roman;sans-serif"/>
                  <w:b w:val="false"/>
                  <w:color w:val="000080"/>
                  <w:sz w:val="20"/>
                  <w:u w:val="single"/>
                </w:rPr>
                <w:t>, 2023</w:t>
              </w:r>
            </w:hyperlink>
            <w:r>
              <w:rPr>
                <w:rFonts w:ascii="Times New Roman;sans-serif" w:hAnsi="Times New Roman;sans-serif"/>
                <w:b w:val="false"/>
                <w:color w:val="000000"/>
                <w:sz w:val="20"/>
              </w:rPr>
              <w:t>.</w:t>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521" w:type="dxa"/>
        <w:jc w:val="left"/>
        <w:tblInd w:w="0" w:type="dxa"/>
        <w:tblLayout w:type="fixed"/>
        <w:tblCellMar>
          <w:top w:w="28" w:type="dxa"/>
          <w:left w:w="28" w:type="dxa"/>
          <w:bottom w:w="28" w:type="dxa"/>
          <w:right w:w="28" w:type="dxa"/>
        </w:tblCellMar>
      </w:tblPr>
      <w:tblGrid>
        <w:gridCol w:w="260"/>
        <w:gridCol w:w="229"/>
        <w:gridCol w:w="231"/>
        <w:gridCol w:w="534"/>
        <w:gridCol w:w="534"/>
        <w:gridCol w:w="536"/>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Third Quarter 2023 Financial Results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Grew Total Revenue to $90.1 million, an Increase of 19%</w:t>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 xml:space="preserve">Grew Testing Revenue by 27% </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November 7, 2023 --- Veracyte, Inc. (Nasdaq: VCYT) today announced financial results for the third quarter ended September 30, 2023.</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val="false"/>
          <w:color w:val="000000"/>
          <w:sz w:val="20"/>
        </w:rPr>
        <w:t>I am pleased to share we delivered another quarter of strong revenue growth, fueled by continued demand for our Decipher Prostate and Afirma tests,” said Marc Stapley, Veracyte’s chief executive officer. “These products are serving a critical unmet need for patients dealing with prostate and thyroid cancer, indications for which we believe there remains ample opportunity to fuel outsized, long-term growth.”</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Key Business Highlights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third quarter total revenue by 19% to $90.1 million, compared to the third quarter of 2022.</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total test volume to 32,544, an increase of 23% compared to the third quarter of 2022.</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Presented 13 abstracts for our diagnostic tests and capabilities, as well as our biopharmaceutical offerings, at leading medical conferences. These included an oral presentation, at the American Society for Radiation Oncology (ASTRO) annual meeting, of findings from a phase 3, randomized trial demonstrating the Decipher Prostate Genomic Classifier’s performance as a tool to help guide therapeutic decisions for patients with prostate cancer.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Published study findings in </w:t>
      </w:r>
      <w:r>
        <w:rPr>
          <w:rFonts w:ascii="Arial;sans-serif" w:hAnsi="Arial;sans-serif"/>
          <w:b w:val="false"/>
          <w:i/>
          <w:color w:val="000000"/>
          <w:sz w:val="20"/>
        </w:rPr>
        <w:t>JCO</w:t>
      </w:r>
      <w:r>
        <w:rPr>
          <w:color w:val="000000"/>
        </w:rPr>
        <w:t xml:space="preserve"> </w:t>
      </w:r>
      <w:r>
        <w:rPr>
          <w:rFonts w:ascii="Arial;sans-serif" w:hAnsi="Arial;sans-serif"/>
          <w:b w:val="false"/>
          <w:i/>
          <w:color w:val="000000"/>
          <w:sz w:val="20"/>
        </w:rPr>
        <w:t>Precision Oncology</w:t>
      </w:r>
      <w:r>
        <w:rPr>
          <w:rFonts w:ascii="Arial;sans-serif" w:hAnsi="Arial;sans-serif"/>
          <w:b w:val="false"/>
          <w:color w:val="000000"/>
          <w:sz w:val="20"/>
        </w:rPr>
        <w:t>, which suggest the potential of Decipher Genomic Resource for Intelligent Discovery (GRID)-derived gene signatures to predict treatment response in patients with recurrent prostate cancer.</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Unveiled the Afirma GRID, a new research-use-only tool that leverages Veracyte’s Afirma-based whole-transcriptome sequencing platform to help identify new molecular hallmarks of thyroid nodules and cancer.</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Entered into a multi-year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 xml:space="preserve">diagnostic agreement with Illumina to broaden availability of our tests for patients globally by offering them on Illumina’s NextSeq 550Dx next-generation sequencing instrument. </w:t>
      </w:r>
    </w:p>
    <w:p>
      <w:pPr>
        <w:pStyle w:val="TextBody"/>
        <w:bidi w:val="0"/>
        <w:spacing w:lineRule="auto" w:line="268" w:before="120" w:after="120"/>
        <w:ind w:left="0" w:right="0" w:hanging="360"/>
        <w:jc w:val="left"/>
        <w:rPr/>
      </w:pPr>
      <w:r>
        <w:rPr>
          <w:color w:val="000000"/>
        </w:rPr>
        <w:t>•</w:t>
      </w:r>
      <w:r>
        <w:rPr>
          <w:rFonts w:ascii="Arial;sans-serif" w:hAnsi="Arial;sans-serif"/>
          <w:b w:val="false"/>
          <w:color w:val="000000"/>
          <w:sz w:val="20"/>
        </w:rPr>
        <w:t>Further strengthened the Veracyte leadership team with the additions of Phil Febbo, M.D., as chief scientific officer and chief medical officer and Marie-Claire Taine, Ph.D., as GM, IVD Business Unit.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Generated $14.2 million of cash from operations and ended the third quarter with $202.5 million of cash and cash equivalents.</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Third Quarter 2023 Financial Results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revenue for the third quarter of 2023 was $90.1 million, an increase of 19% compared to $75.6 million reported in the third quarter of 2022. Testing revenue was $82.0 million, an increase of 27% compared to $64.6 million in the third quarter of 2022, driven primarily by the strong performance of our Decipher Prostate and Afirma tests. Product revenue was $4.0 million, an increase of 21% compared to $3.3 million in the third quarter of 2022. Biopharmaceutical and other revenue was $4.1 million, a decrease of 47% compared to $7.7 million in the third quarter of 2022.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third quarter of 2023, including the amortization of acquired intangible assets, was 64%, compared to 59% in the third quarter of 2022. Non-GAAP gross margin, excluding the amortization of acquired intangible assets and other acquisition related expenses was 69%, compared to 66% in the third quarter of 2022.</w:t>
      </w:r>
    </w:p>
    <w:p>
      <w:pPr>
        <w:pStyle w:val="TextBody"/>
        <w:bidi w:val="0"/>
        <w:spacing w:before="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excluding cost of revenue, were $89.4 million, which included an impairment charge of $34.9 million associated with the nCounter Analysis System license given the company's decision to move to a multi-platform strategy for its IVD tests. Non-GAAP operating expenses, excluding cost of revenue, amortization of acquired intangible assets, other acquisition related expenses and other restructuring costs, grew 13% to $57.7 million compared to $51.1 million in the third quarter of 2022.</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loss for the third quarter of 2023 was $29.6 million, an increase of 240% compared to the third quarter of 2022, primarily related to the impairment charge. Basic and diluted net loss per common share was $0.41, an increase of $0.29 compared to the third quarter of 2022. Net cash provided by operating activities in the first nine months of 2023 was $28.7 million, an improvement of $30.9 million compared to the same period in 2022.</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reconciliation of GAAP to non-GAAP financial measures has been provided in the tables included in this press release. An explanation of these measures is also included below under the heading "Note Regarding Use of Non-GAAP Financial Measures."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2023 Financial Outlook</w:t>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 xml:space="preserve">The company is raising full-year 2023 total revenue guidance to $352 million to $354 million, representing year-over-year growth of approximately 19%, and an improvement compared to prior guidance of $342 million to $350 million.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lineRule="auto" w:line="268" w:before="0" w:after="0"/>
        <w:jc w:val="left"/>
        <w:rPr/>
      </w:pPr>
      <w:r>
        <w:rPr>
          <w:rFonts w:ascii="Arial;sans-serif" w:hAnsi="Arial;sans-serif"/>
          <w:b w:val="false"/>
          <w:color w:val="000000"/>
          <w:sz w:val="20"/>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sans-serif" w:hAnsi="Arial;sans-serif"/>
          <w:b w:val="false"/>
          <w:color w:val="0000FF"/>
          <w:sz w:val="20"/>
        </w:rPr>
        <w:t>https://edge.media-server.com/mmc/p/e88ivgzk</w:t>
      </w:r>
      <w:r>
        <w:rPr>
          <w:rFonts w:ascii="Arial;sans-serif" w:hAnsi="Arial;sans-serif"/>
          <w:b w:val="false"/>
          <w:color w:val="000000"/>
          <w:sz w:val="20"/>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sans-serif" w:hAnsi="Arial;sans-serif"/>
          <w:b w:val="false"/>
          <w:color w:val="0000FF"/>
          <w:sz w:val="20"/>
        </w:rPr>
        <w:t>https://investor.veracyte.com/events-presentations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54" w:before="0" w:after="0"/>
        <w:jc w:val="left"/>
        <w:rPr/>
      </w:pPr>
      <w:r>
        <w:rPr>
          <w:rFonts w:ascii="Arial;sans-serif" w:hAnsi="Arial;sans-serif"/>
          <w:b w:val="false"/>
          <w:color w:val="000000"/>
          <w:sz w:val="20"/>
        </w:rPr>
        <w:t>The conference call dial-in can be accessed by registering at the following link</w:t>
      </w:r>
      <w:r>
        <w:rPr>
          <w:rFonts w:ascii="Arial;sans-serif" w:hAnsi="Arial;sans-serif"/>
          <w:b w:val="false"/>
          <w:color w:val="0000FF"/>
          <w:sz w:val="20"/>
        </w:rPr>
        <w:t>: https://register.vevent.com/register/BI6a0979098d6445eba9396420f175fc44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lineRule="auto" w:line="276" w:before="0" w:after="0"/>
        <w:jc w:val="left"/>
        <w:rPr>
          <w:rFonts w:ascii="Arial;sans-serif" w:hAnsi="Arial;sans-serif"/>
          <w:b w:val="false"/>
          <w:color w:val="222222"/>
          <w:sz w:val="20"/>
        </w:rPr>
      </w:pPr>
      <w:r>
        <w:rPr>
          <w:rFonts w:ascii="Arial;sans-serif" w:hAnsi="Arial;sans-serif"/>
          <w:b w:val="false"/>
          <w:color w:val="222222"/>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high-performing tests enable clinicians to make more confident diagnostic, prognostic and treatment decisions for some of the most challenging diseases such as thyroid, prostate, breast, bladder and lung cancers, as well as interstitial lung diseases. We help patients avoid unnecessary procedures and speed time to diagnosis and appropriate treatment. In addition to making our tests available in the U.S. through our central laboratories, we also aim to deliver our tests to patients worldwide through a distributed model to laboratories that can perform them locally. For more information, please visit www.veracyte.com and follow the company on Twitter (@veracyte).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expected total revenue and other financial and operating results for 2023 and our plans, objectives, expectations (financial and otherwise) or intentions with respect to our tests and products, for use in diagnosing and treating diseases,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to demonstrate the validity and utility of our genomic tests and biopharma offerings; to continue to integrate and expand the HalioDx and Decipher businesses and execute on our business plans; to continue to scale our global operations and enhance our internal control environment; the impact of the war in Ukraine on European economies and energy supply and other regional conflicts, as well as our facilities in France; the impact of the COVID-19 pandemic and its variants on our business and general economic conditions; the impact of foreign currency fluctuations, increasing interest rates, inflation, potential government shutdowns and turmoil in the global banking and finance system; and the performance and utility of our tests in the clinical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environment. Additional factors that may impact these forward-looking statements can be found under the caption “Risk Factors” in our Annual Report on Form 10-K filed on March 1, 2023, and our Quarterly Report on Form 10-Q for the three months ended September 30, 2023 to be filed with the Securities and Exchange Commission. Copies of these documents, when available, may be found in the Investors section of our website at www.investor.veracyte.com.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shd w:fill="FFFFFF" w:val="clear"/>
        </w:rPr>
        <w:t>Veracyte, the Veracyte logo, Decipher, Afirma, Percepta, Envisia, Prosigna, Lymphmark, TMExplore, Brightplex, Immunosign, “Know by Design” and “More about You”</w:t>
      </w:r>
      <w:r>
        <w:rPr>
          <w:color w:val="000000"/>
        </w:rPr>
        <w:t xml:space="preserve"> </w:t>
      </w:r>
      <w:r>
        <w:rPr>
          <w:rFonts w:ascii="Arial;sans-serif" w:hAnsi="Arial;sans-serif"/>
          <w:b w:val="false"/>
          <w:color w:val="000000"/>
          <w:sz w:val="20"/>
          <w:shd w:fill="FFFFFF" w:val="clear"/>
        </w:rPr>
        <w:t>are registered trademarks of Veracyte, Inc. and its subsidiaries in the U.S. and selected countries. Immunoscore IC® is a trademark of Veracyte SAS registered in France. Immunoscore is a registered trademark of Inserm used by Veracyte under license. nCounter is the registered trademark of NanoString Technologies used by Veracyte under license.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exclude amortization of acquired intangible assets, acquisition-related expenses relating to our acquisitions of Decipher Biosciences and HalioDx, impairment charges associated with the nCounter license intangible assets and certain costs related to restructuring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non‐GAAP information and the reconciliation between these presentations, to more fully understand its business.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Reconciliations between our GAAP results and non‐GAAP financial measures are presented in the tables of this release.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97"/>
        <w:gridCol w:w="1225"/>
        <w:gridCol w:w="1236"/>
        <w:gridCol w:w="271"/>
        <w:gridCol w:w="944"/>
        <w:gridCol w:w="123"/>
        <w:gridCol w:w="123"/>
        <w:gridCol w:w="123"/>
        <w:gridCol w:w="123"/>
        <w:gridCol w:w="271"/>
        <w:gridCol w:w="908"/>
        <w:gridCol w:w="123"/>
        <w:gridCol w:w="109"/>
        <w:gridCol w:w="109"/>
        <w:gridCol w:w="109"/>
        <w:gridCol w:w="246"/>
        <w:gridCol w:w="938"/>
        <w:gridCol w:w="117"/>
        <w:gridCol w:w="117"/>
        <w:gridCol w:w="117"/>
        <w:gridCol w:w="117"/>
        <w:gridCol w:w="246"/>
        <w:gridCol w:w="938"/>
        <w:gridCol w:w="175"/>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3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Testing revenue</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236,157 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180,275 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90,108 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262,852 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216,239 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55,923 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29,316 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76,230 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62,434 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54,992 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121,847 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85,272 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313,140 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251,900 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(31,739)</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(9,680)</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(50,288)</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(35,661)</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(29,772)</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(46,140)</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(32,986)</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(29,618)</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(46,111)</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(32,716)</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(0.46)</w:t>
            </w:r>
          </w:p>
        </w:tc>
        <w:tc>
          <w:tcPr>
            <w:tcW w:w="17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net loss per common share, basic and diluted</w:t>
            </w:r>
          </w:p>
        </w:tc>
        <w:tc>
          <w:tcPr>
            <w:tcW w:w="1215"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72,804,770 </w:t>
            </w:r>
          </w:p>
        </w:tc>
        <w:tc>
          <w:tcPr>
            <w:tcW w:w="1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71,656,694 </w:t>
            </w:r>
          </w:p>
        </w:tc>
        <w:tc>
          <w:tcPr>
            <w:tcW w:w="1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72,488,601 </w:t>
            </w:r>
          </w:p>
        </w:tc>
        <w:tc>
          <w:tcPr>
            <w:tcW w:w="1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71,456,008 </w:t>
            </w:r>
          </w:p>
        </w:tc>
        <w:tc>
          <w:tcPr>
            <w:tcW w:w="17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05"/>
        <w:gridCol w:w="1131"/>
        <w:gridCol w:w="1124"/>
        <w:gridCol w:w="296"/>
        <w:gridCol w:w="908"/>
        <w:gridCol w:w="153"/>
        <w:gridCol w:w="153"/>
        <w:gridCol w:w="153"/>
        <w:gridCol w:w="153"/>
        <w:gridCol w:w="296"/>
        <w:gridCol w:w="908"/>
        <w:gridCol w:w="153"/>
        <w:gridCol w:w="109"/>
        <w:gridCol w:w="109"/>
        <w:gridCol w:w="109"/>
        <w:gridCol w:w="263"/>
        <w:gridCol w:w="938"/>
        <w:gridCol w:w="135"/>
        <w:gridCol w:w="135"/>
        <w:gridCol w:w="135"/>
        <w:gridCol w:w="135"/>
        <w:gridCol w:w="263"/>
        <w:gridCol w:w="938"/>
        <w:gridCol w:w="203"/>
      </w:tblGrid>
      <w:tr>
        <w:trPr/>
        <w:tc>
          <w:tcPr>
            <w:tcW w:w="130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4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4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29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5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3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20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7,332 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7,442 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25,882 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20,423 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92"/>
        <w:gridCol w:w="1136"/>
        <w:gridCol w:w="1145"/>
        <w:gridCol w:w="257"/>
        <w:gridCol w:w="986"/>
        <w:gridCol w:w="132"/>
        <w:gridCol w:w="132"/>
        <w:gridCol w:w="132"/>
        <w:gridCol w:w="132"/>
        <w:gridCol w:w="257"/>
        <w:gridCol w:w="986"/>
        <w:gridCol w:w="132"/>
        <w:gridCol w:w="125"/>
        <w:gridCol w:w="125"/>
        <w:gridCol w:w="125"/>
        <w:gridCol w:w="249"/>
        <w:gridCol w:w="955"/>
        <w:gridCol w:w="128"/>
        <w:gridCol w:w="128"/>
        <w:gridCol w:w="128"/>
        <w:gridCol w:w="128"/>
        <w:gridCol w:w="249"/>
        <w:gridCol w:w="955"/>
        <w:gridCol w:w="191"/>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r>
      <w:tr>
        <w:trPr/>
        <w:tc>
          <w:tcPr>
            <w:tcW w:w="3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3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(29,618)</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(46,111)</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(32,716)</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loss</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(36,032)</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(24,739)</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(48,962)</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(71,699)</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6"/>
        <w:gridCol w:w="1476"/>
        <w:gridCol w:w="1429"/>
        <w:gridCol w:w="346"/>
        <w:gridCol w:w="1679"/>
        <w:gridCol w:w="179"/>
        <w:gridCol w:w="179"/>
        <w:gridCol w:w="179"/>
        <w:gridCol w:w="179"/>
        <w:gridCol w:w="346"/>
        <w:gridCol w:w="1679"/>
        <w:gridCol w:w="179"/>
        <w:gridCol w:w="159"/>
      </w:tblGrid>
      <w:tr>
        <w:trPr/>
        <w:tc>
          <w:tcPr>
            <w:tcW w:w="219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30,</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202,463 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154,247 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44,021 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271,163 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248,636 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123,567 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693,176 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695,891 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1,124,943 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1,156,422 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34,828 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other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57,260 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62,614 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70,884 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81,222 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1,054,059 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1,075,200 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1,124,943 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1,156,422 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2022 has been derived from the audited financial statements at that date included in the Company's Form 10-K filed with the Securities and Exchange Commission dated March 1, 2023.</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1"/>
        <w:gridCol w:w="1729"/>
        <w:gridCol w:w="1734"/>
        <w:gridCol w:w="333"/>
        <w:gridCol w:w="1352"/>
        <w:gridCol w:w="171"/>
        <w:gridCol w:w="171"/>
        <w:gridCol w:w="171"/>
        <w:gridCol w:w="171"/>
        <w:gridCol w:w="333"/>
        <w:gridCol w:w="1352"/>
        <w:gridCol w:w="497"/>
      </w:tblGrid>
      <w:tr>
        <w:trPr/>
        <w:tc>
          <w:tcPr>
            <w:tcW w:w="219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(46,111)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(32,716)</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(used in) operating activities: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19,372 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19,867 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end-of-term debt obligation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3,318 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(4,356)</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28,670 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(8,972)</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maturity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(6,677)</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(2,953)</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long-term debt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6,134 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3,401 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Increase (decrease)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48,471 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increase (decrease)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48,337 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154,996 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173,946 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203,333 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170,861 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202,463 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154,247 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203,333 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154,996 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68"/>
        <w:gridCol w:w="710"/>
        <w:gridCol w:w="397"/>
        <w:gridCol w:w="248"/>
        <w:gridCol w:w="859"/>
        <w:gridCol w:w="324"/>
        <w:gridCol w:w="122"/>
        <w:gridCol w:w="122"/>
        <w:gridCol w:w="122"/>
        <w:gridCol w:w="319"/>
        <w:gridCol w:w="899"/>
        <w:gridCol w:w="149"/>
        <w:gridCol w:w="122"/>
        <w:gridCol w:w="122"/>
        <w:gridCol w:w="122"/>
        <w:gridCol w:w="355"/>
        <w:gridCol w:w="1010"/>
        <w:gridCol w:w="200"/>
        <w:gridCol w:w="117"/>
        <w:gridCol w:w="117"/>
        <w:gridCol w:w="117"/>
        <w:gridCol w:w="211"/>
        <w:gridCol w:w="697"/>
        <w:gridCol w:w="117"/>
        <w:gridCol w:w="117"/>
        <w:gridCol w:w="117"/>
        <w:gridCol w:w="117"/>
        <w:gridCol w:w="239"/>
        <w:gridCol w:w="788"/>
        <w:gridCol w:w="381"/>
      </w:tblGrid>
      <w:tr>
        <w:trPr/>
        <w:tc>
          <w:tcPr>
            <w:tcW w:w="8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707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U.S. GAAP to Non-GAAP Financial Measures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Identified Expenses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 Related Expenses (1)</w:t>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Amortization Expense</w:t>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(4)</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Non-GAAP Measure</w:t>
            </w:r>
          </w:p>
        </w:tc>
      </w:tr>
      <w:tr>
        <w:trPr/>
        <w:tc>
          <w:tcPr>
            <w:tcW w:w="34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September 30, 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90,108 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90,108 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testing revenue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21,827 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21,827 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 revenue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biopharmaceutical and other revenue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3,347 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 (2)</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57,687 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4,811 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62,524 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13,322 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and marketing</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24,344 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23,807 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16,334 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excluding cost of revenue (3)</w:t>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89,426 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(3,740)</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57,740 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(31,739)</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(3,714)</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5,337 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4,784 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September 30, 2022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75,592 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75,592 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testing revenue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19,816 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19,749 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 revenue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biopharmaceutical and other revenue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4,149 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 (2)</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44,881 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49,716 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10,773 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and marketing</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25,678 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24,262 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excluding cost of revenue (3)</w:t>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54,561 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51,112 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(9,680)</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2,557 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6"/>
              </w:rPr>
            </w:pPr>
            <w:r>
              <w:rPr>
                <w:rFonts w:ascii="Arial;sans-serif" w:hAnsi="Arial;sans-serif"/>
                <w:b w:val="false"/>
                <w:color w:val="000000"/>
                <w:sz w:val="16"/>
              </w:rPr>
              <w:t>1. Includes transaction related expenses as well as post-combination compensation expenses. For each of the three months ended September 30, 2022, and September 30, 2023, adjustments consist primarily of remeasurement of contingent consideration related to our adoption of a multi-platform IVD strategy and post-combination compensation expenses associated with the acquisition of HalioDx.</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6"/>
              </w:rPr>
            </w:pPr>
            <w:r>
              <w:rPr>
                <w:rFonts w:ascii="Arial;sans-serif" w:hAnsi="Arial;sans-serif"/>
                <w:b w:val="false"/>
                <w:color w:val="000000"/>
                <w:sz w:val="16"/>
              </w:rPr>
              <w:t>2. Includes only amortization of intangible assets identified as developed technology assets through purchase accounting transactions, which otherwise would have been allocated to cost of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6"/>
              </w:rPr>
            </w:pPr>
            <w:r>
              <w:rPr>
                <w:rFonts w:ascii="Arial;sans-serif" w:hAnsi="Arial;sans-serif"/>
                <w:b w:val="false"/>
                <w:color w:val="000000"/>
                <w:sz w:val="16"/>
              </w:rPr>
              <w:t>3. Includes only amortization of intangible assets, which otherwise would have been allocated to research and development, selling and marketing or general and administrative expense and excludes the cost of revenue ($27.6 million and $26.0 million) and the amortization of intangible assets which would have been allocated to the cost of revenue ($4.8 million and $4.7 million) for the three months ended September 30, 2023 and for the three months ended September 30, 2022 respectively.</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 For the three months ended September 30, 2023, includes $34.9 million expense related to the impairment charge associated with the nCounter license intangible assets. For the three months ended September 30, 2022, includes $0.5 million related to restructuring costs.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56"/>
        <w:gridCol w:w="683"/>
        <w:gridCol w:w="408"/>
        <w:gridCol w:w="242"/>
        <w:gridCol w:w="911"/>
        <w:gridCol w:w="316"/>
        <w:gridCol w:w="120"/>
        <w:gridCol w:w="120"/>
        <w:gridCol w:w="120"/>
        <w:gridCol w:w="320"/>
        <w:gridCol w:w="876"/>
        <w:gridCol w:w="152"/>
        <w:gridCol w:w="120"/>
        <w:gridCol w:w="120"/>
        <w:gridCol w:w="120"/>
        <w:gridCol w:w="328"/>
        <w:gridCol w:w="1058"/>
        <w:gridCol w:w="156"/>
        <w:gridCol w:w="116"/>
        <w:gridCol w:w="116"/>
        <w:gridCol w:w="116"/>
        <w:gridCol w:w="208"/>
        <w:gridCol w:w="689"/>
        <w:gridCol w:w="116"/>
        <w:gridCol w:w="116"/>
        <w:gridCol w:w="116"/>
        <w:gridCol w:w="116"/>
        <w:gridCol w:w="231"/>
        <w:gridCol w:w="870"/>
        <w:gridCol w:w="369"/>
      </w:tblGrid>
      <w:tr>
        <w:trPr/>
        <w:tc>
          <w:tcPr>
            <w:tcW w:w="8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70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U.S. GAAP to Non-GAAP Financial Measures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Identified Expenses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 Related Expenses (1)</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Amortization Expense</w:t>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(4)</w:t>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Non-GAAP Measure</w:t>
            </w:r>
          </w:p>
        </w:tc>
      </w:tr>
      <w:tr>
        <w:trPr/>
        <w:tc>
          <w:tcPr>
            <w:tcW w:w="34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 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262,852 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262,852 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testing revenue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64,725 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 revenue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6,913 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biopharmaceutical and other revenue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11,712 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 (2)</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164,896 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179,502 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38,632 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and marketing</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73,914 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62,601 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excluding cost of revenue (3)</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215,184 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175,089 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(50,288)</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 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216,239 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216,239 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testing revenue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55,923 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55,752 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 revenue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5,199 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biopharmaceutical and other revenue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13,365 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 (2)</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126,962 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141,923 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28,130 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and marketing</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73,433 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69,943 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54,992 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51,115 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excluding cost of revenue (3)</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162,623 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8,060 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149,188 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(35,661)</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(7,265)</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6"/>
              </w:rPr>
            </w:pPr>
            <w:r>
              <w:rPr>
                <w:rFonts w:ascii="Arial;sans-serif" w:hAnsi="Arial;sans-serif"/>
                <w:b w:val="false"/>
                <w:color w:val="000000"/>
                <w:sz w:val="16"/>
              </w:rPr>
              <w:t>1. Includes transaction related expenses as well as post-combination compensation expenses, adjustments consist primarily remeasurement of contingent consideration related to our adoption of a multi-platform IVD strategy and of post-combination compensation expenses associated with the acquisition of HalioDx.</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6"/>
              </w:rPr>
            </w:pPr>
            <w:r>
              <w:rPr>
                <w:rFonts w:ascii="Arial;sans-serif" w:hAnsi="Arial;sans-serif"/>
                <w:b w:val="false"/>
                <w:color w:val="000000"/>
                <w:sz w:val="16"/>
              </w:rPr>
              <w:t>2. Includes only amortization of intangible assets identified as developed technology assets through purchase accounting transactions, which otherwise would have been allocated to cost of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6"/>
              </w:rPr>
            </w:pPr>
            <w:r>
              <w:rPr>
                <w:rFonts w:ascii="Arial;sans-serif" w:hAnsi="Arial;sans-serif"/>
                <w:b w:val="false"/>
                <w:color w:val="000000"/>
                <w:sz w:val="16"/>
              </w:rPr>
              <w:t>3. Includes only amortization of intangible assets, which otherwise would have been allocated to research and development, selling and marketing or general and administrative expense and excludes the cost of revenue ($83.5 and $74.8 million) and the amortization of intangible assets which would have been allocated to the cost of revenue ($14.4 and $14.5 million) for the first nine months of 2023 and 2022 respectively.</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 2022 includes $3.3 million expense related to the impairment charge associated with certain developed technology intangible assets; 2023 includes $34.9 million expense related to the impairment charge associated with the nCounter license intangible assets and $1.4 million related to the departure of the former executive chair and $1.4 million related to restructuring costs.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Tracy Morris</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Vice President of Global Corporate Communications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650-380-4413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tracy.morris@veracyte.com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4031</Words>
  <Characters>23472</Characters>
  <CharactersWithSpaces>27113</CharactersWithSpaces>
  <Paragraphs>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