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Keith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5"/>
        <w:spacing w:after="0"/>
        <w:rPr>
          <w:sz w:val="20"/>
          <w:szCs w:val="20"/>
          <w:color w:val="auto"/>
        </w:rPr>
      </w:pPr>
      <w:r>
        <w:rPr>
          <w:rFonts w:ascii="Arial" w:cs="Arial" w:eastAsia="Arial" w:hAnsi="Arial"/>
          <w:sz w:val="17"/>
          <w:szCs w:val="17"/>
          <w:color w:val="0000FF"/>
        </w:rPr>
        <w:t>COO / CFO</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07/01/2020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2,106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26.73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155,598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2,106 shares of common stock to satisfy the reporting person's tax withholding obligations in connection with the vesting of 4,000 Restricted Stock Units granted on July 1, 2019 and does not represent a sale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Keith Kennedy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07/02/2020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2020-07-02T15:42:09Z</dcterms:created>
  <dcterms:modified xsi:type="dcterms:W3CDTF">2020-07-02T15:42:09Z</dcterms:modified>
</cp:coreProperties>
</file>